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jc w:val="center"/>
        <w:rPr>
          <w:rFonts w:ascii="方正小标宋简体" w:eastAsia="方正小标宋简体"/>
          <w:sz w:val="44"/>
          <w:szCs w:val="44"/>
        </w:rPr>
      </w:pPr>
      <w:r>
        <w:rPr>
          <w:rFonts w:hint="eastAsia" w:ascii="方正小标宋简体" w:eastAsia="方正小标宋简体"/>
          <w:sz w:val="44"/>
          <w:szCs w:val="44"/>
        </w:rPr>
        <w:t>关于进一步加强农房建设管理工作的意见</w:t>
      </w:r>
    </w:p>
    <w:p>
      <w:pPr>
        <w:spacing w:line="576" w:lineRule="exact"/>
        <w:jc w:val="center"/>
        <w:rPr>
          <w:rFonts w:ascii="楷体_GB2312" w:eastAsia="楷体_GB2312"/>
          <w:szCs w:val="32"/>
        </w:rPr>
      </w:pPr>
      <w:r>
        <w:rPr>
          <w:rFonts w:hint="eastAsia" w:ascii="楷体_GB2312" w:eastAsia="楷体_GB2312"/>
          <w:szCs w:val="32"/>
        </w:rPr>
        <w:t>（征求意见稿）</w:t>
      </w:r>
    </w:p>
    <w:p>
      <w:pPr>
        <w:spacing w:line="576" w:lineRule="exact"/>
        <w:rPr>
          <w:rFonts w:ascii="仿宋_GB2312" w:eastAsia="仿宋_GB2312"/>
          <w:szCs w:val="32"/>
        </w:rPr>
      </w:pPr>
    </w:p>
    <w:p>
      <w:pPr>
        <w:spacing w:line="576" w:lineRule="exact"/>
        <w:rPr>
          <w:rFonts w:ascii="仿宋_GB2312" w:eastAsia="仿宋_GB2312"/>
          <w:szCs w:val="32"/>
        </w:rPr>
      </w:pPr>
      <w:bookmarkStart w:id="0" w:name="_Hlk37853390"/>
      <w:bookmarkEnd w:id="0"/>
      <w:r>
        <w:rPr>
          <w:rFonts w:hint="eastAsia" w:ascii="仿宋_GB2312" w:eastAsia="仿宋_GB2312"/>
          <w:szCs w:val="32"/>
          <w:lang w:val="en-US" w:eastAsia="zh-CN"/>
        </w:rPr>
        <w:t xml:space="preserve">    </w:t>
      </w:r>
      <w:bookmarkStart w:id="1" w:name="_GoBack"/>
      <w:bookmarkEnd w:id="1"/>
      <w:r>
        <w:rPr>
          <w:rFonts w:hint="eastAsia" w:ascii="仿宋_GB2312" w:eastAsia="仿宋_GB2312"/>
          <w:szCs w:val="32"/>
        </w:rPr>
        <w:t>为落实新修订的土地管理法有关要求，明确部门职责，规范我县农房建设管理工作,根据《农业农村部 自然资源部关于规范农村宅基地审批管理的通知》（农经发〔2019〕6号）、《四川省农村住房建设管理办法》（四川省人民政府令第319号）、《四川省国土资源厅关于深入推进城镇低效用地再开发的实施意见》（川国土资发〔2017〕109号）、以及《住房和城乡建设部 农业农村部 国家乡村振兴局关于加快农房和村庄建设现代化的指导意见》（建村〔2021〕47号）等法律法规,结合《茂县规划区旧城改造工作规范管理的实施意见》（茂府办发〔2020〕19号）基础上制定以下意见。 </w:t>
      </w:r>
    </w:p>
    <w:p>
      <w:pPr>
        <w:spacing w:line="576" w:lineRule="exact"/>
        <w:ind w:firstLine="632" w:firstLineChars="200"/>
        <w:rPr>
          <w:rFonts w:ascii="黑体" w:hAnsi="黑体" w:eastAsia="黑体"/>
          <w:szCs w:val="32"/>
        </w:rPr>
      </w:pPr>
      <w:r>
        <w:rPr>
          <w:rFonts w:hint="eastAsia" w:ascii="黑体" w:hAnsi="黑体" w:eastAsia="黑体"/>
          <w:szCs w:val="32"/>
        </w:rPr>
        <w:t>一、工作目标</w:t>
      </w:r>
    </w:p>
    <w:p>
      <w:pPr>
        <w:spacing w:line="576" w:lineRule="exact"/>
        <w:ind w:firstLine="632" w:firstLineChars="200"/>
        <w:rPr>
          <w:rFonts w:ascii="仿宋_GB2312" w:eastAsia="仿宋_GB2312"/>
          <w:szCs w:val="32"/>
        </w:rPr>
      </w:pPr>
      <w:r>
        <w:rPr>
          <w:rFonts w:hint="eastAsia" w:ascii="仿宋_GB2312" w:eastAsia="仿宋_GB2312"/>
          <w:szCs w:val="32"/>
        </w:rPr>
        <w:t>以习近平新时代中国特色社会主义思想为指导，以有利于提升城市品位，有利于经济发展和社会进步，有利于合法有序解决群众住房需求为目的，全面规范管理农房建设行为，规范推进城镇低效用地再开发，切实改善城乡生活居住环境，促进城乡更新改造，为全面建成小康茂县做出贡献。</w:t>
      </w:r>
    </w:p>
    <w:p>
      <w:pPr>
        <w:spacing w:line="576" w:lineRule="exact"/>
        <w:ind w:firstLine="632" w:firstLineChars="200"/>
        <w:rPr>
          <w:rFonts w:ascii="黑体" w:hAnsi="黑体" w:eastAsia="黑体"/>
          <w:szCs w:val="32"/>
        </w:rPr>
      </w:pPr>
      <w:r>
        <w:rPr>
          <w:rFonts w:hint="eastAsia" w:ascii="黑体" w:hAnsi="黑体" w:eastAsia="黑体"/>
          <w:szCs w:val="32"/>
        </w:rPr>
        <w:t>二、实施范围及对象</w:t>
      </w:r>
    </w:p>
    <w:p>
      <w:pPr>
        <w:spacing w:line="576" w:lineRule="exact"/>
        <w:ind w:firstLine="632" w:firstLineChars="200"/>
        <w:rPr>
          <w:rFonts w:ascii="仿宋_GB2312" w:eastAsia="仿宋_GB2312"/>
          <w:szCs w:val="32"/>
        </w:rPr>
      </w:pPr>
      <w:r>
        <w:rPr>
          <w:rFonts w:hint="eastAsia" w:ascii="仿宋_GB2312" w:eastAsia="仿宋_GB2312"/>
          <w:szCs w:val="32"/>
        </w:rPr>
        <w:t>茂县全域范围内住房确有困难的村（居）民，在符合《中华人民共和国城乡规划法》《茂县土地利用总体规划》和其他相关法律法规的，通过改造方式进行分类改造和新建。在《茂县国土空间总体规划》出台后，按照新规划实施。</w:t>
      </w:r>
    </w:p>
    <w:p>
      <w:pPr>
        <w:spacing w:line="576" w:lineRule="exact"/>
        <w:ind w:firstLine="632" w:firstLineChars="200"/>
        <w:rPr>
          <w:rFonts w:ascii="黑体" w:hAnsi="黑体" w:eastAsia="黑体"/>
          <w:szCs w:val="32"/>
        </w:rPr>
      </w:pPr>
      <w:r>
        <w:rPr>
          <w:rFonts w:hint="eastAsia" w:ascii="黑体" w:hAnsi="黑体" w:eastAsia="黑体"/>
          <w:szCs w:val="32"/>
        </w:rPr>
        <w:t>三、部门职能职责及定期审批制度</w:t>
      </w:r>
    </w:p>
    <w:p>
      <w:pPr>
        <w:spacing w:line="576" w:lineRule="exact"/>
        <w:ind w:firstLine="632" w:firstLineChars="200"/>
        <w:rPr>
          <w:rFonts w:ascii="楷体_GB2312" w:eastAsia="楷体_GB2312"/>
          <w:b/>
          <w:szCs w:val="32"/>
        </w:rPr>
      </w:pPr>
      <w:r>
        <w:rPr>
          <w:rFonts w:hint="eastAsia" w:ascii="楷体_GB2312" w:eastAsia="楷体_GB2312"/>
          <w:b/>
          <w:szCs w:val="32"/>
        </w:rPr>
        <w:t>（一）部门职能职责</w:t>
      </w:r>
    </w:p>
    <w:p>
      <w:pPr>
        <w:spacing w:line="576" w:lineRule="exact"/>
        <w:ind w:firstLine="632" w:firstLineChars="200"/>
        <w:rPr>
          <w:rFonts w:ascii="仿宋_GB2312" w:eastAsia="仿宋_GB2312"/>
          <w:szCs w:val="32"/>
        </w:rPr>
      </w:pPr>
      <w:r>
        <w:rPr>
          <w:rFonts w:hint="eastAsia" w:ascii="仿宋_GB2312" w:eastAsia="仿宋_GB2312"/>
          <w:b/>
          <w:szCs w:val="32"/>
        </w:rPr>
        <w:t>1.县科学技术和农业畜牧局：</w:t>
      </w:r>
      <w:r>
        <w:rPr>
          <w:rFonts w:hint="eastAsia" w:ascii="仿宋_GB2312" w:eastAsia="仿宋_GB2312"/>
          <w:szCs w:val="32"/>
        </w:rPr>
        <w:t>负责农村宅基地改革和管理，建立健全宅基地使用、流转、三权分治等管理制度,农用地转用报建工作，并负责农村宅基地的审核。</w:t>
      </w:r>
    </w:p>
    <w:p>
      <w:pPr>
        <w:spacing w:line="576" w:lineRule="exact"/>
        <w:ind w:firstLine="632" w:firstLineChars="200"/>
        <w:rPr>
          <w:rFonts w:ascii="仿宋_GB2312" w:eastAsia="仿宋_GB2312"/>
          <w:szCs w:val="32"/>
        </w:rPr>
      </w:pPr>
      <w:r>
        <w:rPr>
          <w:rFonts w:hint="eastAsia" w:ascii="仿宋_GB2312" w:eastAsia="仿宋_GB2312"/>
          <w:b/>
          <w:szCs w:val="32"/>
        </w:rPr>
        <w:t>2.县自然资源局：</w:t>
      </w:r>
      <w:r>
        <w:rPr>
          <w:rFonts w:hint="eastAsia" w:ascii="仿宋_GB2312" w:eastAsia="仿宋_GB2312"/>
          <w:szCs w:val="32"/>
        </w:rPr>
        <w:t>负责审查用地建房是否符合规划条件，用途管制要求及农用地转用。</w:t>
      </w:r>
    </w:p>
    <w:p>
      <w:pPr>
        <w:spacing w:line="576" w:lineRule="exact"/>
        <w:ind w:firstLine="632" w:firstLineChars="200"/>
        <w:rPr>
          <w:rFonts w:ascii="仿宋_GB2312" w:eastAsia="仿宋_GB2312"/>
          <w:color w:val="FF0000"/>
          <w:szCs w:val="32"/>
        </w:rPr>
      </w:pPr>
      <w:r>
        <w:rPr>
          <w:rFonts w:hint="eastAsia" w:ascii="仿宋_GB2312" w:eastAsia="仿宋_GB2312"/>
          <w:b/>
          <w:szCs w:val="32"/>
        </w:rPr>
        <w:t>3.县住房和城乡建设局：</w:t>
      </w:r>
      <w:r>
        <w:rPr>
          <w:rFonts w:hint="eastAsia" w:ascii="仿宋_GB2312" w:eastAsia="仿宋_GB2312"/>
          <w:szCs w:val="32"/>
        </w:rPr>
        <w:t>负责建筑面积在300平方米以上、3层及以上、跨度超过6米的大跨度房屋建设质量安全监管，应当依法对建筑材料质量进行监管，组织指导农村住房建设技术服务工作。</w:t>
      </w:r>
    </w:p>
    <w:p>
      <w:pPr>
        <w:spacing w:line="576" w:lineRule="exact"/>
        <w:ind w:firstLine="632" w:firstLineChars="200"/>
        <w:rPr>
          <w:rFonts w:ascii="仿宋_GB2312" w:eastAsia="仿宋_GB2312"/>
          <w:szCs w:val="32"/>
        </w:rPr>
      </w:pPr>
      <w:r>
        <w:rPr>
          <w:rFonts w:hint="eastAsia" w:ascii="仿宋_GB2312" w:eastAsia="仿宋_GB2312"/>
          <w:b/>
          <w:szCs w:val="32"/>
        </w:rPr>
        <w:t>4.县综合行政执法局：</w:t>
      </w:r>
      <w:r>
        <w:rPr>
          <w:rFonts w:hint="eastAsia" w:ascii="仿宋_GB2312" w:eastAsia="仿宋_GB2312"/>
          <w:szCs w:val="32"/>
        </w:rPr>
        <w:t>负责法规宣传和联合巡查，并对违法建设及时查处。</w:t>
      </w:r>
    </w:p>
    <w:p>
      <w:pPr>
        <w:spacing w:line="576" w:lineRule="exact"/>
        <w:ind w:firstLine="632" w:firstLineChars="200"/>
        <w:rPr>
          <w:rFonts w:ascii="仿宋_GB2312" w:eastAsia="仿宋_GB2312"/>
          <w:szCs w:val="32"/>
        </w:rPr>
      </w:pPr>
      <w:r>
        <w:rPr>
          <w:rFonts w:hint="eastAsia" w:ascii="仿宋_GB2312" w:eastAsia="仿宋_GB2312"/>
          <w:b/>
          <w:szCs w:val="32"/>
        </w:rPr>
        <w:t>5.县文体旅游局：</w:t>
      </w:r>
      <w:r>
        <w:rPr>
          <w:rFonts w:hint="eastAsia" w:ascii="仿宋_GB2312" w:eastAsia="仿宋_GB2312"/>
          <w:szCs w:val="32"/>
        </w:rPr>
        <w:t>负责对景区内建筑改造、新建提出意见。</w:t>
      </w:r>
    </w:p>
    <w:p>
      <w:pPr>
        <w:spacing w:line="576" w:lineRule="exact"/>
        <w:ind w:firstLine="632" w:firstLineChars="200"/>
        <w:rPr>
          <w:rFonts w:ascii="仿宋_GB2312" w:eastAsia="仿宋_GB2312"/>
          <w:color w:val="FF0000"/>
          <w:szCs w:val="32"/>
        </w:rPr>
      </w:pPr>
      <w:r>
        <w:rPr>
          <w:rFonts w:hint="eastAsia" w:ascii="仿宋_GB2312" w:eastAsia="仿宋_GB2312"/>
          <w:b/>
          <w:szCs w:val="32"/>
        </w:rPr>
        <w:t>6.镇人民政府：</w:t>
      </w:r>
      <w:r>
        <w:rPr>
          <w:rFonts w:hint="eastAsia" w:ascii="仿宋_GB2312" w:eastAsia="仿宋_GB2312"/>
          <w:szCs w:val="32"/>
        </w:rPr>
        <w:t>负责组织县科学技术和农业畜牧局、县自然资源局、县住房和城乡建设局、县综合行政执法局进行农房审批“三到场”工作，同时及时衔接林草局、生态环境局、文体旅游局、水务局、交通运输局、应急管理局、电力公司、燃气等部门并征求意见；并对有分户需求的进行审核把关，会同相关职能部门提出意见。负责农村住房建设施工安全监督管理</w:t>
      </w:r>
      <w:r>
        <w:rPr>
          <w:rFonts w:ascii="仿宋_GB2312" w:eastAsia="仿宋_GB2312"/>
          <w:szCs w:val="32"/>
        </w:rPr>
        <w:t>。</w:t>
      </w:r>
    </w:p>
    <w:p>
      <w:pPr>
        <w:spacing w:line="576" w:lineRule="exact"/>
        <w:ind w:firstLine="632" w:firstLineChars="200"/>
        <w:rPr>
          <w:rFonts w:ascii="仿宋_GB2312" w:eastAsia="仿宋_GB2312"/>
          <w:szCs w:val="32"/>
        </w:rPr>
      </w:pPr>
      <w:r>
        <w:rPr>
          <w:rFonts w:hint="eastAsia" w:ascii="仿宋_GB2312" w:eastAsia="仿宋_GB2312"/>
          <w:b/>
          <w:szCs w:val="32"/>
        </w:rPr>
        <w:t>7.属地派出所：</w:t>
      </w:r>
      <w:r>
        <w:rPr>
          <w:rFonts w:hint="eastAsia" w:ascii="仿宋_GB2312" w:eastAsia="仿宋_GB2312"/>
          <w:szCs w:val="32"/>
        </w:rPr>
        <w:t>负责户口的预分户。</w:t>
      </w:r>
    </w:p>
    <w:p>
      <w:pPr>
        <w:spacing w:line="576" w:lineRule="exact"/>
        <w:ind w:firstLine="632" w:firstLineChars="200"/>
        <w:rPr>
          <w:rFonts w:ascii="仿宋_GB2312" w:eastAsia="仿宋_GB2312"/>
          <w:szCs w:val="32"/>
        </w:rPr>
      </w:pPr>
      <w:r>
        <w:rPr>
          <w:rFonts w:hint="eastAsia" w:ascii="仿宋_GB2312" w:eastAsia="仿宋_GB2312"/>
          <w:b/>
          <w:szCs w:val="32"/>
        </w:rPr>
        <w:t>8.县司法局：</w:t>
      </w:r>
      <w:r>
        <w:rPr>
          <w:rFonts w:hint="eastAsia" w:ascii="仿宋_GB2312" w:eastAsia="仿宋_GB2312"/>
          <w:szCs w:val="32"/>
        </w:rPr>
        <w:t>对所有程序进行合法性审查。</w:t>
      </w:r>
    </w:p>
    <w:p>
      <w:pPr>
        <w:spacing w:line="576" w:lineRule="exact"/>
        <w:ind w:firstLine="632" w:firstLineChars="200"/>
        <w:rPr>
          <w:rFonts w:ascii="仿宋_GB2312" w:eastAsia="仿宋_GB2312"/>
          <w:szCs w:val="32"/>
        </w:rPr>
      </w:pPr>
      <w:r>
        <w:rPr>
          <w:rFonts w:hint="eastAsia" w:ascii="仿宋_GB2312" w:eastAsia="仿宋_GB2312"/>
          <w:b/>
          <w:szCs w:val="32"/>
        </w:rPr>
        <w:t>9.村两委会：</w:t>
      </w:r>
      <w:r>
        <w:rPr>
          <w:rFonts w:hint="eastAsia" w:ascii="仿宋_GB2312" w:eastAsia="仿宋_GB2312"/>
          <w:szCs w:val="32"/>
        </w:rPr>
        <w:t xml:space="preserve">负责“一户一宅”及资料初审，并提出意见。 </w:t>
      </w:r>
    </w:p>
    <w:p>
      <w:pPr>
        <w:spacing w:line="576" w:lineRule="exact"/>
        <w:ind w:firstLine="632" w:firstLineChars="200"/>
        <w:rPr>
          <w:rFonts w:ascii="仿宋" w:hAnsi="仿宋" w:eastAsia="仿宋" w:cs="仿宋"/>
          <w:szCs w:val="32"/>
        </w:rPr>
      </w:pPr>
      <w:r>
        <w:rPr>
          <w:rFonts w:hint="eastAsia" w:ascii="楷体_GB2312" w:eastAsia="楷体_GB2312"/>
          <w:b/>
          <w:szCs w:val="32"/>
        </w:rPr>
        <w:t>（二）严格土地用途管制</w:t>
      </w:r>
    </w:p>
    <w:p>
      <w:pPr>
        <w:spacing w:line="576" w:lineRule="exact"/>
        <w:ind w:firstLine="632" w:firstLineChars="200"/>
        <w:rPr>
          <w:rFonts w:ascii="仿宋_GB2312" w:eastAsia="仿宋_GB2312"/>
          <w:szCs w:val="32"/>
        </w:rPr>
      </w:pPr>
      <w:r>
        <w:rPr>
          <w:rFonts w:hint="eastAsia" w:ascii="仿宋_GB2312" w:eastAsia="仿宋_GB2312"/>
          <w:szCs w:val="32"/>
        </w:rPr>
        <w:t>审批需严格按照农村村民住宅用地标准及规划科学选址，严格坚持农村村民住宅建设不得占用永久基本农田,切实保护耕地,节约集约用地,严禁以农村村民住宅用地名义非法批准占用农用地。涉及占用农用地的，依照《土地管理法》第四十四条的规定办理农用地转用审批手续（涉及林草地的,应依法取得使用林草地审核(批)手续）；占用未利用地的,参照农用地转用的规定办理审批手续。</w:t>
      </w:r>
    </w:p>
    <w:p>
      <w:pPr>
        <w:spacing w:line="576" w:lineRule="exact"/>
        <w:ind w:firstLine="632" w:firstLineChars="200"/>
        <w:rPr>
          <w:rFonts w:ascii="黑体" w:hAnsi="黑体" w:eastAsia="黑体"/>
          <w:szCs w:val="32"/>
        </w:rPr>
      </w:pPr>
      <w:r>
        <w:rPr>
          <w:rFonts w:hint="eastAsia" w:ascii="黑体" w:hAnsi="黑体" w:eastAsia="黑体"/>
          <w:szCs w:val="32"/>
        </w:rPr>
        <w:t>四、审批依据和申报流程</w:t>
      </w:r>
    </w:p>
    <w:p>
      <w:pPr>
        <w:spacing w:line="576" w:lineRule="exact"/>
        <w:ind w:firstLine="632" w:firstLineChars="200"/>
        <w:rPr>
          <w:rFonts w:ascii="仿宋_GB2312" w:eastAsia="仿宋_GB2312"/>
          <w:szCs w:val="32"/>
        </w:rPr>
      </w:pPr>
      <w:r>
        <w:rPr>
          <w:rFonts w:hint="eastAsia" w:ascii="仿宋_GB2312" w:eastAsia="仿宋_GB2312"/>
          <w:szCs w:val="32"/>
        </w:rPr>
        <w:t>按照宅基地管理申报改、扩建及新建。宅基地是农村村民用于建造住宅及其附属设施的集体建设用地，包括住房、附属用房和庭院等用地。农村村民一户只能拥有一处宅基地，农村村民申请的人数，按照该户在本集体经济组织的常住户口（不包括空挂户口）进行计算。户口暂时迁出的现役军人、在校生、服刑人员，可以计入用地人数，面积不得超过规定的标准。</w:t>
      </w:r>
    </w:p>
    <w:p>
      <w:pPr>
        <w:spacing w:line="576" w:lineRule="exact"/>
        <w:ind w:firstLine="632" w:firstLineChars="200"/>
        <w:rPr>
          <w:rFonts w:ascii="仿宋_GB2312" w:eastAsia="仿宋_GB2312"/>
          <w:szCs w:val="32"/>
        </w:rPr>
      </w:pPr>
      <w:r>
        <w:rPr>
          <w:rFonts w:hint="eastAsia" w:ascii="仿宋_GB2312" w:eastAsia="仿宋_GB2312"/>
          <w:szCs w:val="32"/>
        </w:rPr>
        <w:t>可按照条件申请改、扩建（拥有自建房屋并已取得房屋产权证、宅基地使用证或相关证明文件）和新建住房，经批准易地新建住宅的，应严格按照“建新拆旧”要求，将原宅基地上构建筑物、硬化地面拆除复垦。</w:t>
      </w:r>
    </w:p>
    <w:p>
      <w:pPr>
        <w:spacing w:line="576" w:lineRule="exact"/>
        <w:ind w:firstLine="632" w:firstLineChars="200"/>
        <w:rPr>
          <w:rFonts w:ascii="楷体_GB2312" w:eastAsia="楷体_GB2312"/>
          <w:b/>
          <w:szCs w:val="32"/>
        </w:rPr>
      </w:pPr>
      <w:r>
        <w:rPr>
          <w:rFonts w:hint="eastAsia" w:ascii="楷体_GB2312" w:eastAsia="楷体_GB2312"/>
          <w:b/>
          <w:szCs w:val="32"/>
        </w:rPr>
        <w:t>（一）新申请宅基地建设资格的确定</w:t>
      </w:r>
    </w:p>
    <w:p>
      <w:pPr>
        <w:spacing w:line="576" w:lineRule="exact"/>
        <w:ind w:firstLine="632" w:firstLineChars="200"/>
        <w:rPr>
          <w:rFonts w:ascii="仿宋_GB2312" w:eastAsia="仿宋_GB2312"/>
          <w:b/>
          <w:szCs w:val="32"/>
        </w:rPr>
      </w:pPr>
      <w:r>
        <w:rPr>
          <w:rFonts w:hint="eastAsia" w:ascii="仿宋_GB2312" w:eastAsia="仿宋_GB2312"/>
          <w:b/>
          <w:szCs w:val="32"/>
        </w:rPr>
        <w:t>1.村集体土地分配给村民使用，且符合下列条件的：</w:t>
      </w:r>
    </w:p>
    <w:p>
      <w:pPr>
        <w:spacing w:line="576" w:lineRule="exact"/>
        <w:ind w:firstLine="632" w:firstLineChars="200"/>
        <w:rPr>
          <w:rFonts w:ascii="仿宋_GB2312" w:eastAsia="仿宋_GB2312"/>
          <w:color w:val="000000" w:themeColor="text1"/>
          <w:szCs w:val="32"/>
          <w14:textFill>
            <w14:solidFill>
              <w14:schemeClr w14:val="tx1"/>
            </w14:solidFill>
          </w14:textFill>
        </w:rPr>
      </w:pPr>
      <w:r>
        <w:rPr>
          <w:rFonts w:hint="eastAsia" w:ascii="仿宋_GB2312" w:eastAsia="仿宋_GB2312"/>
          <w:color w:val="000000" w:themeColor="text1"/>
          <w:szCs w:val="32"/>
          <w14:textFill>
            <w14:solidFill>
              <w14:schemeClr w14:val="tx1"/>
            </w14:solidFill>
          </w14:textFill>
        </w:rPr>
        <w:t>（1）本集体经济组织成员户；</w:t>
      </w:r>
    </w:p>
    <w:p>
      <w:pPr>
        <w:spacing w:line="576" w:lineRule="exact"/>
        <w:ind w:firstLine="632" w:firstLineChars="200"/>
        <w:rPr>
          <w:rFonts w:ascii="仿宋_GB2312" w:hAnsi="仿宋_GB2312" w:eastAsia="仿宋_GB2312" w:cs="仿宋_GB2312"/>
          <w:color w:val="000000" w:themeColor="text1"/>
          <w:szCs w:val="32"/>
          <w14:textFill>
            <w14:solidFill>
              <w14:schemeClr w14:val="tx1"/>
            </w14:solidFill>
          </w14:textFill>
        </w:rPr>
      </w:pPr>
      <w:r>
        <w:rPr>
          <w:rFonts w:hint="eastAsia" w:ascii="仿宋_GB2312" w:hAnsi="仿宋_GB2312" w:eastAsia="仿宋_GB2312" w:cs="仿宋_GB2312"/>
          <w:color w:val="000000" w:themeColor="text1"/>
          <w:szCs w:val="32"/>
          <w14:textFill>
            <w14:solidFill>
              <w14:schemeClr w14:val="tx1"/>
            </w14:solidFill>
          </w14:textFill>
        </w:rPr>
        <w:t>①本农村集体经济组织农业户籍成员；</w:t>
      </w:r>
    </w:p>
    <w:p>
      <w:pPr>
        <w:spacing w:line="576" w:lineRule="exact"/>
        <w:ind w:firstLine="632" w:firstLineChars="200"/>
        <w:rPr>
          <w:rFonts w:ascii="仿宋_GB2312" w:hAnsi="仿宋_GB2312" w:eastAsia="仿宋_GB2312" w:cs="仿宋_GB2312"/>
          <w:color w:val="000000" w:themeColor="text1"/>
          <w:szCs w:val="32"/>
          <w14:textFill>
            <w14:solidFill>
              <w14:schemeClr w14:val="tx1"/>
            </w14:solidFill>
          </w14:textFill>
        </w:rPr>
      </w:pPr>
      <w:r>
        <w:rPr>
          <w:rFonts w:hint="eastAsia" w:ascii="仿宋_GB2312" w:hAnsi="仿宋_GB2312" w:eastAsia="仿宋_GB2312" w:cs="仿宋_GB2312"/>
          <w:color w:val="000000" w:themeColor="text1"/>
          <w:szCs w:val="32"/>
          <w14:textFill>
            <w14:solidFill>
              <w14:schemeClr w14:val="tx1"/>
            </w14:solidFill>
          </w14:textFill>
        </w:rPr>
        <w:t>②确因家庭承包经营的土地被征用而转为非农业户口的本农村集体经济组织成员。</w:t>
      </w:r>
    </w:p>
    <w:p>
      <w:pPr>
        <w:spacing w:line="576" w:lineRule="exact"/>
        <w:ind w:firstLine="632" w:firstLineChars="200"/>
        <w:rPr>
          <w:rFonts w:ascii="仿宋_GB2312" w:eastAsia="仿宋_GB2312"/>
          <w:b/>
          <w:szCs w:val="32"/>
        </w:rPr>
      </w:pPr>
      <w:r>
        <w:rPr>
          <w:rFonts w:hint="eastAsia" w:ascii="仿宋_GB2312" w:eastAsia="仿宋_GB2312"/>
          <w:szCs w:val="32"/>
        </w:rPr>
        <w:t>（2）因子女结婚等原因确需分户，缺少宅基地的，由本人提出分户申请，村组初审，镇人民政府联合县科学技术和农业畜牧局、县自然资源局、县住房和城乡建设局出具审核意见，报县公安局审核通过后办理预分户手续。办理预分户手续后，再依照宅基地申报流程办理。</w:t>
      </w:r>
    </w:p>
    <w:p>
      <w:pPr>
        <w:spacing w:line="576" w:lineRule="exact"/>
        <w:ind w:firstLine="632" w:firstLineChars="200"/>
        <w:rPr>
          <w:rFonts w:ascii="仿宋_GB2312" w:eastAsia="仿宋_GB2312"/>
          <w:b/>
          <w:szCs w:val="32"/>
        </w:rPr>
      </w:pPr>
      <w:r>
        <w:rPr>
          <w:rFonts w:hint="eastAsia" w:ascii="仿宋_GB2312" w:eastAsia="仿宋_GB2312"/>
          <w:b/>
          <w:szCs w:val="32"/>
        </w:rPr>
        <w:t>2.存在以下情形之一的，不得新申请宅基地建设：</w:t>
      </w:r>
    </w:p>
    <w:p>
      <w:pPr>
        <w:spacing w:line="576" w:lineRule="exact"/>
        <w:ind w:firstLine="632" w:firstLineChars="200"/>
        <w:rPr>
          <w:rFonts w:ascii="仿宋_GB2312" w:eastAsia="仿宋_GB2312"/>
          <w:szCs w:val="32"/>
        </w:rPr>
      </w:pPr>
      <w:r>
        <w:rPr>
          <w:rFonts w:hint="eastAsia" w:ascii="仿宋_GB2312" w:eastAsia="仿宋_GB2312"/>
          <w:szCs w:val="32"/>
        </w:rPr>
        <w:t>（1）存在“一户多宅”情形的；</w:t>
      </w:r>
    </w:p>
    <w:p>
      <w:pPr>
        <w:spacing w:line="576" w:lineRule="exact"/>
        <w:ind w:firstLine="632" w:firstLineChars="200"/>
        <w:rPr>
          <w:rFonts w:ascii="仿宋_GB2312" w:eastAsia="仿宋_GB2312"/>
          <w:color w:val="FF0000"/>
          <w:szCs w:val="32"/>
        </w:rPr>
      </w:pPr>
      <w:r>
        <w:rPr>
          <w:rFonts w:hint="eastAsia" w:ascii="仿宋_GB2312" w:eastAsia="仿宋_GB2312"/>
          <w:szCs w:val="32"/>
        </w:rPr>
        <w:t>（2）将原有村集体土地上的住宅或者安置房出卖、转让、赠与后，再申请宅基地的；</w:t>
      </w:r>
    </w:p>
    <w:p>
      <w:pPr>
        <w:spacing w:line="576" w:lineRule="exact"/>
        <w:ind w:firstLine="632" w:firstLineChars="200"/>
        <w:rPr>
          <w:rFonts w:ascii="仿宋_GB2312" w:eastAsia="仿宋_GB2312"/>
          <w:szCs w:val="32"/>
        </w:rPr>
      </w:pPr>
      <w:r>
        <w:rPr>
          <w:rFonts w:hint="eastAsia" w:ascii="仿宋_GB2312" w:eastAsia="仿宋_GB2312"/>
          <w:szCs w:val="32"/>
        </w:rPr>
        <w:t>（3）违反“建新拆旧”政策，未将旧宅基地拆除复垦的；</w:t>
      </w:r>
    </w:p>
    <w:p>
      <w:pPr>
        <w:spacing w:line="576" w:lineRule="exact"/>
        <w:ind w:firstLine="632" w:firstLineChars="200"/>
        <w:rPr>
          <w:rFonts w:ascii="仿宋_GB2312" w:eastAsia="仿宋_GB2312"/>
          <w:szCs w:val="32"/>
        </w:rPr>
      </w:pPr>
      <w:r>
        <w:rPr>
          <w:rFonts w:hint="eastAsia" w:ascii="仿宋_GB2312" w:eastAsia="仿宋_GB2312"/>
          <w:szCs w:val="32"/>
        </w:rPr>
        <w:t>（4）丈夫与妻子之间，独生子女与父母之间以分户为由申请宅基地的;</w:t>
      </w:r>
    </w:p>
    <w:p>
      <w:pPr>
        <w:spacing w:line="576" w:lineRule="exact"/>
        <w:ind w:firstLine="632" w:firstLineChars="200"/>
        <w:rPr>
          <w:rFonts w:ascii="仿宋_GB2312" w:eastAsia="仿宋_GB2312"/>
          <w:szCs w:val="32"/>
        </w:rPr>
      </w:pPr>
      <w:r>
        <w:rPr>
          <w:rFonts w:hint="eastAsia" w:ascii="仿宋_GB2312" w:eastAsia="仿宋_GB2312"/>
          <w:szCs w:val="32"/>
        </w:rPr>
        <w:t>（5）存在买卖或者以其他形式非法转让土地、非法占用土地等各类违法用地行为的；</w:t>
      </w:r>
    </w:p>
    <w:p>
      <w:pPr>
        <w:spacing w:line="576" w:lineRule="exact"/>
        <w:ind w:firstLine="632" w:firstLineChars="200"/>
        <w:rPr>
          <w:rFonts w:ascii="仿宋_GB2312" w:eastAsia="仿宋_GB2312"/>
          <w:szCs w:val="32"/>
        </w:rPr>
      </w:pPr>
      <w:r>
        <w:rPr>
          <w:rFonts w:hint="eastAsia" w:ascii="仿宋_GB2312" w:eastAsia="仿宋_GB2312"/>
          <w:szCs w:val="32"/>
        </w:rPr>
        <w:t>（6）法律规定的其他情形。</w:t>
      </w:r>
    </w:p>
    <w:p>
      <w:pPr>
        <w:spacing w:line="576" w:lineRule="exact"/>
        <w:ind w:firstLine="632" w:firstLineChars="200"/>
        <w:rPr>
          <w:rFonts w:ascii="楷体_GB2312" w:eastAsia="楷体_GB2312"/>
          <w:b/>
          <w:szCs w:val="32"/>
        </w:rPr>
      </w:pPr>
      <w:r>
        <w:rPr>
          <w:rFonts w:hint="eastAsia" w:ascii="楷体_GB2312" w:eastAsia="楷体_GB2312"/>
          <w:b/>
          <w:szCs w:val="32"/>
        </w:rPr>
        <w:t>（二）面积标准</w:t>
      </w:r>
    </w:p>
    <w:p>
      <w:pPr>
        <w:spacing w:line="576" w:lineRule="exact"/>
        <w:ind w:firstLine="632" w:firstLineChars="200"/>
        <w:rPr>
          <w:rFonts w:ascii="仿宋_GB2312" w:eastAsia="仿宋_GB2312"/>
          <w:szCs w:val="32"/>
        </w:rPr>
      </w:pPr>
      <w:r>
        <w:rPr>
          <w:rFonts w:hint="eastAsia" w:ascii="仿宋_GB2312" w:eastAsia="仿宋_GB2312"/>
          <w:szCs w:val="32"/>
        </w:rPr>
        <w:t>为了</w:t>
      </w:r>
      <w:r>
        <w:rPr>
          <w:rFonts w:ascii="仿宋_GB2312" w:eastAsia="仿宋_GB2312"/>
          <w:szCs w:val="32"/>
        </w:rPr>
        <w:t>维护行政行为的一致性</w:t>
      </w:r>
      <w:r>
        <w:rPr>
          <w:rFonts w:hint="eastAsia" w:ascii="仿宋_GB2312" w:eastAsia="仿宋_GB2312"/>
          <w:szCs w:val="32"/>
        </w:rPr>
        <w:t>、</w:t>
      </w:r>
      <w:r>
        <w:rPr>
          <w:rFonts w:ascii="仿宋_GB2312" w:eastAsia="仿宋_GB2312"/>
          <w:szCs w:val="32"/>
        </w:rPr>
        <w:t>合理性，</w:t>
      </w:r>
      <w:r>
        <w:rPr>
          <w:rFonts w:hint="eastAsia" w:ascii="仿宋_GB2312" w:eastAsia="仿宋_GB2312"/>
          <w:szCs w:val="32"/>
        </w:rPr>
        <w:t>根据《中华人民共和国土地管理法》住宅用地面积规定：每人不得超过40平方米，5人及以下的户按5人计算，6人及以上的户按6人计算。凡在省、州最新标准出台前，自愿申请宅基地用地的，承诺按照每人40平方米审批，不享受新政策相关面积。</w:t>
      </w:r>
    </w:p>
    <w:p>
      <w:pPr>
        <w:spacing w:line="576" w:lineRule="exact"/>
        <w:ind w:firstLine="632" w:firstLineChars="200"/>
        <w:rPr>
          <w:rFonts w:ascii="楷体_GB2312" w:eastAsia="楷体_GB2312"/>
          <w:b/>
          <w:szCs w:val="32"/>
        </w:rPr>
      </w:pPr>
      <w:r>
        <w:rPr>
          <w:rFonts w:hint="eastAsia" w:ascii="楷体_GB2312" w:eastAsia="楷体_GB2312"/>
          <w:b/>
          <w:szCs w:val="32"/>
        </w:rPr>
        <w:t>（三）建筑限高、风貌及城市基础设施保证金</w:t>
      </w:r>
    </w:p>
    <w:p>
      <w:pPr>
        <w:spacing w:line="576" w:lineRule="exact"/>
        <w:ind w:firstLine="632" w:firstLineChars="200"/>
        <w:rPr>
          <w:rFonts w:ascii="楷体_GB2312" w:eastAsia="楷体_GB2312"/>
          <w:b/>
          <w:szCs w:val="32"/>
        </w:rPr>
      </w:pPr>
      <w:r>
        <w:rPr>
          <w:rFonts w:hint="eastAsia" w:ascii="仿宋_GB2312" w:eastAsia="仿宋_GB2312"/>
          <w:szCs w:val="32"/>
        </w:rPr>
        <w:t>新建宅基地建筑面积控制在500平方米以内，改、扩建宅基地必须拆除原有主体房屋及其所有附属设施后，再原址重建，在异地选址建设的，属新建范畴。</w:t>
      </w:r>
    </w:p>
    <w:p>
      <w:pPr>
        <w:spacing w:line="576" w:lineRule="exact"/>
        <w:ind w:firstLine="632" w:firstLineChars="200"/>
        <w:rPr>
          <w:rFonts w:ascii="楷体_GB2312" w:eastAsia="楷体_GB2312"/>
          <w:b/>
          <w:szCs w:val="32"/>
        </w:rPr>
      </w:pPr>
      <w:r>
        <w:rPr>
          <w:rFonts w:hint="eastAsia" w:ascii="仿宋_GB2312" w:eastAsia="仿宋_GB2312"/>
          <w:b/>
          <w:szCs w:val="32"/>
        </w:rPr>
        <w:t>1.农村建房建筑面积300平方米-500平方米的规定</w:t>
      </w:r>
    </w:p>
    <w:p>
      <w:pPr>
        <w:spacing w:line="576" w:lineRule="exact"/>
        <w:ind w:firstLine="632" w:firstLineChars="200"/>
        <w:rPr>
          <w:rFonts w:ascii="楷体_GB2312" w:eastAsia="楷体_GB2312"/>
          <w:b/>
          <w:szCs w:val="32"/>
        </w:rPr>
      </w:pPr>
      <w:r>
        <w:rPr>
          <w:rFonts w:hint="eastAsia" w:ascii="仿宋_GB2312" w:eastAsia="仿宋_GB2312"/>
          <w:szCs w:val="32"/>
        </w:rPr>
        <w:t>根据《四川省农村住房建设管理办法》第十八条规定，村民新建、改建住宅达到下列条件之一的，应当委托建筑施工企业、劳务分包企业承担施工，并向属地镇人民政府申报，纳入工程质量监督：① 3层及以上的;② 建筑面积300平方米及以上的;③ 6米跨度及以上的。</w:t>
      </w:r>
    </w:p>
    <w:p>
      <w:pPr>
        <w:spacing w:line="576" w:lineRule="exact"/>
        <w:ind w:firstLine="632" w:firstLineChars="200"/>
        <w:rPr>
          <w:rFonts w:ascii="楷体_GB2312" w:eastAsia="楷体_GB2312"/>
          <w:b/>
          <w:szCs w:val="32"/>
        </w:rPr>
      </w:pPr>
      <w:r>
        <w:rPr>
          <w:rFonts w:hint="eastAsia" w:ascii="仿宋_GB2312" w:eastAsia="仿宋_GB2312"/>
          <w:b/>
          <w:szCs w:val="32"/>
        </w:rPr>
        <w:t>（1）质量安全管理</w:t>
      </w:r>
    </w:p>
    <w:p>
      <w:pPr>
        <w:spacing w:line="576" w:lineRule="exact"/>
        <w:ind w:firstLine="632" w:firstLineChars="200"/>
        <w:rPr>
          <w:rFonts w:ascii="楷体_GB2312" w:eastAsia="楷体_GB2312"/>
          <w:b/>
          <w:szCs w:val="32"/>
        </w:rPr>
      </w:pPr>
      <w:r>
        <w:rPr>
          <w:rFonts w:hint="eastAsia" w:ascii="仿宋_GB2312" w:eastAsia="仿宋_GB2312"/>
          <w:szCs w:val="32"/>
        </w:rPr>
        <w:t>①农村住房建设应当选择经过建筑技能培训、满足技能要求的农村建筑施工人员或者有资质的建筑施工企业施工，农村建筑施工人员个人不得承揽3层及以上、建筑面积300平方米及以上或者跨度6米及以上的农村住房建设。受村民委托的农村建筑施工人员或者施工企业应当按图施工，落实抗震设防措施，形成施工记录，作为竣工验收的主要依据，对承担的农村住房建设施工作业安全与质量安全负责。</w:t>
      </w:r>
    </w:p>
    <w:p>
      <w:pPr>
        <w:spacing w:line="576" w:lineRule="exact"/>
        <w:ind w:firstLine="632" w:firstLineChars="200"/>
        <w:rPr>
          <w:rFonts w:ascii="楷体_GB2312" w:eastAsia="楷体_GB2312"/>
          <w:b/>
          <w:szCs w:val="32"/>
        </w:rPr>
      </w:pPr>
      <w:r>
        <w:rPr>
          <w:rFonts w:hint="eastAsia" w:ascii="仿宋_GB2312" w:eastAsia="仿宋_GB2312"/>
          <w:szCs w:val="32"/>
        </w:rPr>
        <w:t>②属地镇人民政府和村民委员会应当指导、监督建房村民与承揽人签订施工合同，明确质量安全责任、质量保证期限和双方权利义务。建房村民与承揽人应当在施工合同中约定并明确农村住房竣工验收后的保修期限和责任。承揽人为施工单位的，应当执行国家住宅建筑保修期限的相关规定。各镇人民政府应当组织技术服务机构或者专业技术人员、对农村住房建设的地基基础、主体结构、屋面等重要部位实行全程监督检查，形成检查记录。各镇人民政府负责农村住房建设施工安全监督管理，村民委员会负责巡查现场施工安全管理。建房村民与承揽人应当签订施工安全责任书。农村住房建设施工合同应当约定承揽人负责购买施工作业人员建筑意外伤害保险。</w:t>
      </w:r>
    </w:p>
    <w:p>
      <w:pPr>
        <w:spacing w:line="576" w:lineRule="exact"/>
        <w:ind w:firstLine="632" w:firstLineChars="200"/>
        <w:rPr>
          <w:rFonts w:ascii="楷体_GB2312" w:eastAsia="楷体_GB2312"/>
          <w:b/>
          <w:szCs w:val="32"/>
        </w:rPr>
      </w:pPr>
      <w:r>
        <w:rPr>
          <w:rFonts w:hint="eastAsia" w:ascii="仿宋_GB2312" w:eastAsia="仿宋_GB2312"/>
          <w:b/>
          <w:szCs w:val="32"/>
        </w:rPr>
        <w:t>（2）竣工验收</w:t>
      </w:r>
    </w:p>
    <w:p>
      <w:pPr>
        <w:spacing w:line="576" w:lineRule="exact"/>
        <w:ind w:firstLine="632" w:firstLineChars="200"/>
        <w:rPr>
          <w:rFonts w:ascii="楷体_GB2312" w:eastAsia="楷体_GB2312"/>
          <w:b/>
          <w:szCs w:val="32"/>
        </w:rPr>
      </w:pPr>
      <w:r>
        <w:rPr>
          <w:rFonts w:hint="eastAsia" w:ascii="仿宋_GB2312" w:eastAsia="仿宋_GB2312"/>
          <w:szCs w:val="32"/>
        </w:rPr>
        <w:t>农房竣工验收由建房户向属地镇人民政府申请，属地镇人民政府组织专业技术人员、村委会、承揽人、勘察设计单位、建房人共同参与竣工验收，现场填写竣工验收报告，农房经验收合格后，方可投入使用。农房建设的竣工质量验收应当根据施工合同、施工图和相关技术标准的要求，在查阅施工记录、检查记录的基础上，对农房的实体质量进行验查，形成验收结论。农村建筑施工人员或者施工单位应当提供施工记录等相关资料，并对资料的真实性负责。</w:t>
      </w:r>
    </w:p>
    <w:p>
      <w:pPr>
        <w:spacing w:line="576" w:lineRule="exact"/>
        <w:rPr>
          <w:rFonts w:ascii="仿宋_GB2312" w:eastAsia="仿宋_GB2312"/>
          <w:b/>
          <w:szCs w:val="32"/>
        </w:rPr>
      </w:pPr>
      <w:r>
        <w:rPr>
          <w:rFonts w:hint="eastAsia" w:ascii="仿宋_GB2312" w:eastAsia="仿宋_GB2312"/>
          <w:szCs w:val="32"/>
        </w:rPr>
        <w:t xml:space="preserve">    </w:t>
      </w:r>
      <w:r>
        <w:rPr>
          <w:rFonts w:hint="eastAsia" w:ascii="仿宋_GB2312" w:eastAsia="仿宋_GB2312"/>
          <w:b/>
          <w:szCs w:val="32"/>
        </w:rPr>
        <w:t xml:space="preserve"> 2.农村建房建筑面积500平方米以上的规定</w:t>
      </w:r>
    </w:p>
    <w:p>
      <w:pPr>
        <w:spacing w:line="576" w:lineRule="exact"/>
        <w:ind w:firstLine="632" w:firstLineChars="200"/>
        <w:rPr>
          <w:rFonts w:ascii="仿宋_GB2312" w:eastAsia="仿宋_GB2312"/>
          <w:szCs w:val="32"/>
        </w:rPr>
      </w:pPr>
      <w:r>
        <w:rPr>
          <w:rFonts w:hint="eastAsia" w:ascii="仿宋" w:hAnsi="仿宋" w:eastAsia="仿宋" w:cs="仿宋"/>
          <w:szCs w:val="32"/>
        </w:rPr>
        <w:t>按照《建筑工程施工许可管理办法》规定</w:t>
      </w:r>
      <w:r>
        <w:rPr>
          <w:rFonts w:ascii="仿宋" w:hAnsi="仿宋" w:eastAsia="仿宋" w:cs="仿宋"/>
          <w:szCs w:val="32"/>
        </w:rPr>
        <w:t>，</w:t>
      </w:r>
      <w:r>
        <w:rPr>
          <w:rFonts w:hint="eastAsia" w:ascii="仿宋" w:hAnsi="仿宋" w:eastAsia="仿宋" w:cs="仿宋"/>
          <w:szCs w:val="32"/>
        </w:rPr>
        <w:t>在中华人民共和国境内从事各类房屋建筑及其附属设施的建造、装修装饰和与其配套的线路、管道、设备的安装，以及城镇市政基础设施工程的施工，建设单位在开工前应当依照本办法的规定，向工程所在地的县级以上地方人民政府住房城乡建设主管部门(以下简称发证机关)申请领取施工许可证。根据《四川省住房和城乡建设厅关于转发〈住房和城乡建设部办公厅关于四川省调整房屋建筑和市政基础设施工程施工许可证办理限额意见的函〉的通知》（川建函〔2021〕271号），自2021年4月1日起，全省行政区域内工程投资额在100万元以下（含100万元）或者建筑面积在500平方米以下（含500平方米）的房屋建筑和市政基础设施工程（以下称限额以下小型工程），可以不申请办理施工许可证。</w:t>
      </w:r>
      <w:r>
        <w:rPr>
          <w:rFonts w:hint="eastAsia" w:ascii="仿宋_GB2312" w:eastAsia="仿宋_GB2312"/>
          <w:szCs w:val="32"/>
        </w:rPr>
        <w:t>新建、改建住宅工程投资额在100万元以上或者建筑面积在500平方米以上的，应当按规定向属地镇申请办理《乡村规划许可证》、向县住建局申请办理《施工许可证》。由县住建局纳入房屋建筑工程质量监督管理，由属地镇人民政府组织业主及相关部门进行竣工验收。</w:t>
      </w:r>
    </w:p>
    <w:p>
      <w:pPr>
        <w:spacing w:line="576" w:lineRule="exact"/>
        <w:ind w:firstLine="632" w:firstLineChars="200"/>
        <w:rPr>
          <w:rFonts w:ascii="仿宋_GB2312" w:eastAsia="仿宋_GB2312"/>
          <w:szCs w:val="32"/>
        </w:rPr>
      </w:pPr>
      <w:r>
        <w:rPr>
          <w:rFonts w:hint="eastAsia" w:ascii="仿宋_GB2312" w:eastAsia="仿宋_GB2312"/>
          <w:szCs w:val="32"/>
        </w:rPr>
        <w:t>位于中心城区主干道、次干道临街地段申请改、扩建及新建的，其建筑设计方案需经县国土空间规划管理专家委会审查合格后，报县国土空间规划委员会备案。建筑风貌按城北片区风貌或《阿坝州脱贫攻坚农房设计图集》规划指导要求执行。根据《茂县人民政府关于同意移交项目建设城市配套用等收费工作的批复》（茂府函〔20</w:t>
      </w:r>
      <w:r>
        <w:rPr>
          <w:rFonts w:ascii="仿宋_GB2312" w:eastAsia="仿宋_GB2312"/>
          <w:szCs w:val="32"/>
        </w:rPr>
        <w:t>2</w:t>
      </w:r>
      <w:r>
        <w:rPr>
          <w:rFonts w:hint="eastAsia" w:ascii="仿宋_GB2312" w:eastAsia="仿宋_GB2312"/>
          <w:szCs w:val="32"/>
        </w:rPr>
        <w:t>2〕24号）要求，由茂县住房和城乡建设局收取房屋城市基础设施配套费，缴费标准为10元/平方米，申请人在房屋动工前自行缴纳城市基础设施配套费，并签署承诺修建时自行将管网接入市政管网后，方可按程序办理审批手续。</w:t>
      </w:r>
    </w:p>
    <w:p>
      <w:pPr>
        <w:spacing w:line="576" w:lineRule="exact"/>
        <w:ind w:firstLine="632" w:firstLineChars="200"/>
        <w:rPr>
          <w:rFonts w:ascii="仿宋_GB2312" w:eastAsia="仿宋_GB2312"/>
          <w:szCs w:val="32"/>
        </w:rPr>
      </w:pPr>
      <w:r>
        <w:rPr>
          <w:rFonts w:hint="eastAsia" w:ascii="仿宋_GB2312" w:eastAsia="仿宋_GB2312"/>
          <w:szCs w:val="32"/>
        </w:rPr>
        <w:t>申请建筑面积500平方米以上的拆旧翻新需具备:①需在政府一体化平台上申请办理《乡村规划许可证》。②村民持户口证明、建房申请、村委会意见、房屋设计施工图以及效果图、地勘报告、图审报告、宗地测绘图、经相邻利害关系人签字确认的四至界限图（权籍调查报告）、自然资源局颁发的原宅基地登记证明等材料向审批监管机构提出申请。③需征求相邻利害关系人意见（包括消防间距、采光）。</w:t>
      </w:r>
    </w:p>
    <w:p>
      <w:pPr>
        <w:spacing w:line="576" w:lineRule="exact"/>
        <w:ind w:firstLine="632" w:firstLineChars="200"/>
        <w:rPr>
          <w:rFonts w:ascii="仿宋_GB2312" w:eastAsia="仿宋_GB2312"/>
          <w:b/>
          <w:szCs w:val="32"/>
        </w:rPr>
      </w:pPr>
      <w:r>
        <w:rPr>
          <w:rFonts w:hint="eastAsia" w:ascii="仿宋_GB2312" w:eastAsia="仿宋_GB2312"/>
          <w:b/>
          <w:szCs w:val="32"/>
        </w:rPr>
        <w:t>3.风貌及城市基础设施保证金</w:t>
      </w:r>
    </w:p>
    <w:p>
      <w:pPr>
        <w:ind w:firstLine="632" w:firstLineChars="200"/>
        <w:rPr>
          <w:rFonts w:ascii="仿宋_GB2312" w:eastAsia="仿宋_GB2312"/>
          <w:szCs w:val="32"/>
        </w:rPr>
      </w:pPr>
      <w:r>
        <w:rPr>
          <w:rFonts w:hint="eastAsia" w:ascii="仿宋_GB2312" w:eastAsia="仿宋_GB2312"/>
          <w:szCs w:val="32"/>
        </w:rPr>
        <w:t>建筑层高规定</w:t>
      </w:r>
      <w:r>
        <w:rPr>
          <w:rFonts w:hint="eastAsia" w:ascii="仿宋_GB2312" w:eastAsia="仿宋_GB2312"/>
          <w:color w:val="000000" w:themeColor="text1"/>
          <w:szCs w:val="32"/>
          <w14:textFill>
            <w14:solidFill>
              <w14:schemeClr w14:val="tx1"/>
            </w14:solidFill>
          </w14:textFill>
        </w:rPr>
        <w:t>：不超过4层，且总高不超过16米（屋面面层到室外地坪的高度。屋顶上的水箱间、电梯机房、排烟机房和楼梯出口小间等不计入建筑高度。），</w:t>
      </w:r>
      <w:r>
        <w:rPr>
          <w:rFonts w:hint="eastAsia" w:ascii="仿宋_GB2312" w:eastAsia="仿宋_GB2312"/>
          <w:szCs w:val="32"/>
        </w:rPr>
        <w:t>确因人均建筑面积未达到35平方米等特殊情况的，可适当放宽，但需满足茂县控制性详规及消防设计硬性要求。</w:t>
      </w:r>
    </w:p>
    <w:p>
      <w:pPr>
        <w:spacing w:line="576" w:lineRule="exact"/>
        <w:ind w:firstLine="632" w:firstLineChars="200"/>
        <w:rPr>
          <w:rFonts w:ascii="仿宋_GB2312" w:eastAsia="仿宋_GB2312"/>
          <w:b/>
          <w:szCs w:val="32"/>
        </w:rPr>
      </w:pPr>
      <w:r>
        <w:rPr>
          <w:rFonts w:hint="eastAsia" w:ascii="仿宋_GB2312" w:eastAsia="仿宋_GB2312"/>
          <w:szCs w:val="32"/>
        </w:rPr>
        <w:t>①自建房外风貌保证金：建筑面积×0.7（系数）×103元（外墙普通漆82元+外脚手架21元）。</w:t>
      </w:r>
    </w:p>
    <w:p>
      <w:pPr>
        <w:spacing w:line="576" w:lineRule="exact"/>
        <w:ind w:firstLine="632" w:firstLineChars="200"/>
        <w:rPr>
          <w:rFonts w:ascii="仿宋_GB2312" w:eastAsia="仿宋_GB2312"/>
          <w:b/>
          <w:szCs w:val="32"/>
        </w:rPr>
      </w:pPr>
      <w:r>
        <w:rPr>
          <w:rFonts w:hint="eastAsia" w:ascii="仿宋_GB2312" w:eastAsia="仿宋_GB2312"/>
          <w:szCs w:val="32"/>
        </w:rPr>
        <w:t>②污水处理保证金：2万元。</w:t>
      </w:r>
    </w:p>
    <w:p>
      <w:pPr>
        <w:spacing w:line="576" w:lineRule="exact"/>
        <w:ind w:firstLine="632" w:firstLineChars="200"/>
        <w:rPr>
          <w:rFonts w:ascii="仿宋_GB2312" w:eastAsia="仿宋_GB2312"/>
          <w:b/>
          <w:szCs w:val="32"/>
        </w:rPr>
      </w:pPr>
      <w:r>
        <w:rPr>
          <w:rFonts w:hint="eastAsia" w:ascii="仿宋_GB2312" w:eastAsia="仿宋_GB2312"/>
          <w:szCs w:val="32"/>
        </w:rPr>
        <w:t>③建渣清运保证金：5000元。</w:t>
      </w:r>
    </w:p>
    <w:p>
      <w:pPr>
        <w:ind w:firstLine="632" w:firstLineChars="200"/>
        <w:rPr>
          <w:rFonts w:ascii="仿宋_GB2312" w:eastAsia="仿宋_GB2312"/>
          <w:szCs w:val="32"/>
        </w:rPr>
      </w:pPr>
      <w:r>
        <w:rPr>
          <w:rFonts w:hint="eastAsia" w:ascii="仿宋_GB2312" w:eastAsia="仿宋_GB2312"/>
          <w:szCs w:val="32"/>
        </w:rPr>
        <w:t>风貌保证金，污水处理保证金和建渣清运保证金费用由村两委收取、</w:t>
      </w:r>
      <w:r>
        <w:rPr>
          <w:rFonts w:ascii="仿宋_GB2312" w:eastAsia="仿宋_GB2312"/>
          <w:szCs w:val="32"/>
        </w:rPr>
        <w:t>监管、退还</w:t>
      </w:r>
      <w:r>
        <w:rPr>
          <w:rFonts w:hint="eastAsia" w:ascii="仿宋_GB2312" w:eastAsia="仿宋_GB2312"/>
          <w:szCs w:val="32"/>
        </w:rPr>
        <w:t>（退还</w:t>
      </w:r>
      <w:r>
        <w:rPr>
          <w:rFonts w:ascii="仿宋_GB2312" w:eastAsia="仿宋_GB2312"/>
          <w:szCs w:val="32"/>
        </w:rPr>
        <w:t>需具备竣工测绘报告</w:t>
      </w:r>
      <w:r>
        <w:rPr>
          <w:rFonts w:hint="eastAsia" w:ascii="仿宋_GB2312" w:eastAsia="仿宋_GB2312"/>
          <w:szCs w:val="32"/>
        </w:rPr>
        <w:t>、</w:t>
      </w:r>
      <w:r>
        <w:rPr>
          <w:rFonts w:ascii="仿宋_GB2312" w:eastAsia="仿宋_GB2312"/>
          <w:szCs w:val="32"/>
        </w:rPr>
        <w:t>农房审批</w:t>
      </w:r>
      <w:r>
        <w:rPr>
          <w:rFonts w:hint="eastAsia" w:ascii="仿宋_GB2312" w:eastAsia="仿宋_GB2312"/>
          <w:szCs w:val="32"/>
        </w:rPr>
        <w:t>成员</w:t>
      </w:r>
      <w:r>
        <w:rPr>
          <w:rFonts w:ascii="仿宋_GB2312" w:eastAsia="仿宋_GB2312"/>
          <w:szCs w:val="32"/>
        </w:rPr>
        <w:t>单位验收意见</w:t>
      </w:r>
      <w:r>
        <w:rPr>
          <w:rFonts w:hint="eastAsia" w:ascii="仿宋_GB2312" w:eastAsia="仿宋_GB2312"/>
          <w:szCs w:val="32"/>
        </w:rPr>
        <w:t>，在10个</w:t>
      </w:r>
      <w:r>
        <w:rPr>
          <w:rFonts w:ascii="仿宋_GB2312" w:eastAsia="仿宋_GB2312"/>
          <w:szCs w:val="32"/>
        </w:rPr>
        <w:t>工作日内退还</w:t>
      </w:r>
      <w:r>
        <w:rPr>
          <w:rFonts w:hint="eastAsia" w:ascii="仿宋_GB2312" w:eastAsia="仿宋_GB2312"/>
          <w:szCs w:val="32"/>
        </w:rPr>
        <w:t>），并在提交资料时附相关收据。景区内自建房风貌保证金按现有规定执行。</w:t>
      </w:r>
    </w:p>
    <w:p>
      <w:pPr>
        <w:ind w:firstLine="632" w:firstLineChars="200"/>
        <w:rPr>
          <w:rFonts w:ascii="楷体_GB2312" w:eastAsia="楷体_GB2312"/>
          <w:b/>
          <w:szCs w:val="32"/>
        </w:rPr>
      </w:pPr>
      <w:r>
        <w:rPr>
          <w:rFonts w:hint="eastAsia" w:ascii="楷体_GB2312" w:eastAsia="楷体_GB2312"/>
          <w:b/>
          <w:szCs w:val="32"/>
        </w:rPr>
        <w:t>（四）申报流程</w:t>
      </w:r>
    </w:p>
    <w:p>
      <w:pPr>
        <w:spacing w:line="576" w:lineRule="exact"/>
        <w:ind w:firstLine="632" w:firstLineChars="200"/>
        <w:rPr>
          <w:rFonts w:ascii="楷体_GB2312" w:eastAsia="楷体_GB2312"/>
          <w:b/>
          <w:szCs w:val="32"/>
        </w:rPr>
      </w:pPr>
      <w:r>
        <w:rPr>
          <w:rFonts w:hint="eastAsia" w:ascii="仿宋_GB2312" w:eastAsia="仿宋_GB2312"/>
          <w:b/>
          <w:szCs w:val="32"/>
        </w:rPr>
        <w:t>1.</w:t>
      </w:r>
      <w:r>
        <w:rPr>
          <w:rFonts w:hint="eastAsia" w:ascii="仿宋_GB2312" w:eastAsia="仿宋_GB2312"/>
          <w:szCs w:val="32"/>
        </w:rPr>
        <w:t>符合宅基地申请条件的农户，以户为单位向所在村民小组提出申请，提交农村宅基地和建房（规划许可）申请表和农村宅基地使用承诺书。</w:t>
      </w:r>
    </w:p>
    <w:p>
      <w:pPr>
        <w:spacing w:line="576" w:lineRule="exact"/>
        <w:ind w:firstLine="632" w:firstLineChars="200"/>
        <w:rPr>
          <w:rFonts w:ascii="楷体_GB2312" w:eastAsia="楷体_GB2312"/>
          <w:b/>
          <w:szCs w:val="32"/>
        </w:rPr>
      </w:pPr>
      <w:r>
        <w:rPr>
          <w:rFonts w:hint="eastAsia" w:ascii="仿宋_GB2312" w:eastAsia="仿宋_GB2312"/>
          <w:b/>
          <w:szCs w:val="32"/>
        </w:rPr>
        <w:t>2.</w:t>
      </w:r>
      <w:r>
        <w:rPr>
          <w:rFonts w:hint="eastAsia" w:ascii="仿宋_GB2312" w:eastAsia="仿宋_GB2312"/>
          <w:szCs w:val="32"/>
        </w:rPr>
        <w:t>村民小组收到申请后，提交村民小组会议讨论，无异议或异议不成立的，由村民小组签署意见，将农户申请、村民小组会议记录等材料交村集体经济组织或村民委员会审查。</w:t>
      </w:r>
    </w:p>
    <w:p>
      <w:pPr>
        <w:spacing w:line="576" w:lineRule="exact"/>
        <w:ind w:firstLine="632" w:firstLineChars="200"/>
        <w:rPr>
          <w:rFonts w:ascii="楷体_GB2312" w:eastAsia="楷体_GB2312"/>
          <w:b/>
          <w:szCs w:val="32"/>
        </w:rPr>
      </w:pPr>
      <w:r>
        <w:rPr>
          <w:rFonts w:hint="eastAsia" w:ascii="仿宋_GB2312" w:eastAsia="仿宋_GB2312"/>
          <w:b/>
          <w:szCs w:val="32"/>
        </w:rPr>
        <w:t>3.</w:t>
      </w:r>
      <w:r>
        <w:rPr>
          <w:rFonts w:hint="eastAsia" w:ascii="仿宋_GB2312" w:eastAsia="仿宋_GB2312"/>
          <w:szCs w:val="32"/>
        </w:rPr>
        <w:t>村民委员会收到材料后负责进行审查公示。重点审查提交的材料是否真实有效、拟用地建房是否符合村庄规划、是否征求了用地建房相邻权利人意见、户籍信息是否在当地派出所审核等并将相关材料进行公示，公示时间不少于10天。审查公示通过的，由村两委签署意见，报送镇人民政府。 </w:t>
      </w:r>
    </w:p>
    <w:p>
      <w:pPr>
        <w:spacing w:line="576" w:lineRule="exact"/>
        <w:ind w:firstLine="632" w:firstLineChars="200"/>
        <w:rPr>
          <w:rFonts w:ascii="楷体_GB2312" w:eastAsia="楷体_GB2312"/>
          <w:b/>
          <w:szCs w:val="32"/>
        </w:rPr>
      </w:pPr>
      <w:r>
        <w:rPr>
          <w:rFonts w:hint="eastAsia" w:ascii="仿宋_GB2312" w:eastAsia="仿宋_GB2312"/>
          <w:b/>
          <w:szCs w:val="32"/>
        </w:rPr>
        <w:t>4.</w:t>
      </w:r>
      <w:r>
        <w:rPr>
          <w:rFonts w:hint="eastAsia" w:ascii="仿宋_GB2312" w:eastAsia="仿宋_GB2312"/>
          <w:szCs w:val="32"/>
        </w:rPr>
        <w:t>收到由集体经济组织签署意见的农村宅基地和建房（规划许可）申请表后，镇人民政府要及时组织县科学技术和农业畜牧局、县自然资源局、县住房和城乡建设局、县综合行政执法局、县林草局、县交通运输局、县水务局等单位现场勘查、审核材料。审查申请人是否符合条件、拟用地是否符合规划和其他要求。（位于景区内的村民建房：在符合用地和规划等要求的前提条件下，还需由景区管理机构审核，并参与验收）。</w:t>
      </w:r>
    </w:p>
    <w:p>
      <w:pPr>
        <w:spacing w:line="576" w:lineRule="exact"/>
        <w:ind w:firstLine="632" w:firstLineChars="200"/>
        <w:rPr>
          <w:rFonts w:ascii="楷体_GB2312" w:eastAsia="楷体_GB2312"/>
          <w:b/>
          <w:szCs w:val="32"/>
        </w:rPr>
      </w:pPr>
      <w:r>
        <w:rPr>
          <w:rFonts w:hint="eastAsia" w:ascii="仿宋_GB2312" w:eastAsia="仿宋_GB2312"/>
          <w:b/>
          <w:szCs w:val="32"/>
        </w:rPr>
        <w:t>5.</w:t>
      </w:r>
      <w:r>
        <w:rPr>
          <w:rFonts w:hint="eastAsia" w:ascii="仿宋_GB2312" w:eastAsia="仿宋_GB2312"/>
          <w:szCs w:val="32"/>
        </w:rPr>
        <w:t>根据各部门联审结果，同时在具备农房建设承建人的施工承诺书的条件下，由镇人民政府对农民宅基地申请进行审批，核发《乡村建设规划许可证》并出具《农村宅基地批准书》，镇人民政府要建立宅基地用地建房审批管理台账，有关资料归档留存，并及时将审批情况报县科学技术和农业畜牧局、县自然资源局、县住房和城乡建设局、县综合行政执法局备案。 </w:t>
      </w:r>
    </w:p>
    <w:p>
      <w:pPr>
        <w:spacing w:line="576" w:lineRule="exact"/>
        <w:ind w:firstLine="632" w:firstLineChars="200"/>
        <w:rPr>
          <w:rFonts w:ascii="楷体_GB2312" w:eastAsia="楷体_GB2312"/>
          <w:b/>
          <w:szCs w:val="32"/>
        </w:rPr>
      </w:pPr>
      <w:r>
        <w:rPr>
          <w:rFonts w:hint="eastAsia" w:ascii="楷体_GB2312" w:eastAsia="楷体_GB2312"/>
          <w:b/>
          <w:szCs w:val="32"/>
        </w:rPr>
        <w:t>（五）竣工验收</w:t>
      </w:r>
    </w:p>
    <w:p>
      <w:pPr>
        <w:spacing w:line="576" w:lineRule="exact"/>
        <w:ind w:firstLine="632" w:firstLineChars="200"/>
        <w:rPr>
          <w:rFonts w:ascii="楷体_GB2312" w:eastAsia="楷体_GB2312"/>
          <w:b/>
          <w:szCs w:val="32"/>
        </w:rPr>
      </w:pPr>
      <w:r>
        <w:rPr>
          <w:rFonts w:hint="eastAsia" w:ascii="仿宋_GB2312" w:eastAsia="仿宋_GB2312"/>
          <w:b/>
          <w:szCs w:val="32"/>
        </w:rPr>
        <w:t>1.</w:t>
      </w:r>
      <w:r>
        <w:rPr>
          <w:rFonts w:hint="eastAsia" w:ascii="仿宋_GB2312" w:eastAsia="仿宋_GB2312"/>
          <w:szCs w:val="32"/>
        </w:rPr>
        <w:t>经批准用地建房的农户，应当在开工前向镇人民政府申请划定宅基地用地范围以及规划后退红线，镇人民政府及时组织县科学技术和农业畜牧局、县自然资源局、县综合行政执法局到现场进行开工查验，实地放线丈量批放宅基地，确定建房位置。在农户建房过程中做到“三到场”，即：审查、放样（放线、复线）、验收到场。</w:t>
      </w:r>
    </w:p>
    <w:p>
      <w:pPr>
        <w:spacing w:line="576" w:lineRule="exact"/>
        <w:ind w:firstLine="632" w:firstLineChars="200"/>
        <w:rPr>
          <w:rFonts w:ascii="楷体_GB2312" w:eastAsia="楷体_GB2312"/>
          <w:b/>
          <w:szCs w:val="32"/>
        </w:rPr>
      </w:pPr>
      <w:r>
        <w:rPr>
          <w:rFonts w:hint="eastAsia" w:ascii="仿宋_GB2312" w:eastAsia="仿宋_GB2312"/>
          <w:b/>
          <w:szCs w:val="32"/>
        </w:rPr>
        <w:t>2.</w:t>
      </w:r>
      <w:r>
        <w:rPr>
          <w:rFonts w:hint="eastAsia" w:ascii="仿宋_GB2312" w:eastAsia="仿宋_GB2312"/>
          <w:szCs w:val="32"/>
        </w:rPr>
        <w:t>农户建房完工后，镇人民政府组织相关部门进行验收，实地检查农户是否按照批准面积、四至等要求使用宅基地，是否按照批准面积和规划要求建设住房，并出具《农村宅基地和建房（规划许可）验收意见表》。</w:t>
      </w:r>
    </w:p>
    <w:p>
      <w:pPr>
        <w:spacing w:line="576" w:lineRule="exact"/>
        <w:ind w:firstLine="632" w:firstLineChars="200"/>
        <w:rPr>
          <w:rFonts w:ascii="楷体_GB2312" w:eastAsia="楷体_GB2312"/>
          <w:b/>
          <w:szCs w:val="32"/>
        </w:rPr>
      </w:pPr>
      <w:r>
        <w:rPr>
          <w:rFonts w:hint="eastAsia" w:ascii="仿宋_GB2312" w:eastAsia="仿宋_GB2312"/>
          <w:szCs w:val="32"/>
        </w:rPr>
        <w:t>通过验收的农户，可以向不动产登记部门申请办理不动产登记。</w:t>
      </w:r>
    </w:p>
    <w:p>
      <w:pPr>
        <w:spacing w:line="576" w:lineRule="exact"/>
        <w:ind w:firstLine="632" w:firstLineChars="200"/>
        <w:rPr>
          <w:rFonts w:ascii="黑体" w:hAnsi="黑体" w:eastAsia="黑体"/>
          <w:b/>
          <w:szCs w:val="32"/>
        </w:rPr>
      </w:pPr>
      <w:r>
        <w:rPr>
          <w:rFonts w:hint="eastAsia" w:ascii="黑体" w:hAnsi="黑体" w:eastAsia="黑体"/>
          <w:szCs w:val="32"/>
        </w:rPr>
        <w:t>五、施工许可证办理</w:t>
      </w:r>
    </w:p>
    <w:p>
      <w:pPr>
        <w:spacing w:line="576" w:lineRule="exact"/>
        <w:ind w:firstLine="632" w:firstLineChars="200"/>
        <w:rPr>
          <w:rFonts w:ascii="黑体" w:hAnsi="黑体" w:eastAsia="黑体"/>
          <w:b/>
          <w:szCs w:val="32"/>
        </w:rPr>
      </w:pPr>
      <w:r>
        <w:rPr>
          <w:rFonts w:hint="eastAsia" w:ascii="仿宋_GB2312" w:eastAsia="仿宋_GB2312"/>
          <w:szCs w:val="32"/>
        </w:rPr>
        <w:t>根据《四川省住房和城乡建设厅关于转发〈住房和城乡建设部办公厅关于四川省调整房屋建筑和市政基础设施工程施工许可证办理限额意见的函〉的通知》（川建函〔2021〕271号）文件要求，工程投资额在100万元以下（含100万元）或者建筑面积在500平方米以下的（含500平方米）的房屋建筑和市政基础设施工程（以下称限额以下小型工程），可以不申请办理施工许可证。</w:t>
      </w:r>
    </w:p>
    <w:p>
      <w:pPr>
        <w:spacing w:line="576" w:lineRule="exact"/>
        <w:ind w:firstLine="632" w:firstLineChars="200"/>
        <w:rPr>
          <w:rFonts w:ascii="黑体" w:hAnsi="黑体" w:eastAsia="黑体"/>
          <w:b/>
          <w:szCs w:val="32"/>
        </w:rPr>
      </w:pPr>
      <w:r>
        <w:rPr>
          <w:rFonts w:hint="eastAsia" w:ascii="仿宋_GB2312" w:eastAsia="仿宋_GB2312"/>
          <w:szCs w:val="32"/>
        </w:rPr>
        <w:t>施工许可证办理流程（见附件）：报建（由业主办理，办理单位为县住建局建设管理股）→施工企业备案（由施工单位办理，办理单位为县住建局建设管理股）→监理企业备案（投资额在200万元以上的应当聘请监理企业进行监督工作，由监理单位办理，办理单位为县住建局质量安全监督站）→质量、安全监督备案（由业主办理，办理单位为县住建局质量安全监督站）→施工许可证办理（由业主办理，办理单位为县住建局建设管理股）。施工图审查、乡村规划许可证、质量和安全监督备案、施工许可证办理需在四川政务服务网（四川一体化政务平台）上办理。</w:t>
      </w:r>
    </w:p>
    <w:p>
      <w:pPr>
        <w:spacing w:line="576" w:lineRule="exact"/>
        <w:ind w:firstLine="632" w:firstLineChars="200"/>
        <w:rPr>
          <w:rFonts w:ascii="黑体" w:hAnsi="黑体" w:eastAsia="黑体"/>
          <w:b/>
          <w:szCs w:val="32"/>
        </w:rPr>
      </w:pPr>
      <w:r>
        <w:rPr>
          <w:rFonts w:hint="eastAsia" w:ascii="黑体" w:hAnsi="黑体" w:eastAsia="黑体"/>
          <w:szCs w:val="32"/>
        </w:rPr>
        <w:t>六、监督管理</w:t>
      </w:r>
    </w:p>
    <w:p>
      <w:pPr>
        <w:spacing w:line="576" w:lineRule="exact"/>
        <w:ind w:firstLine="632" w:firstLineChars="200"/>
        <w:rPr>
          <w:rFonts w:ascii="黑体" w:hAnsi="黑体" w:eastAsia="黑体"/>
          <w:b/>
          <w:szCs w:val="32"/>
        </w:rPr>
      </w:pPr>
      <w:r>
        <w:rPr>
          <w:rFonts w:hint="eastAsia" w:ascii="楷体_GB2312" w:eastAsia="楷体_GB2312"/>
          <w:b/>
          <w:szCs w:val="32"/>
        </w:rPr>
        <w:t>（一）</w:t>
      </w:r>
      <w:r>
        <w:rPr>
          <w:rFonts w:hint="eastAsia" w:ascii="仿宋_GB2312" w:eastAsia="仿宋_GB2312"/>
          <w:szCs w:val="32"/>
        </w:rPr>
        <w:t>对已批建房户严格执行“现场踏勘、开工查验、日常巡查、竣工验收”的流程。县城规划区内：成立以镇、村两级为日常巡查责任主体，县科学技术和农业畜牧局、县自然资源局、县住房和城乡建设局、县综合行政执法局为成员单位的6方联合监督机制。县城规划区外：由镇政府组织对辖区内农房建设进行执法。</w:t>
      </w:r>
    </w:p>
    <w:p>
      <w:pPr>
        <w:spacing w:line="576" w:lineRule="exact"/>
        <w:ind w:firstLine="632" w:firstLineChars="200"/>
        <w:rPr>
          <w:rFonts w:ascii="黑体" w:hAnsi="黑体" w:eastAsia="黑体"/>
          <w:b/>
          <w:szCs w:val="32"/>
        </w:rPr>
      </w:pPr>
      <w:r>
        <w:rPr>
          <w:rFonts w:hint="eastAsia" w:ascii="楷体_GB2312" w:eastAsia="楷体_GB2312"/>
          <w:b/>
          <w:szCs w:val="32"/>
        </w:rPr>
        <w:t>（二）</w:t>
      </w:r>
      <w:r>
        <w:rPr>
          <w:rFonts w:hint="eastAsia" w:ascii="仿宋_GB2312" w:eastAsia="仿宋_GB2312"/>
          <w:szCs w:val="32"/>
        </w:rPr>
        <w:t>各村民委员会要严格履行监督职责，做到每日巡查，每日向镇人民政府汇报房屋修建情况。</w:t>
      </w:r>
    </w:p>
    <w:p>
      <w:pPr>
        <w:spacing w:line="576" w:lineRule="exact"/>
        <w:ind w:firstLine="632" w:firstLineChars="200"/>
        <w:rPr>
          <w:rFonts w:ascii="黑体" w:hAnsi="黑体" w:eastAsia="黑体"/>
          <w:b/>
          <w:szCs w:val="32"/>
        </w:rPr>
      </w:pPr>
      <w:r>
        <w:rPr>
          <w:rFonts w:hint="eastAsia" w:ascii="楷体_GB2312" w:eastAsia="楷体_GB2312"/>
          <w:b/>
          <w:szCs w:val="32"/>
        </w:rPr>
        <w:t>（三）</w:t>
      </w:r>
      <w:r>
        <w:rPr>
          <w:rFonts w:hint="eastAsia" w:ascii="仿宋_GB2312" w:eastAsia="仿宋_GB2312"/>
          <w:szCs w:val="32"/>
        </w:rPr>
        <w:t>相关责任单位在日常监督管理中，一经发现存在“批小建大或者异地修建”行为，要立刻阻止违法行为，由电力公司停止供应施工用电，由自来水公司停止供应施工用水，将超建或者异地建设等违法行为扼杀在萌芽状态。</w:t>
      </w:r>
    </w:p>
    <w:p>
      <w:pPr>
        <w:spacing w:line="576" w:lineRule="exact"/>
        <w:ind w:firstLine="632" w:firstLineChars="200"/>
        <w:rPr>
          <w:rFonts w:ascii="黑体" w:hAnsi="黑体" w:eastAsia="黑体"/>
          <w:b/>
          <w:szCs w:val="32"/>
        </w:rPr>
      </w:pPr>
      <w:r>
        <w:rPr>
          <w:rFonts w:hint="eastAsia" w:ascii="楷体_GB2312" w:eastAsia="楷体_GB2312"/>
          <w:b/>
          <w:szCs w:val="32"/>
        </w:rPr>
        <w:t>（四）</w:t>
      </w:r>
      <w:r>
        <w:rPr>
          <w:rFonts w:hint="eastAsia" w:ascii="仿宋_GB2312" w:eastAsia="仿宋_GB2312"/>
          <w:szCs w:val="32"/>
        </w:rPr>
        <w:t>农房建设中承建人必须遵守有关法律法规、施工操作规范和施工技术标准，确保施工质量和安全。如出现违法违规现象，根据《四川省农村住房建设管理办法》依法进行处理。</w:t>
      </w:r>
    </w:p>
    <w:p>
      <w:pPr>
        <w:spacing w:line="576" w:lineRule="exact"/>
        <w:ind w:firstLine="632" w:firstLineChars="200"/>
        <w:rPr>
          <w:rFonts w:ascii="黑体" w:hAnsi="黑体" w:eastAsia="黑体"/>
          <w:b/>
          <w:szCs w:val="32"/>
        </w:rPr>
      </w:pPr>
    </w:p>
    <w:p>
      <w:pPr>
        <w:spacing w:line="560" w:lineRule="exact"/>
        <w:rPr>
          <w:rFonts w:ascii="仿宋_GB2312" w:eastAsia="仿宋_GB2312"/>
          <w:szCs w:val="32"/>
        </w:rPr>
      </w:pPr>
    </w:p>
    <w:p>
      <w:pPr>
        <w:pStyle w:val="22"/>
        <w:spacing w:before="0" w:beforeAutospacing="0" w:after="0" w:afterAutospacing="0" w:line="576" w:lineRule="exact"/>
        <w:jc w:val="both"/>
        <w:rPr>
          <w:rFonts w:ascii="仿宋_GB2312" w:eastAsia="仿宋_GB2312"/>
          <w:kern w:val="2"/>
          <w:sz w:val="32"/>
          <w:szCs w:val="32"/>
        </w:rPr>
      </w:pPr>
    </w:p>
    <w:sectPr>
      <w:footerReference r:id="rId6" w:type="first"/>
      <w:headerReference r:id="rId3" w:type="default"/>
      <w:footerReference r:id="rId4" w:type="default"/>
      <w:footerReference r:id="rId5" w:type="even"/>
      <w:pgSz w:w="11906" w:h="16838"/>
      <w:pgMar w:top="2098" w:right="1474" w:bottom="1984" w:left="1587" w:header="851" w:footer="1400" w:gutter="0"/>
      <w:cols w:space="720" w:num="1"/>
      <w:docGrid w:type="linesAndChars" w:linePitch="579" w:charSpace="-84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DengXian">
    <w:altName w:val="宋体"/>
    <w:panose1 w:val="02010600030101010101"/>
    <w:charset w:val="86"/>
    <w:family w:val="auto"/>
    <w:pitch w:val="default"/>
    <w:sig w:usb0="00000000" w:usb1="00000000" w:usb2="00000016" w:usb3="00000000" w:csb0="0004000F" w:csb1="00000000"/>
  </w:font>
  <w:font w:name="Arial">
    <w:altName w:val="Times New Roman"/>
    <w:panose1 w:val="020B0604020202020204"/>
    <w:charset w:val="00"/>
    <w:family w:val="swiss"/>
    <w:pitch w:val="default"/>
    <w:sig w:usb0="00000000" w:usb1="00000000" w:usb2="00000009" w:usb3="00000000" w:csb0="000001FF" w:csb1="0000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方正小标宋简体">
    <w:panose1 w:val="02000000000000000000"/>
    <w:charset w:val="86"/>
    <w:family w:val="auto"/>
    <w:pitch w:val="default"/>
    <w:sig w:usb0="A00002BF" w:usb1="184F6CFA" w:usb2="00000012" w:usb3="00000000" w:csb0="00040001"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ind w:right="360"/>
    </w:pPr>
    <w: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444500" cy="228600"/>
              <wp:effectExtent l="0" t="0" r="0" b="0"/>
              <wp:wrapNone/>
              <wp:docPr id="3" name="_x0000_s3073"/>
              <wp:cNvGraphicFramePr/>
              <a:graphic xmlns:a="http://schemas.openxmlformats.org/drawingml/2006/main">
                <a:graphicData uri="http://schemas.microsoft.com/office/word/2010/wordprocessingShape">
                  <wps:wsp>
                    <wps:cNvSpPr/>
                    <wps:spPr>
                      <a:xfrm>
                        <a:off x="0" y="0"/>
                        <a:ext cx="444500" cy="228600"/>
                      </a:xfrm>
                      <a:prstGeom prst="rect">
                        <a:avLst/>
                      </a:prstGeom>
                    </wps:spPr>
                    <wps:txbx>
                      <w:txbxContent>
                        <w:p>
                          <w:pPr>
                            <w:pStyle w:val="18"/>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2</w:t>
                          </w:r>
                          <w:r>
                            <w:rPr>
                              <w:rFonts w:hint="eastAsia" w:ascii="宋体" w:hAnsi="宋体"/>
                              <w:sz w:val="28"/>
                              <w:szCs w:val="28"/>
                            </w:rPr>
                            <w:fldChar w:fldCharType="end"/>
                          </w:r>
                        </w:p>
                        <w:p/>
                      </w:txbxContent>
                    </wps:txbx>
                    <wps:bodyPr rot="0" vert="horz" wrap="square" lIns="0" tIns="0" rIns="0" bIns="0" anchor="t" anchorCtr="0"/>
                  </wps:wsp>
                </a:graphicData>
              </a:graphic>
            </wp:anchor>
          </w:drawing>
        </mc:Choice>
        <mc:Fallback>
          <w:pict>
            <v:rect id="_x0000_s3073" o:spid="_x0000_s1026" o:spt="1" style="position:absolute;left:0pt;margin-top:0pt;height:18pt;width:35pt;mso-position-horizontal:outside;mso-position-horizontal-relative:margin;z-index:251659264;mso-width-relative:page;mso-height-relative:page;" filled="f" stroked="f" coordsize="21600,21600" o:gfxdata="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">
              <v:fill on="f" focussize="0,0"/>
              <v:stroke on="f"/>
              <v:imagedata o:title=""/>
              <o:lock v:ext="edit" aspectratio="f"/>
              <v:textbox inset="0mm,0mm,0mm,0mm">
                <w:txbxContent>
                  <w:p>
                    <w:pPr>
                      <w:pStyle w:val="18"/>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2</w:t>
                    </w:r>
                    <w:r>
                      <w:rPr>
                        <w:rFonts w:hint="eastAsia" w:ascii="宋体" w:hAnsi="宋体"/>
                        <w:sz w:val="28"/>
                        <w:szCs w:val="28"/>
                      </w:rPr>
                      <w:fldChar w:fldCharType="end"/>
                    </w:r>
                  </w:p>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framePr w:wrap="around" w:vAnchor="text" w:hAnchor="margin" w:xAlign="outside" w:y="1"/>
    </w:pPr>
    <w:r>
      <w:fldChar w:fldCharType="begin"/>
    </w:r>
    <w:r>
      <w:rPr>
        <w:rStyle w:val="25"/>
      </w:rPr>
      <w:instrText xml:space="preserve">PAGE  </w:instrText>
    </w:r>
    <w:r>
      <w:fldChar w:fldCharType="separate"/>
    </w:r>
    <w:r>
      <w:rPr>
        <w:rStyle w:val="25"/>
      </w:rPr>
      <w:t>2</w:t>
    </w:r>
    <w:r>
      <w:fldChar w:fldCharType="end"/>
    </w:r>
  </w:p>
  <w:p>
    <w:pPr>
      <w:pStyle w:val="18"/>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pPr>
    <w:r>
      <mc:AlternateContent>
        <mc:Choice Requires="wps">
          <w:drawing>
            <wp:anchor distT="0" distB="0" distL="0" distR="0" simplePos="0" relativeHeight="251660288" behindDoc="0" locked="0" layoutInCell="1" allowOverlap="1">
              <wp:simplePos x="0" y="0"/>
              <wp:positionH relativeFrom="margin">
                <wp:align>outside</wp:align>
              </wp:positionH>
              <wp:positionV relativeFrom="paragraph">
                <wp:posOffset>0</wp:posOffset>
              </wp:positionV>
              <wp:extent cx="254000" cy="177800"/>
              <wp:effectExtent l="0" t="0" r="0" b="0"/>
              <wp:wrapNone/>
              <wp:docPr id="1" name="_x0000_s3074"/>
              <wp:cNvGraphicFramePr/>
              <a:graphic xmlns:a="http://schemas.openxmlformats.org/drawingml/2006/main">
                <a:graphicData uri="http://schemas.microsoft.com/office/word/2010/wordprocessingShape">
                  <wps:wsp>
                    <wps:cNvSpPr/>
                    <wps:spPr>
                      <a:xfrm>
                        <a:off x="0" y="0"/>
                        <a:ext cx="254000" cy="177800"/>
                      </a:xfrm>
                      <a:prstGeom prst="rect">
                        <a:avLst/>
                      </a:prstGeom>
                    </wps:spPr>
                    <wps:txbx>
                      <w:txbxContent>
                        <w:p>
                          <w:pPr>
                            <w:pStyle w:val="18"/>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- 1 -</w:t>
                          </w:r>
                          <w:r>
                            <w:rPr>
                              <w:rFonts w:hint="eastAsia" w:ascii="宋体" w:hAnsi="宋体"/>
                              <w:sz w:val="28"/>
                              <w:szCs w:val="28"/>
                            </w:rPr>
                            <w:fldChar w:fldCharType="end"/>
                          </w:r>
                        </w:p>
                        <w:p/>
                      </w:txbxContent>
                    </wps:txbx>
                    <wps:bodyPr rot="0" vert="horz" wrap="square" lIns="0" tIns="0" rIns="0" bIns="0" anchor="t" anchorCtr="0"/>
                  </wps:wsp>
                </a:graphicData>
              </a:graphic>
            </wp:anchor>
          </w:drawing>
        </mc:Choice>
        <mc:Fallback>
          <w:pict>
            <v:rect id="_x0000_s3074" o:spid="_x0000_s1026" o:spt="1" style="position:absolute;left:0pt;margin-top:0pt;height:14pt;width:20pt;mso-position-horizontal:outside;mso-position-horizontal-relative:margin;z-index:251660288;mso-width-relative:page;mso-height-relative:page;" filled="f" stroked="f" coordsize="21600,21600" o:gfxdata="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">
              <v:fill on="f" focussize="0,0"/>
              <v:stroke on="f"/>
              <v:imagedata o:title=""/>
              <o:lock v:ext="edit" aspectratio="f"/>
              <v:textbox inset="0mm,0mm,0mm,0mm">
                <w:txbxContent>
                  <w:p>
                    <w:pPr>
                      <w:pStyle w:val="18"/>
                      <w:rPr>
                        <w:rFonts w:ascii="宋体" w:hAnsi="宋体"/>
                        <w:sz w:val="28"/>
                        <w:szCs w:val="28"/>
                      </w:rPr>
                    </w:pPr>
                    <w:r>
                      <w:rPr>
                        <w:rFonts w:hint="eastAsia" w:ascii="宋体" w:hAnsi="宋体"/>
                        <w:sz w:val="28"/>
                        <w:szCs w:val="28"/>
                      </w:rPr>
                      <w:fldChar w:fldCharType="begin"/>
                    </w:r>
                    <w:r>
                      <w:rPr>
                        <w:rFonts w:hint="eastAsia" w:ascii="宋体" w:hAnsi="宋体"/>
                        <w:sz w:val="28"/>
                        <w:szCs w:val="28"/>
                      </w:rPr>
                      <w:instrText xml:space="preserve"> PAGE  \* MERGEFORMAT </w:instrText>
                    </w:r>
                    <w:r>
                      <w:rPr>
                        <w:rFonts w:hint="eastAsia" w:ascii="宋体" w:hAnsi="宋体"/>
                        <w:sz w:val="28"/>
                        <w:szCs w:val="28"/>
                      </w:rPr>
                      <w:fldChar w:fldCharType="separate"/>
                    </w:r>
                    <w:r>
                      <w:rPr>
                        <w:rFonts w:ascii="宋体" w:hAnsi="宋体"/>
                        <w:sz w:val="28"/>
                        <w:szCs w:val="28"/>
                      </w:rPr>
                      <w:t>- 1 -</w:t>
                    </w:r>
                    <w:r>
                      <w:rPr>
                        <w:rFonts w:hint="eastAsia" w:ascii="宋体" w:hAnsi="宋体"/>
                        <w:sz w:val="28"/>
                        <w:szCs w:val="28"/>
                      </w:rPr>
                      <w:fldChar w:fldCharType="end"/>
                    </w:r>
                  </w:p>
                  <w:p/>
                </w:txbxContent>
              </v:textbox>
            </v:rect>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9"/>
      <w:pBdr>
        <w:bottom w:val="none" w:color="000000"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noPunctuationKerning w:val="1"/>
  <w:characterSpacingControl w:val="doNotCompress"/>
  <w:compat>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RiZGMzZDNlZDdjZWQxMGJiZTE2NmY3M2Y4NzUzNzIifQ=="/>
  </w:docVars>
  <w:rsids>
    <w:rsidRoot w:val="002D7C9F"/>
    <w:rsid w:val="0001117B"/>
    <w:rsid w:val="00050EE2"/>
    <w:rsid w:val="000F765B"/>
    <w:rsid w:val="001158F7"/>
    <w:rsid w:val="00176E74"/>
    <w:rsid w:val="00195BC7"/>
    <w:rsid w:val="001E1298"/>
    <w:rsid w:val="001F159A"/>
    <w:rsid w:val="00217B43"/>
    <w:rsid w:val="00243C15"/>
    <w:rsid w:val="00253D92"/>
    <w:rsid w:val="002757EC"/>
    <w:rsid w:val="002D13D9"/>
    <w:rsid w:val="002D7C9F"/>
    <w:rsid w:val="00326CA5"/>
    <w:rsid w:val="00387EFE"/>
    <w:rsid w:val="003C734B"/>
    <w:rsid w:val="00503A1F"/>
    <w:rsid w:val="00594640"/>
    <w:rsid w:val="00793645"/>
    <w:rsid w:val="008C5185"/>
    <w:rsid w:val="009224E2"/>
    <w:rsid w:val="00A04235"/>
    <w:rsid w:val="00A260A8"/>
    <w:rsid w:val="00A269D4"/>
    <w:rsid w:val="00A71765"/>
    <w:rsid w:val="00B45DD1"/>
    <w:rsid w:val="00B56757"/>
    <w:rsid w:val="00B73FF1"/>
    <w:rsid w:val="00BE6489"/>
    <w:rsid w:val="00CD26F4"/>
    <w:rsid w:val="00D91807"/>
    <w:rsid w:val="00D91890"/>
    <w:rsid w:val="00DA0C79"/>
    <w:rsid w:val="00E815CC"/>
    <w:rsid w:val="00EA6969"/>
    <w:rsid w:val="00FF179F"/>
    <w:rsid w:val="2B3E7DFE"/>
    <w:rsid w:val="3B05D8CF"/>
    <w:rsid w:val="5BF0C417"/>
    <w:rsid w:val="5FBD18EF"/>
    <w:rsid w:val="5FF3A14E"/>
    <w:rsid w:val="62357ABC"/>
    <w:rsid w:val="6B3B8C18"/>
    <w:rsid w:val="6F3B14BC"/>
    <w:rsid w:val="7B8EBE73"/>
    <w:rsid w:val="7D312CBD"/>
    <w:rsid w:val="7D83E388"/>
    <w:rsid w:val="7DCA7D8D"/>
    <w:rsid w:val="7DDE4FCF"/>
    <w:rsid w:val="7EB2FCB4"/>
    <w:rsid w:val="7FF97660"/>
    <w:rsid w:val="7FFE0199"/>
    <w:rsid w:val="ABFBC66E"/>
    <w:rsid w:val="AEEB1119"/>
    <w:rsid w:val="B079C59A"/>
    <w:rsid w:val="CEDD3BD8"/>
    <w:rsid w:val="DA7FFA1B"/>
    <w:rsid w:val="E72A9CDF"/>
    <w:rsid w:val="EFEEF803"/>
    <w:rsid w:val="F9FDA9A8"/>
    <w:rsid w:val="FB7982BD"/>
    <w:rsid w:val="FBBFA200"/>
    <w:rsid w:val="FBFB7724"/>
    <w:rsid w:val="FF7D61B6"/>
    <w:rsid w:val="FFFDD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DengXian" w:asciiTheme="minorHAnsi" w:hAnsiTheme="minorHAnsi" w:cstheme="minorBidi"/>
      <w:kern w:val="2"/>
      <w:sz w:val="32"/>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34"/>
    <w:qFormat/>
    <w:uiPriority w:val="0"/>
    <w:rPr>
      <w:sz w:val="18"/>
      <w:szCs w:val="18"/>
    </w:rPr>
  </w:style>
  <w:style w:type="paragraph" w:styleId="3">
    <w:name w:val="HTML Preformatted"/>
    <w:basedOn w:val="1"/>
    <w:qFormat/>
    <w:uiPriority w:va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Times New Roman"/>
      <w:kern w:val="0"/>
      <w:sz w:val="24"/>
    </w:rPr>
  </w:style>
  <w:style w:type="paragraph" w:styleId="4">
    <w:name w:val="Normal (Web)"/>
    <w:basedOn w:val="1"/>
    <w:qFormat/>
    <w:uiPriority w:val="0"/>
    <w:pPr>
      <w:spacing w:before="100" w:beforeAutospacing="1" w:after="100" w:afterAutospacing="1"/>
      <w:jc w:val="left"/>
    </w:pPr>
    <w:rPr>
      <w:rFonts w:cs="Times New Roman" w:eastAsiaTheme="minorEastAsia"/>
      <w:kern w:val="0"/>
      <w:sz w:val="24"/>
    </w:rPr>
  </w:style>
  <w:style w:type="paragraph" w:customStyle="1" w:styleId="7">
    <w:name w:val="标题 11"/>
    <w:basedOn w:val="1"/>
    <w:qFormat/>
    <w:uiPriority w:val="0"/>
    <w:pPr>
      <w:spacing w:before="340" w:after="330" w:line="576" w:lineRule="auto"/>
      <w:outlineLvl w:val="0"/>
    </w:pPr>
    <w:rPr>
      <w:b/>
      <w:kern w:val="44"/>
      <w:sz w:val="44"/>
    </w:rPr>
  </w:style>
  <w:style w:type="paragraph" w:customStyle="1" w:styleId="8">
    <w:name w:val="标题 31"/>
    <w:basedOn w:val="1"/>
    <w:qFormat/>
    <w:uiPriority w:val="0"/>
    <w:pPr>
      <w:spacing w:line="412" w:lineRule="auto"/>
      <w:outlineLvl w:val="2"/>
    </w:pPr>
    <w:rPr>
      <w:b/>
    </w:rPr>
  </w:style>
  <w:style w:type="character" w:customStyle="1" w:styleId="9">
    <w:name w:val="默认段落字体1"/>
    <w:qFormat/>
    <w:uiPriority w:val="0"/>
  </w:style>
  <w:style w:type="table" w:customStyle="1" w:styleId="10">
    <w:name w:val="普通表格1"/>
    <w:qFormat/>
    <w:uiPriority w:val="0"/>
    <w:tblPr>
      <w:tblCellMar>
        <w:top w:w="0" w:type="dxa"/>
        <w:left w:w="0" w:type="dxa"/>
        <w:bottom w:w="0" w:type="dxa"/>
        <w:right w:w="0" w:type="dxa"/>
      </w:tblCellMar>
    </w:tblPr>
  </w:style>
  <w:style w:type="paragraph" w:customStyle="1" w:styleId="11">
    <w:name w:val="正文首行缩进 21"/>
    <w:basedOn w:val="12"/>
    <w:qFormat/>
    <w:uiPriority w:val="0"/>
    <w:pPr>
      <w:spacing w:after="120"/>
      <w:ind w:left="420" w:leftChars="200" w:firstLine="420" w:firstLineChars="200"/>
    </w:pPr>
    <w:rPr>
      <w:rFonts w:ascii="Calibri" w:hAnsi="Calibri"/>
      <w:sz w:val="21"/>
      <w:szCs w:val="21"/>
    </w:rPr>
  </w:style>
  <w:style w:type="paragraph" w:customStyle="1" w:styleId="12">
    <w:name w:val="正文文本缩进1"/>
    <w:basedOn w:val="1"/>
    <w:qFormat/>
    <w:uiPriority w:val="0"/>
    <w:pPr>
      <w:snapToGrid w:val="0"/>
      <w:spacing w:line="600" w:lineRule="exact"/>
      <w:ind w:firstLine="645"/>
    </w:pPr>
    <w:rPr>
      <w:rFonts w:ascii="Times New Roman" w:hAnsi="Times New Roman" w:eastAsia="宋体"/>
    </w:rPr>
  </w:style>
  <w:style w:type="paragraph" w:customStyle="1" w:styleId="13">
    <w:name w:val="引文目录标题1"/>
    <w:basedOn w:val="1"/>
    <w:qFormat/>
    <w:uiPriority w:val="0"/>
    <w:pPr>
      <w:spacing w:before="120"/>
    </w:pPr>
    <w:rPr>
      <w:rFonts w:ascii="Arial" w:hAnsi="Arial"/>
      <w:sz w:val="24"/>
    </w:rPr>
  </w:style>
  <w:style w:type="paragraph" w:customStyle="1" w:styleId="14">
    <w:name w:val="正文文本1"/>
    <w:basedOn w:val="1"/>
    <w:qFormat/>
    <w:uiPriority w:val="0"/>
    <w:pPr>
      <w:spacing w:line="640" w:lineRule="exact"/>
      <w:jc w:val="center"/>
    </w:pPr>
    <w:rPr>
      <w:rFonts w:ascii="Times New Roman" w:hAnsi="Times New Roman" w:eastAsia="黑体"/>
      <w:sz w:val="34"/>
      <w:szCs w:val="20"/>
    </w:rPr>
  </w:style>
  <w:style w:type="paragraph" w:customStyle="1" w:styleId="15">
    <w:name w:val="纯文本1"/>
    <w:basedOn w:val="1"/>
    <w:qFormat/>
    <w:uiPriority w:val="0"/>
    <w:rPr>
      <w:rFonts w:ascii="宋体" w:eastAsia="宋体"/>
      <w:szCs w:val="21"/>
    </w:rPr>
  </w:style>
  <w:style w:type="paragraph" w:customStyle="1" w:styleId="16">
    <w:name w:val="日期1"/>
    <w:basedOn w:val="1"/>
    <w:qFormat/>
    <w:uiPriority w:val="0"/>
    <w:pPr>
      <w:ind w:left="2500" w:leftChars="2500"/>
    </w:pPr>
    <w:rPr>
      <w:rFonts w:ascii="Times New Roman" w:hAnsi="Times New Roman" w:eastAsia="宋体"/>
    </w:rPr>
  </w:style>
  <w:style w:type="paragraph" w:customStyle="1" w:styleId="17">
    <w:name w:val="批注框文本1"/>
    <w:basedOn w:val="1"/>
    <w:qFormat/>
    <w:uiPriority w:val="0"/>
    <w:rPr>
      <w:rFonts w:ascii="Times New Roman" w:hAnsi="Times New Roman" w:eastAsia="宋体"/>
      <w:sz w:val="18"/>
      <w:szCs w:val="18"/>
    </w:rPr>
  </w:style>
  <w:style w:type="paragraph" w:customStyle="1" w:styleId="18">
    <w:name w:val="页脚1"/>
    <w:basedOn w:val="1"/>
    <w:qFormat/>
    <w:uiPriority w:val="0"/>
    <w:pPr>
      <w:tabs>
        <w:tab w:val="center" w:pos="4153"/>
        <w:tab w:val="right" w:pos="8306"/>
      </w:tabs>
      <w:snapToGrid w:val="0"/>
      <w:jc w:val="left"/>
    </w:pPr>
    <w:rPr>
      <w:rFonts w:ascii="Times New Roman" w:hAnsi="Times New Roman" w:eastAsia="宋体"/>
      <w:sz w:val="18"/>
      <w:szCs w:val="18"/>
    </w:rPr>
  </w:style>
  <w:style w:type="paragraph" w:customStyle="1" w:styleId="19">
    <w:name w:val="页眉1"/>
    <w:basedOn w:val="1"/>
    <w:qFormat/>
    <w:uiPriority w:val="0"/>
    <w:pPr>
      <w:pBdr>
        <w:bottom w:val="single" w:color="000000" w:sz="6" w:space="1"/>
      </w:pBdr>
      <w:tabs>
        <w:tab w:val="center" w:pos="4153"/>
        <w:tab w:val="right" w:pos="8306"/>
      </w:tabs>
      <w:snapToGrid w:val="0"/>
      <w:jc w:val="center"/>
    </w:pPr>
    <w:rPr>
      <w:rFonts w:ascii="Times New Roman" w:hAnsi="Times New Roman" w:eastAsia="宋体"/>
      <w:sz w:val="18"/>
      <w:szCs w:val="18"/>
    </w:rPr>
  </w:style>
  <w:style w:type="paragraph" w:customStyle="1" w:styleId="20">
    <w:name w:val="副标题1"/>
    <w:basedOn w:val="1"/>
    <w:qFormat/>
    <w:uiPriority w:val="0"/>
    <w:pPr>
      <w:spacing w:before="240" w:after="60" w:line="312" w:lineRule="auto"/>
      <w:jc w:val="center"/>
      <w:outlineLvl w:val="1"/>
    </w:pPr>
    <w:rPr>
      <w:rFonts w:ascii="Cambria" w:hAnsi="Cambria" w:eastAsia="宋体"/>
      <w:b/>
      <w:bCs/>
      <w:kern w:val="28"/>
      <w:szCs w:val="32"/>
    </w:rPr>
  </w:style>
  <w:style w:type="paragraph" w:customStyle="1" w:styleId="21">
    <w:name w:val="正文文本 21"/>
    <w:basedOn w:val="1"/>
    <w:qFormat/>
    <w:uiPriority w:val="0"/>
    <w:pPr>
      <w:spacing w:line="480" w:lineRule="auto"/>
    </w:pPr>
    <w:rPr>
      <w:rFonts w:eastAsia="宋体"/>
      <w:sz w:val="21"/>
    </w:rPr>
  </w:style>
  <w:style w:type="paragraph" w:customStyle="1" w:styleId="22">
    <w:name w:val="普通(网站)1"/>
    <w:basedOn w:val="1"/>
    <w:qFormat/>
    <w:uiPriority w:val="0"/>
    <w:pPr>
      <w:spacing w:before="100" w:beforeAutospacing="1" w:after="100" w:afterAutospacing="1"/>
      <w:jc w:val="left"/>
    </w:pPr>
    <w:rPr>
      <w:rFonts w:ascii="宋体" w:eastAsia="宋体"/>
      <w:kern w:val="0"/>
      <w:sz w:val="24"/>
    </w:rPr>
  </w:style>
  <w:style w:type="paragraph" w:customStyle="1" w:styleId="23">
    <w:name w:val="标题1"/>
    <w:basedOn w:val="1"/>
    <w:qFormat/>
    <w:uiPriority w:val="0"/>
    <w:pPr>
      <w:spacing w:before="240" w:after="60"/>
      <w:jc w:val="center"/>
      <w:outlineLvl w:val="0"/>
    </w:pPr>
    <w:rPr>
      <w:rFonts w:ascii="Cambria" w:hAnsi="Cambria" w:eastAsia="宋体"/>
      <w:b/>
      <w:bCs/>
      <w:szCs w:val="32"/>
    </w:rPr>
  </w:style>
  <w:style w:type="character" w:customStyle="1" w:styleId="24">
    <w:name w:val="要点1"/>
    <w:qFormat/>
    <w:uiPriority w:val="0"/>
    <w:rPr>
      <w:rFonts w:ascii="Times New Roman" w:hAnsi="Times New Roman" w:eastAsia="宋体"/>
      <w:b/>
      <w:bCs/>
      <w:lang w:bidi="ar-SA"/>
    </w:rPr>
  </w:style>
  <w:style w:type="character" w:customStyle="1" w:styleId="25">
    <w:name w:val="页码1"/>
    <w:qFormat/>
    <w:uiPriority w:val="0"/>
    <w:rPr>
      <w:rFonts w:ascii="Times New Roman" w:hAnsi="Times New Roman" w:eastAsia="宋体"/>
      <w:lang w:bidi="ar-SA"/>
    </w:rPr>
  </w:style>
  <w:style w:type="character" w:customStyle="1" w:styleId="26">
    <w:name w:val="超链接1"/>
    <w:qFormat/>
    <w:uiPriority w:val="0"/>
    <w:rPr>
      <w:rFonts w:ascii="Times New Roman" w:hAnsi="Times New Roman" w:eastAsia="宋体"/>
      <w:color w:val="0000FF"/>
      <w:lang w:bidi="ar-SA"/>
    </w:rPr>
  </w:style>
  <w:style w:type="character" w:customStyle="1" w:styleId="27">
    <w:name w:val="apple-style-span"/>
    <w:qFormat/>
    <w:uiPriority w:val="0"/>
    <w:rPr>
      <w:rFonts w:ascii="Times New Roman" w:hAnsi="Times New Roman" w:eastAsia="宋体"/>
      <w:lang w:bidi="ar-SA"/>
    </w:rPr>
  </w:style>
  <w:style w:type="paragraph" w:customStyle="1" w:styleId="28">
    <w:name w:val="p0"/>
    <w:basedOn w:val="1"/>
    <w:qFormat/>
    <w:uiPriority w:val="0"/>
    <w:pPr>
      <w:spacing w:before="100" w:beforeAutospacing="1" w:after="100" w:afterAutospacing="1"/>
      <w:jc w:val="left"/>
    </w:pPr>
    <w:rPr>
      <w:rFonts w:ascii="宋体" w:eastAsia="宋体"/>
      <w:kern w:val="0"/>
      <w:sz w:val="24"/>
    </w:rPr>
  </w:style>
  <w:style w:type="paragraph" w:customStyle="1" w:styleId="29">
    <w:name w:val="列出段落1"/>
    <w:basedOn w:val="1"/>
    <w:qFormat/>
    <w:uiPriority w:val="0"/>
    <w:pPr>
      <w:ind w:firstLine="420"/>
    </w:pPr>
    <w:rPr>
      <w:rFonts w:ascii="Times New Roman" w:hAnsi="Times New Roman" w:eastAsia="宋体"/>
    </w:rPr>
  </w:style>
  <w:style w:type="paragraph" w:customStyle="1" w:styleId="30">
    <w:name w:val="Char Char Char1 Char"/>
    <w:basedOn w:val="1"/>
    <w:qFormat/>
    <w:uiPriority w:val="0"/>
    <w:rPr>
      <w:rFonts w:ascii="Times New Roman" w:hAnsi="Times New Roman" w:eastAsia="宋体"/>
    </w:rPr>
  </w:style>
  <w:style w:type="paragraph" w:customStyle="1" w:styleId="31">
    <w:name w:val="文档正文"/>
    <w:basedOn w:val="1"/>
    <w:qFormat/>
    <w:uiPriority w:val="0"/>
    <w:pPr>
      <w:spacing w:line="480" w:lineRule="atLeast"/>
    </w:pPr>
    <w:rPr>
      <w:rFonts w:hAnsi="Arial"/>
      <w:kern w:val="0"/>
    </w:rPr>
  </w:style>
  <w:style w:type="paragraph" w:styleId="32">
    <w:name w:val="List Paragraph"/>
    <w:basedOn w:val="1"/>
    <w:qFormat/>
    <w:uiPriority w:val="0"/>
    <w:pPr>
      <w:ind w:firstLine="200" w:firstLineChars="200"/>
    </w:pPr>
    <w:rPr>
      <w:rFonts w:ascii="Times New Roman" w:hAnsi="Times New Roman" w:eastAsia="宋体"/>
    </w:rPr>
  </w:style>
  <w:style w:type="paragraph" w:customStyle="1" w:styleId="33">
    <w:name w:val="无间隔1"/>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customStyle="1" w:styleId="34">
    <w:name w:val="批注框文本 字符"/>
    <w:basedOn w:val="6"/>
    <w:link w:val="2"/>
    <w:qFormat/>
    <w:uiPriority w:val="0"/>
    <w:rPr>
      <w:rFonts w:eastAsia="DengXian" w:asciiTheme="minorHAnsi" w:hAnsiTheme="minorHAnsi"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satMod val="300000"/>
                <a:tint val="50000"/>
              </a:schemeClr>
            </a:gs>
            <a:gs pos="35000">
              <a:schemeClr val="phClr">
                <a:satMod val="300000"/>
                <a:tint val="37000"/>
              </a:schemeClr>
            </a:gs>
            <a:gs pos="100000">
              <a:schemeClr val="phClr">
                <a:satMod val="350000"/>
                <a:tint val="15000"/>
              </a:schemeClr>
            </a:gs>
          </a:gsLst>
          <a:lin ang="16200000" scaled="1"/>
        </a:gradFill>
        <a:gradFill rotWithShape="1">
          <a:gsLst>
            <a:gs pos="0">
              <a:schemeClr val="phClr">
                <a:satMod val="130000"/>
                <a:shade val="51000"/>
              </a:schemeClr>
            </a:gs>
            <a:gs pos="80000">
              <a:schemeClr val="phClr">
                <a:satMod val="130000"/>
                <a:shade val="93000"/>
              </a:schemeClr>
            </a:gs>
            <a:gs pos="100000">
              <a:schemeClr val="phClr">
                <a:satMod val="135000"/>
                <a:shade val="94000"/>
              </a:schemeClr>
            </a:gs>
          </a:gsLst>
          <a:lin ang="16200000" scaled="0"/>
        </a:gradFill>
      </a:fillStyleLst>
      <a:lnStyleLst>
        <a:ln w="9525" cap="flat" cmpd="sng" algn="ctr">
          <a:solidFill>
            <a:schemeClr val="phClr">
              <a:satMod val="105000"/>
              <a:shade val="9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atMod val="350000"/>
                <a:tint val="40000"/>
              </a:schemeClr>
            </a:gs>
            <a:gs pos="40000">
              <a:schemeClr val="phClr">
                <a:satMod val="350000"/>
                <a:shade val="99000"/>
                <a:tint val="45000"/>
              </a:schemeClr>
            </a:gs>
            <a:gs pos="100000">
              <a:schemeClr val="phClr">
                <a:satMod val="255000"/>
                <a:shade val="20000"/>
              </a:schemeClr>
            </a:gs>
          </a:gsLst>
          <a:path path="circle">
            <a:fillToRect l="50000" t="-80000" r="50000" b="180000"/>
          </a:path>
        </a:gradFill>
        <a:gradFill rotWithShape="1">
          <a:gsLst>
            <a:gs pos="0">
              <a:schemeClr val="phClr">
                <a:satMod val="300000"/>
                <a:tint val="80000"/>
              </a:schemeClr>
            </a:gs>
            <a:gs pos="100000">
              <a:schemeClr val="phClr">
                <a:satMod val="200000"/>
                <a:shade val="3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12</Pages>
  <Words>897</Words>
  <Characters>5114</Characters>
  <Lines>42</Lines>
  <Paragraphs>11</Paragraphs>
  <TotalTime>218</TotalTime>
  <ScaleCrop>false</ScaleCrop>
  <LinksUpToDate>false</LinksUpToDate>
  <CharactersWithSpaces>6000</CharactersWithSpaces>
  <Application>WPS Office_11.8.2.1116_F1E327BC-269C-435d-A152-05C5408002CA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2023-04-17T04:04:00Z</dcterms:created>
  <dc:creator>วิ่งขึ้น</dc:creator>
  <cp:lastModifiedBy>user</cp:lastModifiedBy>
  <cp:lastPrinted>2023-05-29T11:43:00Z</cp:lastPrinted>
  <dcterms:modified xsi:type="dcterms:W3CDTF">2023-06-12T18:03:31Z</dcterms:modified>
  <cp:revision>15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2052-11.8.2.1116</vt:lpwstr>
  </property>
  <property fmtid="{D5CDD505-2E9C-101B-9397-08002B2CF9AE}" pid="3" name="ICV">
    <vt:lpwstr>31AD7C9262FD427EB2D3E9C6CECFED11_12</vt:lpwstr>
  </property>
</Properties>
</file>