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settings.xml" ContentType="application/vnd.openxmlformats-officedocument.wordprocessingml.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8"/>
        <w:shd w:val="clear" w:color="auto" w:fill="FFFFFF"/>
        <w:spacing w:before="0" w:beforeAutospacing="0" w:after="0" w:afterAutospacing="0" w:line="560" w:lineRule="exact"/>
        <w:ind w:firstLine="645"/>
        <w:jc w:val="center"/>
        <w:rPr>
          <w:rFonts w:ascii="方正小标宋简体" w:eastAsia="方正小标宋简体" w:cs="Times New Roman" w:hint="eastAsia"/>
          <w:bCs/>
          <w:color w:val="0C0C0C"/>
          <w:sz w:val="44"/>
          <w:szCs w:val="44"/>
        </w:rPr>
      </w:pPr>
      <w:bookmarkStart w:id="0" w:name="_GoBack"/>
      <w:r>
        <w:rPr>
          <w:rFonts w:ascii="方正小标宋简体" w:eastAsia="方正小标宋简体" w:cs="Times New Roman" w:hint="eastAsia"/>
          <w:bCs/>
          <w:color w:val="0C0C0C"/>
          <w:sz w:val="44"/>
          <w:szCs w:val="44"/>
        </w:rPr>
        <w:t>阿坝州茂县客运市场发展规划报告</w:t>
      </w:r>
      <w:bookmarkStart w:id="1" w:name="_Toc32499"/>
    </w:p>
    <w:p>
      <w:pPr>
        <w:pStyle w:val="2"/>
        <w:keepNext w:val="0"/>
        <w:keepLines w:val="0"/>
        <w:pageBreakBefore w:val="0"/>
        <w:widowControl w:val="0"/>
        <w:kinsoku/>
        <w:wordWrap w:val="0"/>
        <w:topLinePunct w:val="0"/>
        <w:autoSpaceDE w:val="0"/>
        <w:autoSpaceDN w:val="0"/>
        <w:bidi w:val="0"/>
        <w:spacing w:line="560" w:lineRule="exact"/>
        <w:outlineLvl w:val="9"/>
        <w:rPr>
          <w:rFonts w:ascii="黑体" w:eastAsia="黑体" w:cs="黑体" w:hint="eastAsia"/>
          <w:b w:val="0"/>
          <w:bCs/>
          <w:sz w:val="32"/>
          <w:szCs w:val="32"/>
          <w:lang w:val="en-US" w:eastAsia="zh-CN"/>
        </w:rPr>
      </w:pPr>
      <w:bookmarkEnd w:id="1"/>
      <w:bookmarkEnd w:id="0"/>
    </w:p>
    <w:p>
      <w:pPr>
        <w:pStyle w:val="2"/>
        <w:keepNext w:val="0"/>
        <w:keepLines w:val="0"/>
        <w:pageBreakBefore w:val="0"/>
        <w:widowControl w:val="0"/>
        <w:numPr>
          <w:ilvl w:val="0"/>
          <w:numId w:val="1"/>
        </w:numPr>
        <w:kinsoku/>
        <w:wordWrap w:val="0"/>
        <w:topLinePunct w:val="0"/>
        <w:autoSpaceDE w:val="0"/>
        <w:autoSpaceDN w:val="0"/>
        <w:bidi w:val="0"/>
        <w:spacing w:line="560" w:lineRule="exact"/>
        <w:ind w:left="0" w:firstLineChars="200" w:firstLine="640"/>
        <w:rPr>
          <w:rFonts w:ascii="黑体" w:eastAsia="黑体" w:cs="黑体" w:hint="eastAsia"/>
          <w:b w:val="0"/>
          <w:bCs/>
          <w:sz w:val="32"/>
          <w:szCs w:val="32"/>
          <w:lang w:val="en-US" w:eastAsia="zh-CN"/>
        </w:rPr>
      </w:pPr>
      <w:bookmarkStart w:id="2" w:name="_Toc16981"/>
      <w:bookmarkStart w:id="3" w:name="_Toc31954"/>
      <w:bookmarkStart w:id="4" w:name="_Toc23103"/>
      <w:r>
        <w:rPr>
          <w:rFonts w:ascii="黑体" w:eastAsia="黑体" w:cs="黑体" w:hint="eastAsia"/>
          <w:b w:val="0"/>
          <w:bCs/>
          <w:sz w:val="32"/>
          <w:szCs w:val="32"/>
          <w:lang w:val="en-US" w:eastAsia="zh-CN"/>
        </w:rPr>
        <w:t>客运行业</w:t>
      </w:r>
      <w:bookmarkEnd w:id="2"/>
      <w:r>
        <w:rPr>
          <w:rFonts w:ascii="黑体" w:eastAsia="黑体" w:cs="黑体" w:hint="eastAsia"/>
          <w:b w:val="0"/>
          <w:bCs/>
          <w:sz w:val="32"/>
          <w:szCs w:val="32"/>
          <w:lang w:val="en-US" w:eastAsia="zh-CN"/>
        </w:rPr>
        <w:t>概况</w:t>
      </w:r>
      <w:bookmarkEnd w:id="3"/>
      <w:bookmarkEnd w:id="4"/>
    </w:p>
    <w:p>
      <w:pPr>
        <w:keepNext w:val="0"/>
        <w:keepLines w:val="0"/>
        <w:pageBreakBefore w:val="0"/>
        <w:widowControl w:val="0"/>
        <w:kinsoku/>
        <w:wordWrap w:val="0"/>
        <w:overflowPunct w:val="0"/>
        <w:topLinePunct w:val="0"/>
        <w:autoSpaceDE w:val="0"/>
        <w:autoSpaceDN w:val="0"/>
        <w:adjustRightInd w:val="0"/>
        <w:snapToGrid w:val="0"/>
        <w:spacing w:line="560" w:lineRule="exact"/>
        <w:ind w:left="0" w:firstLineChars="200" w:firstLine="640"/>
        <w:textAlignment w:val="baseline"/>
        <w:rPr>
          <w:rFonts w:ascii="仿宋_GB2312" w:eastAsia="仿宋_GB2312" w:cs="仿宋_GB2312"/>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截止2024年4月，茂县交通运输局共计审批道路运输主体企业5家（茂县古羌农村客运有限责任公司、阿坝九寨黄龙运业集团有限责任公司茂县分公司、茂县西羌出租汽车有限公司、茂县羌鑫发展有限责任公司、四川阿坝州羌城笛韵客运有限责任公司），二级汽车客运站（阿坝九寨黄龙运业集团有限责任公司茂县客运站）1个。业务范围涵盖班车客运、城市公交、巡游出租汽车等。</w:t>
      </w:r>
      <w:bookmarkStart w:id="5" w:name="_Toc20816"/>
      <w:bookmarkStart w:id="6" w:name="_Toc7544"/>
      <w:bookmarkStart w:id="7" w:name="_Toc27549"/>
    </w:p>
    <w:p>
      <w:pPr>
        <w:keepNext w:val="0"/>
        <w:keepLines w:val="0"/>
        <w:pageBreakBefore w:val="0"/>
        <w:widowControl w:val="0"/>
        <w:kinsoku/>
        <w:wordWrap w:val="0"/>
        <w:overflowPunct w:val="0"/>
        <w:topLinePunct w:val="0"/>
        <w:autoSpaceDE w:val="0"/>
        <w:autoSpaceDN w:val="0"/>
        <w:adjustRightInd w:val="0"/>
        <w:snapToGrid w:val="0"/>
        <w:spacing w:line="560" w:lineRule="exact"/>
        <w:ind w:left="0" w:firstLineChars="200" w:firstLine="640"/>
        <w:textAlignment w:val="baseline"/>
        <w:rPr>
          <w:rFonts w:ascii="黑体" w:eastAsia="黑体" w:cs="黑体" w:hint="eastAsia"/>
          <w:bCs/>
          <w:snapToGrid w:val="0"/>
          <w:sz w:val="32"/>
          <w:szCs w:val="32"/>
        </w:rPr>
      </w:pPr>
      <w:r>
        <w:rPr>
          <w:rFonts w:ascii="黑体" w:eastAsia="黑体" w:cs="黑体" w:hint="eastAsia"/>
          <w:bCs/>
          <w:snapToGrid w:val="0"/>
          <w:sz w:val="32"/>
          <w:szCs w:val="32"/>
          <w:lang w:bidi="ar-SA"/>
        </w:rPr>
        <w:t>二、</w:t>
      </w:r>
      <w:r>
        <w:rPr>
          <w:rFonts w:ascii="黑体" w:eastAsia="黑体" w:cs="黑体" w:hint="eastAsia"/>
          <w:bCs/>
          <w:sz w:val="32"/>
          <w:szCs w:val="32"/>
        </w:rPr>
        <w:t>客运</w:t>
      </w:r>
      <w:bookmarkEnd w:id="5"/>
      <w:r>
        <w:rPr>
          <w:rFonts w:ascii="黑体" w:eastAsia="黑体" w:cs="黑体" w:hint="eastAsia"/>
          <w:bCs/>
          <w:sz w:val="32"/>
          <w:szCs w:val="32"/>
        </w:rPr>
        <w:t>行业经营概况</w:t>
      </w:r>
      <w:bookmarkEnd w:id="6"/>
      <w:bookmarkEnd w:id="7"/>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楷体_GB2312" w:eastAsia="楷体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楷体_GB2312" w:eastAsia="楷体_GB2312" w:cs="方正楷体_GBK" w:hint="eastAsia"/>
          <w:i w:val="0"/>
          <w:iCs w:val="0"/>
          <w:caps w:val="0"/>
          <w:smallCaps w:val="0"/>
          <w:snapToGrid w:val="0"/>
          <w:color w:val="auto"/>
          <w:spacing w:val="0"/>
          <w:kern w:val="0"/>
          <w:sz w:val="32"/>
          <w:szCs w:val="32"/>
          <w:shd w:val="clear" w:color="auto" w:fill="FFFFFF"/>
          <w:lang w:val="en-US" w:eastAsia="zh-CN" w:bidi="ar-SA"/>
        </w:rPr>
        <w:t>（一）汽车客运站</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t>1.经营规模</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茂县境内二级汽车客运站（阿坝九寨黄龙运业集团有限责任公司茂县客运站）主要经营二类、三类、四类客运班线，其中：现经营二类客运班线4条（茂县至成都、茂县至都江堰、茂县至绵阳、茂县至秀水）、三类客运班线2条（茂县至马尔康、茂县至九寨沟）（调研期间茂县至九寨沟已停运）、四类客运班线7条，进站参营单位7家，车站站务人员共计15人。</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宋体" w:eastAsia="宋体" w:cs="宋体"/>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（注：客运班线运行情况以调查统计期间实际运行线路为主，已停运及已注销线路不再纳入统计范畴。）</w:t>
      </w:r>
    </w:p>
    <w:p>
      <w:pPr>
        <w:keepNext w:val="0"/>
        <w:keepLines w:val="0"/>
        <w:pageBreakBefore w:val="0"/>
        <w:widowControl w:val="0"/>
        <w:kinsoku/>
        <w:wordWrap w:val="0"/>
        <w:overflowPunct w:val="0"/>
        <w:topLinePunct w:val="0"/>
        <w:autoSpaceDE w:val="0"/>
        <w:autoSpaceDN w:val="0"/>
        <w:adjustRightInd w:val="0"/>
        <w:snapToGrid w:val="0"/>
        <w:spacing w:line="560" w:lineRule="exact"/>
        <w:ind w:left="0" w:firstLineChars="200" w:firstLine="640"/>
        <w:textAlignment w:val="baseline"/>
        <w:rPr>
          <w:rFonts w:ascii="仿宋_GB2312" w:eastAsia="仿宋_GB2312" w:cs="方正楷体_GBK" w:hint="eastAsia"/>
          <w:bCs/>
          <w:snapToGrid w:val="0"/>
          <w:kern w:val="0"/>
          <w:sz w:val="32"/>
          <w:szCs w:val="32"/>
          <w:shd w:val="clear" w:color="auto" w:fill="FFFFFF"/>
        </w:rPr>
      </w:pPr>
      <w:r>
        <w:rPr>
          <w:rFonts w:ascii="仿宋_GB2312" w:eastAsia="仿宋_GB2312" w:cs="方正楷体_GBK" w:hint="eastAsia"/>
          <w:bCs/>
          <w:snapToGrid w:val="0"/>
          <w:kern w:val="0"/>
          <w:sz w:val="32"/>
          <w:szCs w:val="32"/>
          <w:shd w:val="clear" w:color="auto" w:fill="FFFFFF"/>
        </w:rPr>
        <w:t>2.经营情况</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根据对茂县汽车客运站走访调查得知，2019年之前，客运站全年日均发班40余班次，日均运送旅客人数1800人次；高峰季节（6-10月）日均发班60余班次，日均运送旅客人数超3000人次；车辆平均上座率80%以上。</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自2019年起，受“九寨沟8.8地震”和疫情影响，客运站经营效益逐渐下滑，自2023年全年日均发班20余班次，日均运送旅客人数不足200人，车辆平均上座率低于50%。同比疫情前数据，经营效益呈明显下滑。</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楷体_GB2312" w:eastAsia="楷体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楷体_GB2312" w:eastAsia="楷体_GB2312" w:cs="方正楷体_GBK" w:hint="eastAsia"/>
          <w:i w:val="0"/>
          <w:iCs w:val="0"/>
          <w:caps w:val="0"/>
          <w:smallCaps w:val="0"/>
          <w:snapToGrid w:val="0"/>
          <w:color w:val="auto"/>
          <w:spacing w:val="0"/>
          <w:kern w:val="0"/>
          <w:sz w:val="32"/>
          <w:szCs w:val="32"/>
          <w:shd w:val="clear" w:color="auto" w:fill="FFFFFF"/>
          <w:lang w:val="en-US" w:eastAsia="zh-CN" w:bidi="ar-SA"/>
        </w:rPr>
        <w:t>（二）班车客运（四类班线）经营情况</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茂县境内共计班车客运（四类班线）经营主体企业4家，主要运行县内乡村客运线路11条。</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t>1.阿坝九寨黄龙运业集团有限责任公司茂县分公司</w:t>
      </w:r>
    </w:p>
    <w:p>
      <w:pPr>
        <w:keepNext w:val="0"/>
        <w:keepLines w:val="0"/>
        <w:pageBreakBefore w:val="0"/>
        <w:widowControl w:val="0"/>
        <w:kinsoku/>
        <w:wordWrap w:val="0"/>
        <w:overflowPunct/>
        <w:topLinePunct w:val="0"/>
        <w:autoSpaceDE w:val="0"/>
        <w:autoSpaceDN w:val="0"/>
        <w:bidi w:val="0"/>
        <w:adjustRightInd w:val="0"/>
        <w:snapToGrid w:val="0"/>
        <w:spacing w:line="560" w:lineRule="exact"/>
        <w:textAlignment w:val="baseline"/>
        <w:rPr>
          <w:rFonts w:ascii="仿宋_GB2312" w:eastAsia="仿宋_GB2312" w:cs="仿宋_GB2312" w:hint="eastAsia"/>
          <w:b/>
          <w:bCs/>
          <w:sz w:val="32"/>
          <w:szCs w:val="32"/>
          <w:lang w:val="en-US" w:eastAsia="zh-CN"/>
        </w:rPr>
      </w:pPr>
      <w:r>
        <w:rPr>
          <w:rFonts w:ascii="仿宋_GB2312" w:eastAsia="仿宋_GB2312" w:cs="仿宋_GB2312"/>
          <w:sz w:val="32"/>
          <w:szCs w:val="32"/>
          <w:lang w:val="en-US" w:eastAsia="zh-CN"/>
        </w:rPr>
        <w:t xml:space="preserve">   </w:t>
      </w:r>
      <w:r>
        <w:rPr>
          <w:rFonts w:ascii="仿宋_GB2312" w:eastAsia="仿宋_GB2312" w:cs="仿宋_GB2312" w:hint="eastAsia"/>
          <w:sz w:val="32"/>
          <w:szCs w:val="32"/>
          <w:lang w:val="en-US" w:eastAsia="zh-CN"/>
        </w:rPr>
        <w:t>表1 九黄运业公司班车客运（四类班线）历年经营情况统计</w:t>
      </w:r>
    </w:p>
    <w:tbl>
      <w:tblPr>
        <w:jc w:val="cente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030"/>
        <w:gridCol w:w="734"/>
        <w:gridCol w:w="1078"/>
        <w:gridCol w:w="1652"/>
        <w:gridCol w:w="1652"/>
        <w:gridCol w:w="1078"/>
        <w:gridCol w:w="1078"/>
      </w:tblGrid>
      <w:tr>
        <w:trPr>
          <w:trHeight w:val="2035"/>
        </w:trPr>
        <w:tc>
          <w:tcPr>
            <w:tcW w:w="2030"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年份</w:t>
            </w:r>
          </w:p>
        </w:tc>
        <w:tc>
          <w:tcPr>
            <w:tcW w:w="73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指标数</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运营</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车台数</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发送旅客量</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（人次）</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旅客周转量</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（万公里）</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平均</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上座率</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平均</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出勤率</w:t>
            </w:r>
          </w:p>
        </w:tc>
      </w:tr>
      <w:tr>
        <w:trPr>
          <w:trHeight w:val="544"/>
        </w:trPr>
        <w:tc>
          <w:tcPr>
            <w:tcW w:w="2030"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2020年</w:t>
            </w:r>
          </w:p>
        </w:tc>
        <w:tc>
          <w:tcPr>
            <w:tcW w:w="73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19</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19</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6840</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417240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50%</w:t>
            </w:r>
          </w:p>
        </w:tc>
      </w:tr>
      <w:tr>
        <w:trPr>
          <w:trHeight w:val="544"/>
        </w:trPr>
        <w:tc>
          <w:tcPr>
            <w:tcW w:w="2030"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2021年</w:t>
            </w:r>
          </w:p>
        </w:tc>
        <w:tc>
          <w:tcPr>
            <w:tcW w:w="73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19</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16</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5760</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351360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50%</w:t>
            </w:r>
          </w:p>
        </w:tc>
      </w:tr>
      <w:tr>
        <w:trPr>
          <w:trHeight w:val="544"/>
        </w:trPr>
        <w:tc>
          <w:tcPr>
            <w:tcW w:w="2030"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2022年</w:t>
            </w:r>
          </w:p>
        </w:tc>
        <w:tc>
          <w:tcPr>
            <w:tcW w:w="73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19</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15</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5400</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329400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50%</w:t>
            </w:r>
          </w:p>
        </w:tc>
      </w:tr>
      <w:tr>
        <w:trPr>
          <w:trHeight w:val="544"/>
        </w:trPr>
        <w:tc>
          <w:tcPr>
            <w:tcW w:w="2030"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2023年</w:t>
            </w:r>
          </w:p>
        </w:tc>
        <w:tc>
          <w:tcPr>
            <w:tcW w:w="73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19</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14</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8400</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512400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75%</w:t>
            </w:r>
          </w:p>
        </w:tc>
      </w:tr>
      <w:tr>
        <w:trPr>
          <w:trHeight w:val="544"/>
        </w:trPr>
        <w:tc>
          <w:tcPr>
            <w:tcW w:w="2030"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2024年1-3月</w:t>
            </w:r>
          </w:p>
        </w:tc>
        <w:tc>
          <w:tcPr>
            <w:tcW w:w="73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19</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14</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1680</w:t>
            </w:r>
          </w:p>
        </w:tc>
        <w:tc>
          <w:tcPr>
            <w:tcW w:w="1652"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102480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w:t>
            </w:r>
          </w:p>
        </w:tc>
        <w:tc>
          <w:tcPr>
            <w:tcW w:w="107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66%</w:t>
            </w:r>
          </w:p>
        </w:tc>
      </w:tr>
    </w:tbl>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firstLineChars="200" w:firstLine="640"/>
        <w:textAlignment w:val="baseline"/>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班车客运（四类班线）经营企业受“九寨沟8.8地震”和疫情影响，自2020年起实际投放运营车辆台数逐年下降，经营规模逐渐萎缩。2023年后企业经营情况逐渐好转，有望逐步恢复至震前状况。</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t>2、茂县古羌农村客运有限责任公司</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公司运营班车客运（四类班线）</w:t>
      </w:r>
      <w:r>
        <w:rPr>
          <w:rFonts w:ascii="仿宋_GB2312" w:eastAsia="仿宋_GB2312" w:cs="仿宋_GB2312" w:hint="eastAsia"/>
          <w:sz w:val="32"/>
          <w:szCs w:val="32"/>
          <w:lang w:val="en-US" w:eastAsia="zh-CN"/>
        </w:rPr>
        <w:t>车辆共计85台，运营线路条数11条，主要以7-14座车辆为主，运营范围为茂县县城及周边区域。其中：运行茂县高铁站方向接驳车辆共计14台，日均发班3班次；其他线路根据具体乘客人数需求，实行滚动发班联程运行模式，按照“金通工程”样板示范县及交邮合作项目要求，各线路每月至少发班4班次。</w:t>
      </w:r>
    </w:p>
    <w:p>
      <w:pPr>
        <w:keepNext w:val="0"/>
        <w:keepLines w:val="0"/>
        <w:pageBreakBefore w:val="0"/>
        <w:widowControl w:val="0"/>
        <w:kinsoku/>
        <w:wordWrap w:val="0"/>
        <w:overflowPunct/>
        <w:topLinePunct w:val="0"/>
        <w:autoSpaceDE w:val="0"/>
        <w:autoSpaceDN w:val="0"/>
        <w:bidi w:val="0"/>
        <w:adjustRightInd w:val="0"/>
        <w:snapToGrid w:val="0"/>
        <w:spacing w:line="560" w:lineRule="exact"/>
        <w:jc w:val="center"/>
        <w:textAlignment w:val="baseline"/>
        <w:rPr>
          <w:rFonts w:ascii="仿宋_GB2312" w:eastAsia="仿宋_GB2312" w:cs="宋体" w:hint="eastAsia"/>
          <w:sz w:val="32"/>
          <w:szCs w:val="32"/>
          <w:lang w:val="en-US" w:eastAsia="zh-CN"/>
        </w:rPr>
      </w:pPr>
      <w:r>
        <w:rPr>
          <w:rFonts w:ascii="仿宋_GB2312" w:eastAsia="仿宋_GB2312" w:cs="宋体" w:hint="eastAsia"/>
          <w:sz w:val="32"/>
          <w:szCs w:val="32"/>
          <w:lang w:val="en-US" w:eastAsia="zh-CN"/>
        </w:rPr>
        <w:t>表2 古羌农客公司班车客运（四类班线）历年经营情况统计</w:t>
      </w:r>
    </w:p>
    <w:tbl>
      <w:tblPr>
        <w:jc w:val="cente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73"/>
        <w:gridCol w:w="696"/>
        <w:gridCol w:w="887"/>
        <w:gridCol w:w="1359"/>
        <w:gridCol w:w="1542"/>
        <w:gridCol w:w="1252"/>
        <w:gridCol w:w="1396"/>
      </w:tblGrid>
      <w:tr>
        <w:trPr>
          <w:trHeight w:val="550"/>
        </w:trPr>
        <w:tc>
          <w:tcPr>
            <w:tcW w:w="1083"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年份</w:t>
            </w:r>
          </w:p>
        </w:tc>
        <w:tc>
          <w:tcPr>
            <w:tcW w:w="382"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指标数</w:t>
            </w:r>
          </w:p>
        </w:tc>
        <w:tc>
          <w:tcPr>
            <w:tcW w:w="4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运营</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车台数</w:t>
            </w:r>
          </w:p>
        </w:tc>
        <w:tc>
          <w:tcPr>
            <w:tcW w:w="7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发送旅客量</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（人次）</w:t>
            </w:r>
          </w:p>
        </w:tc>
        <w:tc>
          <w:tcPr>
            <w:tcW w:w="8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旅客周转量</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（万公里）</w:t>
            </w:r>
          </w:p>
        </w:tc>
        <w:tc>
          <w:tcPr>
            <w:tcW w:w="6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出行总趟次</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（趟）</w:t>
            </w:r>
          </w:p>
        </w:tc>
        <w:tc>
          <w:tcPr>
            <w:tcW w:w="76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平均上座率</w:t>
            </w:r>
          </w:p>
        </w:tc>
      </w:tr>
      <w:tr>
        <w:trPr>
          <w:trHeight w:val="334"/>
        </w:trPr>
        <w:tc>
          <w:tcPr>
            <w:tcW w:w="1083"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2020年</w:t>
            </w:r>
          </w:p>
        </w:tc>
        <w:tc>
          <w:tcPr>
            <w:tcW w:w="382"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4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7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448182</w:t>
            </w:r>
          </w:p>
        </w:tc>
        <w:tc>
          <w:tcPr>
            <w:tcW w:w="8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15440739</w:t>
            </w:r>
          </w:p>
        </w:tc>
        <w:tc>
          <w:tcPr>
            <w:tcW w:w="6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5211</w:t>
            </w:r>
          </w:p>
        </w:tc>
        <w:tc>
          <w:tcPr>
            <w:tcW w:w="76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14%</w:t>
            </w:r>
          </w:p>
        </w:tc>
      </w:tr>
      <w:tr>
        <w:trPr>
          <w:trHeight w:val="334"/>
        </w:trPr>
        <w:tc>
          <w:tcPr>
            <w:tcW w:w="1083"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2021年</w:t>
            </w:r>
          </w:p>
        </w:tc>
        <w:tc>
          <w:tcPr>
            <w:tcW w:w="382"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4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7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830882</w:t>
            </w:r>
          </w:p>
        </w:tc>
        <w:tc>
          <w:tcPr>
            <w:tcW w:w="8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29080870</w:t>
            </w:r>
          </w:p>
        </w:tc>
        <w:tc>
          <w:tcPr>
            <w:tcW w:w="6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9661</w:t>
            </w:r>
          </w:p>
        </w:tc>
        <w:tc>
          <w:tcPr>
            <w:tcW w:w="76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26%</w:t>
            </w:r>
          </w:p>
        </w:tc>
      </w:tr>
      <w:tr>
        <w:trPr>
          <w:trHeight w:val="334"/>
        </w:trPr>
        <w:tc>
          <w:tcPr>
            <w:tcW w:w="1083"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2022年</w:t>
            </w:r>
          </w:p>
        </w:tc>
        <w:tc>
          <w:tcPr>
            <w:tcW w:w="382"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4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7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867976</w:t>
            </w:r>
          </w:p>
        </w:tc>
        <w:tc>
          <w:tcPr>
            <w:tcW w:w="8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30379174</w:t>
            </w:r>
          </w:p>
        </w:tc>
        <w:tc>
          <w:tcPr>
            <w:tcW w:w="6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10093</w:t>
            </w:r>
          </w:p>
        </w:tc>
        <w:tc>
          <w:tcPr>
            <w:tcW w:w="76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28%</w:t>
            </w:r>
          </w:p>
        </w:tc>
      </w:tr>
      <w:tr>
        <w:trPr>
          <w:trHeight w:val="334"/>
        </w:trPr>
        <w:tc>
          <w:tcPr>
            <w:tcW w:w="1083"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2023年</w:t>
            </w:r>
          </w:p>
        </w:tc>
        <w:tc>
          <w:tcPr>
            <w:tcW w:w="382"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4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7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1049290</w:t>
            </w:r>
          </w:p>
        </w:tc>
        <w:tc>
          <w:tcPr>
            <w:tcW w:w="8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36725160</w:t>
            </w:r>
          </w:p>
        </w:tc>
        <w:tc>
          <w:tcPr>
            <w:tcW w:w="6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12201</w:t>
            </w:r>
          </w:p>
        </w:tc>
        <w:tc>
          <w:tcPr>
            <w:tcW w:w="76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34%</w:t>
            </w:r>
          </w:p>
        </w:tc>
      </w:tr>
      <w:tr>
        <w:trPr>
          <w:trHeight w:val="334"/>
        </w:trPr>
        <w:tc>
          <w:tcPr>
            <w:tcW w:w="1083"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2024年1-3月</w:t>
            </w:r>
          </w:p>
        </w:tc>
        <w:tc>
          <w:tcPr>
            <w:tcW w:w="382"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86</w:t>
            </w:r>
          </w:p>
        </w:tc>
        <w:tc>
          <w:tcPr>
            <w:tcW w:w="4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85</w:t>
            </w:r>
          </w:p>
        </w:tc>
        <w:tc>
          <w:tcPr>
            <w:tcW w:w="7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350206</w:t>
            </w:r>
          </w:p>
        </w:tc>
        <w:tc>
          <w:tcPr>
            <w:tcW w:w="84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12257385</w:t>
            </w:r>
          </w:p>
        </w:tc>
        <w:tc>
          <w:tcPr>
            <w:tcW w:w="6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4072</w:t>
            </w:r>
          </w:p>
        </w:tc>
        <w:tc>
          <w:tcPr>
            <w:tcW w:w="76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11%</w:t>
            </w:r>
          </w:p>
        </w:tc>
      </w:tr>
    </w:tbl>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color w:val="auto"/>
          <w:sz w:val="32"/>
          <w:szCs w:val="32"/>
          <w:lang w:val="en-US" w:eastAsia="zh-CN"/>
        </w:rPr>
        <w:t>由表可见，班车客运（四类班线）车辆受益于川</w:t>
      </w:r>
      <w:r>
        <w:rPr>
          <w:rFonts w:ascii="仿宋_GB2312" w:eastAsia="仿宋_GB2312" w:cs="仿宋_GB2312" w:hint="eastAsia"/>
          <w:sz w:val="32"/>
          <w:szCs w:val="32"/>
          <w:lang w:val="en-US" w:eastAsia="zh-CN"/>
        </w:rPr>
        <w:t>青铁路茂县高铁站的开通，2023年接送旅客量明显增加，预计2024年还将在2023年的基础上上浮60%。在旅游旺季将出现川青铁路茂县站至县城线路运力短缺的现象。</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t>3.茂县羌鑫发展有限责任公司</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班车客运（四类班线）</w:t>
      </w:r>
      <w:r>
        <w:rPr>
          <w:rFonts w:ascii="仿宋_GB2312" w:eastAsia="仿宋_GB2312" w:cs="仿宋_GB2312" w:hint="eastAsia"/>
          <w:sz w:val="32"/>
          <w:szCs w:val="32"/>
          <w:lang w:val="en-US" w:eastAsia="zh-CN"/>
        </w:rPr>
        <w:t>车辆4辆（其中19座2辆，30座2辆）。运行线路为川青铁路茂县站至茂县客运站。</w:t>
      </w:r>
    </w:p>
    <w:p>
      <w:pPr>
        <w:keepNext w:val="0"/>
        <w:keepLines w:val="0"/>
        <w:pageBreakBefore w:val="0"/>
        <w:widowControl w:val="0"/>
        <w:kinsoku/>
        <w:wordWrap w:val="0"/>
        <w:overflowPunct w:val="0"/>
        <w:topLinePunct w:val="0"/>
        <w:autoSpaceDE w:val="0"/>
        <w:autoSpaceDN w:val="0"/>
        <w:adjustRightInd w:val="0"/>
        <w:snapToGrid w:val="0"/>
        <w:spacing w:line="560" w:lineRule="exact"/>
        <w:ind w:left="0" w:firstLineChars="200" w:firstLine="640"/>
        <w:textAlignment w:val="baseline"/>
        <w:rPr>
          <w:rFonts w:ascii="仿宋_GB2312" w:eastAsia="仿宋_GB2312" w:cs="方正楷体_GBK" w:hint="eastAsia"/>
          <w:bCs/>
          <w:snapToGrid w:val="0"/>
          <w:kern w:val="0"/>
          <w:sz w:val="32"/>
          <w:szCs w:val="32"/>
          <w:shd w:val="clear" w:color="auto" w:fill="FFFFFF"/>
        </w:rPr>
      </w:pPr>
      <w:r>
        <w:rPr>
          <w:rFonts w:ascii="仿宋_GB2312" w:eastAsia="仿宋_GB2312" w:cs="方正楷体_GBK" w:hint="eastAsia"/>
          <w:bCs/>
          <w:snapToGrid w:val="0"/>
          <w:kern w:val="0"/>
          <w:sz w:val="32"/>
          <w:szCs w:val="32"/>
          <w:shd w:val="clear" w:color="auto" w:fill="FFFFFF"/>
        </w:rPr>
        <w:t>4.四川阿坝州羌城笛韵客运有限责任公司</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现已审批25辆，计划车辆投放座位数9-39座。</w:t>
      </w:r>
      <w:r>
        <w:rPr>
          <w:rFonts w:ascii="仿宋_GB2312" w:eastAsia="仿宋_GB2312" w:cs="仿宋_GB2312" w:hint="eastAsia"/>
          <w:sz w:val="32"/>
          <w:szCs w:val="32"/>
          <w:lang w:val="en-US" w:eastAsia="zh-CN"/>
        </w:rPr>
        <w:t>运行线路为川青铁路茂县站至茂县客运站。</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楷体_GB2312" w:eastAsia="楷体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楷体_GB2312" w:eastAsia="楷体_GB2312" w:cs="方正楷体_GBK" w:hint="eastAsia"/>
          <w:i w:val="0"/>
          <w:iCs w:val="0"/>
          <w:caps w:val="0"/>
          <w:smallCaps w:val="0"/>
          <w:snapToGrid w:val="0"/>
          <w:color w:val="auto"/>
          <w:spacing w:val="0"/>
          <w:kern w:val="0"/>
          <w:sz w:val="32"/>
          <w:szCs w:val="32"/>
          <w:shd w:val="clear" w:color="auto" w:fill="FFFFFF"/>
          <w:lang w:val="en-US" w:eastAsia="zh-CN" w:bidi="ar-SA"/>
        </w:rPr>
        <w:t>（三）城市公交经营情况</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根据对当地公交企业（</w:t>
      </w: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茂县羌鑫发展有限责任公司</w:t>
      </w:r>
      <w:r>
        <w:rPr>
          <w:rFonts w:ascii="仿宋_GB2312" w:eastAsia="仿宋_GB2312" w:cs="仿宋_GB2312" w:hint="eastAsia"/>
          <w:sz w:val="32"/>
          <w:szCs w:val="32"/>
          <w:lang w:val="en-US" w:eastAsia="zh-CN"/>
        </w:rPr>
        <w:t>）走访统计，当前公交客运共计投放新能源车辆6台，运营县城内循环线路3条，车辆平均上座率达93%以上。</w:t>
      </w:r>
    </w:p>
    <w:p>
      <w:pPr>
        <w:keepNext w:val="0"/>
        <w:keepLines w:val="0"/>
        <w:pageBreakBefore w:val="0"/>
        <w:widowControl w:val="0"/>
        <w:kinsoku/>
        <w:wordWrap w:val="0"/>
        <w:overflowPunct/>
        <w:topLinePunct w:val="0"/>
        <w:autoSpaceDE w:val="0"/>
        <w:autoSpaceDN w:val="0"/>
        <w:bidi w:val="0"/>
        <w:adjustRightInd w:val="0"/>
        <w:snapToGrid w:val="0"/>
        <w:spacing w:line="560" w:lineRule="exact"/>
        <w:jc w:val="center"/>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表3 城市公交历年经营情况统计</w:t>
      </w:r>
    </w:p>
    <w:tbl>
      <w:tblPr>
        <w:jc w:val="left"/>
        <w:tblInd w:w="0" w:type="dx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047"/>
        <w:gridCol w:w="1108"/>
        <w:gridCol w:w="1512"/>
        <w:gridCol w:w="1512"/>
        <w:gridCol w:w="1512"/>
        <w:gridCol w:w="1253"/>
      </w:tblGrid>
      <w:tr>
        <w:trPr>
          <w:trHeight w:val="515"/>
        </w:trPr>
        <w:tc>
          <w:tcPr>
            <w:tcW w:w="1144"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年份</w:t>
            </w:r>
          </w:p>
        </w:tc>
        <w:tc>
          <w:tcPr>
            <w:tcW w:w="619"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运营车台数</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发送旅客量</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（人次）</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旅客周转量</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（万公里）</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平均上座率</w:t>
            </w:r>
          </w:p>
        </w:tc>
        <w:tc>
          <w:tcPr>
            <w:tcW w:w="700"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单车月均</w:t>
            </w:r>
          </w:p>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i w:val="0"/>
                <w:iCs w:val="0"/>
                <w:snapToGrid w:val="0"/>
                <w:color w:val="000000"/>
                <w:kern w:val="0"/>
                <w:sz w:val="32"/>
                <w:szCs w:val="32"/>
                <w:u w:val="none"/>
                <w:lang w:val="en-US" w:eastAsia="zh-CN"/>
              </w:rPr>
            </w:pPr>
            <w:r>
              <w:rPr>
                <w:rFonts w:ascii="仿宋_GB2312" w:eastAsia="仿宋_GB2312" w:cs="仿宋_GB2312" w:hint="eastAsia"/>
                <w:i w:val="0"/>
                <w:iCs w:val="0"/>
                <w:snapToGrid w:val="0"/>
                <w:color w:val="000000"/>
                <w:kern w:val="0"/>
                <w:sz w:val="32"/>
                <w:szCs w:val="32"/>
                <w:u w:val="none"/>
                <w:lang w:val="en-US" w:eastAsia="zh-CN"/>
              </w:rPr>
              <w:t>出勤趟次</w:t>
            </w:r>
          </w:p>
        </w:tc>
      </w:tr>
      <w:tr>
        <w:trPr>
          <w:trHeight w:val="326"/>
        </w:trPr>
        <w:tc>
          <w:tcPr>
            <w:tcW w:w="1144"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2020年</w:t>
            </w:r>
          </w:p>
        </w:tc>
        <w:tc>
          <w:tcPr>
            <w:tcW w:w="619"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6</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234900</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111060</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90%</w:t>
            </w:r>
          </w:p>
        </w:tc>
        <w:tc>
          <w:tcPr>
            <w:tcW w:w="700"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220</w:t>
            </w:r>
          </w:p>
        </w:tc>
      </w:tr>
      <w:tr>
        <w:trPr>
          <w:trHeight w:val="326"/>
        </w:trPr>
        <w:tc>
          <w:tcPr>
            <w:tcW w:w="1144"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2021年</w:t>
            </w:r>
          </w:p>
        </w:tc>
        <w:tc>
          <w:tcPr>
            <w:tcW w:w="619"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6</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315400</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78469</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100%</w:t>
            </w:r>
          </w:p>
        </w:tc>
        <w:tc>
          <w:tcPr>
            <w:tcW w:w="700"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540</w:t>
            </w:r>
          </w:p>
        </w:tc>
      </w:tr>
      <w:tr>
        <w:trPr>
          <w:trHeight w:val="326"/>
        </w:trPr>
        <w:tc>
          <w:tcPr>
            <w:tcW w:w="1144"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2022年</w:t>
            </w:r>
          </w:p>
        </w:tc>
        <w:tc>
          <w:tcPr>
            <w:tcW w:w="619"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6</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233000</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109886</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85%</w:t>
            </w:r>
          </w:p>
        </w:tc>
        <w:tc>
          <w:tcPr>
            <w:tcW w:w="700"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210</w:t>
            </w:r>
          </w:p>
        </w:tc>
      </w:tr>
      <w:tr>
        <w:trPr>
          <w:trHeight w:val="326"/>
        </w:trPr>
        <w:tc>
          <w:tcPr>
            <w:tcW w:w="1144"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2023年</w:t>
            </w:r>
          </w:p>
        </w:tc>
        <w:tc>
          <w:tcPr>
            <w:tcW w:w="619"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6</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287000</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131896</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100%</w:t>
            </w:r>
          </w:p>
        </w:tc>
        <w:tc>
          <w:tcPr>
            <w:tcW w:w="700"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540</w:t>
            </w:r>
          </w:p>
        </w:tc>
      </w:tr>
      <w:tr>
        <w:trPr>
          <w:trHeight w:val="326"/>
        </w:trPr>
        <w:tc>
          <w:tcPr>
            <w:tcW w:w="1144"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2024年1-4月</w:t>
            </w:r>
          </w:p>
        </w:tc>
        <w:tc>
          <w:tcPr>
            <w:tcW w:w="619"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6</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100000</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110297</w:t>
            </w:r>
          </w:p>
        </w:tc>
        <w:tc>
          <w:tcPr>
            <w:tcW w:w="845"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90%</w:t>
            </w:r>
          </w:p>
        </w:tc>
        <w:tc>
          <w:tcPr>
            <w:tcW w:w="700"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suppressLineNumbers w:val="0"/>
              <w:kinsoku/>
              <w:wordWrap w:val="0"/>
              <w:topLinePunct w:val="0"/>
              <w:autoSpaceDE w:val="0"/>
              <w:autoSpaceDN w:val="0"/>
              <w:bidi w:val="0"/>
              <w:spacing w:line="560" w:lineRule="exact"/>
              <w:jc w:val="center"/>
              <w:textAlignment w:val="center"/>
              <w:rPr>
                <w:rFonts w:ascii="仿宋_GB2312" w:eastAsia="仿宋_GB2312" w:cs="仿宋_GB2312" w:hint="eastAsia"/>
                <w:b w:val="0"/>
                <w:bCs w:val="0"/>
                <w:i w:val="0"/>
                <w:iCs w:val="0"/>
                <w:snapToGrid w:val="0"/>
                <w:color w:val="000000"/>
                <w:kern w:val="0"/>
                <w:sz w:val="32"/>
                <w:szCs w:val="32"/>
                <w:u w:val="none"/>
                <w:lang w:val="en-US" w:eastAsia="zh-CN"/>
              </w:rPr>
            </w:pPr>
            <w:r>
              <w:rPr>
                <w:rFonts w:ascii="仿宋_GB2312" w:eastAsia="仿宋_GB2312" w:cs="仿宋_GB2312" w:hint="eastAsia"/>
                <w:b w:val="0"/>
                <w:bCs w:val="0"/>
                <w:i w:val="0"/>
                <w:iCs w:val="0"/>
                <w:snapToGrid w:val="0"/>
                <w:color w:val="000000"/>
                <w:kern w:val="0"/>
                <w:sz w:val="32"/>
                <w:szCs w:val="32"/>
                <w:u w:val="none"/>
                <w:lang w:val="en-US" w:eastAsia="zh-CN"/>
              </w:rPr>
              <w:t>220</w:t>
            </w:r>
          </w:p>
        </w:tc>
      </w:tr>
    </w:tbl>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由表可见，城市公交车辆出勤趟次及上座率较高，全年发送旅客量较为稳定，受疫情、地质灾害及旅游经济影响较小。受社会福利政策影响，企业收益仍处于亏损状态，企业营收主要依托于政府补贴及政策扶持。</w:t>
      </w:r>
    </w:p>
    <w:p>
      <w:pPr>
        <w:keepNext w:val="0"/>
        <w:keepLines w:val="0"/>
        <w:pageBreakBefore w:val="0"/>
        <w:widowControl w:val="0"/>
        <w:kinsoku/>
        <w:wordWrap w:val="0"/>
        <w:overflowPunct w:val="0"/>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方正楷体_GBK" w:hint="eastAsia"/>
          <w:i w:val="0"/>
          <w:iCs w:val="0"/>
          <w:caps w:val="0"/>
          <w:smallCaps w:val="0"/>
          <w:snapToGrid w:val="0"/>
          <w:color w:val="auto"/>
          <w:spacing w:val="0"/>
          <w:kern w:val="0"/>
          <w:sz w:val="32"/>
          <w:szCs w:val="32"/>
          <w:shd w:val="clear" w:color="auto" w:fill="FFFFFF"/>
          <w:lang w:val="en-US" w:eastAsia="zh-CN" w:bidi="ar-SA"/>
        </w:rPr>
        <w:t>（四）巡游出租汽车经营情况</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茂县境内巡游出租汽车经营企业（</w:t>
      </w: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茂县西羌出租汽车有限公司</w:t>
      </w:r>
      <w:r>
        <w:rPr>
          <w:rFonts w:ascii="仿宋_GB2312" w:eastAsia="仿宋_GB2312" w:cs="仿宋_GB2312" w:hint="eastAsia"/>
          <w:sz w:val="32"/>
          <w:szCs w:val="32"/>
          <w:lang w:val="en-US" w:eastAsia="zh-CN"/>
        </w:rPr>
        <w:t>），运营巡游出租汽车79台。通过对企业和从业人员的走访调查，车辆采取双驾轮班运行模式。</w:t>
      </w:r>
      <w:r>
        <w:rPr>
          <w:rFonts w:ascii="仿宋_GB2312" w:eastAsia="仿宋_GB2312" w:cs="仿宋_GB2312" w:hint="eastAsia"/>
          <w:color w:val="auto"/>
          <w:sz w:val="32"/>
          <w:szCs w:val="32"/>
          <w:lang w:val="en-US" w:eastAsia="zh-CN"/>
        </w:rPr>
        <w:t>高铁开通之后，巡游出租汽车作为高铁站接驳运力的补充，同比往年，订单量和单车收益明显增加。</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Chars="200" w:firstLine="640"/>
        <w:textAlignment w:val="baseline"/>
        <w:rPr>
          <w:rFonts w:ascii="黑体" w:eastAsia="黑体" w:cs="黑体" w:hint="eastAsia"/>
          <w:b w:val="0"/>
          <w:bCs/>
          <w:sz w:val="32"/>
          <w:szCs w:val="32"/>
          <w:lang w:val="en-US" w:eastAsia="zh-CN"/>
        </w:rPr>
      </w:pPr>
      <w:bookmarkStart w:id="8" w:name="_Toc19211"/>
      <w:bookmarkStart w:id="9" w:name="_Toc20558"/>
      <w:bookmarkStart w:id="10" w:name="_Toc8888"/>
      <w:r>
        <w:rPr>
          <w:rFonts w:ascii="黑体" w:eastAsia="黑体" w:cs="黑体" w:hint="eastAsia"/>
          <w:b w:val="0"/>
          <w:bCs/>
          <w:sz w:val="32"/>
          <w:szCs w:val="32"/>
          <w:lang w:val="en-US" w:eastAsia="zh-CN"/>
        </w:rPr>
        <w:t>三、未来发展趋势</w:t>
      </w:r>
      <w:bookmarkEnd w:id="8"/>
      <w:bookmarkEnd w:id="9"/>
      <w:bookmarkEnd w:id="10"/>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根据对2018-2023年茂县客运市场运行情况调研分析，部分客运类型受震后旅游资源的恢复、其他交通方式的快速发展、自然因素影响以及交通运输政策导向的影响，特别是高铁开通后，茂县客运市场呈现出一定的波动和变化。满足广大旅客多样化的出行方式，发展</w:t>
      </w: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网络预约出租汽车、小微型客车租赁、景区直通车、包车客运等新业态势在必行</w:t>
      </w:r>
      <w:r>
        <w:rPr>
          <w:rFonts w:ascii="仿宋_GB2312" w:eastAsia="仿宋_GB2312" w:cs="仿宋_GB2312" w:hint="eastAsia"/>
          <w:sz w:val="32"/>
          <w:szCs w:val="32"/>
          <w:lang w:val="en-US" w:eastAsia="zh-CN"/>
        </w:rPr>
        <w:t>。</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outlineLvl w:val="1"/>
        <w:rPr>
          <w:rFonts w:ascii="楷体_GB2312" w:eastAsia="楷体_GB2312" w:cs="方正楷体_GBK" w:hint="eastAsia"/>
          <w:sz w:val="32"/>
          <w:szCs w:val="32"/>
          <w:lang w:val="en-US" w:eastAsia="zh-CN"/>
        </w:rPr>
      </w:pPr>
      <w:bookmarkStart w:id="11" w:name="_Toc8211"/>
      <w:bookmarkStart w:id="12" w:name="_Toc5707"/>
      <w:bookmarkStart w:id="13" w:name="_Toc32106"/>
      <w:r>
        <w:rPr>
          <w:rFonts w:ascii="楷体_GB2312" w:eastAsia="楷体_GB2312" w:cs="方正楷体_GBK" w:hint="eastAsia"/>
          <w:sz w:val="32"/>
          <w:szCs w:val="32"/>
          <w:lang w:val="en-US" w:eastAsia="zh-CN"/>
        </w:rPr>
        <w:t>（一）旅游业发展趋势</w:t>
      </w:r>
      <w:bookmarkEnd w:id="11"/>
      <w:bookmarkEnd w:id="12"/>
      <w:bookmarkEnd w:id="13"/>
    </w:p>
    <w:p>
      <w:pPr>
        <w:keepNext w:val="0"/>
        <w:keepLines w:val="0"/>
        <w:pageBreakBefore w:val="0"/>
        <w:widowControl w:val="0"/>
        <w:kinsoku/>
        <w:wordWrap w:val="0"/>
        <w:overflowPunct/>
        <w:topLinePunct w:val="0"/>
        <w:autoSpaceDE w:val="0"/>
        <w:autoSpaceDN w:val="0"/>
        <w:adjustRightInd w:val="0"/>
        <w:snapToGrid w:val="0"/>
        <w:spacing w:line="560" w:lineRule="exact"/>
        <w:ind w:left="0" w:firstLineChars="200" w:firstLine="640"/>
        <w:textAlignment w:val="baseline"/>
        <w:rPr>
          <w:rFonts w:ascii="仿宋_GB2312" w:eastAsia="仿宋_GB2312" w:cs="仿宋_GB2312" w:hint="eastAsia"/>
          <w:sz w:val="32"/>
          <w:szCs w:val="32"/>
        </w:rPr>
      </w:pPr>
      <w:r>
        <w:rPr>
          <w:rFonts w:ascii="仿宋_GB2312" w:eastAsia="仿宋_GB2312" w:cs="仿宋_GB2312" w:hint="eastAsia"/>
          <w:sz w:val="32"/>
          <w:szCs w:val="32"/>
          <w:lang w:val="en-US" w:eastAsia="zh-CN"/>
        </w:rPr>
        <w:t>根据茂县历年政府工作报告、铁路12306班次查询统计、成阿旅游服务中心包车数据统计、四川汽车票务网及互联网平台出行数据统计，2018年至2023年，茂县接待游客人数呈逐年上升态势，2023年全年接待游客数已达579万人次。</w:t>
      </w:r>
    </w:p>
    <w:p>
      <w:pPr>
        <w:keepNext w:val="0"/>
        <w:keepLines w:val="0"/>
        <w:pageBreakBefore w:val="0"/>
        <w:widowControl w:val="0"/>
        <w:kinsoku/>
        <w:wordWrap w:val="0"/>
        <w:overflowPunct/>
        <w:topLinePunct w:val="0"/>
        <w:autoSpaceDE w:val="0"/>
        <w:autoSpaceDN w:val="0"/>
        <w:bidi w:val="0"/>
        <w:adjustRightInd w:val="0"/>
        <w:snapToGrid w:val="0"/>
        <w:spacing w:line="360" w:lineRule="auto"/>
        <w:jc w:val="center"/>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图1 茂县历史接待游客量统计</w:t>
      </w:r>
    </w:p>
    <w:p>
      <w:pPr>
        <w:keepNext w:val="0"/>
        <w:keepLines w:val="0"/>
        <w:pageBreakBefore w:val="0"/>
        <w:widowControl w:val="0"/>
        <w:kinsoku/>
        <w:wordWrap w:val="0"/>
        <w:overflowPunct/>
        <w:topLinePunct w:val="0"/>
        <w:autoSpaceDE w:val="0"/>
        <w:autoSpaceDN w:val="0"/>
        <w:adjustRightInd w:val="0"/>
        <w:snapToGrid w:val="0"/>
        <w:spacing w:line="360" w:lineRule="auto"/>
        <w:jc w:val="center"/>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drawing>
          <wp:inline distT="0" distB="0" distL="114300" distR="114300">
            <wp:extent cx="4733290" cy="2355850"/>
            <wp:effectExtent l="0" t="0" r="0" b="0"/>
            <wp:docPr id="1" name="图表 7"/>
            <wp:cNvGraphicFramePr>
              <a:graphicFrameLocks noChangeAspect="0"/>
            </wp:cNvGraphicFramePr>
            <a:graphic>
              <a:graphicData uri="http://schemas.openxmlformats.org/drawingml/2006/chart">
                <c:chart xmlns:c="http://schemas.openxmlformats.org/drawingml/2006/chart" r:id="rId2"/>
              </a:graphicData>
            </a:graphic>
          </wp:inline>
        </w:drawing>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随着茂县旅游资源开发和景区发展建设，未来三年内，游客人数将持续大幅度增长。至2027年，预估全年接待游客数将达到820万人次，同比2023年上涨76%。届时，公路客运车辆需求将进一步增大，特别是县城至景区、川青铁路茂县站至景区、川青铁路茂县站至县城的接驳客运车辆需求将持续增加。</w:t>
      </w:r>
    </w:p>
    <w:p>
      <w:pPr>
        <w:keepNext w:val="0"/>
        <w:keepLines w:val="0"/>
        <w:pageBreakBefore w:val="0"/>
        <w:widowControl w:val="0"/>
        <w:kinsoku/>
        <w:wordWrap w:val="0"/>
        <w:overflowPunct/>
        <w:topLinePunct w:val="0"/>
        <w:autoSpaceDE w:val="0"/>
        <w:autoSpaceDN w:val="0"/>
        <w:bidi w:val="0"/>
        <w:adjustRightInd w:val="0"/>
        <w:snapToGrid w:val="0"/>
        <w:spacing w:line="360" w:lineRule="auto"/>
        <w:jc w:val="center"/>
        <w:textAlignment w:val="baseline"/>
        <w:rPr>
          <w:rFonts w:ascii="仿宋_GB2312" w:eastAsia="仿宋_GB2312" w:cs="仿宋_GB2312" w:hint="eastAsia"/>
          <w:b/>
          <w:bCs/>
          <w:sz w:val="32"/>
          <w:szCs w:val="32"/>
          <w:lang w:val="en-US" w:eastAsia="zh-CN"/>
        </w:rPr>
      </w:pPr>
      <w:r>
        <w:rPr>
          <w:rFonts w:ascii="仿宋_GB2312" w:eastAsia="仿宋_GB2312" w:cs="仿宋_GB2312" w:hint="eastAsia"/>
          <w:bCs/>
          <w:sz w:val="32"/>
          <w:szCs w:val="32"/>
        </w:rPr>
        <w:t>图2 未来接待游客量预计</w:t>
      </w:r>
      <w:r>
        <w:rPr>
          <w:rFonts w:ascii="仿宋_GB2312" w:eastAsia="仿宋_GB2312" w:cs="仿宋_GB2312" w:hint="eastAsia"/>
          <w:sz w:val="32"/>
          <w:szCs w:val="32"/>
          <w:lang w:val="en-US" w:eastAsia="zh-CN"/>
        </w:rPr>
        <w:drawing>
          <wp:inline distT="0" distB="0" distL="114300" distR="114300">
            <wp:extent cx="4028440" cy="1896110"/>
            <wp:effectExtent l="0" t="0" r="0" b="0"/>
            <wp:docPr id="2" name="图表 8"/>
            <wp:cNvGraphicFramePr>
              <a:graphicFrameLocks noChangeAspect="0"/>
            </wp:cNvGraphicFramePr>
            <a:graphic>
              <a:graphicData uri="http://schemas.openxmlformats.org/drawingml/2006/chart">
                <c:chart xmlns:c="http://schemas.openxmlformats.org/drawingml/2006/chart" r:id="rId3"/>
              </a:graphicData>
            </a:graphic>
          </wp:inline>
        </w:drawing>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outlineLvl w:val="1"/>
        <w:rPr>
          <w:rFonts w:ascii="楷体_GB2312" w:eastAsia="楷体_GB2312" w:cs="方正楷体_GBK" w:hint="eastAsia"/>
          <w:sz w:val="32"/>
          <w:szCs w:val="32"/>
          <w:lang w:val="en-US" w:eastAsia="zh-CN"/>
        </w:rPr>
      </w:pPr>
      <w:bookmarkStart w:id="14" w:name="_Toc14259"/>
      <w:bookmarkStart w:id="15" w:name="_Toc19112"/>
      <w:bookmarkStart w:id="16" w:name="_Toc23623"/>
      <w:r>
        <w:rPr>
          <w:rFonts w:ascii="楷体_GB2312" w:eastAsia="楷体_GB2312" w:cs="方正楷体_GBK" w:hint="eastAsia"/>
          <w:sz w:val="32"/>
          <w:szCs w:val="32"/>
          <w:lang w:val="en-US" w:eastAsia="zh-CN"/>
        </w:rPr>
        <w:t>（二）交通方式的发展趋势</w:t>
      </w:r>
      <w:bookmarkEnd w:id="14"/>
      <w:bookmarkEnd w:id="15"/>
      <w:bookmarkEnd w:id="16"/>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outlineLvl w:val="1"/>
        <w:rPr>
          <w:rFonts w:ascii="仿宋_GB2312" w:eastAsia="仿宋_GB2312" w:cs="方正楷体_GBK" w:hint="eastAsia"/>
          <w:sz w:val="32"/>
          <w:szCs w:val="32"/>
          <w:lang w:val="en-US" w:eastAsia="zh-CN"/>
        </w:rPr>
      </w:pPr>
      <w:r>
        <w:rPr>
          <w:rFonts w:ascii="仿宋_GB2312" w:eastAsia="仿宋_GB2312" w:cs="方正楷体_GBK" w:hint="eastAsia"/>
          <w:sz w:val="32"/>
          <w:szCs w:val="32"/>
          <w:lang w:val="en-US" w:eastAsia="zh-CN"/>
        </w:rPr>
        <w:t>1.高铁动车的发展</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center"/>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随着2023年11月28日川青铁路成黄段的开通运营，川青铁路茂县站成为了川内外乘客进入茂县的主要停靠场站。</w:t>
      </w:r>
    </w:p>
    <w:p>
      <w:pPr>
        <w:keepNext w:val="0"/>
        <w:keepLines w:val="0"/>
        <w:pageBreakBefore w:val="0"/>
        <w:widowControl w:val="0"/>
        <w:kinsoku/>
        <w:wordWrap w:val="0"/>
        <w:overflowPunct/>
        <w:topLinePunct w:val="0"/>
        <w:autoSpaceDE w:val="0"/>
        <w:autoSpaceDN w:val="0"/>
        <w:bidi w:val="0"/>
        <w:adjustRightInd w:val="0"/>
        <w:snapToGrid w:val="0"/>
        <w:spacing w:line="560" w:lineRule="exact"/>
        <w:jc w:val="center"/>
        <w:textAlignment w:val="baseline"/>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图3 川青铁路茂县站旅客人数统计</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Chars="200" w:firstLine="640"/>
        <w:textAlignment w:val="center"/>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drawing>
          <wp:inline distT="0" distB="0" distL="114300" distR="114300">
            <wp:extent cx="4512310" cy="2080895"/>
            <wp:effectExtent l="0" t="0" r="0" b="0"/>
            <wp:docPr id="3" name="图表 16"/>
            <wp:cNvGraphicFramePr>
              <a:graphicFrameLocks noChangeAspect="0"/>
            </wp:cNvGraphicFramePr>
            <a:graphic>
              <a:graphicData uri="http://schemas.openxmlformats.org/drawingml/2006/chart">
                <c:chart xmlns:c="http://schemas.openxmlformats.org/drawingml/2006/chart" r:id="rId4"/>
              </a:graphicData>
            </a:graphic>
          </wp:inline>
        </w:drawing>
      </w:r>
    </w:p>
    <w:p>
      <w:pPr>
        <w:pStyle w:val="15"/>
        <w:keepNext w:val="0"/>
        <w:keepLines w:val="0"/>
        <w:pageBreakBefore w:val="0"/>
        <w:widowControl w:val="0"/>
        <w:kinsoku/>
        <w:wordWrap w:val="0"/>
        <w:overflowPunct/>
        <w:topLinePunct w:val="0"/>
        <w:autoSpaceDE w:val="0"/>
        <w:autoSpaceDN w:val="0"/>
        <w:bidi w:val="0"/>
        <w:adjustRightInd w:val="0"/>
        <w:snapToGrid w:val="0"/>
        <w:spacing w:before="0" w:line="560" w:lineRule="exact"/>
        <w:ind w:firstLineChars="200" w:firstLine="640"/>
        <w:jc w:val="both"/>
        <w:textAlignment w:val="baseline"/>
        <w:rPr>
          <w:rFonts w:ascii="仿宋_GB2312" w:eastAsia="仿宋_GB2312" w:cs="仿宋_GB2312" w:hint="eastAsia"/>
          <w:snapToGrid w:val="0"/>
          <w:color w:val="000000"/>
          <w:kern w:val="0"/>
          <w:sz w:val="32"/>
          <w:szCs w:val="32"/>
          <w:lang w:val="en-US" w:eastAsia="zh-CN" w:bidi="ar-SA"/>
        </w:rPr>
      </w:pPr>
      <w:r>
        <w:rPr>
          <w:rFonts w:ascii="仿宋_GB2312" w:eastAsia="仿宋_GB2312" w:cs="仿宋_GB2312" w:hint="eastAsia"/>
          <w:snapToGrid w:val="0"/>
          <w:color w:val="000000"/>
          <w:kern w:val="0"/>
          <w:sz w:val="32"/>
          <w:szCs w:val="32"/>
          <w:lang w:val="en-US" w:eastAsia="zh-CN" w:bidi="ar-SA"/>
        </w:rPr>
        <w:t>结合茂县高铁站进出旅客数据统计分析，自高铁开通之日起，月均发送动车240趟次，月均运送旅客7.2万人次。根据铁路部门相关规划，2024年至2027年，高铁班次将在现有9组班次的基础上逐步增加至22组班次，单趟最高可挂载16节车厢（可售1263票）。加上旅游专列等差异化运输模式的开通，预计高铁接送旅客量单日峰值将达到2.5万人次。</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outlineLvl w:val="1"/>
        <w:rPr>
          <w:rFonts w:ascii="仿宋_GB2312" w:eastAsia="仿宋_GB2312" w:cs="方正楷体_GBK" w:hint="eastAsia"/>
          <w:sz w:val="32"/>
          <w:szCs w:val="32"/>
          <w:lang w:val="en-US" w:eastAsia="zh-CN"/>
        </w:rPr>
      </w:pPr>
      <w:r>
        <w:rPr>
          <w:rFonts w:ascii="仿宋_GB2312" w:eastAsia="仿宋_GB2312" w:cs="方正楷体_GBK" w:hint="eastAsia"/>
          <w:sz w:val="32"/>
          <w:szCs w:val="32"/>
          <w:lang w:val="en-US" w:eastAsia="zh-CN"/>
        </w:rPr>
        <w:t>2.出行方式的发展变化</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center"/>
        <w:rPr>
          <w:rFonts w:ascii="仿宋_GB2312" w:eastAsia="仿宋_GB2312" w:cs="仿宋_GB2312" w:hint="eastAsia"/>
          <w:snapToGrid w:val="0"/>
          <w:color w:val="000000"/>
          <w:kern w:val="0"/>
          <w:sz w:val="32"/>
          <w:szCs w:val="32"/>
          <w:lang w:val="en-US" w:eastAsia="zh-CN" w:bidi="ar-SA"/>
        </w:rPr>
      </w:pPr>
      <w:r>
        <w:rPr>
          <w:rFonts w:ascii="仿宋_GB2312" w:eastAsia="仿宋_GB2312" w:cs="仿宋_GB2312" w:hint="eastAsia"/>
          <w:snapToGrid w:val="0"/>
          <w:color w:val="000000"/>
          <w:kern w:val="0"/>
          <w:sz w:val="32"/>
          <w:szCs w:val="32"/>
          <w:lang w:val="en-US" w:eastAsia="zh-CN" w:bidi="ar-SA"/>
        </w:rPr>
        <w:t>随着</w:t>
      </w:r>
      <w:r>
        <w:rPr>
          <w:rFonts w:ascii="仿宋_GB2312" w:eastAsia="仿宋_GB2312" w:cs="仿宋_GB2312" w:hint="eastAsia"/>
          <w:sz w:val="32"/>
          <w:szCs w:val="32"/>
          <w:lang w:val="en-US" w:eastAsia="zh-CN"/>
        </w:rPr>
        <w:t>高铁的开通，</w:t>
      </w:r>
      <w:r>
        <w:rPr>
          <w:rFonts w:ascii="仿宋_GB2312" w:eastAsia="仿宋_GB2312" w:cs="仿宋_GB2312" w:hint="eastAsia"/>
          <w:snapToGrid w:val="0"/>
          <w:color w:val="000000"/>
          <w:kern w:val="0"/>
          <w:sz w:val="32"/>
          <w:szCs w:val="32"/>
          <w:lang w:val="en-US" w:eastAsia="zh-CN" w:bidi="ar-SA"/>
        </w:rPr>
        <w:t>客流量将持续增涨，</w:t>
      </w:r>
      <w:r>
        <w:rPr>
          <w:rFonts w:ascii="仿宋_GB2312" w:eastAsia="仿宋_GB2312" w:cs="仿宋_GB2312" w:hint="eastAsia"/>
          <w:sz w:val="32"/>
          <w:szCs w:val="32"/>
          <w:lang w:val="en-US" w:eastAsia="zh-CN"/>
        </w:rPr>
        <w:t>势必会对当前客运模式造成正向激励影响，一是带动高铁站往返景区及茂县县城的班车客运车辆台数及业务量得到大幅度的增长。二是随着游客年轻化趋势的发展，</w:t>
      </w:r>
      <w:r>
        <w:rPr>
          <w:rFonts w:ascii="仿宋_GB2312" w:eastAsia="仿宋_GB2312" w:cs="仿宋_GB2312" w:hint="eastAsia"/>
          <w:snapToGrid w:val="0"/>
          <w:color w:val="000000"/>
          <w:kern w:val="0"/>
          <w:sz w:val="32"/>
          <w:szCs w:val="32"/>
          <w:lang w:val="en-US" w:eastAsia="zh-CN" w:bidi="ar-SA"/>
        </w:rPr>
        <w:t>不同层次的游客将会出现多元化运力需求，</w:t>
      </w:r>
      <w:r>
        <w:rPr>
          <w:rFonts w:ascii="仿宋_GB2312" w:eastAsia="仿宋_GB2312" w:cs="仿宋_GB2312" w:hint="eastAsia"/>
          <w:sz w:val="32"/>
          <w:szCs w:val="32"/>
          <w:lang w:val="en-US" w:eastAsia="zh-CN"/>
        </w:rPr>
        <w:t>“互联网+客运”的智能交通出行方式将得到一定程度的发展</w:t>
      </w:r>
      <w:r>
        <w:rPr>
          <w:rFonts w:ascii="仿宋_GB2312" w:eastAsia="仿宋_GB2312" w:cs="仿宋_GB2312" w:hint="eastAsia"/>
          <w:snapToGrid w:val="0"/>
          <w:color w:val="000000"/>
          <w:kern w:val="0"/>
          <w:sz w:val="32"/>
          <w:szCs w:val="32"/>
          <w:lang w:val="en-US" w:eastAsia="zh-CN" w:bidi="ar-SA"/>
        </w:rPr>
        <w:t>，特别是对“吃、住、行、游、购、娱”相结合的一站式服务出行需求将大幅上升。小型化、中高档车辆、自由线路相结合的灵活出行模式将得到大力的发展。</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baseline"/>
        <w:outlineLvl w:val="1"/>
        <w:rPr>
          <w:rFonts w:ascii="仿宋_GB2312" w:eastAsia="仿宋_GB2312" w:cs="方正楷体_GBK" w:hint="eastAsia"/>
          <w:sz w:val="32"/>
          <w:szCs w:val="32"/>
          <w:lang w:val="en-US" w:eastAsia="zh-CN"/>
        </w:rPr>
      </w:pPr>
      <w:r>
        <w:rPr>
          <w:rFonts w:ascii="仿宋_GB2312" w:eastAsia="仿宋_GB2312" w:cs="方正楷体_GBK" w:hint="eastAsia"/>
          <w:sz w:val="32"/>
          <w:szCs w:val="32"/>
          <w:lang w:val="en-US" w:eastAsia="zh-CN"/>
        </w:rPr>
        <w:t>3.新的客运模式的发展</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（1）网络预约出租汽车的发展</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sz w:val="32"/>
          <w:szCs w:val="32"/>
          <w:lang w:val="en-US" w:eastAsia="zh-CN"/>
        </w:rPr>
        <w:t>对比传统客运，网络预约出租汽车解决了叫车麻烦、等车时间长、固定线路、固定点位上下车的困难，同时通过智能手机采用线上支付、实时追踪车辆位置、线上投诉评价等功能，让乘客体验感更强，出行更便捷。能够更加方便快捷地满足乘客的个性化出行需求，已成为当下人们出行的重要方式。结合高铁沿线城市运力结构分析，当前茂县境内客运类型结构已无法满足旅客日益增长的网约出行需求。发展网络预约出租汽车势在必行。</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textAlignment w:val="cente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（2）小微型客车租赁的发展</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随着高铁站的建成通车和川汶高速的建设，小型商务团、家庭团的出行方式在一定程度上取代了传统组团包车旅游的30座以上大型车辆运输模式。应对高端定制出行需求的增长，小微型客车租赁作为解决中短途自驾出行的中转接驳车辆，更适合茂县至周边景区的运力替代方式，势必会成为新兴出行方式的主流。未来将会有大量的自驾游客将选择乘坐高铁到茂县境内车站，再行到当地租赁公司租用小微型租赁客车（5-9座）前往目的地。</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b w:val="0"/>
          <w:bCs w:val="0"/>
          <w:sz w:val="32"/>
          <w:szCs w:val="32"/>
          <w:lang w:val="en-US" w:eastAsia="zh-CN"/>
        </w:rPr>
      </w:pPr>
      <w:r>
        <w:rPr>
          <w:rFonts w:ascii="仿宋_GB2312" w:eastAsia="仿宋_GB2312" w:cs="仿宋_GB2312" w:hint="eastAsia"/>
          <w:i w:val="0"/>
          <w:iCs w:val="0"/>
          <w:caps w:val="0"/>
          <w:smallCaps w:val="0"/>
          <w:snapToGrid w:val="0"/>
          <w:color w:val="auto"/>
          <w:spacing w:val="0"/>
          <w:kern w:val="0"/>
          <w:sz w:val="32"/>
          <w:szCs w:val="32"/>
          <w:shd w:val="clear" w:color="auto" w:fill="FFFFFF"/>
          <w:lang w:val="en-US" w:eastAsia="zh-CN" w:bidi="ar-SA"/>
        </w:rPr>
        <w:t>（3）景区直通车的发展</w:t>
      </w:r>
    </w:p>
    <w:p>
      <w:pPr>
        <w:keepNext w:val="0"/>
        <w:pageBreakBefore w:val="0"/>
        <w:widowControl w:val="0"/>
        <w:topLinePunct w:val="0"/>
        <w:autoSpaceDE w:val="0"/>
        <w:bidi w:val="0"/>
        <w:spacing w:line="560" w:lineRule="exact"/>
        <w:rPr>
          <w:rFonts w:ascii="仿宋_GB2312" w:eastAsia="仿宋_GB2312" w:cs="仿宋_GB2312" w:hint="eastAsia"/>
          <w:sz w:val="32"/>
          <w:szCs w:val="32"/>
          <w:lang w:val="en-US" w:eastAsia="zh-CN"/>
        </w:rPr>
      </w:pPr>
      <w:bookmarkStart w:id="17" w:name="_Toc174"/>
      <w:bookmarkStart w:id="18" w:name="_Toc5816"/>
      <w:bookmarkStart w:id="19" w:name="_Toc9683"/>
      <w:bookmarkStart w:id="20" w:name="_Toc27406"/>
      <w:bookmarkStart w:id="21" w:name="_Toc8927"/>
      <w:bookmarkStart w:id="22" w:name="_Toc16009"/>
      <w:bookmarkStart w:id="23" w:name="_Toc25549"/>
      <w:r>
        <w:rPr>
          <w:rFonts w:ascii="仿宋_GB2312" w:eastAsia="仿宋_GB2312" w:cs="仿宋_GB2312" w:hint="eastAsia"/>
          <w:b w:val="0"/>
          <w:snapToGrid w:val="0"/>
          <w:color w:val="000000"/>
          <w:kern w:val="0"/>
          <w:sz w:val="32"/>
          <w:szCs w:val="32"/>
          <w:lang w:val="en-US" w:eastAsia="zh-CN" w:bidi="ar-SA"/>
        </w:rPr>
        <w:t>高铁的开通，将进一步带动茂县及周边旅游景点的客流。当前茂县境内没有开行景区直通车，游客前往周边景区，一是通过自驾或包车的方式，二是通过川青铁路茂县站换乘出租车前往目的地。随着游客量的逐渐增加，有必要发展景区直通车，充当川青铁路茂县站至热门景区线路的接驳摆渡，缓解高峰期客流压力。</w:t>
      </w:r>
      <w:bookmarkEnd w:id="17"/>
      <w:bookmarkEnd w:id="18"/>
      <w:bookmarkEnd w:id="19"/>
      <w:bookmarkEnd w:id="20"/>
      <w:bookmarkEnd w:id="21"/>
      <w:bookmarkEnd w:id="22"/>
      <w:bookmarkEnd w:id="23"/>
    </w:p>
    <w:p>
      <w:pPr>
        <w:pStyle w:val="1"/>
        <w:keepNext w:val="0"/>
        <w:keepLines w:val="0"/>
        <w:pageBreakBefore w:val="0"/>
        <w:widowControl w:val="0"/>
        <w:kinsoku/>
        <w:wordWrap w:val="0"/>
        <w:topLinePunct w:val="0"/>
        <w:autoSpaceDE w:val="0"/>
        <w:autoSpaceDN w:val="0"/>
        <w:bidi w:val="0"/>
        <w:spacing w:line="560" w:lineRule="exact"/>
        <w:ind w:left="0" w:firstLineChars="200" w:firstLine="640"/>
        <w:jc w:val="both"/>
        <w:rPr>
          <w:rFonts w:ascii="黑体" w:eastAsia="黑体" w:cs="黑体" w:hint="eastAsia"/>
          <w:b w:val="0"/>
          <w:bCs/>
          <w:sz w:val="32"/>
          <w:szCs w:val="32"/>
          <w:lang w:val="en-US" w:eastAsia="zh-CN"/>
        </w:rPr>
      </w:pPr>
      <w:bookmarkStart w:id="24" w:name="_Toc6126"/>
      <w:bookmarkStart w:id="25" w:name="_Toc3771"/>
      <w:bookmarkStart w:id="26" w:name="_Toc22496"/>
      <w:bookmarkStart w:id="27" w:name="_Toc4761"/>
      <w:r>
        <w:rPr>
          <w:rFonts w:ascii="黑体" w:eastAsia="黑体" w:cs="黑体" w:hint="eastAsia"/>
          <w:b w:val="0"/>
          <w:bCs/>
          <w:sz w:val="32"/>
          <w:szCs w:val="32"/>
          <w:lang w:val="en-US" w:eastAsia="zh-CN"/>
        </w:rPr>
        <w:t>四、客运发展建议</w:t>
      </w:r>
      <w:bookmarkEnd w:id="24"/>
      <w:bookmarkEnd w:id="25"/>
      <w:bookmarkEnd w:id="26"/>
      <w:bookmarkEnd w:id="27"/>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通过对当前茂县客运市场的调查与未来发展的分析，项目组对未来三年（2024年-2027年）客运运力发展提出以下规划建议：</w:t>
      </w:r>
    </w:p>
    <w:p>
      <w:pPr>
        <w:pStyle w:val="2"/>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rPr>
          <w:rFonts w:ascii="楷体_GB2312" w:eastAsia="楷体_GB2312" w:cs="方正楷体_GBK" w:hint="eastAsia"/>
          <w:b w:val="0"/>
          <w:color w:val="auto"/>
          <w:sz w:val="32"/>
          <w:szCs w:val="32"/>
          <w:lang w:val="en-US" w:eastAsia="zh-CN"/>
        </w:rPr>
      </w:pPr>
      <w:bookmarkStart w:id="28" w:name="_Toc29117"/>
      <w:bookmarkStart w:id="29" w:name="_Toc18857"/>
      <w:bookmarkStart w:id="30" w:name="_Toc8097"/>
      <w:r>
        <w:rPr>
          <w:rFonts w:ascii="楷体_GB2312" w:eastAsia="楷体_GB2312" w:cs="方正楷体_GBK" w:hint="eastAsia"/>
          <w:b w:val="0"/>
          <w:color w:val="auto"/>
          <w:sz w:val="32"/>
          <w:szCs w:val="32"/>
          <w:lang w:val="en-US" w:eastAsia="zh-CN"/>
        </w:rPr>
        <w:t>（一）现有运力发展建议</w:t>
      </w:r>
      <w:bookmarkEnd w:id="28"/>
      <w:bookmarkEnd w:id="29"/>
      <w:bookmarkEnd w:id="30"/>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outlineLvl w:val="2"/>
        <w:rPr>
          <w:rFonts w:ascii="仿宋_GB2312" w:eastAsia="仿宋_GB2312" w:cs="方正楷体_GBK" w:hint="eastAsia"/>
          <w:sz w:val="32"/>
          <w:szCs w:val="32"/>
          <w:lang w:val="en-US" w:eastAsia="zh-CN"/>
        </w:rPr>
      </w:pPr>
      <w:r>
        <w:rPr>
          <w:rFonts w:ascii="仿宋_GB2312" w:eastAsia="仿宋_GB2312" w:cs="方正楷体_GBK" w:hint="eastAsia"/>
          <w:sz w:val="32"/>
          <w:szCs w:val="32"/>
          <w:lang w:val="en-US" w:eastAsia="zh-CN"/>
        </w:rPr>
        <w:t>1.城市公交发展建议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在行业的指导下，保持现有运力结构不变的基础上，优化整合线路，在节假日及旅游旺季，适当增加运行班次。</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outlineLvl w:val="2"/>
        <w:rPr>
          <w:rFonts w:ascii="仿宋_GB2312" w:eastAsia="仿宋_GB2312" w:cs="方正楷体_GBK" w:hint="eastAsia"/>
          <w:sz w:val="32"/>
          <w:szCs w:val="32"/>
          <w:lang w:val="en-US" w:eastAsia="zh-CN"/>
        </w:rPr>
      </w:pPr>
      <w:r>
        <w:rPr>
          <w:rFonts w:ascii="仿宋_GB2312" w:eastAsia="仿宋_GB2312" w:cs="方正楷体_GBK" w:hint="eastAsia"/>
          <w:sz w:val="32"/>
          <w:szCs w:val="32"/>
          <w:lang w:val="en-US" w:eastAsia="zh-CN"/>
        </w:rPr>
        <w:t>2.班车客运发展建议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sz w:val="32"/>
          <w:szCs w:val="32"/>
          <w:lang w:val="en-US" w:eastAsia="zh-CN"/>
        </w:rPr>
      </w:pPr>
      <w:r>
        <w:rPr>
          <w:rFonts w:ascii="仿宋_GB2312" w:eastAsia="仿宋_GB2312" w:cs="仿宋_GB2312" w:hint="eastAsia"/>
          <w:sz w:val="32"/>
          <w:szCs w:val="32"/>
          <w:lang w:val="en-US" w:eastAsia="zh-CN"/>
        </w:rPr>
        <w:t>（1）班车客运（一类、二类、三类班线）发展建议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sz w:val="32"/>
          <w:szCs w:val="32"/>
          <w:lang w:val="en-US" w:eastAsia="zh-CN"/>
        </w:rPr>
      </w:pPr>
      <w:r>
        <w:rPr>
          <w:rFonts w:ascii="仿宋_GB2312" w:eastAsia="仿宋_GB2312" w:cs="仿宋_GB2312"/>
          <w:sz w:val="32"/>
          <w:szCs w:val="32"/>
          <w:lang w:val="en-US" w:eastAsia="zh-CN"/>
        </w:rPr>
        <w:t>①</w:t>
      </w:r>
      <w:r>
        <w:rPr>
          <w:rFonts w:ascii="仿宋_GB2312" w:eastAsia="仿宋_GB2312" w:cs="仿宋_GB2312" w:hint="eastAsia"/>
          <w:sz w:val="32"/>
          <w:szCs w:val="32"/>
          <w:lang w:val="en-US" w:eastAsia="zh-CN"/>
        </w:rPr>
        <w:t>当前茂县客运站无一类客运班线，建议不做新增计划。</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sz w:val="32"/>
          <w:szCs w:val="32"/>
          <w:lang w:val="en-US" w:eastAsia="zh-CN"/>
        </w:rPr>
      </w:pPr>
      <w:r>
        <w:rPr>
          <w:rFonts w:ascii="仿宋_GB2312" w:eastAsia="仿宋_GB2312" w:cs="仿宋_GB2312"/>
          <w:sz w:val="32"/>
          <w:szCs w:val="32"/>
          <w:lang w:val="en-US" w:eastAsia="zh-CN"/>
        </w:rPr>
        <w:t>②</w:t>
      </w:r>
      <w:r>
        <w:rPr>
          <w:rFonts w:ascii="仿宋_GB2312" w:eastAsia="仿宋_GB2312" w:cs="仿宋_GB2312" w:hint="eastAsia"/>
          <w:sz w:val="32"/>
          <w:szCs w:val="32"/>
          <w:lang w:val="en-US" w:eastAsia="zh-CN"/>
        </w:rPr>
        <w:t>对现有茂县客运站至其他区域的班车客运（二类班线、三类班线）保持原有的运力总量不变，可以通过“大改小”的调整结构方式，适当调整运行班次，发展定制客运。</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baseline"/>
        <w:rPr>
          <w:rFonts w:ascii="仿宋_GB2312" w:eastAsia="仿宋_GB2312" w:cs="仿宋_GB2312" w:hint="eastAsia"/>
          <w:b w:val="0"/>
          <w:bCs w:val="0"/>
          <w:snapToGrid w:val="0"/>
          <w:color w:val="000000"/>
          <w:kern w:val="0"/>
          <w:sz w:val="32"/>
          <w:szCs w:val="32"/>
          <w:lang w:val="en-US" w:eastAsia="zh-CN" w:bidi="ar-SA"/>
        </w:rPr>
      </w:pPr>
      <w:r>
        <w:rPr>
          <w:rFonts w:ascii="仿宋_GB2312" w:eastAsia="仿宋_GB2312" w:cs="仿宋_GB2312" w:hint="eastAsia"/>
          <w:b w:val="0"/>
          <w:bCs w:val="0"/>
          <w:snapToGrid w:val="0"/>
          <w:color w:val="000000"/>
          <w:kern w:val="0"/>
          <w:sz w:val="32"/>
          <w:szCs w:val="32"/>
          <w:lang w:val="en-US" w:eastAsia="zh-CN" w:bidi="ar-SA"/>
        </w:rPr>
        <w:t>（2）班车客运（四类班线）发展建议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baseline"/>
        <w:rPr>
          <w:rFonts w:ascii="仿宋_GB2312" w:eastAsia="仿宋_GB2312" w:cs="仿宋_GB2312" w:hint="eastAsia"/>
          <w:b w:val="0"/>
          <w:bCs w:val="0"/>
          <w:sz w:val="32"/>
          <w:szCs w:val="32"/>
          <w:lang w:val="en-US" w:eastAsia="zh-CN"/>
        </w:rPr>
      </w:pPr>
      <w:r>
        <w:rPr>
          <w:rFonts w:ascii="Calibri" w:eastAsia="仿宋_GB2312" w:cs="Calibri" w:hAnsi="Calibri"/>
          <w:b w:val="0"/>
          <w:bCs w:val="0"/>
          <w:snapToGrid w:val="0"/>
          <w:color w:val="000000"/>
          <w:kern w:val="0"/>
          <w:sz w:val="32"/>
          <w:szCs w:val="32"/>
          <w:lang w:val="en-US" w:eastAsia="zh-CN" w:bidi="ar-SA"/>
        </w:rPr>
        <w:t>①</w:t>
      </w:r>
      <w:r>
        <w:rPr>
          <w:rFonts w:ascii="仿宋_GB2312" w:eastAsia="仿宋_GB2312" w:cs="仿宋_GB2312" w:hint="eastAsia"/>
          <w:b w:val="0"/>
          <w:bCs w:val="0"/>
          <w:snapToGrid w:val="0"/>
          <w:color w:val="000000"/>
          <w:kern w:val="0"/>
          <w:sz w:val="32"/>
          <w:szCs w:val="32"/>
          <w:lang w:val="en-US" w:eastAsia="zh-CN" w:bidi="ar-SA"/>
        </w:rPr>
        <w:t>对运行县城及周边乡村线路的班车客运（四类班线）经营企业，建议</w:t>
      </w:r>
      <w:r>
        <w:rPr>
          <w:rFonts w:ascii="仿宋_GB2312" w:eastAsia="仿宋_GB2312" w:cs="仿宋_GB2312" w:hint="eastAsia"/>
          <w:b w:val="0"/>
          <w:bCs w:val="0"/>
          <w:sz w:val="32"/>
          <w:szCs w:val="32"/>
          <w:lang w:val="en-US" w:eastAsia="zh-CN"/>
        </w:rPr>
        <w:t>在行业主管部门的指导下，逐步调整当前运行线路。一是对交邮合作部分线路点位实行整合优化，串连运行，减少车辆运行成本；二是建立运力储备机制，在总体</w:t>
      </w:r>
      <w:r>
        <w:rPr>
          <w:rFonts w:ascii="仿宋_GB2312" w:eastAsia="仿宋_GB2312" w:cs="仿宋_GB2312" w:hint="eastAsia"/>
          <w:b w:val="0"/>
          <w:bCs w:val="0"/>
          <w:snapToGrid w:val="0"/>
          <w:color w:val="000000"/>
          <w:kern w:val="0"/>
          <w:sz w:val="32"/>
          <w:szCs w:val="32"/>
          <w:lang w:val="en-US" w:eastAsia="zh-CN" w:bidi="ar-SA"/>
        </w:rPr>
        <w:t>运力结构不作调整、保持原有的运力数不变的基础上，对节假日及</w:t>
      </w:r>
      <w:r>
        <w:rPr>
          <w:rFonts w:ascii="仿宋_GB2312" w:eastAsia="仿宋_GB2312" w:cs="仿宋_GB2312" w:hint="eastAsia"/>
          <w:b w:val="0"/>
          <w:bCs w:val="0"/>
          <w:sz w:val="32"/>
          <w:szCs w:val="32"/>
          <w:lang w:val="en-US" w:eastAsia="zh-CN"/>
        </w:rPr>
        <w:t>旅游高峰期，抽调冷门线路车辆投入</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z w:val="32"/>
          <w:szCs w:val="32"/>
          <w:lang w:val="en-US" w:eastAsia="zh-CN"/>
        </w:rPr>
        <w:t>至县城运行线路。</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baseline"/>
        <w:rPr>
          <w:rFonts w:ascii="仿宋_GB2312" w:eastAsia="仿宋_GB2312" w:cs="仿宋_GB2312" w:hint="eastAsia"/>
          <w:b w:val="0"/>
          <w:bCs w:val="0"/>
          <w:sz w:val="32"/>
          <w:szCs w:val="32"/>
          <w:lang w:val="en-US" w:eastAsia="zh-CN"/>
        </w:rPr>
      </w:pPr>
      <w:r>
        <w:rPr>
          <w:rFonts w:ascii="Calibri" w:eastAsia="仿宋_GB2312" w:cs="Calibri" w:hAnsi="Calibri"/>
          <w:b w:val="0"/>
          <w:bCs w:val="0"/>
          <w:snapToGrid w:val="0"/>
          <w:color w:val="000000"/>
          <w:kern w:val="0"/>
          <w:sz w:val="32"/>
          <w:szCs w:val="32"/>
          <w:lang w:val="en-US" w:eastAsia="zh-CN" w:bidi="ar-SA"/>
        </w:rPr>
        <w:t>②</w:t>
      </w:r>
      <w:r>
        <w:rPr>
          <w:rFonts w:ascii="仿宋_GB2312" w:eastAsia="仿宋_GB2312" w:cs="仿宋_GB2312" w:hint="eastAsia"/>
          <w:b w:val="0"/>
          <w:bCs w:val="0"/>
          <w:snapToGrid w:val="0"/>
          <w:color w:val="000000"/>
          <w:kern w:val="0"/>
          <w:sz w:val="32"/>
          <w:szCs w:val="32"/>
          <w:lang w:val="en-US" w:eastAsia="zh-CN" w:bidi="ar-SA"/>
        </w:rPr>
        <w:t>对</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napToGrid w:val="0"/>
          <w:color w:val="000000"/>
          <w:kern w:val="0"/>
          <w:sz w:val="32"/>
          <w:szCs w:val="32"/>
          <w:lang w:val="en-US" w:eastAsia="zh-CN" w:bidi="ar-SA"/>
        </w:rPr>
        <w:t>至县城、</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napToGrid w:val="0"/>
          <w:color w:val="000000"/>
          <w:kern w:val="0"/>
          <w:sz w:val="32"/>
          <w:szCs w:val="32"/>
          <w:lang w:val="en-US" w:eastAsia="zh-CN" w:bidi="ar-SA"/>
        </w:rPr>
        <w:t>至主要景区线路新增班车客运车辆运力。按照客流量数据预测，2024年</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z w:val="32"/>
          <w:szCs w:val="32"/>
          <w:lang w:val="en-US" w:eastAsia="zh-CN"/>
        </w:rPr>
        <w:t>中转接驳旅客人数将达到86万人次，按照投放9-39座班车客运车辆来算，每日往返8趟，单车日均可转送旅客290人次，建议在本规划期（2024年-2027年）内，根据实际高铁站接送旅客人数，逐步新增</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z w:val="32"/>
          <w:szCs w:val="32"/>
          <w:lang w:val="en-US" w:eastAsia="zh-CN"/>
        </w:rPr>
        <w:t>至县城</w:t>
      </w:r>
      <w:r>
        <w:rPr>
          <w:rFonts w:ascii="仿宋_GB2312" w:eastAsia="仿宋_GB2312" w:cs="仿宋_GB2312" w:hint="eastAsia"/>
          <w:b w:val="0"/>
          <w:bCs w:val="0"/>
          <w:snapToGrid w:val="0"/>
          <w:color w:val="000000"/>
          <w:kern w:val="0"/>
          <w:sz w:val="32"/>
          <w:szCs w:val="32"/>
          <w:lang w:val="en-US" w:eastAsia="zh-CN" w:bidi="ar-SA"/>
        </w:rPr>
        <w:t>、</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napToGrid w:val="0"/>
          <w:color w:val="000000"/>
          <w:kern w:val="0"/>
          <w:sz w:val="32"/>
          <w:szCs w:val="32"/>
          <w:lang w:val="en-US" w:eastAsia="zh-CN" w:bidi="ar-SA"/>
        </w:rPr>
        <w:t>至主要景区</w:t>
      </w:r>
      <w:r>
        <w:rPr>
          <w:rFonts w:ascii="仿宋_GB2312" w:eastAsia="仿宋_GB2312" w:cs="仿宋_GB2312" w:hint="eastAsia"/>
          <w:b w:val="0"/>
          <w:bCs w:val="0"/>
          <w:sz w:val="32"/>
          <w:szCs w:val="32"/>
          <w:lang w:val="en-US" w:eastAsia="zh-CN"/>
        </w:rPr>
        <w:t>接驳车辆，车辆总数不超过30辆。车辆投入做如下预计：</w:t>
      </w:r>
    </w:p>
    <w:tbl>
      <w:tblPr>
        <w:tblpPr w:leftFromText="180" w:rightFromText="180" w:vertAnchor="text" w:horzAnchor="page" w:tblpX="1658" w:tblpY="16"/>
        <w:tblOverlap w:val="neve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44"/>
        <w:gridCol w:w="1908"/>
        <w:gridCol w:w="2425"/>
        <w:gridCol w:w="2661"/>
      </w:tblGrid>
      <w:tr>
        <w:tc>
          <w:tcPr>
            <w:tcW w:w="10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sz w:val="32"/>
                <w:szCs w:val="32"/>
                <w:vertAlign w:val="baseline"/>
                <w:lang w:val="en-US" w:eastAsia="zh-CN"/>
              </w:rPr>
            </w:pPr>
            <w:r>
              <w:rPr>
                <w:rFonts w:ascii="仿宋_GB2312" w:eastAsia="仿宋_GB2312" w:cs="仿宋_GB2312" w:hint="eastAsia"/>
                <w:color w:val="000000"/>
                <w:sz w:val="32"/>
                <w:szCs w:val="32"/>
                <w:lang w:val="en-US" w:eastAsia="zh-CN"/>
              </w:rPr>
              <w:t>年度</w:t>
            </w:r>
          </w:p>
        </w:tc>
        <w:tc>
          <w:tcPr>
            <w:tcW w:w="106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rPr>
            </w:pPr>
            <w:r>
              <w:rPr>
                <w:rFonts w:ascii="仿宋_GB2312" w:eastAsia="仿宋_GB2312" w:cs="仿宋_GB2312" w:hint="eastAsia"/>
                <w:color w:val="000000"/>
                <w:sz w:val="32"/>
                <w:szCs w:val="32"/>
              </w:rPr>
              <w:t>接待游客数</w:t>
            </w:r>
          </w:p>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sz w:val="32"/>
                <w:szCs w:val="32"/>
                <w:vertAlign w:val="baseline"/>
                <w:lang w:val="en-US" w:eastAsia="zh-CN"/>
              </w:rPr>
            </w:pPr>
            <w:r>
              <w:rPr>
                <w:rFonts w:ascii="仿宋_GB2312" w:eastAsia="仿宋_GB2312" w:cs="仿宋_GB2312" w:hint="eastAsia"/>
                <w:color w:val="000000"/>
                <w:sz w:val="32"/>
                <w:szCs w:val="32"/>
              </w:rPr>
              <w:t>（万人）</w:t>
            </w:r>
          </w:p>
        </w:tc>
        <w:tc>
          <w:tcPr>
            <w:tcW w:w="135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rPr>
            </w:pPr>
            <w:r>
              <w:rPr>
                <w:rFonts w:ascii="仿宋_GB2312" w:eastAsia="仿宋_GB2312" w:cs="仿宋_GB2312" w:hint="eastAsia"/>
                <w:color w:val="000000"/>
                <w:sz w:val="32"/>
                <w:szCs w:val="32"/>
              </w:rPr>
              <w:t>高铁游客人数</w:t>
            </w:r>
          </w:p>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sz w:val="32"/>
                <w:szCs w:val="32"/>
                <w:vertAlign w:val="baseline"/>
                <w:lang w:val="en-US" w:eastAsia="zh-CN"/>
              </w:rPr>
            </w:pPr>
            <w:r>
              <w:rPr>
                <w:rFonts w:ascii="仿宋_GB2312" w:eastAsia="仿宋_GB2312" w:cs="仿宋_GB2312" w:hint="eastAsia"/>
                <w:color w:val="000000"/>
                <w:sz w:val="32"/>
                <w:szCs w:val="32"/>
                <w:lang w:eastAsia="zh-CN"/>
              </w:rPr>
              <w:t>（</w:t>
            </w:r>
            <w:r>
              <w:rPr>
                <w:rFonts w:ascii="仿宋_GB2312" w:eastAsia="仿宋_GB2312" w:cs="仿宋_GB2312" w:hint="eastAsia"/>
                <w:color w:val="000000"/>
                <w:sz w:val="32"/>
                <w:szCs w:val="32"/>
                <w:lang w:val="en-US" w:eastAsia="zh-CN"/>
              </w:rPr>
              <w:t>万人</w:t>
            </w:r>
            <w:r>
              <w:rPr>
                <w:rFonts w:ascii="仿宋_GB2312" w:eastAsia="仿宋_GB2312" w:cs="仿宋_GB2312" w:hint="eastAsia"/>
                <w:color w:val="000000"/>
                <w:sz w:val="32"/>
                <w:szCs w:val="32"/>
                <w:lang w:eastAsia="zh-CN"/>
              </w:rPr>
              <w:t>）</w:t>
            </w:r>
          </w:p>
        </w:tc>
        <w:tc>
          <w:tcPr>
            <w:tcW w:w="1488"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接驳班车投放数</w:t>
            </w:r>
          </w:p>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（辆）</w:t>
            </w:r>
          </w:p>
        </w:tc>
      </w:tr>
      <w:tr>
        <w:trPr>
          <w:trHeight w:val="454"/>
        </w:trPr>
        <w:tc>
          <w:tcPr>
            <w:tcW w:w="10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b w:val="0"/>
                <w:bCs w:val="0"/>
                <w:sz w:val="32"/>
                <w:szCs w:val="32"/>
                <w:vertAlign w:val="baseline"/>
                <w:lang w:val="en-US" w:eastAsia="zh-CN"/>
              </w:rPr>
            </w:pPr>
            <w:r>
              <w:rPr>
                <w:rFonts w:ascii="仿宋_GB2312" w:eastAsia="仿宋_GB2312" w:cs="仿宋_GB2312" w:hint="eastAsia"/>
                <w:color w:val="000000"/>
                <w:sz w:val="32"/>
                <w:szCs w:val="32"/>
              </w:rPr>
              <w:t>2024年</w:t>
            </w:r>
          </w:p>
        </w:tc>
        <w:tc>
          <w:tcPr>
            <w:tcW w:w="106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b w:val="0"/>
                <w:bCs w:val="0"/>
                <w:sz w:val="32"/>
                <w:szCs w:val="32"/>
                <w:vertAlign w:val="baseline"/>
                <w:lang w:val="en-US" w:eastAsia="zh-CN"/>
              </w:rPr>
            </w:pPr>
            <w:r>
              <w:rPr>
                <w:rFonts w:ascii="仿宋_GB2312" w:eastAsia="仿宋_GB2312" w:cs="仿宋_GB2312" w:hint="eastAsia"/>
                <w:b w:val="0"/>
                <w:bCs w:val="0"/>
                <w:sz w:val="32"/>
                <w:szCs w:val="32"/>
                <w:vertAlign w:val="baseline"/>
                <w:lang w:val="en-US" w:eastAsia="zh-CN"/>
              </w:rPr>
              <w:t>622.28</w:t>
            </w:r>
          </w:p>
        </w:tc>
        <w:tc>
          <w:tcPr>
            <w:tcW w:w="135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b w:val="0"/>
                <w:bCs w:val="0"/>
                <w:sz w:val="32"/>
                <w:szCs w:val="32"/>
                <w:vertAlign w:val="baseline"/>
                <w:lang w:val="en-US" w:eastAsia="zh-CN"/>
              </w:rPr>
            </w:pPr>
            <w:r>
              <w:rPr>
                <w:rFonts w:ascii="仿宋_GB2312" w:eastAsia="仿宋_GB2312" w:cs="仿宋_GB2312" w:hint="eastAsia"/>
                <w:color w:val="000000"/>
                <w:sz w:val="32"/>
                <w:szCs w:val="32"/>
                <w:lang w:val="en-US" w:eastAsia="zh-CN"/>
              </w:rPr>
              <w:t>86</w:t>
            </w:r>
          </w:p>
        </w:tc>
        <w:tc>
          <w:tcPr>
            <w:tcW w:w="1488"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20</w:t>
            </w:r>
          </w:p>
        </w:tc>
      </w:tr>
      <w:tr>
        <w:trPr>
          <w:trHeight w:val="454"/>
        </w:trPr>
        <w:tc>
          <w:tcPr>
            <w:tcW w:w="10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rPr>
              <w:t>2025年</w:t>
            </w:r>
          </w:p>
        </w:tc>
        <w:tc>
          <w:tcPr>
            <w:tcW w:w="106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687.52</w:t>
            </w:r>
          </w:p>
        </w:tc>
        <w:tc>
          <w:tcPr>
            <w:tcW w:w="135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95</w:t>
            </w:r>
          </w:p>
        </w:tc>
        <w:tc>
          <w:tcPr>
            <w:tcW w:w="1488"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24</w:t>
            </w:r>
          </w:p>
        </w:tc>
      </w:tr>
      <w:tr>
        <w:trPr>
          <w:trHeight w:val="454"/>
        </w:trPr>
        <w:tc>
          <w:tcPr>
            <w:tcW w:w="10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rPr>
              <w:t>2026年</w:t>
            </w:r>
          </w:p>
        </w:tc>
        <w:tc>
          <w:tcPr>
            <w:tcW w:w="106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752.76</w:t>
            </w:r>
          </w:p>
        </w:tc>
        <w:tc>
          <w:tcPr>
            <w:tcW w:w="135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104</w:t>
            </w:r>
          </w:p>
        </w:tc>
        <w:tc>
          <w:tcPr>
            <w:tcW w:w="1488"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27</w:t>
            </w:r>
          </w:p>
        </w:tc>
      </w:tr>
      <w:tr>
        <w:trPr>
          <w:trHeight w:val="454"/>
        </w:trPr>
        <w:tc>
          <w:tcPr>
            <w:tcW w:w="108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rPr>
              <w:t>2027年</w:t>
            </w:r>
          </w:p>
        </w:tc>
        <w:tc>
          <w:tcPr>
            <w:tcW w:w="1067"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818</w:t>
            </w:r>
          </w:p>
        </w:tc>
        <w:tc>
          <w:tcPr>
            <w:tcW w:w="1356"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113</w:t>
            </w:r>
          </w:p>
        </w:tc>
        <w:tc>
          <w:tcPr>
            <w:tcW w:w="1488" w:type="pct"/>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val="0"/>
              <w:topLinePunct w:val="0"/>
              <w:autoSpaceDE w:val="0"/>
              <w:autoSpaceDN w:val="0"/>
              <w:bidi w:val="0"/>
              <w:spacing w:line="560" w:lineRule="exact"/>
              <w:jc w:val="center"/>
              <w:rPr>
                <w:rFonts w:ascii="仿宋_GB2312" w:eastAsia="仿宋_GB2312" w:cs="仿宋_GB2312" w:hint="eastAsia"/>
                <w:color w:val="000000"/>
                <w:sz w:val="32"/>
                <w:szCs w:val="32"/>
                <w:lang w:val="en-US" w:eastAsia="zh-CN"/>
              </w:rPr>
            </w:pPr>
            <w:r>
              <w:rPr>
                <w:rFonts w:ascii="仿宋_GB2312" w:eastAsia="仿宋_GB2312" w:cs="仿宋_GB2312" w:hint="eastAsia"/>
                <w:color w:val="000000"/>
                <w:sz w:val="32"/>
                <w:szCs w:val="32"/>
                <w:lang w:val="en-US" w:eastAsia="zh-CN"/>
              </w:rPr>
              <w:t>30</w:t>
            </w:r>
          </w:p>
        </w:tc>
      </w:tr>
    </w:tbl>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textAlignment w:val="center"/>
        <w:outlineLvl w:val="2"/>
        <w:rPr>
          <w:rFonts w:ascii="仿宋_GB2312" w:eastAsia="仿宋_GB2312" w:cs="方正楷体_GBK" w:hint="eastAsia"/>
          <w:sz w:val="32"/>
          <w:szCs w:val="32"/>
          <w:lang w:val="en-US" w:eastAsia="zh-CN"/>
        </w:rPr>
      </w:pPr>
      <w:r>
        <w:rPr>
          <w:rFonts w:ascii="仿宋_GB2312" w:eastAsia="仿宋_GB2312" w:cs="方正楷体_GBK" w:hint="eastAsia"/>
          <w:sz w:val="32"/>
          <w:szCs w:val="32"/>
          <w:lang w:val="en-US" w:eastAsia="zh-CN"/>
        </w:rPr>
        <w:t>3.巡游出租汽车发展建议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b w:val="0"/>
          <w:bCs w:val="0"/>
          <w:sz w:val="32"/>
          <w:szCs w:val="32"/>
          <w:lang w:val="en-US" w:eastAsia="zh-CN"/>
        </w:rPr>
      </w:pPr>
      <w:r>
        <w:rPr>
          <w:rFonts w:ascii="仿宋_GB2312" w:eastAsia="仿宋_GB2312" w:cs="仿宋_GB2312" w:hint="eastAsia"/>
          <w:sz w:val="32"/>
          <w:szCs w:val="32"/>
          <w:lang w:val="en-US" w:eastAsia="zh-CN"/>
        </w:rPr>
        <w:t>建议保持现有巡游出租汽车运力总量不变，对巡游出租汽车经营权进行控制，采取存量指标招投标，对不符合经营条件的车辆和实际经营者实行退出准入机制，提升车辆档次及技术参数，提升服务质量和安全责任意识。</w:t>
      </w:r>
    </w:p>
    <w:p>
      <w:pPr>
        <w:pStyle w:val="2"/>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rPr>
          <w:rFonts w:ascii="楷体_GB2312" w:eastAsia="楷体_GB2312" w:cs="方正楷体_GBK" w:hint="eastAsia"/>
          <w:b w:val="0"/>
          <w:color w:val="auto"/>
          <w:sz w:val="32"/>
          <w:szCs w:val="32"/>
          <w:lang w:val="en-US" w:eastAsia="zh-CN"/>
        </w:rPr>
      </w:pPr>
      <w:bookmarkStart w:id="31" w:name="_Toc9169"/>
      <w:bookmarkStart w:id="32" w:name="_Toc30029"/>
      <w:bookmarkStart w:id="33" w:name="_Toc17161"/>
      <w:r>
        <w:rPr>
          <w:rFonts w:ascii="楷体_GB2312" w:eastAsia="楷体_GB2312" w:cs="方正楷体_GBK" w:hint="eastAsia"/>
          <w:b w:val="0"/>
          <w:color w:val="auto"/>
          <w:sz w:val="32"/>
          <w:szCs w:val="32"/>
          <w:lang w:val="en-US" w:eastAsia="zh-CN"/>
        </w:rPr>
        <w:t>（二）新增运力发展建议</w:t>
      </w:r>
      <w:bookmarkEnd w:id="31"/>
      <w:bookmarkEnd w:id="32"/>
      <w:bookmarkEnd w:id="33"/>
    </w:p>
    <w:p>
      <w:pPr>
        <w:pStyle w:val="2"/>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rPr>
          <w:rFonts w:ascii="仿宋_GB2312" w:eastAsia="仿宋_GB2312" w:cs="仿宋_GB2312" w:hint="eastAsia"/>
          <w:b w:val="0"/>
          <w:bCs/>
          <w:snapToGrid/>
          <w:color w:val="auto"/>
          <w:kern w:val="2"/>
          <w:sz w:val="32"/>
          <w:szCs w:val="32"/>
          <w:lang w:val="en-US" w:eastAsia="zh-CN" w:bidi="ar-SA"/>
        </w:rPr>
      </w:pPr>
      <w:r>
        <w:rPr>
          <w:rFonts w:ascii="仿宋_GB2312" w:eastAsia="仿宋_GB2312" w:cs="仿宋_GB2312" w:hint="eastAsia"/>
          <w:b w:val="0"/>
          <w:bCs/>
          <w:snapToGrid/>
          <w:color w:val="auto"/>
          <w:kern w:val="2"/>
          <w:sz w:val="32"/>
          <w:szCs w:val="32"/>
          <w:lang w:val="en-US" w:eastAsia="zh-CN" w:bidi="ar-SA"/>
        </w:rPr>
        <w:t>1.网络预约出租汽车发展建议</w:t>
      </w:r>
    </w:p>
    <w:p>
      <w:pPr>
        <w:keepNext w:val="0"/>
        <w:keepLines w:val="0"/>
        <w:pageBreakBefore w:val="0"/>
        <w:widowControl w:val="0"/>
        <w:kinsoku/>
        <w:wordWrap w:val="0"/>
        <w:overflowPunct/>
        <w:topLinePunct w:val="0"/>
        <w:autoSpaceDE w:val="0"/>
        <w:autoSpaceDN w:val="0"/>
        <w:bidi w:val="0"/>
        <w:adjustRightInd/>
        <w:snapToGrid/>
        <w:spacing w:line="560" w:lineRule="exact"/>
        <w:ind w:firstLineChars="200" w:firstLine="640"/>
        <w:jc w:val="both"/>
        <w:textAlignment w:val="auto"/>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（1）根据阿坝州网络预约出租汽车试点整体发展规划及茂县当地客运市场规模情况，建议分阶段投入网络预约出租汽车160-200台（含79台巡游出租汽车），2024年内</w:t>
      </w:r>
      <w:r>
        <w:rPr>
          <w:rFonts w:ascii="仿宋_GB2312" w:eastAsia="仿宋_GB2312" w:cs="仿宋_GB2312" w:hint="eastAsia"/>
          <w:b w:val="0"/>
          <w:bCs w:val="0"/>
          <w:sz w:val="32"/>
          <w:szCs w:val="32"/>
          <w:lang w:val="en-US" w:eastAsia="zh-CN"/>
        </w:rPr>
        <w:t>网络预约出租汽车</w:t>
      </w:r>
      <w:r>
        <w:rPr>
          <w:rFonts w:ascii="仿宋_GB2312" w:eastAsia="仿宋_GB2312" w:cs="仿宋_GB2312" w:hint="eastAsia"/>
          <w:sz w:val="32"/>
          <w:szCs w:val="32"/>
          <w:lang w:val="en-US" w:eastAsia="zh-CN"/>
        </w:rPr>
        <w:t>新增投放不超过100台（含79台巡游出租汽车）。</w:t>
      </w:r>
    </w:p>
    <w:p>
      <w:pPr>
        <w:keepNext w:val="0"/>
        <w:keepLines w:val="0"/>
        <w:pageBreakBefore w:val="0"/>
        <w:widowControl w:val="0"/>
        <w:kinsoku/>
        <w:wordWrap w:val="0"/>
        <w:overflowPunct/>
        <w:topLinePunct w:val="0"/>
        <w:autoSpaceDE w:val="0"/>
        <w:autoSpaceDN w:val="0"/>
        <w:bidi w:val="0"/>
        <w:adjustRightInd/>
        <w:snapToGrid/>
        <w:spacing w:line="560" w:lineRule="exact"/>
        <w:ind w:firstLineChars="200" w:firstLine="640"/>
        <w:jc w:val="both"/>
        <w:textAlignment w:val="auto"/>
        <w:rPr>
          <w:rFonts w:ascii="仿宋_GB2312" w:eastAsia="仿宋_GB2312" w:cs="仿宋_GB2312" w:hint="eastAsia"/>
          <w:b w:val="0"/>
          <w:bCs w:val="0"/>
          <w:color w:val="auto"/>
          <w:sz w:val="32"/>
          <w:szCs w:val="32"/>
          <w:lang w:val="en-US" w:eastAsia="zh-CN"/>
        </w:rPr>
      </w:pPr>
      <w:r>
        <w:rPr>
          <w:rFonts w:ascii="仿宋_GB2312" w:eastAsia="仿宋_GB2312" w:cs="仿宋_GB2312" w:hint="eastAsia"/>
          <w:sz w:val="32"/>
          <w:szCs w:val="32"/>
          <w:lang w:val="en-US" w:eastAsia="zh-CN"/>
        </w:rPr>
        <w:t>（2）</w:t>
      </w:r>
      <w:r>
        <w:rPr>
          <w:rFonts w:ascii="仿宋_GB2312" w:eastAsia="仿宋_GB2312" w:cs="仿宋_GB2312" w:hint="eastAsia"/>
          <w:b w:val="0"/>
          <w:bCs w:val="0"/>
          <w:sz w:val="32"/>
          <w:szCs w:val="32"/>
          <w:lang w:val="en-US" w:eastAsia="zh-CN"/>
        </w:rPr>
        <w:t>加强对网络预约出租汽车平台公司的管理，网络预约出租汽车车籍为平台公司，实行车、人、</w:t>
      </w:r>
      <w:r>
        <w:rPr>
          <w:rFonts w:ascii="仿宋_GB2312" w:eastAsia="仿宋_GB2312" w:cs="仿宋_GB2312" w:hint="eastAsia"/>
          <w:b w:val="0"/>
          <w:bCs w:val="0"/>
          <w:color w:val="auto"/>
          <w:sz w:val="32"/>
          <w:szCs w:val="32"/>
          <w:lang w:val="en-US" w:eastAsia="zh-CN"/>
        </w:rPr>
        <w:t>平台一体化运营，“双证合规”。</w:t>
      </w:r>
    </w:p>
    <w:p>
      <w:pPr>
        <w:keepNext w:val="0"/>
        <w:keepLines w:val="0"/>
        <w:pageBreakBefore w:val="0"/>
        <w:widowControl w:val="0"/>
        <w:kinsoku/>
        <w:wordWrap w:val="0"/>
        <w:overflowPunct/>
        <w:topLinePunct w:val="0"/>
        <w:autoSpaceDE w:val="0"/>
        <w:autoSpaceDN w:val="0"/>
        <w:bidi w:val="0"/>
        <w:adjustRightInd/>
        <w:snapToGrid/>
        <w:spacing w:line="560" w:lineRule="exact"/>
        <w:ind w:firstLineChars="200" w:firstLine="640"/>
        <w:jc w:val="both"/>
        <w:textAlignment w:val="auto"/>
        <w:rPr>
          <w:rFonts w:ascii="仿宋_GB2312" w:eastAsia="仿宋_GB2312" w:cs="仿宋_GB2312" w:hint="eastAsia"/>
          <w:b w:val="0"/>
          <w:bCs w:val="0"/>
          <w:sz w:val="32"/>
          <w:szCs w:val="32"/>
          <w:lang w:val="en-US" w:eastAsia="zh-CN"/>
        </w:rPr>
      </w:pPr>
      <w:r>
        <w:rPr>
          <w:rFonts w:ascii="仿宋_GB2312" w:eastAsia="仿宋_GB2312" w:cs="仿宋_GB2312" w:hint="eastAsia"/>
          <w:b w:val="0"/>
          <w:bCs w:val="0"/>
          <w:color w:val="auto"/>
          <w:sz w:val="32"/>
          <w:szCs w:val="32"/>
          <w:lang w:val="en-US" w:eastAsia="zh-CN"/>
        </w:rPr>
        <w:t>（3）提高车辆技术等级要求，建议采用新能源车型发展网络预约出租汽车，参考四川省内各城市主流网络预约出租汽车选型标</w:t>
      </w:r>
      <w:r>
        <w:rPr>
          <w:rFonts w:ascii="仿宋_GB2312" w:eastAsia="仿宋_GB2312" w:cs="仿宋_GB2312" w:hint="eastAsia"/>
          <w:b w:val="0"/>
          <w:bCs w:val="0"/>
          <w:sz w:val="32"/>
          <w:szCs w:val="32"/>
          <w:lang w:val="en-US" w:eastAsia="zh-CN"/>
        </w:rPr>
        <w:t>准，升级制定符合茂县实际的网约车选型标准，主打高端定制专车服务。补充现有客运业态缺口，满足不同人群需求。</w:t>
      </w:r>
    </w:p>
    <w:p>
      <w:pPr>
        <w:keepNext w:val="0"/>
        <w:keepLines w:val="0"/>
        <w:pageBreakBefore w:val="0"/>
        <w:widowControl w:val="0"/>
        <w:kinsoku/>
        <w:wordWrap w:val="0"/>
        <w:overflowPunct/>
        <w:topLinePunct w:val="0"/>
        <w:autoSpaceDE w:val="0"/>
        <w:autoSpaceDN w:val="0"/>
        <w:bidi w:val="0"/>
        <w:adjustRightInd/>
        <w:snapToGrid/>
        <w:spacing w:line="560" w:lineRule="exact"/>
        <w:ind w:firstLineChars="200" w:firstLine="640"/>
        <w:jc w:val="both"/>
        <w:textAlignment w:val="auto"/>
        <w:rPr>
          <w:rFonts w:ascii="仿宋_GB2312" w:eastAsia="仿宋_GB2312" w:cs="仿宋_GB2312" w:hint="eastAsia"/>
          <w:sz w:val="32"/>
          <w:szCs w:val="32"/>
          <w:lang w:val="en-US" w:eastAsia="zh-CN"/>
        </w:rPr>
      </w:pPr>
      <w:r>
        <w:rPr>
          <w:rFonts w:ascii="仿宋_GB2312" w:eastAsia="仿宋_GB2312" w:cs="仿宋_GB2312" w:hint="eastAsia"/>
          <w:sz w:val="32"/>
          <w:szCs w:val="32"/>
          <w:lang w:val="en-US" w:eastAsia="zh-CN"/>
        </w:rPr>
        <w:t>（4）行业协调运营平台、巡游出租汽车经营企业，引导巡游出租汽车上线运营平台，即可增加单车收入，减少巡游出租汽车经营矛盾，又可充当一定数量的网约车运力，减少网约车运力投放数量。同时可</w:t>
      </w:r>
      <w:r>
        <w:rPr>
          <w:rFonts w:ascii="仿宋_GB2312" w:eastAsia="仿宋_GB2312" w:cs="仿宋_GB2312" w:hint="eastAsia"/>
          <w:color w:val="auto"/>
          <w:sz w:val="32"/>
          <w:szCs w:val="32"/>
          <w:lang w:val="en-US" w:eastAsia="zh-CN"/>
        </w:rPr>
        <w:t>选择线上线下</w:t>
      </w:r>
      <w:r>
        <w:rPr>
          <w:rFonts w:ascii="仿宋_GB2312" w:eastAsia="仿宋_GB2312" w:cs="仿宋_GB2312" w:hint="eastAsia"/>
          <w:sz w:val="32"/>
          <w:szCs w:val="32"/>
          <w:lang w:val="en-US" w:eastAsia="zh-CN"/>
        </w:rPr>
        <w:t>收费模式，线上收费可参照其他城市要求，运营平台提取巡游出租汽车服务费不超过单程运输收费10%，与网络预约出租汽车线上收费比例形成差异化，更能起到减少巡游出租汽车与网络预约出租汽车之间经营矛盾的作用。</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b w:val="0"/>
          <w:bCs/>
          <w:snapToGrid/>
          <w:color w:val="auto"/>
          <w:kern w:val="2"/>
          <w:sz w:val="32"/>
          <w:szCs w:val="32"/>
          <w:lang w:val="en-US" w:eastAsia="zh-CN" w:bidi="ar-SA"/>
        </w:rPr>
      </w:pPr>
      <w:r>
        <w:rPr>
          <w:rFonts w:ascii="仿宋_GB2312" w:eastAsia="仿宋_GB2312" w:cs="仿宋_GB2312" w:hint="eastAsia"/>
          <w:b w:val="0"/>
          <w:bCs/>
          <w:snapToGrid/>
          <w:color w:val="auto"/>
          <w:kern w:val="2"/>
          <w:sz w:val="32"/>
          <w:szCs w:val="32"/>
          <w:lang w:val="en-US" w:eastAsia="zh-CN" w:bidi="ar-SA"/>
        </w:rPr>
        <w:t>2.小微型客车租赁发展建议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textAlignment w:val="center"/>
        <w:rPr>
          <w:rFonts w:ascii="仿宋_GB2312" w:eastAsia="仿宋_GB2312" w:cs="仿宋_GB2312" w:hint="eastAsia"/>
          <w:b w:val="0"/>
          <w:bCs w:val="0"/>
          <w:color w:val="auto"/>
          <w:sz w:val="32"/>
          <w:szCs w:val="32"/>
          <w:lang w:val="en-US" w:eastAsia="zh-CN"/>
        </w:rPr>
      </w:pPr>
      <w:r>
        <w:rPr>
          <w:rFonts w:ascii="仿宋_GB2312" w:eastAsia="仿宋_GB2312" w:cs="仿宋_GB2312" w:hint="eastAsia"/>
          <w:b w:val="0"/>
          <w:bCs w:val="0"/>
          <w:sz w:val="32"/>
          <w:szCs w:val="32"/>
          <w:lang w:val="en-US" w:eastAsia="zh-CN"/>
        </w:rPr>
        <w:t>建议通过备案2至3家有实力的租赁车企业，茂县境内小微型租赁客车总运力三年规划不超过120台</w:t>
      </w:r>
      <w:r>
        <w:rPr>
          <w:rFonts w:ascii="仿宋_GB2312" w:eastAsia="仿宋_GB2312" w:cs="仿宋_GB2312" w:hint="eastAsia"/>
          <w:b w:val="0"/>
          <w:bCs w:val="0"/>
          <w:color w:val="auto"/>
          <w:sz w:val="32"/>
          <w:szCs w:val="32"/>
          <w:lang w:val="en-US" w:eastAsia="zh-CN"/>
        </w:rPr>
        <w:t>。</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b w:val="0"/>
          <w:bCs/>
          <w:snapToGrid/>
          <w:color w:val="auto"/>
          <w:kern w:val="2"/>
          <w:sz w:val="32"/>
          <w:szCs w:val="32"/>
          <w:lang w:val="en-US" w:eastAsia="zh-CN" w:bidi="ar-SA"/>
        </w:rPr>
      </w:pPr>
      <w:r>
        <w:rPr>
          <w:rFonts w:ascii="仿宋_GB2312" w:eastAsia="仿宋_GB2312" w:cs="仿宋_GB2312" w:hint="eastAsia"/>
          <w:b w:val="0"/>
          <w:bCs/>
          <w:snapToGrid/>
          <w:color w:val="auto"/>
          <w:kern w:val="2"/>
          <w:sz w:val="32"/>
          <w:szCs w:val="32"/>
          <w:lang w:val="en-US" w:eastAsia="zh-CN" w:bidi="ar-SA"/>
        </w:rPr>
        <w:t>3.景区直通车发展建议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center"/>
        <w:rPr>
          <w:rFonts w:ascii="仿宋_GB2312" w:eastAsia="仿宋_GB2312" w:cs="仿宋_GB2312" w:hint="eastAsia"/>
          <w:b w:val="0"/>
          <w:bCs w:val="0"/>
          <w:sz w:val="32"/>
          <w:szCs w:val="32"/>
          <w:lang w:val="en-US" w:eastAsia="zh-CN"/>
        </w:rPr>
      </w:pPr>
      <w:r>
        <w:rPr>
          <w:rFonts w:ascii="仿宋_GB2312" w:eastAsia="仿宋_GB2312" w:cs="仿宋_GB2312" w:hint="eastAsia"/>
          <w:b w:val="0"/>
          <w:bCs w:val="0"/>
          <w:sz w:val="32"/>
          <w:szCs w:val="32"/>
          <w:lang w:val="en-US" w:eastAsia="zh-CN"/>
        </w:rPr>
        <w:t>建议对</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z w:val="32"/>
          <w:szCs w:val="32"/>
          <w:lang w:val="en-US" w:eastAsia="zh-CN"/>
        </w:rPr>
        <w:t>至中国古羌城、</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z w:val="32"/>
          <w:szCs w:val="32"/>
          <w:lang w:val="en-US" w:eastAsia="zh-CN"/>
        </w:rPr>
        <w:t>至叠溪松坪沟、</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z w:val="32"/>
          <w:szCs w:val="32"/>
          <w:lang w:val="en-US" w:eastAsia="zh-CN"/>
        </w:rPr>
        <w:t>至九鼎山、</w:t>
      </w:r>
      <w:r>
        <w:rPr>
          <w:rFonts w:ascii="仿宋_GB2312" w:eastAsia="仿宋_GB2312" w:cs="仿宋_GB2312" w:hint="eastAsia"/>
          <w:sz w:val="32"/>
          <w:szCs w:val="32"/>
          <w:lang w:val="en-US" w:eastAsia="zh-CN"/>
        </w:rPr>
        <w:t>川青铁路茂县站至黑虎羌寨、川青铁路茂县站</w:t>
      </w:r>
      <w:r>
        <w:rPr>
          <w:rFonts w:ascii="仿宋_GB2312" w:eastAsia="仿宋_GB2312" w:cs="仿宋_GB2312" w:hint="eastAsia"/>
          <w:b w:val="0"/>
          <w:bCs w:val="0"/>
          <w:sz w:val="32"/>
          <w:szCs w:val="32"/>
          <w:lang w:val="en-US" w:eastAsia="zh-CN"/>
        </w:rPr>
        <w:t>至毗邻县景区等热门景区开通景区直通车，车辆运力可通过城市公交、班车客运（四类班线）等类型承运，每条线路</w:t>
      </w:r>
      <w:r>
        <w:rPr>
          <w:rFonts w:ascii="仿宋_GB2312" w:eastAsia="仿宋_GB2312" w:cs="仿宋_GB2312" w:hint="eastAsia"/>
          <w:sz w:val="32"/>
          <w:szCs w:val="32"/>
          <w:lang w:val="en-US" w:eastAsia="zh-CN"/>
        </w:rPr>
        <w:t>投放不超过6台车</w:t>
      </w:r>
      <w:r>
        <w:rPr>
          <w:rFonts w:ascii="仿宋_GB2312" w:eastAsia="仿宋_GB2312" w:cs="仿宋_GB2312" w:hint="eastAsia"/>
          <w:b w:val="0"/>
          <w:bCs w:val="0"/>
          <w:sz w:val="32"/>
          <w:szCs w:val="32"/>
          <w:lang w:val="en-US" w:eastAsia="zh-CN"/>
        </w:rPr>
        <w:t>辆，实行滚动发班。进一步减轻</w:t>
      </w:r>
      <w:r>
        <w:rPr>
          <w:rFonts w:ascii="仿宋_GB2312" w:eastAsia="仿宋_GB2312" w:cs="仿宋_GB2312" w:hint="eastAsia"/>
          <w:sz w:val="32"/>
          <w:szCs w:val="32"/>
          <w:lang w:val="en-US" w:eastAsia="zh-CN"/>
        </w:rPr>
        <w:t>川青铁路茂县站</w:t>
      </w:r>
      <w:r>
        <w:rPr>
          <w:rFonts w:ascii="仿宋_GB2312" w:eastAsia="仿宋_GB2312" w:cs="仿宋_GB2312" w:hint="eastAsia"/>
          <w:b w:val="0"/>
          <w:bCs w:val="0"/>
          <w:sz w:val="32"/>
          <w:szCs w:val="32"/>
          <w:lang w:val="en-US" w:eastAsia="zh-CN"/>
        </w:rPr>
        <w:t>旅客积压压力。</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方正楷体_GBK" w:eastAsia="方正楷体_GBK" w:cs="方正楷体_GBK" w:hint="eastAsia"/>
          <w:b/>
          <w:bCs w:val="0"/>
          <w:snapToGrid/>
          <w:color w:val="auto"/>
          <w:kern w:val="2"/>
          <w:sz w:val="32"/>
          <w:szCs w:val="32"/>
          <w:lang w:val="en-US" w:eastAsia="zh-CN" w:bidi="ar-SA"/>
        </w:rPr>
      </w:pPr>
      <w:r>
        <w:rPr>
          <w:rFonts w:ascii="仿宋_GB2312" w:eastAsia="仿宋_GB2312" w:cs="仿宋_GB2312" w:hint="eastAsia"/>
          <w:b w:val="0"/>
          <w:bCs/>
          <w:snapToGrid/>
          <w:color w:val="auto"/>
          <w:kern w:val="2"/>
          <w:sz w:val="32"/>
          <w:szCs w:val="32"/>
          <w:lang w:val="en-US" w:eastAsia="zh-CN" w:bidi="ar-SA"/>
        </w:rPr>
        <w:t>4.包车客运发展建议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left="0" w:firstLineChars="200" w:firstLine="640"/>
        <w:jc w:val="both"/>
        <w:textAlignment w:val="center"/>
        <w:rPr>
          <w:rFonts w:ascii="仿宋_GB2312" w:eastAsia="仿宋_GB2312" w:cs="仿宋_GB2312" w:hint="eastAsia"/>
          <w:b w:val="0"/>
          <w:bCs w:val="0"/>
          <w:sz w:val="32"/>
          <w:szCs w:val="32"/>
          <w:lang w:val="en-US" w:eastAsia="zh-CN"/>
        </w:rPr>
      </w:pPr>
      <w:r>
        <w:rPr>
          <w:rFonts w:ascii="仿宋_GB2312" w:eastAsia="仿宋_GB2312" w:cs="仿宋_GB2312" w:hint="eastAsia"/>
          <w:b w:val="0"/>
          <w:bCs w:val="0"/>
          <w:sz w:val="32"/>
          <w:szCs w:val="32"/>
          <w:lang w:val="en-US" w:eastAsia="zh-CN"/>
        </w:rPr>
        <w:t>（1）参照交通部《道路旅客运输及客运站管理规定》等相关法规，现行包车客运统一分类为省内包车客运和省际包车客运，市际、县际、县内将合并为省内包车。</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center"/>
        <w:rPr>
          <w:rFonts w:ascii="仿宋_GB2312" w:eastAsia="仿宋_GB2312" w:cs="仿宋_GB2312" w:hint="eastAsia"/>
          <w:b w:val="0"/>
          <w:bCs w:val="0"/>
          <w:sz w:val="32"/>
          <w:szCs w:val="32"/>
          <w:lang w:val="en-US" w:eastAsia="zh-CN"/>
        </w:rPr>
      </w:pPr>
      <w:r>
        <w:rPr>
          <w:rFonts w:ascii="仿宋_GB2312" w:eastAsia="仿宋_GB2312" w:cs="仿宋_GB2312" w:hint="eastAsia"/>
          <w:b w:val="0"/>
          <w:bCs w:val="0"/>
          <w:sz w:val="32"/>
          <w:szCs w:val="32"/>
          <w:lang w:val="en-US" w:eastAsia="zh-CN"/>
        </w:rPr>
        <w:t>（2）当前包车客运（省际、市际、县际）运力规划与行政许可均由阿坝州交通运输局统一规划许可，建议根据当前茂县境内客运企业需求，与阿坝州交通运输局协调，进行县际及以上包车客运运力的发展规划。</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center"/>
        <w:rPr>
          <w:rFonts w:ascii="仿宋_GB2312" w:eastAsia="仿宋_GB2312" w:cs="仿宋_GB2312" w:hint="eastAsia"/>
          <w:b w:val="0"/>
          <w:bCs w:val="0"/>
          <w:sz w:val="32"/>
          <w:szCs w:val="32"/>
          <w:lang w:val="en-US" w:eastAsia="zh-CN"/>
        </w:rPr>
      </w:pPr>
      <w:r>
        <w:rPr>
          <w:rFonts w:ascii="仿宋_GB2312" w:eastAsia="仿宋_GB2312" w:cs="仿宋_GB2312" w:hint="eastAsia"/>
          <w:b w:val="0"/>
          <w:bCs w:val="0"/>
          <w:sz w:val="32"/>
          <w:szCs w:val="32"/>
          <w:lang w:val="en-US" w:eastAsia="zh-CN"/>
        </w:rPr>
        <w:t>（3）通过对茂县2023年县内包车业务调查统计，县内包车业务均由外地包车公司承运，随着高铁的开通，旅客人数的增加，包车客运市场具有一定的发展空间。建议茂县境内新增1-2家包车客运运营主体企业，运力投放根据实际情况，在现有客运运力总量内进行调配。</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textAlignment w:val="center"/>
        <w:rPr>
          <w:rFonts w:ascii="仿宋_GB2312" w:eastAsia="仿宋_GB2312" w:cs="仿宋_GB2312" w:hint="eastAsia"/>
          <w:b w:val="0"/>
          <w:bCs/>
          <w:snapToGrid/>
          <w:color w:val="auto"/>
          <w:kern w:val="2"/>
          <w:sz w:val="32"/>
          <w:szCs w:val="32"/>
          <w:lang w:val="en-US" w:eastAsia="zh-CN" w:bidi="ar-SA"/>
        </w:rPr>
      </w:pPr>
      <w:r>
        <w:rPr>
          <w:rFonts w:ascii="仿宋_GB2312" w:eastAsia="仿宋_GB2312" w:cs="仿宋_GB2312" w:hint="eastAsia"/>
          <w:b w:val="0"/>
          <w:bCs/>
          <w:snapToGrid/>
          <w:color w:val="auto"/>
          <w:kern w:val="2"/>
          <w:sz w:val="32"/>
          <w:szCs w:val="32"/>
          <w:lang w:val="en-US" w:eastAsia="zh-CN" w:bidi="ar-SA"/>
        </w:rPr>
        <w:t>5.共享单车发展建议</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center"/>
        <w:rPr>
          <w:rFonts w:ascii="仿宋_GB2312" w:eastAsia="仿宋_GB2312" w:cs="仿宋_GB2312" w:hint="eastAsia"/>
          <w:b w:val="0"/>
          <w:bCs w:val="0"/>
          <w:sz w:val="32"/>
          <w:szCs w:val="32"/>
          <w:lang w:val="en-US" w:eastAsia="zh-CN"/>
        </w:rPr>
      </w:pPr>
      <w:r>
        <w:rPr>
          <w:rFonts w:ascii="仿宋_GB2312" w:eastAsia="仿宋_GB2312" w:cs="仿宋_GB2312" w:hint="eastAsia"/>
          <w:b w:val="0"/>
          <w:bCs w:val="0"/>
          <w:sz w:val="32"/>
          <w:szCs w:val="32"/>
          <w:lang w:val="en-US" w:eastAsia="zh-CN"/>
        </w:rPr>
        <w:t>一是茂县城镇常住人口3.8万人，人口基数较少，城市公交、巡游出租汽车和未来投放的网络预约出租汽车足以满足当地人们的出行需求。</w:t>
      </w:r>
    </w:p>
    <w:p>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Chars="200" w:firstLine="640"/>
        <w:jc w:val="both"/>
        <w:textAlignment w:val="center"/>
        <w:rPr>
          <w:rFonts w:ascii="仿宋_GB2312" w:eastAsia="仿宋_GB2312" w:cs="仿宋_GB2312" w:hint="eastAsia"/>
          <w:sz w:val="32"/>
          <w:szCs w:val="32"/>
        </w:rPr>
      </w:pPr>
      <w:r>
        <w:rPr>
          <w:rFonts w:ascii="仿宋_GB2312" w:eastAsia="仿宋_GB2312" w:cs="仿宋_GB2312" w:hint="eastAsia"/>
          <w:b w:val="0"/>
          <w:bCs w:val="0"/>
          <w:sz w:val="32"/>
          <w:szCs w:val="32"/>
          <w:lang w:val="en-US" w:eastAsia="zh-CN"/>
        </w:rPr>
        <w:t>二是茂县城市道路以山地、坡道为主，未设立单独非机动车道，不适宜共享单车运行条件，安全风险较大。建议茂县境内暂不发展共享单车。</w:t>
      </w:r>
    </w:p>
    <w:sectPr>
      <w:pgSz w:w="11907" w:h="16840"/>
      <w:pgMar w:top="2098" w:right="1474" w:bottom="2041" w:left="1588"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panose1 w:val="02010601030101010101"/>
    <w:charset w:val="86"/>
    <w:family w:val="auto"/>
    <w:pitch w:val="variable"/>
    <w:sig w:usb0="00000001" w:usb1="080E0000" w:usb2="00000000" w:usb3="00000000" w:csb0="00040000" w:csb1="00000000"/>
  </w:font>
  <w:font w:name="Times New Roman">
    <w:panose1 w:val="02020603050405020304"/>
    <w:charset w:val="01"/>
    <w:family w:val="auto"/>
    <w:pitch w:val="variable"/>
    <w:sig w:usb0="E0002AFF" w:usb1="C0007841" w:usb2="00000009" w:usb3="00000000" w:csb0="400001FF" w:csb1="FFFF0000"/>
  </w:font>
  <w:font w:name="黑体">
    <w:panose1 w:val="02010609060101010101"/>
    <w:charset w:val="86"/>
    <w:family w:val="auto"/>
    <w:pitch w:val="variable"/>
    <w:sig w:usb0="800002BF" w:usb1="38CF7CFA" w:usb2="00000016" w:usb3="00000000" w:csb0="00040001" w:csb1="00000000"/>
  </w:font>
  <w:font w:name="仿宋_GB2312">
    <w:panose1 w:val="02010609030101010101"/>
    <w:charset w:val="86"/>
    <w:family w:val="modern"/>
    <w:pitch w:val="variable"/>
    <w:sig w:usb0="00000001" w:usb1="080E0000" w:usb2="00000000" w:usb3="00000000" w:csb0="00040000" w:csb1="00000000"/>
  </w:font>
  <w:font w:name="楷体_GB2312">
    <w:panose1 w:val="02010609030101010101"/>
    <w:charset w:val="86"/>
    <w:family w:val="auto"/>
    <w:pitch w:val="variable"/>
    <w:sig w:usb0="00000001" w:usb1="080E0000" w:usb2="00000000" w:usb3="00000000" w:csb0="00040000" w:csb1="00000000"/>
  </w:font>
  <w:font w:name="方正楷体_GBK">
    <w:altName w:val="微软雅黑"/>
    <w:panose1 w:val="03000509000000000000"/>
    <w:charset w:val="86"/>
    <w:family w:val="auto"/>
    <w:pitch w:val="variable"/>
    <w:sig w:usb0="00000000" w:usb1="00000000" w:usb2="00000000" w:usb3="00000000" w:csb0="00040000" w:csb1="00000000"/>
  </w:font>
  <w:font w:name="宋体">
    <w:panose1 w:val="02010600030101010101"/>
    <w:charset w:val="7A"/>
    <w:family w:val="auto"/>
    <w:pitch w:val="variable"/>
    <w:sig w:usb0="00000003" w:usb1="288F0000" w:usb2="00000006" w:usb3="00000000" w:csb0="00040001" w:csb1="00000000"/>
  </w:font>
  <w:font w:name="Calibri">
    <w:altName w:val="Times New Roman"/>
    <w:panose1 w:val="020F0502020204030204"/>
    <w:charset w:val="00"/>
    <w:family w:val="swiss"/>
    <w:pitch w:val="variable"/>
    <w:sig w:usb0="E00002FF" w:usb1="4000ACFF" w:usb2="00000001" w:usb3="00000000" w:csb0="2000019F" w:csb1="00000000"/>
  </w:font>
  <w:font w:name="Arial">
    <w:altName w:val="DejaVu Sans"/>
    <w:panose1 w:val="020B0604020202020204"/>
    <w:charset w:val="01"/>
    <w:family w:val="swiss"/>
    <w:pitch w:val="variable"/>
    <w:sig w:usb0="E0002AFF" w:usb1="C0007843" w:usb2="00000009" w:usb3="00000000" w:csb0="400001FF" w:csb1="FFFF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1E77CC1D"/>
    <w:multiLevelType w:val="singleLevel"/>
    <w:tmpl w:val="1E77CC1D"/>
    <w:lvl w:ilvl="0">
      <w:start w:val="1"/>
      <w:numFmt w:val="chineseCounting"/>
      <w:lvlRestart w:val="0"/>
      <w:suff w:val="nothing"/>
      <w:lvlText w:val="%1、"/>
      <w:lvlJc w:val="left"/>
      <w:pPr>
        <w:ind w:left="0" w:hanging="0"/>
      </w:pPr>
      <w:rPr>
        <w:rFonts w:hint="eastAsia"/>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bordersDoNotSurroundFooter/>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compatSetting w:name="compatibilityMode" w:uri="http://schemas.microsoft.com/office/word" w:val="14"/>
  </w:compat>
  <w:docVars>
    <w:docVar w:name="commondata" w:val="eyJoZGlkIjoiZDczOWVmOWNhZGFhN2U2NmJjMzVhOGZmMDI4NmM1MzM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paragraph" w:styleId="1">
    <w:name w:val="heading 1"/>
    <w:basedOn w:val="0"/>
    <w:autoRedefine/>
    <w:next w:val="0"/>
    <w:pPr>
      <w:keepNext/>
      <w:keepLines/>
      <w:widowControl/>
      <w:kinsoku w:val="0"/>
      <w:autoSpaceDE w:val="0"/>
      <w:autoSpaceDN w:val="0"/>
      <w:adjustRightInd w:val="0"/>
      <w:snapToGrid w:val="0"/>
      <w:spacing w:line="360" w:lineRule="auto"/>
      <w:jc w:val="center"/>
      <w:textAlignment w:val="baseline"/>
      <w:outlineLvl w:val="0"/>
    </w:pPr>
    <w:rPr>
      <w:rFonts w:ascii="Arial" w:eastAsia="宋体" w:cs="Arial" w:hAnsi="Arial"/>
      <w:b/>
      <w:snapToGrid w:val="0"/>
      <w:color w:val="000000"/>
      <w:kern w:val="44"/>
      <w:sz w:val="36"/>
      <w:szCs w:val="21"/>
    </w:rPr>
  </w:style>
  <w:style w:type="paragraph" w:styleId="2">
    <w:name w:val="heading 2"/>
    <w:basedOn w:val="0"/>
    <w:autoRedefine/>
    <w:next w:val="0"/>
    <w:pPr>
      <w:keepNext/>
      <w:keepLines/>
      <w:widowControl/>
      <w:kinsoku w:val="0"/>
      <w:autoSpaceDE w:val="0"/>
      <w:autoSpaceDN w:val="0"/>
      <w:adjustRightInd w:val="0"/>
      <w:snapToGrid w:val="0"/>
      <w:spacing w:line="360" w:lineRule="auto"/>
      <w:ind w:firstLineChars="200" w:firstLine="200"/>
      <w:jc w:val="left"/>
      <w:textAlignment w:val="baseline"/>
      <w:outlineLvl w:val="1"/>
    </w:pPr>
    <w:rPr>
      <w:rFonts w:ascii="楷体_GB2312" w:eastAsia="楷体_GB2312" w:cs="Arial"/>
      <w:snapToGrid w:val="0"/>
      <w:color w:val="000000"/>
      <w:kern w:val="0"/>
      <w:sz w:val="30"/>
      <w:szCs w:val="21"/>
    </w:rPr>
  </w:style>
  <w:style w:type="paragraph" w:styleId="3">
    <w:name w:val="heading 3"/>
    <w:basedOn w:val="0"/>
    <w:next w:val="0"/>
    <w:pPr>
      <w:keepNext/>
      <w:keepLines/>
      <w:widowControl w:val="0"/>
      <w:spacing w:before="260" w:after="260" w:line="415" w:lineRule="auto"/>
      <w:outlineLvl w:val="2"/>
    </w:pPr>
    <w:rPr>
      <w:b/>
      <w:sz w:val="32"/>
    </w:rPr>
  </w:style>
  <w:style w:type="character" w:default="1" w:styleId="10">
    <w:name w:val="Default Paragraph Font"/>
  </w:style>
  <w:style w:type="paragraph" w:styleId="15">
    <w:name w:val="toa heading"/>
    <w:basedOn w:val="0"/>
    <w:autoRedefine/>
    <w:next w:val="0"/>
    <w:pPr>
      <w:widowControl/>
      <w:kinsoku w:val="0"/>
      <w:autoSpaceDE w:val="0"/>
      <w:autoSpaceDN w:val="0"/>
      <w:adjustRightInd w:val="0"/>
      <w:snapToGrid w:val="0"/>
      <w:spacing w:before="120"/>
      <w:jc w:val="left"/>
      <w:textAlignment w:val="baseline"/>
    </w:pPr>
    <w:rPr>
      <w:rFonts w:ascii="Arial" w:eastAsia="Arial" w:cs="Arial" w:hAnsi="Arial"/>
      <w:snapToGrid w:val="0"/>
      <w:color w:val="000000"/>
      <w:kern w:val="0"/>
      <w:sz w:val="24"/>
      <w:szCs w:val="21"/>
    </w:rPr>
  </w:style>
  <w:style w:type="paragraph" w:styleId="16">
    <w:name w:val="Date"/>
    <w:basedOn w:val="0"/>
    <w:next w:val="0"/>
    <w:pPr>
      <w:ind w:leftChars="2500" w:left="2500"/>
    </w:pPr>
  </w:style>
  <w:style w:type="paragraph" w:styleId="17">
    <w:name w:val="Balloon Text"/>
    <w:basedOn w:val="0"/>
    <w:rPr>
      <w:sz w:val="18"/>
      <w:szCs w:val="18"/>
    </w:rPr>
  </w:style>
  <w:style w:type="paragraph" w:styleId="18">
    <w:name w:val="Normal (Web)"/>
    <w:basedOn w:val="0"/>
    <w:pPr>
      <w:widowControl/>
      <w:spacing w:before="100" w:beforeAutospacing="1" w:after="100" w:afterAutospacing="1"/>
      <w:jc w:val="left"/>
    </w:pPr>
    <w:rPr>
      <w:rFonts w:ascii="宋体" w:eastAsia="宋体" w:cs="宋体"/>
      <w:kern w:val="0"/>
      <w:sz w:val="24"/>
      <w:szCs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chart" Target="charts/chart1.xml"/><Relationship Id="rId3" Type="http://schemas.openxmlformats.org/officeDocument/2006/relationships/chart" Target="charts/chart2.xml"/><Relationship Id="rId4" Type="http://schemas.openxmlformats.org/officeDocument/2006/relationships/chart" Target="charts/chart3.xml"/><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char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char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char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接待游客数（万人）</c:v>
                </c:pt>
              </c:strCache>
            </c:strRef>
          </c:tx>
          <c:spPr>
            <a:ln w="25400">
              <a:solidFill>
                <a:srgbClr val="4F81BD"/>
              </a:solidFill>
              <a:prstDash val="solid"/>
            </a:ln>
          </c:spPr>
          <c:marker>
            <c:symbol val="none"/>
          </c:marker>
          <c:dLbls>
            <c:spPr>
              <a:noFill/>
              <a:ln>
                <a:noFill/>
              </a:ln>
            </c:spPr>
            <c:txPr>
              <a:bodyPr vert="horz"/>
              <a:lstStyle/>
              <a:p>
                <a:pPr>
                  <a:defRPr sz="1000" b="0" i="0" u="none" strike="noStrike" baseline="0">
                    <a:solidFill>
                      <a:srgbClr val="404040"/>
                    </a:solidFill>
                    <a:latin typeface="Times New Roman"/>
                    <a:ea typeface="宋体"/>
                    <a:cs typeface="Lucida Sans"/>
                  </a:defRPr>
                </a:pPr>
                <a:endParaRPr lang="zh-CN"/>
              </a:p>
            </c:txPr>
            <c:numFmt formatCode="General" sourceLinked="1"/>
            <c:dLbl>
              <c:idx val="0"/>
              <c:numFmt formatCode="General" sourceLinked="0"/>
              <c:spPr>
                <a:noFill/>
                <a:ln>
                  <a:noFill/>
                </a:ln>
              </c:spPr>
              <c:txPr>
                <a:bodyPr vert="horz"/>
                <a:lstStyle/>
                <a:p>
                  <a:pPr>
                    <a:defRPr sz="1000" b="0" i="0" u="none" strike="noStrike" baseline="0">
                      <a:solidFill>
                        <a:srgbClr val="404040"/>
                      </a:solidFill>
                      <a:latin typeface="Times New Roman"/>
                      <a:ea typeface="宋体"/>
                      <a:cs typeface="Lucida Sans"/>
                    </a:defRPr>
                  </a:pPr>
                  <a:endParaRPr lang="zh-CN"/>
                </a:p>
              </c:txPr>
              <c:dLblPos val="t"/>
              <c:showLegendKey val="0"/>
              <c:showVal val="1"/>
              <c:showCatName val="0"/>
              <c:showSerName val="0"/>
              <c:showPercent val="0"/>
              <c:showBubbleSize val="0"/>
            </c:dLbl>
            <c:dLbl>
              <c:idx val="1"/>
              <c:numFmt formatCode="General" sourceLinked="0"/>
              <c:spPr>
                <a:noFill/>
                <a:ln>
                  <a:noFill/>
                </a:ln>
              </c:spPr>
              <c:txPr>
                <a:bodyPr vert="horz"/>
                <a:lstStyle/>
                <a:p>
                  <a:pPr>
                    <a:defRPr sz="1000" b="0" i="0" u="none" strike="noStrike" baseline="0">
                      <a:solidFill>
                        <a:srgbClr val="404040"/>
                      </a:solidFill>
                      <a:latin typeface="Times New Roman"/>
                      <a:ea typeface="宋体"/>
                      <a:cs typeface="Lucida Sans"/>
                    </a:defRPr>
                  </a:pPr>
                  <a:endParaRPr lang="zh-CN"/>
                </a:p>
              </c:txPr>
              <c:dLblPos val="t"/>
              <c:showLegendKey val="0"/>
              <c:showVal val="1"/>
              <c:showCatName val="0"/>
              <c:showSerName val="0"/>
              <c:showPercent val="0"/>
              <c:showBubbleSize val="0"/>
            </c:dLbl>
            <c:dLbl>
              <c:idx val="4"/>
              <c:numFmt formatCode="General" sourceLinked="0"/>
              <c:spPr>
                <a:noFill/>
                <a:ln>
                  <a:noFill/>
                </a:ln>
              </c:spPr>
              <c:txPr>
                <a:bodyPr vert="horz"/>
                <a:lstStyle/>
                <a:p>
                  <a:pPr>
                    <a:defRPr sz="1000" b="0" i="0" u="none" strike="noStrike" baseline="0">
                      <a:solidFill>
                        <a:srgbClr val="404040"/>
                      </a:solidFill>
                      <a:latin typeface="Times New Roman"/>
                      <a:ea typeface="宋体"/>
                      <a:cs typeface="Lucida Sans"/>
                    </a:defRPr>
                  </a:pPr>
                  <a:endParaRPr lang="zh-CN"/>
                </a:p>
              </c:txPr>
              <c:dLblPos val="t"/>
              <c:showLegendKey val="0"/>
              <c:showVal val="1"/>
              <c:showCatName val="0"/>
              <c:showSerName val="0"/>
              <c:showPercent val="0"/>
              <c:showBubbleSize val="0"/>
            </c:dLbl>
            <c:dLbl>
              <c:idx val="5"/>
              <c:numFmt formatCode="General" sourceLinked="0"/>
              <c:spPr>
                <a:noFill/>
                <a:ln>
                  <a:noFill/>
                </a:ln>
              </c:spPr>
              <c:txPr>
                <a:bodyPr vert="horz"/>
                <a:lstStyle/>
                <a:p>
                  <a:pPr>
                    <a:defRPr sz="1000" b="0" i="0" u="none" strike="noStrike" baseline="0">
                      <a:solidFill>
                        <a:srgbClr val="404040"/>
                      </a:solidFill>
                      <a:latin typeface="Times New Roman"/>
                      <a:ea typeface="宋体"/>
                      <a:cs typeface="Lucida Sans"/>
                    </a:defRPr>
                  </a:pPr>
                  <a:endParaRPr lang="zh-CN"/>
                </a:p>
              </c:txPr>
              <c:dLblPos val="t"/>
              <c:showLegendKey val="0"/>
              <c:showVal val="1"/>
              <c:showCatName val="0"/>
              <c:showSerName val="0"/>
              <c:showPercent val="0"/>
              <c:showBubbleSize val="0"/>
            </c:dLbl>
            <c:dLblPos val="t"/>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trendline>
            <c:spPr>
              <a:ln w="19050">
                <a:solidFill>
                  <a:srgbClr val="4F81BD"/>
                </a:solidFill>
                <a:prstDash val="sysDash"/>
              </a:ln>
            </c:spPr>
            <c:trendlineType val="linear"/>
            <c:dispRSqr val="0"/>
            <c:dispEq val="0"/>
          </c:trendline>
          <c:cat>
            <c:strRef>
              <c:f>'Sheet1'!$A$2:$A$7</c:f>
              <c:strCache>
                <c:ptCount val="6"/>
                <c:pt idx="0">
                  <c:v>2018年</c:v>
                </c:pt>
                <c:pt idx="1">
                  <c:v>2019年</c:v>
                </c:pt>
                <c:pt idx="2">
                  <c:v>2020年</c:v>
                </c:pt>
                <c:pt idx="3">
                  <c:v>2021年</c:v>
                </c:pt>
                <c:pt idx="4">
                  <c:v>2022年</c:v>
                </c:pt>
                <c:pt idx="5">
                  <c:v>2023年</c:v>
                </c:pt>
              </c:strCache>
            </c:strRef>
          </c:cat>
          <c:val>
            <c:numRef>
              <c:f>'Sheet1'!$B$2:$B$7</c:f>
              <c:numCache>
                <c:formatCode>General</c:formatCode>
                <c:ptCount val="6"/>
                <c:pt idx="0">
                  <c:v>140.0</c:v>
                </c:pt>
                <c:pt idx="1">
                  <c:v>302.39</c:v>
                </c:pt>
                <c:pt idx="2">
                  <c:v>366.83</c:v>
                </c:pt>
                <c:pt idx="3">
                  <c:v>418.61</c:v>
                </c:pt>
                <c:pt idx="4">
                  <c:v>466.0</c:v>
                </c:pt>
                <c:pt idx="5">
                  <c:v>579.0</c:v>
                </c:pt>
              </c:numCache>
            </c:numRef>
          </c:val>
          <c:smooth val="0"/>
        </c:ser>
        <c:upDownBars>
          <c:gapWidth val="150"/>
          <c:upBars>
            <c:spPr>
              <a:solidFill>
                <a:srgbClr val="FFFFFF"/>
              </a:solidFill>
              <a:ln w="6350">
                <a:solidFill>
                  <a:srgbClr val="D9D9D9"/>
                </a:solidFill>
                <a:prstDash val="solid"/>
              </a:ln>
            </c:spPr>
          </c:upBars>
          <c:downBars>
            <c:spPr>
              <a:solidFill>
                <a:srgbClr val="595959"/>
              </a:solidFill>
              <a:ln w="6350">
                <a:solidFill>
                  <a:srgbClr val="595959"/>
                </a:solidFill>
                <a:prstDash val="solid"/>
              </a:ln>
            </c:spPr>
          </c:downBars>
        </c:upDownBars>
        <c:marker val="1"/>
        <c:smooth val="0"/>
        <c:axId val="0"/>
        <c:axId val="1"/>
      </c:line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Lucida Sans"/>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Lucida Sans"/>
            </a:defRPr>
          </a:pPr>
          <a:endParaRPr lang="zh-CN"/>
        </a:p>
      </c:txPr>
      <c:legendEntry>
        <c:idx val="1"/>
        <c:delete val="1"/>
      </c:legendEntry>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 (2)'!$B$1</c:f>
              <c:strCache>
                <c:ptCount val="1"/>
                <c:pt idx="0">
                  <c:v>接待游客数（万人次）</c:v>
                </c:pt>
              </c:strCache>
            </c:strRef>
          </c:tx>
          <c:spPr>
            <a:solidFill>
              <a:srgbClr val="4F81BD"/>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Lucida Sans"/>
                  </a:defRPr>
                </a:pPr>
                <a:endParaRPr lang="zh-CN"/>
              </a:p>
            </c:txPr>
            <c:numFmt formatCode="General" sourceLinked="1"/>
            <c:dLbl>
              <c:idx val="3"/>
              <c:layout>
                <c:manualLayout>
                  <c:x val="-0.0038516405"/>
                  <c:y val="0.0"/>
                </c:manualLayout>
              </c:layout>
              <c:numFmt formatCode="General" sourceLinked="0"/>
              <c:spPr>
                <a:noFill/>
                <a:ln>
                  <a:noFill/>
                </a:ln>
              </c:spPr>
              <c:txPr>
                <a:bodyPr vert="horz"/>
                <a:lstStyle/>
                <a:p>
                  <a:pPr>
                    <a:defRPr sz="1000" b="0" i="0" u="none" strike="noStrike" baseline="0">
                      <a:solidFill>
                        <a:srgbClr val="404040"/>
                      </a:solidFill>
                      <a:latin typeface="Times New Roman"/>
                      <a:ea typeface="宋体"/>
                      <a:cs typeface="Lucida Sans"/>
                    </a:defRPr>
                  </a:pPr>
                  <a:endParaRPr lang="zh-CN"/>
                </a:p>
              </c:txPr>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(2)'!$A$2:$A$5</c:f>
              <c:strCache>
                <c:ptCount val="4"/>
                <c:pt idx="0">
                  <c:v>2024年</c:v>
                </c:pt>
                <c:pt idx="1">
                  <c:v>2025年</c:v>
                </c:pt>
                <c:pt idx="2">
                  <c:v>2026年</c:v>
                </c:pt>
                <c:pt idx="3">
                  <c:v>2027年</c:v>
                </c:pt>
              </c:strCache>
            </c:strRef>
          </c:cat>
          <c:val>
            <c:numRef>
              <c:f>'Sheet1 (2)'!$B$2:$B$5</c:f>
              <c:numCache>
                <c:formatCode>General</c:formatCode>
                <c:ptCount val="4"/>
                <c:pt idx="0">
                  <c:v>622.28</c:v>
                </c:pt>
                <c:pt idx="1">
                  <c:v>687.52</c:v>
                </c:pt>
                <c:pt idx="2">
                  <c:v>752.76</c:v>
                </c:pt>
                <c:pt idx="3">
                  <c:v>818.0</c:v>
                </c:pt>
              </c:numCache>
            </c:numRef>
          </c:val>
        </c:ser>
        <c:gapWidth val="150"/>
        <c:axId val="0"/>
        <c:axId val="1"/>
      </c:bar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Lucida Sans"/>
              </a:defRPr>
            </a:pPr>
            <a:endParaRPr lang="zh-CN"/>
          </a:p>
        </c:txPr>
        <c:crossesAt val="1.0"/>
        <c:crossBetween val="between"/>
        <c:crossAx val="0"/>
      </c:valAx>
      <c:spPr>
        <a:noFill/>
        <a:ln>
          <a:noFill/>
        </a:ln>
      </c:spPr>
    </c:plotArea>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50" b="1" i="0" u="none" strike="noStrike" baseline="0">
                <a:solidFill>
                  <a:srgbClr val="404040"/>
                </a:solidFill>
                <a:latin typeface="Times New Roman"/>
                <a:ea typeface="宋体"/>
                <a:cs typeface="Lucida Sans"/>
              </a:defRPr>
            </a:pPr>
            <a:r>
              <a:rPr lang="zh-CN"/>
              <a:t>数据单位：百人次</a:t>
            </a:r>
          </a:p>
        </c:rich>
      </c:tx>
      <c:layout>
        <c:manualLayout>
          <c:xMode val="edge"/>
          <c:yMode val="edge"/>
          <c:x val="0.7434588"/>
          <c:y val="0.17494145"/>
        </c:manualLayout>
      </c:layout>
      <c:overlay val="0"/>
      <c:spPr>
        <a:noFill/>
        <a:ln>
          <a:noFill/>
        </a:ln>
      </c:spPr>
    </c:title>
    <c:autoTitleDeleted val="1"/>
    <c:plotArea>
      <c:layout/>
      <c:barChart>
        <c:barDir val="col"/>
        <c:grouping val="clustered"/>
        <c:varyColors val="0"/>
        <c:ser>
          <c:idx val="0"/>
          <c:order val="0"/>
          <c:tx>
            <c:strRef>
              <c:f>'Sheet1 (3)'!$B$1</c:f>
              <c:strCache>
                <c:ptCount val="1"/>
                <c:pt idx="0">
                  <c:v>到达旅客人数</c:v>
                </c:pt>
              </c:strCache>
            </c:strRef>
          </c:tx>
          <c:spPr>
            <a:solidFill>
              <a:srgbClr val="4F81BD"/>
            </a:solidFill>
            <a:ln>
              <a:noFill/>
            </a:ln>
          </c:spPr>
          <c:invertIfNegative val="0"/>
          <c:dLbls>
            <c:dLbl>
              <c:idx val="0"/>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1"/>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2"/>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3"/>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4"/>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5"/>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Pos val="outEnd"/>
            <c:showLegendKey val="0"/>
            <c:showVal val="0"/>
            <c:showCatName val="0"/>
            <c:showSerName val="0"/>
            <c:showPercent val="0"/>
            <c:showBubbleSize val="0"/>
            <c:showLeaderLines val="0"/>
          </c:dLbls>
          <c:cat>
            <c:strRef>
              <c:f>'Sheet1 (3)'!$A$2:$A$7</c:f>
              <c:strCache>
                <c:ptCount val="6"/>
                <c:pt idx="0">
                  <c:v>2023年11月</c:v>
                </c:pt>
                <c:pt idx="1">
                  <c:v>2023年12月</c:v>
                </c:pt>
                <c:pt idx="2">
                  <c:v>2024年1月</c:v>
                </c:pt>
                <c:pt idx="3">
                  <c:v>2024年2月</c:v>
                </c:pt>
                <c:pt idx="4">
                  <c:v>2024年3月</c:v>
                </c:pt>
                <c:pt idx="5">
                  <c:v>2024年4月</c:v>
                </c:pt>
              </c:strCache>
            </c:strRef>
          </c:cat>
          <c:val>
            <c:numRef>
              <c:f>'Sheet1 (3)'!$B$2:$B$7</c:f>
              <c:numCache>
                <c:formatCode>General</c:formatCode>
                <c:ptCount val="6"/>
                <c:pt idx="0">
                  <c:v>43.93</c:v>
                </c:pt>
                <c:pt idx="1">
                  <c:v>529.03</c:v>
                </c:pt>
                <c:pt idx="2">
                  <c:v>344.74</c:v>
                </c:pt>
                <c:pt idx="3">
                  <c:v>457.48</c:v>
                </c:pt>
                <c:pt idx="4">
                  <c:v>225.78</c:v>
                </c:pt>
                <c:pt idx="5">
                  <c:v>234.66</c:v>
                </c:pt>
              </c:numCache>
            </c:numRef>
          </c:val>
        </c:ser>
        <c:ser>
          <c:idx val="1"/>
          <c:order val="1"/>
          <c:tx>
            <c:strRef>
              <c:f>'Sheet1 (3)'!$C$1</c:f>
              <c:strCache>
                <c:ptCount val="1"/>
                <c:pt idx="0">
                  <c:v>发送旅客人数</c:v>
                </c:pt>
              </c:strCache>
            </c:strRef>
          </c:tx>
          <c:spPr>
            <a:solidFill>
              <a:srgbClr val="C0504D"/>
            </a:solidFill>
            <a:ln>
              <a:noFill/>
            </a:ln>
          </c:spPr>
          <c:invertIfNegative val="0"/>
          <c:dLbls>
            <c:dLbl>
              <c:idx val="0"/>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1"/>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2"/>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3"/>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4"/>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
              <c:idx val="5"/>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outEnd"/>
              <c:delete val="1"/>
            </c:dLbl>
            <c:dLblPos val="outEnd"/>
            <c:showLegendKey val="0"/>
            <c:showVal val="0"/>
            <c:showCatName val="0"/>
            <c:showSerName val="0"/>
            <c:showPercent val="0"/>
            <c:showBubbleSize val="0"/>
            <c:showLeaderLines val="0"/>
          </c:dLbls>
          <c:cat>
            <c:strRef>
              <c:f>'Sheet1 (3)'!$A$2:$A$7</c:f>
              <c:strCache>
                <c:ptCount val="6"/>
                <c:pt idx="0">
                  <c:v>2023年11月</c:v>
                </c:pt>
                <c:pt idx="1">
                  <c:v>2023年12月</c:v>
                </c:pt>
                <c:pt idx="2">
                  <c:v>2024年1月</c:v>
                </c:pt>
                <c:pt idx="3">
                  <c:v>2024年2月</c:v>
                </c:pt>
                <c:pt idx="4">
                  <c:v>2024年3月</c:v>
                </c:pt>
                <c:pt idx="5">
                  <c:v>2024年4月</c:v>
                </c:pt>
              </c:strCache>
            </c:strRef>
          </c:cat>
          <c:val>
            <c:numRef>
              <c:f>'Sheet1 (3)'!$C$2:$C$7</c:f>
              <c:numCache>
                <c:formatCode>General</c:formatCode>
                <c:ptCount val="6"/>
                <c:pt idx="0">
                  <c:v>43.23</c:v>
                </c:pt>
                <c:pt idx="1">
                  <c:v>523.95</c:v>
                </c:pt>
                <c:pt idx="2">
                  <c:v>338.36</c:v>
                </c:pt>
                <c:pt idx="3">
                  <c:v>447.26</c:v>
                </c:pt>
                <c:pt idx="4">
                  <c:v>231.9</c:v>
                </c:pt>
                <c:pt idx="5">
                  <c:v>235.16</c:v>
                </c:pt>
              </c:numCache>
            </c:numRef>
          </c:val>
        </c:ser>
        <c:overlap val="-27"/>
        <c:gapWidth val="219"/>
        <c:axId val="0"/>
        <c:axId val="1"/>
      </c:barChart>
      <c:lineChart>
        <c:grouping val="standard"/>
        <c:varyColors val="0"/>
        <c:ser>
          <c:idx val="2"/>
          <c:order val="2"/>
          <c:tx>
            <c:strRef>
              <c:f>'Sheet1 (3)'!$D$1</c:f>
              <c:strCache>
                <c:ptCount val="1"/>
                <c:pt idx="0">
                  <c:v>动车班次</c:v>
                </c:pt>
              </c:strCache>
            </c:strRef>
          </c:tx>
          <c:spPr>
            <a:ln w="25400">
              <a:solidFill>
                <a:srgbClr val="9BBB59"/>
              </a:solidFill>
              <a:prstDash val="solid"/>
            </a:ln>
          </c:spPr>
          <c:marker>
            <c:symbol val="none"/>
          </c:marker>
          <c:dLbls>
            <c:dLbl>
              <c:idx val="0"/>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r"/>
              <c:delete val="1"/>
            </c:dLbl>
            <c:dLbl>
              <c:idx val="1"/>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r"/>
              <c:delete val="1"/>
            </c:dLbl>
            <c:dLbl>
              <c:idx val="2"/>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r"/>
              <c:delete val="1"/>
            </c:dLbl>
            <c:dLbl>
              <c:idx val="3"/>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r"/>
              <c:delete val="1"/>
            </c:dLbl>
            <c:dLbl>
              <c:idx val="4"/>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r"/>
              <c:delete val="1"/>
            </c:dLbl>
            <c:dLbl>
              <c:idx val="5"/>
              <c:spPr>
                <a:noFill/>
                <a:ln>
                  <a:noFill/>
                </a:ln>
              </c:spPr>
              <c:txPr>
                <a:bodyPr vert="horz"/>
                <a:lstStyle/>
                <a:p>
                  <a:pPr>
                    <a:defRPr sz="800" b="0" i="0" u="none" strike="noStrike" baseline="0">
                      <a:solidFill>
                        <a:srgbClr val="000000"/>
                      </a:solidFill>
                      <a:latin typeface="Times New Roman"/>
                      <a:ea typeface="宋体"/>
                      <a:cs typeface="Lucida Sans"/>
                    </a:defRPr>
                  </a:pPr>
                  <a:endParaRPr lang="zh-CN"/>
                </a:p>
              </c:txPr>
              <c:dLblPos val="r"/>
              <c:delete val="1"/>
            </c:dLbl>
            <c:dLblPos val="r"/>
            <c:showLegendKey val="0"/>
            <c:showVal val="0"/>
            <c:showCatName val="0"/>
            <c:showSerName val="0"/>
            <c:showPercent val="0"/>
            <c:showBubbleSize val="0"/>
            <c:showLeaderLines val="0"/>
          </c:dLbls>
          <c:cat>
            <c:strRef>
              <c:f>'Sheet1 (3)'!$A$2:$A$7</c:f>
              <c:strCache>
                <c:ptCount val="6"/>
                <c:pt idx="0">
                  <c:v>2023年11月</c:v>
                </c:pt>
                <c:pt idx="1">
                  <c:v>2023年12月</c:v>
                </c:pt>
                <c:pt idx="2">
                  <c:v>2024年1月</c:v>
                </c:pt>
                <c:pt idx="3">
                  <c:v>2024年2月</c:v>
                </c:pt>
                <c:pt idx="4">
                  <c:v>2024年3月</c:v>
                </c:pt>
                <c:pt idx="5">
                  <c:v>2024年4月</c:v>
                </c:pt>
              </c:strCache>
            </c:strRef>
          </c:cat>
          <c:val>
            <c:numRef>
              <c:f>'Sheet1 (3)'!$D$2:$D$7</c:f>
              <c:numCache>
                <c:formatCode>General</c:formatCode>
                <c:ptCount val="6"/>
                <c:pt idx="0">
                  <c:v>21.0</c:v>
                </c:pt>
                <c:pt idx="1">
                  <c:v>217.0</c:v>
                </c:pt>
                <c:pt idx="2">
                  <c:v>241.0</c:v>
                </c:pt>
                <c:pt idx="3">
                  <c:v>282.0</c:v>
                </c:pt>
                <c:pt idx="4">
                  <c:v>234.0</c:v>
                </c:pt>
                <c:pt idx="5">
                  <c:v>231.0</c:v>
                </c:pt>
              </c:numCache>
            </c:numRef>
          </c:val>
          <c:smooth val="0"/>
        </c:ser>
        <c:marker val="1"/>
        <c:smooth val="0"/>
        <c:axId val="2"/>
        <c:axId val="3"/>
      </c:line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800" b="0" i="0" u="none" strike="noStrike" baseline="0">
                <a:solidFill>
                  <a:srgbClr val="595959"/>
                </a:solidFill>
                <a:latin typeface="Times New Roman"/>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General" sourceLinked="1"/>
        <c:majorTickMark val="none"/>
        <c:minorTickMark val="none"/>
        <c:tickLblPos val="nextTo"/>
        <c:spPr>
          <a:ln>
            <a:noFill/>
          </a:ln>
        </c:spPr>
        <c:txPr>
          <a:bodyPr/>
          <a:lstStyle/>
          <a:p>
            <a:pPr>
              <a:defRPr sz="800" b="0" i="0" u="none" strike="noStrike" baseline="0">
                <a:solidFill>
                  <a:srgbClr val="595959"/>
                </a:solidFill>
                <a:latin typeface="Times New Roman"/>
                <a:ea typeface="宋体"/>
                <a:cs typeface="Lucida Sans"/>
              </a:defRPr>
            </a:pPr>
            <a:endParaRPr lang="zh-CN"/>
          </a:p>
        </c:txPr>
        <c:crossesAt val="1.0"/>
        <c:crossBetween val="between"/>
        <c:crossAx val="0"/>
      </c:valAx>
      <c:catAx>
        <c:axId val="2"/>
        <c:scaling>
          <c:orientation val="minMax"/>
        </c:scaling>
        <c:delete val="1"/>
        <c:axPos val="t"/>
        <c:numFmt formatCode="General" sourceLinked="1"/>
        <c:majorTickMark val="none"/>
        <c:minorTickMark val="none"/>
        <c:tickLblPos val="nextTo"/>
        <c:txPr>
          <a:bodyPr/>
          <a:lstStyle/>
          <a:p>
            <a:pPr>
              <a:defRPr sz="800" b="0" i="0" u="none" strike="noStrike" baseline="0">
                <a:solidFill>
                  <a:srgbClr val="000000"/>
                </a:solidFill>
                <a:latin typeface="Times New Roman"/>
                <a:ea typeface="宋体"/>
                <a:cs typeface="Lucida Sans"/>
              </a:defRPr>
            </a:pPr>
            <a:endParaRPr lang="zh-CN"/>
          </a:p>
        </c:txPr>
        <c:crosses val="autoZero"/>
        <c:auto val="1"/>
        <c:lblOffset val="100"/>
        <c:lblAlgn val="ctr"/>
        <c:noMultiLvlLbl val="0"/>
        <c:crossAx val="3"/>
      </c:catAx>
      <c:valAx>
        <c:axId val="3"/>
        <c:scaling>
          <c:orientation val="minMax"/>
        </c:scaling>
        <c:delete val="1"/>
        <c:axPos val="r"/>
        <c:numFmt formatCode="General" sourceLinked="1"/>
        <c:majorTickMark val="none"/>
        <c:minorTickMark val="none"/>
        <c:tickLblPos val="nextTo"/>
        <c:txPr>
          <a:bodyPr/>
          <a:lstStyle/>
          <a:p>
            <a:pPr>
              <a:defRPr sz="800" b="0" i="0" u="none" strike="noStrike" baseline="0">
                <a:solidFill>
                  <a:srgbClr val="000000"/>
                </a:solidFill>
                <a:latin typeface="Times New Roman"/>
                <a:ea typeface="宋体"/>
                <a:cs typeface="Lucida Sans"/>
              </a:defRPr>
            </a:pPr>
            <a:endParaRPr lang="zh-CN"/>
          </a:p>
        </c:txPr>
        <c:crossesAt val="1.0"/>
        <c:crossBetween val="between"/>
        <c:crossAx val="2"/>
      </c:valAx>
      <c:spPr>
        <a:noFill/>
        <a:ln>
          <a:noFill/>
        </a:ln>
      </c:spPr>
    </c:plotArea>
    <c:legend>
      <c:legendPos val="b"/>
      <c:layout/>
      <c:overlay val="0"/>
      <c:spPr>
        <a:noFill/>
        <a:ln>
          <a:noFill/>
        </a:ln>
      </c:spPr>
      <c:txPr>
        <a:bodyPr/>
        <a:lstStyle/>
        <a:p>
          <a:pPr>
            <a:defRPr sz="800" b="0" i="0" u="none" strike="noStrike" baseline="0">
              <a:solidFill>
                <a:srgbClr val="595959"/>
              </a:solidFill>
              <a:latin typeface="Times New Roman"/>
              <a:ea typeface="宋体"/>
              <a:cs typeface="Lucida Sans"/>
            </a:defRPr>
          </a:pPr>
          <a:endParaRPr lang="zh-CN"/>
        </a:p>
      </c:txPr>
      <c:legendEntry>
        <c:idx val="0"/>
        <c:txPr>
          <a:bodyPr/>
          <a:lstStyle/>
          <a:p>
            <a:pPr>
              <a:defRPr sz="800" b="0" i="0" u="none" strike="noStrike" baseline="0">
                <a:solidFill>
                  <a:srgbClr val="595959"/>
                </a:solidFill>
                <a:latin typeface="Times New Roman"/>
                <a:ea typeface="宋体"/>
                <a:cs typeface="Lucida Sans"/>
              </a:defRPr>
            </a:pPr>
            <a:endParaRPr lang="zh-CN"/>
          </a:p>
        </c:txPr>
      </c:legendEntry>
      <c:legendEntry>
        <c:idx val="1"/>
        <c:txPr>
          <a:bodyPr/>
          <a:lstStyle/>
          <a:p>
            <a:pPr>
              <a:defRPr sz="800" b="0" i="0" u="none" strike="noStrike" baseline="0">
                <a:solidFill>
                  <a:srgbClr val="595959"/>
                </a:solidFill>
                <a:latin typeface="Times New Roman"/>
                <a:ea typeface="宋体"/>
                <a:cs typeface="Lucida Sans"/>
              </a:defRPr>
            </a:pPr>
            <a:endParaRPr lang="zh-CN"/>
          </a:p>
        </c:txPr>
      </c:legendEntry>
      <c:legendEntry>
        <c:idx val="2"/>
        <c:txPr>
          <a:bodyPr/>
          <a:lstStyle/>
          <a:p>
            <a:pPr>
              <a:defRPr sz="800" b="0" i="0" u="none" strike="noStrike" baseline="0">
                <a:solidFill>
                  <a:srgbClr val="595959"/>
                </a:solidFill>
                <a:latin typeface="Times New Roman"/>
                <a:ea typeface="宋体"/>
                <a:cs typeface="Lucida Sans"/>
              </a:defRPr>
            </a:pPr>
            <a:endParaRPr lang="zh-CN"/>
          </a:p>
        </c:txPr>
      </c:legendEntry>
    </c:legend>
    <c:plotVisOnly val="1"/>
    <c:dispBlanksAs val="gap"/>
    <c:showDLblsOverMax val="0"/>
  </c:chart>
  <c:spPr>
    <a:solidFill>
      <a:srgbClr val="FFFFFF"/>
    </a:solidFill>
    <a:ln w="6350">
      <a:solidFill>
        <a:srgbClr val="D9D9D9"/>
      </a:solidFill>
      <a:prstDash val="solid"/>
    </a:ln>
  </c:spPr>
  <c:txPr>
    <a:bodyPr/>
    <a:lstStyle/>
    <a:p>
      <a:pPr>
        <a:defRPr sz="8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docProps/app.xml><?xml version="1.0" encoding="utf-8"?>
<Properties xmlns="http://schemas.openxmlformats.org/officeDocument/2006/extended-properties">
  <Template>Normal.eit</Template>
  <TotalTime>6</TotalTime>
  <Application>Yozo_Office27021597764231179</Application>
  <Pages>1</Pages>
  <Words>15</Words>
  <Characters>15</Characters>
  <Lines>1</Lines>
  <Paragraphs>1</Paragraphs>
  <CharactersWithSpaces>15</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xb21cn</dc:creator>
  <cp:lastModifiedBy>user</cp:lastModifiedBy>
  <cp:revision>3</cp:revision>
  <cp:lastPrinted>2024-07-29T08:08:53Z</cp:lastPrinted>
  <dcterms:created xsi:type="dcterms:W3CDTF">2024-06-11T03:31:00Z</dcterms:created>
  <dcterms:modified xsi:type="dcterms:W3CDTF">2024-07-29T10:06:56Z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2052-12.1.0.17147</vt:lpwstr>
  </property>
  <property fmtid="{D5CDD505-2E9C-101B-9397-08002B2CF9AE}" pid="3" name="ICV">
    <vt:lpwstr>446380C16329439986BBC5ED657C23B1_12</vt:lpwstr>
  </property>
</Properties>
</file>