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63EA2">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7796922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sz w:val="44"/>
          <w:szCs w:val="44"/>
        </w:rPr>
      </w:pPr>
    </w:p>
    <w:p w14:paraId="3090829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川汶高速公路(茂县段)征地拆迁补偿实施方案</w:t>
      </w:r>
    </w:p>
    <w:p w14:paraId="4FFC4A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送审稿</w:t>
      </w:r>
      <w:r>
        <w:rPr>
          <w:rFonts w:hint="eastAsia" w:ascii="楷体_GB2312" w:hAnsi="楷体_GB2312" w:eastAsia="楷体_GB2312" w:cs="楷体_GB2312"/>
          <w:sz w:val="32"/>
          <w:szCs w:val="32"/>
          <w:lang w:eastAsia="zh-CN"/>
        </w:rPr>
        <w:t>）</w:t>
      </w:r>
    </w:p>
    <w:p w14:paraId="77CF026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楷体_GB2312" w:hAnsi="楷体_GB2312" w:eastAsia="楷体_GB2312" w:cs="楷体_GB2312"/>
          <w:sz w:val="32"/>
          <w:szCs w:val="32"/>
          <w:lang w:eastAsia="zh-CN"/>
        </w:rPr>
      </w:pPr>
    </w:p>
    <w:p w14:paraId="2B1CFF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为规范G0611川主寺至汶川段高速公路在茂县县域内的征地拆迁工作，保障被征地农民合法权益，推动项目顺利建设，依据相关法律法规及政策，结合县域实际，特制定本实施方案。</w:t>
      </w:r>
    </w:p>
    <w:p w14:paraId="60E1C4F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一、征地拆迁补偿标准制定依据</w:t>
      </w:r>
    </w:p>
    <w:p w14:paraId="7A42A5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000000" w:themeColor="text1"/>
          <w:sz w:val="32"/>
          <w:szCs w:val="32"/>
          <w:lang w:val="en-US" w:eastAsia="zh-CN"/>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一）《中华人民共和国土地管理法》《中华人民共和国草原法》《中华人民共和国森林法》《中华人民共和国水法》和《建设项目使用林地审核审批管理办法》（国家林业局第35号令）农业部《草原征占用审核审批管理办法》（农业部令第58号）《四川省物价局</w:t>
      </w:r>
      <w:r>
        <w:rPr>
          <w:rFonts w:hint="eastAsia" w:ascii="仿宋_GB2312" w:hAnsi="宋体" w:eastAsia="仿宋_GB2312"/>
          <w:color w:val="000000" w:themeColor="text1"/>
          <w:sz w:val="32"/>
          <w:szCs w:val="32"/>
          <w:lang w:val="en-US" w:eastAsia="zh-CN"/>
          <w14:textFill>
            <w14:solidFill>
              <w14:schemeClr w14:val="tx1"/>
            </w14:solidFill>
          </w14:textFill>
        </w:rPr>
        <w:t xml:space="preserve"> </w:t>
      </w:r>
      <w:r>
        <w:rPr>
          <w:rFonts w:hint="eastAsia" w:ascii="仿宋_GB2312" w:hAnsi="宋体" w:eastAsia="仿宋_GB2312"/>
          <w:color w:val="000000" w:themeColor="text1"/>
          <w:sz w:val="32"/>
          <w:szCs w:val="32"/>
          <w14:textFill>
            <w14:solidFill>
              <w14:schemeClr w14:val="tx1"/>
            </w14:solidFill>
          </w14:textFill>
        </w:rPr>
        <w:t>四川省财政厅</w:t>
      </w:r>
      <w:r>
        <w:rPr>
          <w:rFonts w:hint="eastAsia" w:ascii="仿宋_GB2312" w:hAnsi="宋体" w:eastAsia="仿宋_GB2312"/>
          <w:color w:val="000000" w:themeColor="text1"/>
          <w:sz w:val="32"/>
          <w:szCs w:val="32"/>
          <w:lang w:val="en-US" w:eastAsia="zh-CN"/>
          <w14:textFill>
            <w14:solidFill>
              <w14:schemeClr w14:val="tx1"/>
            </w14:solidFill>
          </w14:textFill>
        </w:rPr>
        <w:t xml:space="preserve"> </w:t>
      </w:r>
      <w:r>
        <w:rPr>
          <w:rFonts w:hint="eastAsia" w:ascii="仿宋_GB2312" w:hAnsi="宋体" w:eastAsia="仿宋_GB2312"/>
          <w:color w:val="000000" w:themeColor="text1"/>
          <w:sz w:val="32"/>
          <w:szCs w:val="32"/>
          <w14:textFill>
            <w14:solidFill>
              <w14:schemeClr w14:val="tx1"/>
            </w14:solidFill>
          </w14:textFill>
        </w:rPr>
        <w:t>四川省林业厅关于收取森林植被恢复费和林地</w:t>
      </w:r>
      <w:r>
        <w:rPr>
          <w:rFonts w:hint="eastAsia" w:ascii="仿宋_GB2312" w:hAnsi="宋体" w:eastAsia="仿宋_GB2312"/>
          <w:color w:val="000000" w:themeColor="text1"/>
          <w:sz w:val="32"/>
          <w:szCs w:val="32"/>
          <w:lang w:val="en-US" w:eastAsia="zh-CN"/>
          <w14:textFill>
            <w14:solidFill>
              <w14:schemeClr w14:val="tx1"/>
            </w14:solidFill>
          </w14:textFill>
        </w:rPr>
        <w:t xml:space="preserve"> </w:t>
      </w:r>
      <w:r>
        <w:rPr>
          <w:rFonts w:hint="eastAsia" w:ascii="仿宋_GB2312" w:hAnsi="宋体" w:eastAsia="仿宋_GB2312"/>
          <w:color w:val="000000" w:themeColor="text1"/>
          <w:sz w:val="32"/>
          <w:szCs w:val="32"/>
          <w14:textFill>
            <w14:solidFill>
              <w14:schemeClr w14:val="tx1"/>
            </w14:solidFill>
          </w14:textFill>
        </w:rPr>
        <w:t>林木补</w:t>
      </w:r>
      <w:r>
        <w:rPr>
          <w:rFonts w:hint="eastAsia" w:ascii="仿宋_GB2312" w:hAnsi="宋体" w:eastAsia="仿宋_GB2312"/>
          <w:color w:val="000000" w:themeColor="text1"/>
          <w:sz w:val="32"/>
          <w:szCs w:val="32"/>
          <w:lang w:val="en-US" w:eastAsia="zh-CN"/>
          <w14:textFill>
            <w14:solidFill>
              <w14:schemeClr w14:val="tx1"/>
            </w14:solidFill>
          </w14:textFill>
        </w:rPr>
        <w:t>偿的通知》（川价字非〔1993〕4号）《四川省水利工程管理条例》《四川省建设项目占用水利工程及其附属设施补偿办法》（川府发〔2020〕29号）。</w:t>
      </w:r>
    </w:p>
    <w:p w14:paraId="3D165D7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（二）《四川省人民政府办公厅关于印发支持高速公路加快建设若干政策的通知》（川办规〔2022〕7号）。</w:t>
      </w:r>
    </w:p>
    <w:p w14:paraId="22CD0D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（三）《四川省人民政府办公厅关于进一步做好征地工作的通知》（川办发〔2024〕18号）。</w:t>
      </w:r>
    </w:p>
    <w:p w14:paraId="6D5C66D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（四）《四川省人民政府关于同意各市（州）征收农用地区片综合地价标准的批复》（川府函〔2023〕222号）。</w:t>
      </w:r>
    </w:p>
    <w:p w14:paraId="3B2677E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（五）《四川省人民政府关于同意各市（州）征地地上附着物和青苗补偿标准的批复》（川府函〔2024〕190号）。</w:t>
      </w:r>
    </w:p>
    <w:p w14:paraId="299045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（六）《四川省被征地农民养老保障实施办法》（川人社发〔2018〕46号）。</w:t>
      </w:r>
    </w:p>
    <w:p w14:paraId="6884DD6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（七）</w:t>
      </w:r>
      <w:r>
        <w:rPr>
          <w:rFonts w:hint="eastAsia" w:ascii="仿宋_GB2312" w:eastAsia="仿宋_GB2312"/>
          <w:color w:val="000000" w:themeColor="text1"/>
          <w:sz w:val="32"/>
          <w:szCs w:val="32"/>
          <w14:textFill>
            <w14:solidFill>
              <w14:schemeClr w14:val="tx1"/>
            </w14:solidFill>
          </w14:textFill>
        </w:rPr>
        <w:t>四川省人民政府办公厅关于进一步加强被征地农民社会保障工作的通知(川办发〔2008〕15号)</w:t>
      </w:r>
      <w:r>
        <w:rPr>
          <w:rFonts w:hint="eastAsia" w:ascii="仿宋_GB2312" w:hAnsi="宋体" w:eastAsia="仿宋_GB2312"/>
          <w:color w:val="000000" w:themeColor="text1"/>
          <w:sz w:val="32"/>
          <w:szCs w:val="32"/>
          <w14:textFill>
            <w14:solidFill>
              <w14:schemeClr w14:val="tx1"/>
            </w14:solidFill>
          </w14:textFill>
        </w:rPr>
        <w:t>《四川省人民政府办公厅关于加强企业职工基本养老保险基金收支管理有关问题的通知》（川办发〔2018〕59号）。</w:t>
      </w:r>
    </w:p>
    <w:p w14:paraId="4CEBAF3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000000" w:themeColor="text1"/>
          <w:sz w:val="32"/>
          <w:szCs w:val="32"/>
          <w:lang w:eastAsia="zh-CN"/>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（八）《四川省人力资源和社会保障厅 四川省财政厅 国家税务总局四川省水务局关于印发&lt;四川省失业保险省级统筹实施意见&gt;的通知》（川人社办发〔2023〕18 号）《阿坝州人民政府关于印发</w:t>
      </w:r>
      <w:r>
        <w:rPr>
          <w:rFonts w:hint="eastAsia" w:ascii="仿宋" w:hAnsi="仿宋" w:eastAsia="仿宋"/>
          <w:color w:val="000000" w:themeColor="text1"/>
          <w:sz w:val="32"/>
          <w:szCs w:val="32"/>
          <w14:textFill>
            <w14:solidFill>
              <w14:schemeClr w14:val="tx1"/>
            </w14:solidFill>
          </w14:textFill>
        </w:rPr>
        <w:t>﹤阿坝州城乡居民基本医疗保险实施办法（修订）﹥的通知</w:t>
      </w:r>
      <w:r>
        <w:rPr>
          <w:rFonts w:hint="eastAsia" w:ascii="仿宋_GB2312" w:hAnsi="宋体" w:eastAsia="仿宋_GB2312"/>
          <w:color w:val="000000" w:themeColor="text1"/>
          <w:sz w:val="32"/>
          <w:szCs w:val="32"/>
          <w14:textFill>
            <w14:solidFill>
              <w14:schemeClr w14:val="tx1"/>
            </w14:solidFill>
          </w14:textFill>
        </w:rPr>
        <w:t>》（阿府发〔2021〕11号）</w:t>
      </w:r>
      <w:r>
        <w:rPr>
          <w:rFonts w:hint="eastAsia" w:ascii="仿宋_GB2312" w:hAnsi="宋体" w:eastAsia="仿宋_GB2312"/>
          <w:color w:val="000000" w:themeColor="text1"/>
          <w:sz w:val="32"/>
          <w:szCs w:val="32"/>
          <w:lang w:eastAsia="zh-CN"/>
          <w14:textFill>
            <w14:solidFill>
              <w14:schemeClr w14:val="tx1"/>
            </w14:solidFill>
          </w14:textFill>
        </w:rPr>
        <w:t>。</w:t>
      </w:r>
    </w:p>
    <w:p w14:paraId="4B54A58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（九）《阿坝州人民政府办公室关于印发阿坝州高速公路工程建设征地拆迁补偿方案的通知》（阿府办发〔2015〕7号）。</w:t>
      </w:r>
    </w:p>
    <w:p w14:paraId="09376D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二、实施原则</w:t>
      </w:r>
    </w:p>
    <w:p w14:paraId="0C88D3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宋体" w:hAnsi="宋体"/>
          <w:b/>
          <w:color w:val="000000" w:themeColor="text1"/>
          <w:sz w:val="32"/>
          <w:szCs w:val="32"/>
          <w14:textFill>
            <w14:solidFill>
              <w14:schemeClr w14:val="tx1"/>
            </w14:solidFill>
          </w14:textFill>
        </w:rPr>
      </w:pPr>
      <w:r>
        <w:rPr>
          <w:rFonts w:ascii="仿宋_GB2312" w:hAnsi="宋体" w:eastAsia="仿宋_GB2312"/>
          <w:color w:val="000000" w:themeColor="text1"/>
          <w:sz w:val="32"/>
          <w:szCs w:val="32"/>
          <w14:textFill>
            <w14:solidFill>
              <w14:schemeClr w14:val="tx1"/>
            </w14:solidFill>
          </w14:textFill>
        </w:rPr>
        <w:t>自征收土地预公告发布之日起，抢栽农作物、林（果、竹）木和抢建建筑物、构筑物等不予补偿。</w:t>
      </w:r>
      <w:r>
        <w:rPr>
          <w:rFonts w:hint="eastAsia" w:ascii="仿宋_GB2312" w:hAnsi="宋体" w:eastAsia="仿宋_GB2312"/>
          <w:color w:val="000000" w:themeColor="text1"/>
          <w:sz w:val="32"/>
          <w:szCs w:val="32"/>
          <w14:textFill>
            <w14:solidFill>
              <w14:schemeClr w14:val="tx1"/>
            </w14:solidFill>
          </w14:textFill>
        </w:rPr>
        <w:t>建筑物和构筑物按国家规范确定划分，依其性质补偿，不得重复补偿。</w:t>
      </w:r>
    </w:p>
    <w:p w14:paraId="07C570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三、适用范围</w:t>
      </w:r>
    </w:p>
    <w:p w14:paraId="524E45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本实施方案适用于川汶高速公路项目工程建设在茂县县域内的征地拆迁补偿工作。</w:t>
      </w:r>
    </w:p>
    <w:p w14:paraId="4CF03F6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四、补偿标准</w:t>
      </w:r>
    </w:p>
    <w:p w14:paraId="77F2D24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（一）征收土地补偿标准</w:t>
      </w:r>
    </w:p>
    <w:p w14:paraId="0CE58E9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土地补偿费和安置补助费：按照《四川省人民政府关于同意各市（州）征收农用地区片综合地价标准的批复》（川府函〔2023〕222号）执行。</w:t>
      </w:r>
    </w:p>
    <w:p w14:paraId="7EDB874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color w:val="000000" w:themeColor="text1"/>
          <w:sz w:val="32"/>
          <w:szCs w:val="32"/>
          <w:lang w:eastAsia="zh-CN"/>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（二）被征占地农民社会保障费用</w:t>
      </w:r>
    </w:p>
    <w:p w14:paraId="501615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按照《中华人民共和国土地管理法》《四川省〈中华人民共和国土地管理法〉实施办法》《四川省被征地农民养老保障实施办法》（川人社发〔2018〕46号）《阿坝州人民政府关于印发</w:t>
      </w:r>
      <w:r>
        <w:rPr>
          <w:rFonts w:hint="eastAsia" w:ascii="仿宋_GB2312" w:hAnsi="宋体" w:eastAsia="仿宋_GB2312"/>
          <w:color w:val="000000" w:themeColor="text1"/>
          <w:sz w:val="32"/>
          <w:szCs w:val="32"/>
          <w:lang w:val="en-US" w:eastAsia="zh-CN"/>
          <w14:textFill>
            <w14:solidFill>
              <w14:schemeClr w14:val="tx1"/>
            </w14:solidFill>
          </w14:textFill>
        </w:rPr>
        <w:t>&lt;</w:t>
      </w:r>
      <w:r>
        <w:rPr>
          <w:rFonts w:hint="eastAsia" w:ascii="仿宋_GB2312" w:hAnsi="宋体" w:eastAsia="仿宋_GB2312"/>
          <w:color w:val="000000" w:themeColor="text1"/>
          <w:sz w:val="32"/>
          <w:szCs w:val="32"/>
          <w14:textFill>
            <w14:solidFill>
              <w14:schemeClr w14:val="tx1"/>
            </w14:solidFill>
          </w14:textFill>
        </w:rPr>
        <w:t>阿坝州城乡居民基本医疗保险实施办法（修订）</w:t>
      </w:r>
      <w:r>
        <w:rPr>
          <w:rFonts w:hint="eastAsia" w:ascii="仿宋_GB2312" w:hAnsi="宋体" w:eastAsia="仿宋_GB2312"/>
          <w:color w:val="000000" w:themeColor="text1"/>
          <w:sz w:val="32"/>
          <w:szCs w:val="32"/>
          <w:lang w:val="en-US" w:eastAsia="zh-CN"/>
          <w14:textFill>
            <w14:solidFill>
              <w14:schemeClr w14:val="tx1"/>
            </w14:solidFill>
          </w14:textFill>
        </w:rPr>
        <w:t>&gt;</w:t>
      </w:r>
      <w:r>
        <w:rPr>
          <w:rFonts w:hint="eastAsia" w:ascii="仿宋_GB2312" w:hAnsi="宋体" w:eastAsia="仿宋_GB2312"/>
          <w:color w:val="000000" w:themeColor="text1"/>
          <w:sz w:val="32"/>
          <w:szCs w:val="32"/>
          <w14:textFill>
            <w14:solidFill>
              <w14:schemeClr w14:val="tx1"/>
            </w14:solidFill>
          </w14:textFill>
        </w:rPr>
        <w:t>的通知》（阿府发〔2021〕11号）等相关法律法规及政策规定，</w:t>
      </w:r>
      <w:r>
        <w:rPr>
          <w:rFonts w:hint="eastAsia" w:ascii="仿宋_GB2312" w:eastAsia="仿宋_GB2312"/>
          <w:color w:val="000000" w:themeColor="text1"/>
          <w:sz w:val="32"/>
          <w:szCs w:val="32"/>
          <w14:textFill>
            <w14:solidFill>
              <w14:schemeClr w14:val="tx1"/>
            </w14:solidFill>
          </w14:textFill>
        </w:rPr>
        <w:t>依照最新标准测算养老保险、基本医疗保险保费、失业保险补偿费</w:t>
      </w:r>
      <w:r>
        <w:rPr>
          <w:rFonts w:hint="eastAsia" w:ascii="仿宋_GB2312" w:hAnsi="宋体" w:eastAsia="仿宋_GB2312"/>
          <w:color w:val="000000" w:themeColor="text1"/>
          <w:sz w:val="32"/>
          <w:szCs w:val="32"/>
          <w14:textFill>
            <w14:solidFill>
              <w14:schemeClr w14:val="tx1"/>
            </w14:solidFill>
          </w14:textFill>
        </w:rPr>
        <w:t>，并足额预存入同级财政部门开设的被征地农民社会保障资金专户或代管资金专户，待被征地农民补偿安置方案批准后，按多退少补原则清算。</w:t>
      </w:r>
    </w:p>
    <w:p w14:paraId="41A9451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（三）临时用地补偿标准</w:t>
      </w:r>
    </w:p>
    <w:p w14:paraId="26CC9CB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临时用地补偿费用包括土地补偿费、地上附着物补偿费（含青苗补偿）。临时用地补偿费根据《阿坝州人民政府办公室关于印发阿坝州高速公路工程建设征地拆迁补偿方案的通知》（阿府办发〔2015〕7 号）进行测算；地上附着物补偿费（含青苗补偿）参照《四川省人民政府关于同意各市（州）征地地上附着物和青苗补偿标准的批复》（川府函〔2024〕190 号），结合县域实际情况适当提高标准。</w:t>
      </w:r>
    </w:p>
    <w:p w14:paraId="119D436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（四）房屋征占补偿标准</w:t>
      </w:r>
    </w:p>
    <w:p w14:paraId="4749243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1.房屋征占范围：川汶高速公路（茂县段）建设用地征地红线内的房屋、建构筑物。</w:t>
      </w:r>
    </w:p>
    <w:p w14:paraId="45280F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2.对象：征地红线内被拆除房屋及构建筑物的所有权人。</w:t>
      </w:r>
    </w:p>
    <w:p w14:paraId="23F3E9D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3.补偿标准：房屋、房屋附属物及构筑物等补偿标准按照《四川省人民政府关于同意各市（州）征地地上附着物和青苗补偿标准的批复》（川府函〔2024〕190号）房屋重置价标准执行。没有具体补偿标准的项目参照规定标准中相近项目标准进行补偿，或通过①财政评审，②第三方评估等方式确定。国有土地上的房屋按《四川省国有土地上房屋征收与补偿条例》的相关规定办理。</w:t>
      </w:r>
    </w:p>
    <w:p w14:paraId="3F59AA4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（五）地上附着物及青苗补偿标准</w:t>
      </w:r>
    </w:p>
    <w:p w14:paraId="23FF01F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地上构筑物及其他附属设施、零星林木补偿、成片林木补偿、征收土地青苗补偿费标准按照《四川省人民政府关于同意各市（州）征地地上附着物和青苗补偿标准的批复》（川府函〔2024〕190号）规定执行。</w:t>
      </w:r>
    </w:p>
    <w:p w14:paraId="7242A8D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（六）水利等设施征占补偿标准</w:t>
      </w:r>
    </w:p>
    <w:p w14:paraId="74B2B6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征占水利设施，可通过还建替代原有水利工程进行实物补偿，也可依法评估拟定补偿方案，或者按照《四川省人民政府关于同意各市（州）征地地上附着物和青苗补偿标准的批复》（川府函〔2024〕190号）规定执行。采取作价补偿且为集中的水利工程，通过财政评审或第三方评估确定；零星分散水利设施征占按水务部门相关标准执行。</w:t>
      </w:r>
    </w:p>
    <w:p w14:paraId="39996B8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（七）其他地上附着物补偿标准</w:t>
      </w:r>
    </w:p>
    <w:p w14:paraId="258B2C8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电力、通信设施迁改要坚持“迁改工程建设尽可能不影响公路建设工程施工”原则，通过第三方评估确定补偿金额。具有相当规模、内容复杂或补偿投资较大的地上附着物，按专项设施迁建补偿。110kv及以上电力杆线、压覆矿产等重大项目迁改费用按实际迁改金额补偿。</w:t>
      </w:r>
    </w:p>
    <w:p w14:paraId="1DC23BF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五、其他</w:t>
      </w:r>
    </w:p>
    <w:p w14:paraId="4CA8279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宋体" w:eastAsia="仿宋_GB2312"/>
          <w:color w:val="000000" w:themeColor="text1"/>
          <w:sz w:val="32"/>
          <w:szCs w:val="32"/>
          <w:lang w:val="en-US" w:eastAsia="zh-CN"/>
          <w14:textFill>
            <w14:solidFill>
              <w14:schemeClr w14:val="tx1"/>
            </w14:solidFill>
          </w14:textFill>
        </w:rPr>
      </w:pPr>
      <w:r>
        <w:rPr>
          <w:rFonts w:ascii="仿宋_GB2312" w:hAnsi="宋体" w:eastAsia="仿宋_GB2312"/>
          <w:color w:val="000000" w:themeColor="text1"/>
          <w:sz w:val="32"/>
          <w:szCs w:val="32"/>
          <w14:textFill>
            <w14:solidFill>
              <w14:schemeClr w14:val="tx1"/>
            </w14:solidFill>
          </w14:textFill>
        </w:rPr>
        <w:t>房屋装修补偿，因征收造成的搬迁费、临时安置费，传统稀植甜樱桃、</w:t>
      </w:r>
      <w:r>
        <w:rPr>
          <w:rFonts w:hint="eastAsia" w:ascii="仿宋_GB2312" w:hAnsi="宋体" w:eastAsia="仿宋_GB2312"/>
          <w:color w:val="000000" w:themeColor="text1"/>
          <w:sz w:val="32"/>
          <w:szCs w:val="32"/>
          <w14:textFill>
            <w14:solidFill>
              <w14:schemeClr w14:val="tx1"/>
            </w14:solidFill>
          </w14:textFill>
        </w:rPr>
        <w:t>矮化</w:t>
      </w:r>
      <w:r>
        <w:rPr>
          <w:rFonts w:ascii="仿宋_GB2312" w:hAnsi="宋体" w:eastAsia="仿宋_GB2312"/>
          <w:color w:val="000000" w:themeColor="text1"/>
          <w:sz w:val="32"/>
          <w:szCs w:val="32"/>
          <w14:textFill>
            <w14:solidFill>
              <w14:schemeClr w14:val="tx1"/>
            </w14:solidFill>
          </w14:textFill>
        </w:rPr>
        <w:t>密植</w:t>
      </w:r>
      <w:r>
        <w:rPr>
          <w:rFonts w:hint="eastAsia" w:ascii="仿宋_GB2312" w:hAnsi="宋体" w:eastAsia="仿宋_GB2312"/>
          <w:color w:val="000000" w:themeColor="text1"/>
          <w:sz w:val="32"/>
          <w:szCs w:val="32"/>
          <w14:textFill>
            <w14:solidFill>
              <w14:schemeClr w14:val="tx1"/>
            </w14:solidFill>
          </w14:textFill>
        </w:rPr>
        <w:t>苹果</w:t>
      </w:r>
      <w:r>
        <w:rPr>
          <w:rFonts w:ascii="仿宋_GB2312" w:hAnsi="宋体" w:eastAsia="仿宋_GB2312"/>
          <w:color w:val="000000" w:themeColor="text1"/>
          <w:sz w:val="32"/>
          <w:szCs w:val="32"/>
          <w14:textFill>
            <w14:solidFill>
              <w14:schemeClr w14:val="tx1"/>
            </w14:solidFill>
          </w14:textFill>
        </w:rPr>
        <w:t>、</w:t>
      </w:r>
      <w:r>
        <w:rPr>
          <w:rFonts w:hint="eastAsia" w:ascii="仿宋_GB2312" w:hAnsi="宋体" w:eastAsia="仿宋_GB2312"/>
          <w:color w:val="000000" w:themeColor="text1"/>
          <w:sz w:val="32"/>
          <w:szCs w:val="32"/>
          <w14:textFill>
            <w14:solidFill>
              <w14:schemeClr w14:val="tx1"/>
            </w14:solidFill>
          </w14:textFill>
        </w:rPr>
        <w:t>矮化</w:t>
      </w:r>
      <w:r>
        <w:rPr>
          <w:rFonts w:ascii="仿宋_GB2312" w:hAnsi="宋体" w:eastAsia="仿宋_GB2312"/>
          <w:color w:val="000000" w:themeColor="text1"/>
          <w:sz w:val="32"/>
          <w:szCs w:val="32"/>
          <w14:textFill>
            <w14:solidFill>
              <w14:schemeClr w14:val="tx1"/>
            </w14:solidFill>
          </w14:textFill>
        </w:rPr>
        <w:t>密植甜</w:t>
      </w:r>
      <w:r>
        <w:rPr>
          <w:rFonts w:hint="eastAsia" w:ascii="仿宋_GB2312" w:hAnsi="宋体" w:eastAsia="仿宋_GB2312"/>
          <w:color w:val="000000" w:themeColor="text1"/>
          <w:sz w:val="32"/>
          <w:szCs w:val="32"/>
          <w14:textFill>
            <w14:solidFill>
              <w14:schemeClr w14:val="tx1"/>
            </w14:solidFill>
          </w14:textFill>
        </w:rPr>
        <w:t>樱桃、</w:t>
      </w:r>
      <w:r>
        <w:rPr>
          <w:rFonts w:ascii="仿宋_GB2312" w:hAnsi="宋体" w:eastAsia="仿宋_GB2312"/>
          <w:color w:val="000000" w:themeColor="text1"/>
          <w:sz w:val="32"/>
          <w:szCs w:val="32"/>
          <w14:textFill>
            <w14:solidFill>
              <w14:schemeClr w14:val="tx1"/>
            </w14:solidFill>
          </w14:textFill>
        </w:rPr>
        <w:t>特色中药材、经济林木、零星水利设施、电力设施等未在省、州印发范围内明确标准</w:t>
      </w:r>
      <w:r>
        <w:rPr>
          <w:rFonts w:hint="eastAsia" w:ascii="仿宋_GB2312" w:hAnsi="宋体" w:eastAsia="仿宋_GB2312"/>
          <w:color w:val="000000" w:themeColor="text1"/>
          <w:sz w:val="32"/>
          <w:szCs w:val="32"/>
          <w14:textFill>
            <w14:solidFill>
              <w14:schemeClr w14:val="tx1"/>
            </w14:solidFill>
          </w14:textFill>
        </w:rPr>
        <w:t>及</w:t>
      </w:r>
      <w:r>
        <w:rPr>
          <w:rFonts w:ascii="仿宋_GB2312" w:hAnsi="宋体" w:eastAsia="仿宋_GB2312"/>
          <w:color w:val="000000" w:themeColor="text1"/>
          <w:sz w:val="32"/>
          <w:szCs w:val="32"/>
          <w14:textFill>
            <w14:solidFill>
              <w14:schemeClr w14:val="tx1"/>
            </w14:solidFill>
          </w14:textFill>
        </w:rPr>
        <w:t>无类似项目等结合茂县地方实际情况补充完善，</w:t>
      </w:r>
      <w:r>
        <w:rPr>
          <w:rFonts w:hint="eastAsia" w:ascii="仿宋_GB2312" w:hAnsi="宋体" w:eastAsia="仿宋_GB2312"/>
          <w:color w:val="000000" w:themeColor="text1"/>
          <w:sz w:val="32"/>
          <w:szCs w:val="32"/>
          <w14:textFill>
            <w14:solidFill>
              <w14:schemeClr w14:val="tx1"/>
            </w14:solidFill>
          </w14:textFill>
        </w:rPr>
        <w:t>并由</w:t>
      </w:r>
      <w:r>
        <w:rPr>
          <w:rFonts w:ascii="仿宋_GB2312" w:hAnsi="宋体" w:eastAsia="仿宋_GB2312"/>
          <w:color w:val="000000" w:themeColor="text1"/>
          <w:sz w:val="32"/>
          <w:szCs w:val="32"/>
          <w14:textFill>
            <w14:solidFill>
              <w14:schemeClr w14:val="tx1"/>
            </w14:solidFill>
          </w14:textFill>
        </w:rPr>
        <w:t>具有相应资质的第三方评估公司</w:t>
      </w:r>
      <w:r>
        <w:rPr>
          <w:rFonts w:hint="eastAsia" w:ascii="仿宋_GB2312" w:hAnsi="宋体" w:eastAsia="仿宋_GB2312"/>
          <w:color w:val="000000" w:themeColor="text1"/>
          <w:sz w:val="32"/>
          <w:szCs w:val="32"/>
          <w14:textFill>
            <w14:solidFill>
              <w14:schemeClr w14:val="tx1"/>
            </w14:solidFill>
          </w14:textFill>
        </w:rPr>
        <w:t>进行</w:t>
      </w:r>
      <w:r>
        <w:rPr>
          <w:rFonts w:ascii="仿宋_GB2312" w:hAnsi="宋体" w:eastAsia="仿宋_GB2312"/>
          <w:color w:val="000000" w:themeColor="text1"/>
          <w:sz w:val="32"/>
          <w:szCs w:val="32"/>
          <w14:textFill>
            <w14:solidFill>
              <w14:schemeClr w14:val="tx1"/>
            </w14:solidFill>
          </w14:textFill>
        </w:rPr>
        <w:t>评估，</w:t>
      </w:r>
      <w:r>
        <w:rPr>
          <w:rFonts w:hint="eastAsia" w:ascii="仿宋_GB2312" w:hAnsi="宋体" w:eastAsia="仿宋_GB2312"/>
          <w:color w:val="000000" w:themeColor="text1"/>
          <w:sz w:val="32"/>
          <w:szCs w:val="32"/>
          <w14:textFill>
            <w14:solidFill>
              <w14:schemeClr w14:val="tx1"/>
            </w14:solidFill>
          </w14:textFill>
        </w:rPr>
        <w:t>待评估后公布实施</w:t>
      </w:r>
      <w:r>
        <w:rPr>
          <w:rFonts w:hint="eastAsia" w:ascii="仿宋_GB2312" w:hAnsi="宋体" w:eastAsia="仿宋_GB2312"/>
          <w:color w:val="000000" w:themeColor="text1"/>
          <w:sz w:val="32"/>
          <w:szCs w:val="32"/>
          <w:lang w:eastAsia="zh-CN"/>
          <w14:textFill>
            <w14:solidFill>
              <w14:schemeClr w14:val="tx1"/>
            </w14:solidFill>
          </w14:textFill>
        </w:rPr>
        <w:t>，</w:t>
      </w:r>
      <w:r>
        <w:rPr>
          <w:rFonts w:hint="eastAsia" w:ascii="仿宋_GB2312" w:hAnsi="宋体" w:eastAsia="仿宋_GB2312"/>
          <w:color w:val="000000" w:themeColor="text1"/>
          <w:sz w:val="32"/>
          <w:szCs w:val="32"/>
          <w:lang w:val="en-US" w:eastAsia="zh-CN"/>
          <w14:textFill>
            <w14:solidFill>
              <w14:schemeClr w14:val="tx1"/>
            </w14:solidFill>
          </w14:textFill>
        </w:rPr>
        <w:t>县域范围内其它征地补偿标准参照此方案执行。</w:t>
      </w:r>
      <w:bookmarkStart w:id="0" w:name="_GoBack"/>
      <w:bookmarkEnd w:id="0"/>
    </w:p>
    <w:p w14:paraId="639B58A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000000" w:themeColor="text1"/>
          <w:sz w:val="32"/>
          <w:szCs w:val="32"/>
          <w:lang w:val="en-US" w:eastAsia="zh-CN"/>
          <w14:textFill>
            <w14:solidFill>
              <w14:schemeClr w14:val="tx1"/>
            </w14:solidFill>
          </w14:textFill>
        </w:rPr>
      </w:pPr>
    </w:p>
    <w:p w14:paraId="510E662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000000" w:themeColor="text1"/>
          <w:sz w:val="32"/>
          <w:szCs w:val="32"/>
          <w:lang w:val="en-US" w:eastAsia="zh-CN"/>
          <w14:textFill>
            <w14:solidFill>
              <w14:schemeClr w14:val="tx1"/>
            </w14:solidFill>
          </w14:textFill>
        </w:rPr>
      </w:pPr>
      <w:r>
        <w:rPr>
          <w:rFonts w:hint="eastAsia" w:ascii="仿宋_GB2312" w:hAnsi="宋体" w:eastAsia="仿宋_GB2312"/>
          <w:color w:val="000000" w:themeColor="text1"/>
          <w:sz w:val="32"/>
          <w:szCs w:val="32"/>
          <w:lang w:val="en-US" w:eastAsia="zh-CN"/>
          <w14:textFill>
            <w14:solidFill>
              <w14:schemeClr w14:val="tx1"/>
            </w14:solidFill>
          </w14:textFill>
        </w:rPr>
        <w:t>附件：1.川汶高速公路建设土地补偿标准</w:t>
      </w:r>
    </w:p>
    <w:p w14:paraId="382E8BB0">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hint="eastAsia" w:ascii="仿宋_GB2312" w:hAnsi="宋体" w:eastAsia="仿宋_GB2312"/>
          <w:color w:val="000000" w:themeColor="text1"/>
          <w:sz w:val="32"/>
          <w:szCs w:val="32"/>
          <w:lang w:val="en-US" w:eastAsia="zh-CN"/>
          <w14:textFill>
            <w14:solidFill>
              <w14:schemeClr w14:val="tx1"/>
            </w14:solidFill>
          </w14:textFill>
        </w:rPr>
      </w:pPr>
      <w:r>
        <w:rPr>
          <w:rFonts w:hint="eastAsia" w:ascii="仿宋_GB2312" w:hAnsi="宋体" w:eastAsia="仿宋_GB2312"/>
          <w:color w:val="000000" w:themeColor="text1"/>
          <w:sz w:val="32"/>
          <w:szCs w:val="32"/>
          <w:lang w:val="en-US" w:eastAsia="zh-CN"/>
          <w14:textFill>
            <w14:solidFill>
              <w14:schemeClr w14:val="tx1"/>
            </w14:solidFill>
          </w14:textFill>
        </w:rPr>
        <w:t>2.现有临时用地补偿标准</w:t>
      </w:r>
    </w:p>
    <w:p w14:paraId="20B71D0C">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hint="eastAsia" w:ascii="仿宋_GB2312" w:hAnsi="宋体" w:eastAsia="仿宋_GB2312"/>
          <w:color w:val="000000" w:themeColor="text1"/>
          <w:sz w:val="32"/>
          <w:szCs w:val="32"/>
          <w:lang w:val="en-US" w:eastAsia="zh-CN"/>
          <w14:textFill>
            <w14:solidFill>
              <w14:schemeClr w14:val="tx1"/>
            </w14:solidFill>
          </w14:textFill>
        </w:rPr>
      </w:pPr>
      <w:r>
        <w:rPr>
          <w:rFonts w:hint="eastAsia" w:ascii="仿宋_GB2312" w:hAnsi="宋体" w:eastAsia="仿宋_GB2312"/>
          <w:color w:val="000000" w:themeColor="text1"/>
          <w:sz w:val="32"/>
          <w:szCs w:val="32"/>
          <w:lang w:val="en-US" w:eastAsia="zh-CN"/>
          <w14:textFill>
            <w14:solidFill>
              <w14:schemeClr w14:val="tx1"/>
            </w14:solidFill>
          </w14:textFill>
        </w:rPr>
        <w:t>3.征收土地青苗补偿费</w:t>
      </w:r>
    </w:p>
    <w:p w14:paraId="0E2501D8">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hint="eastAsia" w:ascii="仿宋_GB2312" w:hAnsi="宋体" w:eastAsia="仿宋_GB2312"/>
          <w:color w:val="000000" w:themeColor="text1"/>
          <w:sz w:val="32"/>
          <w:szCs w:val="32"/>
          <w:lang w:val="en-US" w:eastAsia="zh-CN"/>
          <w14:textFill>
            <w14:solidFill>
              <w14:schemeClr w14:val="tx1"/>
            </w14:solidFill>
          </w14:textFill>
        </w:rPr>
      </w:pPr>
      <w:r>
        <w:rPr>
          <w:rFonts w:hint="eastAsia" w:ascii="仿宋_GB2312" w:hAnsi="宋体" w:eastAsia="仿宋_GB2312"/>
          <w:color w:val="000000" w:themeColor="text1"/>
          <w:sz w:val="32"/>
          <w:szCs w:val="32"/>
          <w:lang w:val="en-US" w:eastAsia="zh-CN"/>
          <w14:textFill>
            <w14:solidFill>
              <w14:schemeClr w14:val="tx1"/>
            </w14:solidFill>
          </w14:textFill>
        </w:rPr>
        <w:t>4.川汶高速公路建设房屋重置价标准</w:t>
      </w:r>
    </w:p>
    <w:p w14:paraId="622FEFE2">
      <w:pPr>
        <w:keepNext w:val="0"/>
        <w:keepLines w:val="0"/>
        <w:pageBreakBefore w:val="0"/>
        <w:widowControl w:val="0"/>
        <w:kinsoku/>
        <w:wordWrap/>
        <w:overflowPunct/>
        <w:topLinePunct w:val="0"/>
        <w:autoSpaceDE/>
        <w:autoSpaceDN/>
        <w:bidi w:val="0"/>
        <w:adjustRightInd/>
        <w:snapToGrid/>
        <w:spacing w:line="600" w:lineRule="exact"/>
        <w:ind w:left="1916" w:leftChars="760" w:hanging="320" w:hangingChars="100"/>
        <w:textAlignment w:val="auto"/>
        <w:rPr>
          <w:rFonts w:hint="eastAsia" w:ascii="仿宋_GB2312" w:hAnsi="宋体" w:eastAsia="仿宋_GB2312"/>
          <w:color w:val="000000" w:themeColor="text1"/>
          <w:sz w:val="32"/>
          <w:szCs w:val="32"/>
          <w:lang w:val="en-US" w:eastAsia="zh-CN"/>
          <w14:textFill>
            <w14:solidFill>
              <w14:schemeClr w14:val="tx1"/>
            </w14:solidFill>
          </w14:textFill>
        </w:rPr>
      </w:pPr>
      <w:r>
        <w:rPr>
          <w:rFonts w:hint="eastAsia" w:ascii="仿宋_GB2312" w:hAnsi="宋体" w:eastAsia="仿宋_GB2312"/>
          <w:color w:val="000000" w:themeColor="text1"/>
          <w:sz w:val="32"/>
          <w:szCs w:val="32"/>
          <w:lang w:val="en-US" w:eastAsia="zh-CN"/>
          <w14:textFill>
            <w14:solidFill>
              <w14:schemeClr w14:val="tx1"/>
            </w14:solidFill>
          </w14:textFill>
        </w:rPr>
        <w:t>5.川汶高速公路建设房屋重置价标准（地上构筑物及其他附属设施）</w:t>
      </w:r>
    </w:p>
    <w:p w14:paraId="6688F5D5">
      <w:pPr>
        <w:keepNext w:val="0"/>
        <w:keepLines w:val="0"/>
        <w:pageBreakBefore w:val="0"/>
        <w:widowControl w:val="0"/>
        <w:kinsoku/>
        <w:wordWrap/>
        <w:overflowPunct/>
        <w:topLinePunct w:val="0"/>
        <w:autoSpaceDE/>
        <w:autoSpaceDN/>
        <w:bidi w:val="0"/>
        <w:adjustRightInd/>
        <w:snapToGrid/>
        <w:spacing w:line="600" w:lineRule="exact"/>
        <w:ind w:left="1916" w:leftChars="760" w:hanging="320" w:hangingChars="100"/>
        <w:textAlignment w:val="auto"/>
        <w:rPr>
          <w:rFonts w:hint="eastAsia" w:ascii="仿宋_GB2312" w:hAnsi="宋体" w:eastAsia="仿宋_GB2312"/>
          <w:color w:val="000000" w:themeColor="text1"/>
          <w:sz w:val="32"/>
          <w:szCs w:val="32"/>
          <w:lang w:val="en-US" w:eastAsia="zh-CN"/>
          <w14:textFill>
            <w14:solidFill>
              <w14:schemeClr w14:val="tx1"/>
            </w14:solidFill>
          </w14:textFill>
        </w:rPr>
      </w:pPr>
      <w:r>
        <w:rPr>
          <w:rFonts w:hint="eastAsia" w:ascii="仿宋_GB2312" w:hAnsi="宋体" w:eastAsia="仿宋_GB2312"/>
          <w:color w:val="000000" w:themeColor="text1"/>
          <w:sz w:val="32"/>
          <w:szCs w:val="32"/>
          <w:lang w:val="en-US" w:eastAsia="zh-CN"/>
          <w14:textFill>
            <w14:solidFill>
              <w14:schemeClr w14:val="tx1"/>
            </w14:solidFill>
          </w14:textFill>
        </w:rPr>
        <w:t>6.零星林木、成片林木补偿标准</w:t>
      </w:r>
    </w:p>
    <w:p w14:paraId="0E91550E">
      <w:pPr>
        <w:keepNext w:val="0"/>
        <w:keepLines w:val="0"/>
        <w:pageBreakBefore w:val="0"/>
        <w:widowControl w:val="0"/>
        <w:kinsoku/>
        <w:wordWrap/>
        <w:overflowPunct/>
        <w:topLinePunct w:val="0"/>
        <w:autoSpaceDE/>
        <w:autoSpaceDN/>
        <w:bidi w:val="0"/>
        <w:adjustRightInd/>
        <w:snapToGrid/>
        <w:spacing w:line="600" w:lineRule="exact"/>
        <w:ind w:left="1916" w:leftChars="760" w:hanging="320" w:hangingChars="100"/>
        <w:textAlignment w:val="auto"/>
        <w:rPr>
          <w:rFonts w:hint="eastAsia" w:ascii="仿宋_GB2312" w:hAnsi="宋体" w:eastAsia="仿宋_GB2312"/>
          <w:color w:val="000000" w:themeColor="text1"/>
          <w:sz w:val="32"/>
          <w:szCs w:val="32"/>
          <w:lang w:val="en-US" w:eastAsia="zh-CN"/>
          <w14:textFill>
            <w14:solidFill>
              <w14:schemeClr w14:val="tx1"/>
            </w14:solidFill>
          </w14:textFill>
        </w:rPr>
      </w:pPr>
      <w:r>
        <w:rPr>
          <w:rFonts w:hint="eastAsia" w:ascii="仿宋_GB2312" w:hAnsi="宋体" w:eastAsia="仿宋_GB2312"/>
          <w:color w:val="000000" w:themeColor="text1"/>
          <w:sz w:val="32"/>
          <w:szCs w:val="32"/>
          <w:lang w:val="en-US" w:eastAsia="zh-CN"/>
          <w14:textFill>
            <w14:solidFill>
              <w14:schemeClr w14:val="tx1"/>
            </w14:solidFill>
          </w14:textFill>
        </w:rPr>
        <w:t>7.现有其他经济林木/作物补偿标准</w:t>
      </w:r>
    </w:p>
    <w:p w14:paraId="36643ABD">
      <w:pPr>
        <w:keepNext w:val="0"/>
        <w:keepLines w:val="0"/>
        <w:pageBreakBefore w:val="0"/>
        <w:widowControl w:val="0"/>
        <w:kinsoku/>
        <w:wordWrap/>
        <w:overflowPunct/>
        <w:topLinePunct w:val="0"/>
        <w:autoSpaceDE/>
        <w:autoSpaceDN/>
        <w:bidi w:val="0"/>
        <w:adjustRightInd/>
        <w:snapToGrid/>
        <w:spacing w:line="600" w:lineRule="exact"/>
        <w:ind w:left="1916" w:leftChars="760" w:hanging="320" w:hangingChars="100"/>
        <w:textAlignment w:val="auto"/>
        <w:rPr>
          <w:rFonts w:hint="default" w:ascii="仿宋_GB2312" w:hAnsi="宋体" w:eastAsia="仿宋_GB2312"/>
          <w:color w:val="000000" w:themeColor="text1"/>
          <w:sz w:val="32"/>
          <w:szCs w:val="32"/>
          <w:lang w:val="en-US" w:eastAsia="zh-CN"/>
          <w14:textFill>
            <w14:solidFill>
              <w14:schemeClr w14:val="tx1"/>
            </w14:solidFill>
          </w14:textFill>
        </w:rPr>
      </w:pPr>
    </w:p>
    <w:sectPr>
      <w:footerReference r:id="rId3" w:type="default"/>
      <w:footerReference r:id="rId4" w:type="even"/>
      <w:pgSz w:w="11906" w:h="16838"/>
      <w:pgMar w:top="1701" w:right="1361" w:bottom="1246" w:left="1701"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B9952">
    <w:pPr>
      <w:pStyle w:val="3"/>
      <w:framePr w:wrap="around" w:vAnchor="text" w:hAnchor="margin" w:xAlign="center" w:y="1"/>
      <w:rPr>
        <w:rStyle w:val="8"/>
        <w:sz w:val="28"/>
        <w:szCs w:val="28"/>
      </w:rPr>
    </w:pPr>
    <w:r>
      <w:rPr>
        <w:sz w:val="28"/>
        <w:szCs w:val="28"/>
      </w:rPr>
      <w:fldChar w:fldCharType="begin"/>
    </w:r>
    <w:r>
      <w:rPr>
        <w:rStyle w:val="8"/>
        <w:sz w:val="28"/>
        <w:szCs w:val="28"/>
      </w:rPr>
      <w:instrText xml:space="preserve">PAGE  </w:instrText>
    </w:r>
    <w:r>
      <w:rPr>
        <w:sz w:val="28"/>
        <w:szCs w:val="28"/>
      </w:rPr>
      <w:fldChar w:fldCharType="separate"/>
    </w:r>
    <w:r>
      <w:rPr>
        <w:rStyle w:val="8"/>
        <w:sz w:val="28"/>
        <w:szCs w:val="28"/>
      </w:rPr>
      <w:t>5</w:t>
    </w:r>
    <w:r>
      <w:rPr>
        <w:sz w:val="28"/>
        <w:szCs w:val="28"/>
      </w:rPr>
      <w:fldChar w:fldCharType="end"/>
    </w:r>
  </w:p>
  <w:p w14:paraId="72319EF2">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C2DF0">
    <w:pPr>
      <w:pStyle w:val="3"/>
      <w:framePr w:wrap="around" w:vAnchor="text" w:hAnchor="margin" w:xAlign="center" w:y="1"/>
      <w:rPr>
        <w:rStyle w:val="8"/>
      </w:rPr>
    </w:pPr>
    <w:r>
      <w:fldChar w:fldCharType="begin"/>
    </w:r>
    <w:r>
      <w:rPr>
        <w:rStyle w:val="8"/>
      </w:rPr>
      <w:instrText xml:space="preserve">PAGE  </w:instrText>
    </w:r>
    <w:r>
      <w:fldChar w:fldCharType="end"/>
    </w:r>
  </w:p>
  <w:p w14:paraId="38CB0275">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1A6"/>
    <w:rsid w:val="00006D4A"/>
    <w:rsid w:val="00042DC7"/>
    <w:rsid w:val="0005605E"/>
    <w:rsid w:val="000575BC"/>
    <w:rsid w:val="000667CB"/>
    <w:rsid w:val="00090D61"/>
    <w:rsid w:val="000C7B42"/>
    <w:rsid w:val="001119E3"/>
    <w:rsid w:val="00117F88"/>
    <w:rsid w:val="001267D4"/>
    <w:rsid w:val="00170330"/>
    <w:rsid w:val="001A0822"/>
    <w:rsid w:val="001C2E37"/>
    <w:rsid w:val="001C49A0"/>
    <w:rsid w:val="001D678D"/>
    <w:rsid w:val="0021576F"/>
    <w:rsid w:val="00216D31"/>
    <w:rsid w:val="00260F4B"/>
    <w:rsid w:val="0027640C"/>
    <w:rsid w:val="0027674E"/>
    <w:rsid w:val="0028621C"/>
    <w:rsid w:val="002B2A22"/>
    <w:rsid w:val="002B5213"/>
    <w:rsid w:val="002C6482"/>
    <w:rsid w:val="002E7AAE"/>
    <w:rsid w:val="002F68F6"/>
    <w:rsid w:val="0034172E"/>
    <w:rsid w:val="00356F24"/>
    <w:rsid w:val="003762CB"/>
    <w:rsid w:val="00385F1F"/>
    <w:rsid w:val="003B7D7D"/>
    <w:rsid w:val="003D628C"/>
    <w:rsid w:val="003F31A6"/>
    <w:rsid w:val="00405DDD"/>
    <w:rsid w:val="00497DAA"/>
    <w:rsid w:val="004E396F"/>
    <w:rsid w:val="005333A3"/>
    <w:rsid w:val="00540633"/>
    <w:rsid w:val="00561B74"/>
    <w:rsid w:val="00587D65"/>
    <w:rsid w:val="00590775"/>
    <w:rsid w:val="005A4714"/>
    <w:rsid w:val="005C04C8"/>
    <w:rsid w:val="005D60BE"/>
    <w:rsid w:val="00604463"/>
    <w:rsid w:val="0060507A"/>
    <w:rsid w:val="00615BAA"/>
    <w:rsid w:val="006575DA"/>
    <w:rsid w:val="00662C2C"/>
    <w:rsid w:val="006B38CE"/>
    <w:rsid w:val="006B751C"/>
    <w:rsid w:val="006C1743"/>
    <w:rsid w:val="00705731"/>
    <w:rsid w:val="00713848"/>
    <w:rsid w:val="00730C02"/>
    <w:rsid w:val="007567DF"/>
    <w:rsid w:val="00756869"/>
    <w:rsid w:val="007A0F3F"/>
    <w:rsid w:val="007D197B"/>
    <w:rsid w:val="007E588A"/>
    <w:rsid w:val="007F667F"/>
    <w:rsid w:val="008033B0"/>
    <w:rsid w:val="00825F35"/>
    <w:rsid w:val="00830DF2"/>
    <w:rsid w:val="00851703"/>
    <w:rsid w:val="00871FF0"/>
    <w:rsid w:val="008F410F"/>
    <w:rsid w:val="00933545"/>
    <w:rsid w:val="009336B4"/>
    <w:rsid w:val="00972D21"/>
    <w:rsid w:val="00984425"/>
    <w:rsid w:val="009E2420"/>
    <w:rsid w:val="009E6596"/>
    <w:rsid w:val="00A0485C"/>
    <w:rsid w:val="00A147ED"/>
    <w:rsid w:val="00AA2F40"/>
    <w:rsid w:val="00AB5DC8"/>
    <w:rsid w:val="00AD6923"/>
    <w:rsid w:val="00B0101A"/>
    <w:rsid w:val="00B11512"/>
    <w:rsid w:val="00B11BC6"/>
    <w:rsid w:val="00B16424"/>
    <w:rsid w:val="00B20009"/>
    <w:rsid w:val="00B25D29"/>
    <w:rsid w:val="00B34FF5"/>
    <w:rsid w:val="00BF1635"/>
    <w:rsid w:val="00C10EBA"/>
    <w:rsid w:val="00C15AAE"/>
    <w:rsid w:val="00C23792"/>
    <w:rsid w:val="00C31BC7"/>
    <w:rsid w:val="00C61732"/>
    <w:rsid w:val="00C74C70"/>
    <w:rsid w:val="00CD47E5"/>
    <w:rsid w:val="00D05DD3"/>
    <w:rsid w:val="00D12C2C"/>
    <w:rsid w:val="00D516F2"/>
    <w:rsid w:val="00D6358C"/>
    <w:rsid w:val="00DB442A"/>
    <w:rsid w:val="00E046C8"/>
    <w:rsid w:val="00E052EB"/>
    <w:rsid w:val="00E11C5A"/>
    <w:rsid w:val="00E1656D"/>
    <w:rsid w:val="00E261D7"/>
    <w:rsid w:val="00E3798D"/>
    <w:rsid w:val="00E43449"/>
    <w:rsid w:val="00E5406A"/>
    <w:rsid w:val="00E7715E"/>
    <w:rsid w:val="00E92183"/>
    <w:rsid w:val="00F02A4F"/>
    <w:rsid w:val="00F366CB"/>
    <w:rsid w:val="00F50475"/>
    <w:rsid w:val="00F54940"/>
    <w:rsid w:val="00F62C25"/>
    <w:rsid w:val="00F6594B"/>
    <w:rsid w:val="00F706FF"/>
    <w:rsid w:val="00F73213"/>
    <w:rsid w:val="00FE1490"/>
    <w:rsid w:val="00FF1F13"/>
    <w:rsid w:val="1344474F"/>
    <w:rsid w:val="168B2C85"/>
    <w:rsid w:val="1D8053ED"/>
    <w:rsid w:val="49A063AF"/>
    <w:rsid w:val="59F27042"/>
    <w:rsid w:val="5E4A5190"/>
    <w:rsid w:val="7C9F48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Strong"/>
    <w:qFormat/>
    <w:uiPriority w:val="0"/>
    <w:rPr>
      <w:b/>
      <w:bCs/>
    </w:rPr>
  </w:style>
  <w:style w:type="character" w:styleId="8">
    <w:name w:val="page number"/>
    <w:basedOn w:val="6"/>
    <w:qFormat/>
    <w:uiPriority w:val="0"/>
  </w:style>
  <w:style w:type="paragraph" w:customStyle="1" w:styleId="9">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BB945-2038-41BA-B6D8-97C017CF3E83}">
  <ds:schemaRefs/>
</ds:datastoreItem>
</file>

<file path=docProps/app.xml><?xml version="1.0" encoding="utf-8"?>
<Properties xmlns="http://schemas.openxmlformats.org/officeDocument/2006/extended-properties" xmlns:vt="http://schemas.openxmlformats.org/officeDocument/2006/docPropsVTypes">
  <Template>Normal</Template>
  <Company>www.ftpdown.com</Company>
  <Pages>5</Pages>
  <Words>2328</Words>
  <Characters>2431</Characters>
  <Lines>16</Lines>
  <Paragraphs>4</Paragraphs>
  <TotalTime>12</TotalTime>
  <ScaleCrop>false</ScaleCrop>
  <LinksUpToDate>false</LinksUpToDate>
  <CharactersWithSpaces>2439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2014-01-13T02:28:00Z</dcterms:created>
  <dc:creator>FtpDown</dc:creator>
  <cp:lastModifiedBy>ClearNinja</cp:lastModifiedBy>
  <cp:lastPrinted>2025-01-09T01:46:00Z</cp:lastPrinted>
  <dcterms:modified xsi:type="dcterms:W3CDTF">2025-01-09T01:53:13Z</dcterms:modified>
  <dc:title>茂铁办（2012）06号                   签发人：万力基</dc:title>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eyJoZGlkIjoiMTVhMDliM2RhZWYxNmE5MmE5OGVjNzAwZmQ2NzRmY2UiLCJ1c2VySWQiOiI3OTU4NTcwNzIifQ==</vt:lpwstr>
  </property>
  <property fmtid="{D5CDD505-2E9C-101B-9397-08002B2CF9AE}" pid="4" name="ICV">
    <vt:lpwstr>0CCF7C6B6EC940EE87CF534D48FEC522_13</vt:lpwstr>
  </property>
</Properties>
</file>