
<file path=[Content_Types].xml><?xml version="1.0" encoding="utf-8"?>
<Types xmlns="http://schemas.openxmlformats.org/package/2006/content-types">
  <Default Extension="xlsx" ContentType="application/vnd.openxmlformats-officedocument.spreadsheetml.shee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D8AE1D">
      <w:pPr>
        <w:pStyle w:val="6"/>
        <w:jc w:val="center"/>
        <w:rPr>
          <w:rFonts w:hint="eastAsia" w:ascii="方正小标宋简体" w:hAnsi="宋体" w:eastAsia="方正小标宋简体" w:cs="Times New Roman"/>
          <w:color w:val="auto"/>
          <w:kern w:val="2"/>
          <w:sz w:val="44"/>
          <w:szCs w:val="44"/>
          <w:highlight w:val="none"/>
          <w:lang w:val="en-US" w:eastAsia="zh-CN" w:bidi="ar-SA"/>
        </w:rPr>
      </w:pPr>
    </w:p>
    <w:p w14:paraId="2F1F7576">
      <w:pPr>
        <w:pStyle w:val="6"/>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2025年度四川省阿坝州</w:t>
      </w:r>
    </w:p>
    <w:p w14:paraId="2E32E6C0">
      <w:pPr>
        <w:pStyle w:val="6"/>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茂县人民政府办公室单位决算</w:t>
      </w:r>
    </w:p>
    <w:p w14:paraId="4DEC11DD">
      <w:pPr>
        <w:widowControl/>
        <w:jc w:val="center"/>
        <w:rPr>
          <w:rFonts w:ascii="方正小标宋简体" w:hAnsi="宋体" w:eastAsia="方正小标宋简体"/>
          <w:color w:val="auto"/>
          <w:sz w:val="36"/>
          <w:szCs w:val="36"/>
          <w:highlight w:val="none"/>
        </w:rPr>
      </w:pPr>
    </w:p>
    <w:p w14:paraId="2FF569B3">
      <w:pPr>
        <w:widowControl/>
        <w:jc w:val="center"/>
        <w:rPr>
          <w:rFonts w:ascii="方正小标宋简体" w:hAnsi="宋体" w:eastAsia="方正小标宋简体"/>
          <w:color w:val="auto"/>
          <w:sz w:val="36"/>
          <w:szCs w:val="36"/>
          <w:highlight w:val="none"/>
        </w:rPr>
      </w:pPr>
    </w:p>
    <w:p w14:paraId="0FAD1F85">
      <w:pPr>
        <w:widowControl/>
        <w:jc w:val="center"/>
        <w:rPr>
          <w:rFonts w:ascii="方正小标宋简体" w:hAnsi="宋体" w:eastAsia="方正小标宋简体"/>
          <w:color w:val="auto"/>
          <w:sz w:val="36"/>
          <w:szCs w:val="36"/>
          <w:highlight w:val="none"/>
        </w:rPr>
      </w:pPr>
    </w:p>
    <w:p w14:paraId="20F8E76A">
      <w:pPr>
        <w:widowControl/>
        <w:jc w:val="center"/>
        <w:rPr>
          <w:rFonts w:ascii="方正小标宋简体" w:hAnsi="宋体" w:eastAsia="方正小标宋简体"/>
          <w:color w:val="auto"/>
          <w:sz w:val="36"/>
          <w:szCs w:val="36"/>
          <w:highlight w:val="none"/>
        </w:rPr>
      </w:pPr>
    </w:p>
    <w:p w14:paraId="64C311C5">
      <w:pPr>
        <w:widowControl/>
        <w:jc w:val="center"/>
        <w:rPr>
          <w:rFonts w:ascii="方正小标宋简体" w:hAnsi="宋体" w:eastAsia="方正小标宋简体"/>
          <w:color w:val="auto"/>
          <w:sz w:val="36"/>
          <w:szCs w:val="36"/>
          <w:highlight w:val="none"/>
        </w:rPr>
      </w:pPr>
    </w:p>
    <w:p w14:paraId="7A3CF699">
      <w:pPr>
        <w:widowControl/>
        <w:jc w:val="center"/>
        <w:rPr>
          <w:rFonts w:ascii="方正小标宋简体" w:hAnsi="宋体" w:eastAsia="方正小标宋简体"/>
          <w:color w:val="auto"/>
          <w:sz w:val="36"/>
          <w:szCs w:val="36"/>
          <w:highlight w:val="none"/>
        </w:rPr>
      </w:pPr>
    </w:p>
    <w:p w14:paraId="1B7262B6">
      <w:pPr>
        <w:widowControl/>
        <w:jc w:val="center"/>
        <w:rPr>
          <w:rFonts w:ascii="方正小标宋简体" w:hAnsi="宋体" w:eastAsia="方正小标宋简体"/>
          <w:color w:val="auto"/>
          <w:sz w:val="36"/>
          <w:szCs w:val="36"/>
          <w:highlight w:val="none"/>
        </w:rPr>
      </w:pPr>
    </w:p>
    <w:p w14:paraId="612E455C">
      <w:pPr>
        <w:widowControl/>
        <w:jc w:val="center"/>
        <w:rPr>
          <w:rFonts w:ascii="方正小标宋简体" w:hAnsi="宋体" w:eastAsia="方正小标宋简体"/>
          <w:color w:val="auto"/>
          <w:sz w:val="36"/>
          <w:szCs w:val="36"/>
          <w:highlight w:val="none"/>
        </w:rPr>
      </w:pPr>
    </w:p>
    <w:p w14:paraId="077D2875">
      <w:pPr>
        <w:widowControl/>
        <w:jc w:val="center"/>
        <w:rPr>
          <w:rFonts w:ascii="方正小标宋简体" w:hAnsi="宋体" w:eastAsia="方正小标宋简体"/>
          <w:color w:val="auto"/>
          <w:sz w:val="36"/>
          <w:szCs w:val="36"/>
          <w:highlight w:val="none"/>
        </w:rPr>
      </w:pPr>
    </w:p>
    <w:p w14:paraId="3AED2781">
      <w:pPr>
        <w:widowControl/>
        <w:jc w:val="center"/>
        <w:rPr>
          <w:rFonts w:ascii="方正小标宋简体" w:hAnsi="宋体" w:eastAsia="方正小标宋简体"/>
          <w:color w:val="auto"/>
          <w:sz w:val="36"/>
          <w:szCs w:val="36"/>
          <w:highlight w:val="none"/>
        </w:rPr>
      </w:pPr>
    </w:p>
    <w:p w14:paraId="41CC1945">
      <w:pPr>
        <w:widowControl/>
        <w:jc w:val="center"/>
        <w:rPr>
          <w:rFonts w:ascii="方正小标宋简体" w:hAnsi="宋体" w:eastAsia="方正小标宋简体"/>
          <w:color w:val="auto"/>
          <w:sz w:val="36"/>
          <w:szCs w:val="36"/>
          <w:highlight w:val="none"/>
        </w:rPr>
      </w:pPr>
    </w:p>
    <w:p w14:paraId="186EC018">
      <w:pPr>
        <w:widowControl/>
        <w:jc w:val="center"/>
        <w:rPr>
          <w:rFonts w:ascii="方正小标宋简体" w:hAnsi="宋体" w:eastAsia="方正小标宋简体"/>
          <w:color w:val="auto"/>
          <w:sz w:val="36"/>
          <w:szCs w:val="36"/>
          <w:highlight w:val="none"/>
        </w:rPr>
      </w:pPr>
    </w:p>
    <w:p w14:paraId="1D94BE09">
      <w:pPr>
        <w:widowControl/>
        <w:jc w:val="center"/>
        <w:rPr>
          <w:rFonts w:ascii="方正小标宋简体" w:hAnsi="宋体" w:eastAsia="方正小标宋简体"/>
          <w:color w:val="auto"/>
          <w:sz w:val="36"/>
          <w:szCs w:val="36"/>
          <w:highlight w:val="none"/>
        </w:rPr>
      </w:pPr>
    </w:p>
    <w:p w14:paraId="286E7BDE">
      <w:pPr>
        <w:widowControl/>
        <w:jc w:val="center"/>
        <w:rPr>
          <w:rFonts w:ascii="方正小标宋简体" w:hAnsi="宋体" w:eastAsia="方正小标宋简体"/>
          <w:color w:val="auto"/>
          <w:sz w:val="36"/>
          <w:szCs w:val="36"/>
          <w:highlight w:val="none"/>
        </w:rPr>
      </w:pPr>
    </w:p>
    <w:p w14:paraId="7C2B949C">
      <w:pPr>
        <w:widowControl/>
        <w:jc w:val="center"/>
        <w:rPr>
          <w:rFonts w:ascii="方正小标宋简体" w:hAnsi="宋体" w:eastAsia="方正小标宋简体"/>
          <w:color w:val="auto"/>
          <w:sz w:val="36"/>
          <w:szCs w:val="36"/>
          <w:highlight w:val="none"/>
        </w:rPr>
      </w:pPr>
    </w:p>
    <w:p w14:paraId="3CD00397">
      <w:pPr>
        <w:widowControl/>
        <w:jc w:val="center"/>
        <w:rPr>
          <w:rFonts w:ascii="方正小标宋简体" w:hAnsi="宋体" w:eastAsia="方正小标宋简体"/>
          <w:color w:val="auto"/>
          <w:sz w:val="36"/>
          <w:szCs w:val="36"/>
          <w:highlight w:val="none"/>
        </w:rPr>
      </w:pPr>
    </w:p>
    <w:p w14:paraId="3D47AB53">
      <w:pPr>
        <w:keepNext w:val="0"/>
        <w:keepLines w:val="0"/>
        <w:widowControl/>
        <w:suppressLineNumbers w:val="0"/>
        <w:jc w:val="left"/>
      </w:pPr>
      <w:r>
        <w:rPr>
          <w:rFonts w:hint="default" w:ascii="Times New Roman" w:hAnsi="Times New Roman" w:eastAsia="宋体" w:cs="Times New Roman"/>
          <w:color w:val="000000"/>
          <w:kern w:val="0"/>
          <w:sz w:val="20"/>
          <w:szCs w:val="20"/>
          <w:lang w:val="en-US" w:eastAsia="zh-CN" w:bidi="ar"/>
        </w:rPr>
        <w:t>(</w:t>
      </w:r>
      <w:r>
        <w:rPr>
          <w:rFonts w:ascii="FZFangSong-Z02S" w:hAnsi="FZFangSong-Z02S" w:eastAsia="FZFangSong-Z02S" w:cs="FZFangSong-Z02S"/>
          <w:color w:val="000000"/>
          <w:kern w:val="0"/>
          <w:sz w:val="20"/>
          <w:szCs w:val="20"/>
          <w:lang w:val="en-US" w:eastAsia="zh-CN" w:bidi="ar"/>
        </w:rPr>
        <w:t>注：决算情况说明按决算公开表取数，以</w:t>
      </w:r>
      <w:r>
        <w:rPr>
          <w:rFonts w:hint="default" w:ascii="Times New Roman" w:hAnsi="Times New Roman" w:eastAsia="宋体" w:cs="Times New Roman"/>
          <w:color w:val="000000"/>
          <w:kern w:val="0"/>
          <w:sz w:val="20"/>
          <w:szCs w:val="20"/>
          <w:lang w:val="en-US" w:eastAsia="zh-CN" w:bidi="ar"/>
        </w:rPr>
        <w:t>“</w:t>
      </w:r>
      <w:r>
        <w:rPr>
          <w:rFonts w:hint="default" w:ascii="FZFangSong-Z02S" w:hAnsi="FZFangSong-Z02S" w:eastAsia="FZFangSong-Z02S" w:cs="FZFangSong-Z02S"/>
          <w:color w:val="000000"/>
          <w:kern w:val="0"/>
          <w:sz w:val="20"/>
          <w:szCs w:val="20"/>
          <w:lang w:val="en-US" w:eastAsia="zh-CN" w:bidi="ar"/>
        </w:rPr>
        <w:t>万元</w:t>
      </w:r>
      <w:r>
        <w:rPr>
          <w:rFonts w:hint="default" w:ascii="Times New Roman" w:hAnsi="Times New Roman" w:eastAsia="宋体" w:cs="Times New Roman"/>
          <w:color w:val="000000"/>
          <w:kern w:val="0"/>
          <w:sz w:val="20"/>
          <w:szCs w:val="20"/>
          <w:lang w:val="en-US" w:eastAsia="zh-CN" w:bidi="ar"/>
        </w:rPr>
        <w:t>”</w:t>
      </w:r>
      <w:r>
        <w:rPr>
          <w:rFonts w:hint="default" w:ascii="FZFangSong-Z02S" w:hAnsi="FZFangSong-Z02S" w:eastAsia="FZFangSong-Z02S" w:cs="FZFangSong-Z02S"/>
          <w:color w:val="000000"/>
          <w:kern w:val="0"/>
          <w:sz w:val="20"/>
          <w:szCs w:val="20"/>
          <w:lang w:val="en-US" w:eastAsia="zh-CN" w:bidi="ar"/>
        </w:rPr>
        <w:t xml:space="preserve">为金额单位，保留两位小数，报表金额单 </w:t>
      </w:r>
    </w:p>
    <w:p w14:paraId="3E16E68D">
      <w:pPr>
        <w:keepNext w:val="0"/>
        <w:keepLines w:val="0"/>
        <w:widowControl/>
        <w:suppressLineNumbers w:val="0"/>
        <w:jc w:val="left"/>
      </w:pPr>
      <w:r>
        <w:rPr>
          <w:rFonts w:hint="default" w:ascii="FZFangSong-Z02S" w:hAnsi="FZFangSong-Z02S" w:eastAsia="FZFangSong-Z02S" w:cs="FZFangSong-Z02S"/>
          <w:color w:val="000000"/>
          <w:kern w:val="0"/>
          <w:sz w:val="20"/>
          <w:szCs w:val="20"/>
          <w:lang w:val="en-US" w:eastAsia="zh-CN" w:bidi="ar"/>
        </w:rPr>
        <w:t>位转换时可能存在尾数误差。</w:t>
      </w:r>
      <w:r>
        <w:rPr>
          <w:rFonts w:hint="default" w:ascii="Times New Roman" w:hAnsi="Times New Roman" w:eastAsia="宋体" w:cs="Times New Roman"/>
          <w:color w:val="000000"/>
          <w:kern w:val="0"/>
          <w:sz w:val="20"/>
          <w:szCs w:val="20"/>
          <w:lang w:val="en-US" w:eastAsia="zh-CN" w:bidi="ar"/>
        </w:rPr>
        <w:t>)</w:t>
      </w:r>
    </w:p>
    <w:p w14:paraId="758A11B6">
      <w:pPr>
        <w:widowControl/>
        <w:jc w:val="center"/>
        <w:rPr>
          <w:rFonts w:ascii="黑体" w:hAnsi="黑体" w:eastAsia="黑体"/>
          <w:color w:val="auto"/>
          <w:sz w:val="48"/>
          <w:szCs w:val="48"/>
          <w:highlight w:val="none"/>
        </w:rPr>
      </w:pPr>
      <w:r>
        <w:rPr>
          <w:rFonts w:ascii="方正小标宋简体" w:hAnsi="宋体" w:eastAsia="方正小标宋简体"/>
          <w:color w:val="auto"/>
          <w:sz w:val="36"/>
          <w:szCs w:val="36"/>
          <w:highlight w:val="none"/>
        </w:rPr>
        <w:br w:type="page"/>
      </w:r>
      <w:r>
        <w:rPr>
          <w:rFonts w:hint="eastAsia" w:ascii="黑体" w:hAnsi="黑体" w:eastAsia="黑体"/>
          <w:color w:val="auto"/>
          <w:sz w:val="48"/>
          <w:szCs w:val="48"/>
          <w:highlight w:val="none"/>
        </w:rPr>
        <w:t>目录</w:t>
      </w:r>
    </w:p>
    <w:p w14:paraId="07095CDD">
      <w:pPr>
        <w:widowControl/>
        <w:jc w:val="center"/>
        <w:rPr>
          <w:rFonts w:ascii="黑体" w:hAnsi="黑体" w:eastAsia="黑体" w:cs="Times New Roman"/>
          <w:color w:val="auto"/>
          <w:sz w:val="28"/>
          <w:szCs w:val="28"/>
          <w:highlight w:val="none"/>
        </w:rPr>
      </w:pPr>
    </w:p>
    <w:p w14:paraId="0E719B38">
      <w:pPr>
        <w:pStyle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公开时间：</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日</w:t>
      </w:r>
    </w:p>
    <w:p w14:paraId="19C6682B">
      <w:pPr>
        <w:rPr>
          <w:color w:val="auto"/>
          <w:highlight w:val="none"/>
        </w:rPr>
      </w:pPr>
    </w:p>
    <w:p w14:paraId="52E5D19F">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"1-2" \h \u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_Toc14215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 xml:space="preserve">第一部分 </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bCs w:val="0"/>
          <w:sz w:val="32"/>
          <w:szCs w:val="32"/>
          <w:highlight w:val="none"/>
        </w:rPr>
        <w:t>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_Toc14215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23DCEA0">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_Toc23654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 xml:space="preserve">一、 </w:t>
      </w:r>
      <w:r>
        <w:rPr>
          <w:rFonts w:hint="eastAsia" w:ascii="仿宋_GB2312" w:hAnsi="仿宋_GB2312" w:eastAsia="仿宋_GB2312" w:cs="仿宋_GB2312"/>
          <w:bCs w:val="0"/>
          <w:sz w:val="32"/>
          <w:szCs w:val="32"/>
          <w:highlight w:val="none"/>
          <w:lang w:eastAsia="zh-CN"/>
        </w:rPr>
        <w:t>主要职责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_Toc23654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C18A891">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_Toc8051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val="en-US" w:eastAsia="zh-CN"/>
        </w:rPr>
        <w:t>二、机构设置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_Toc8051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D15F991">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_Toc28988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sz w:val="32"/>
          <w:szCs w:val="32"/>
          <w:highlight w:val="none"/>
        </w:rPr>
        <w:t xml:space="preserve">第二部分 </w:t>
      </w:r>
      <w:r>
        <w:rPr>
          <w:rFonts w:hint="eastAsia" w:ascii="仿宋_GB2312" w:hAnsi="仿宋_GB2312" w:eastAsia="仿宋_GB2312" w:cs="仿宋_GB2312"/>
          <w:bCs/>
          <w:sz w:val="32"/>
          <w:szCs w:val="32"/>
          <w:highlight w:val="none"/>
          <w:lang w:val="en-US" w:eastAsia="zh-CN"/>
        </w:rPr>
        <w:t>2025年度</w:t>
      </w:r>
      <w:r>
        <w:rPr>
          <w:rFonts w:hint="eastAsia" w:ascii="仿宋_GB2312" w:hAnsi="仿宋_GB2312" w:eastAsia="仿宋_GB2312" w:cs="仿宋_GB2312"/>
          <w:bCs/>
          <w:sz w:val="32"/>
          <w:szCs w:val="32"/>
          <w:highlight w:val="none"/>
          <w:lang w:eastAsia="zh-CN"/>
        </w:rPr>
        <w:t>单位</w:t>
      </w:r>
      <w:r>
        <w:rPr>
          <w:rFonts w:hint="eastAsia" w:ascii="仿宋_GB2312" w:hAnsi="仿宋_GB2312" w:eastAsia="仿宋_GB2312" w:cs="仿宋_GB2312"/>
          <w:bCs/>
          <w:sz w:val="32"/>
          <w:szCs w:val="32"/>
          <w:highlight w:val="none"/>
        </w:rPr>
        <w:t>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_Toc28988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6FDD35F">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_Toc23366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_Toc23366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9777D42">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_Toc11880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二、</w:t>
      </w:r>
      <w:r>
        <w:rPr>
          <w:rFonts w:hint="eastAsia" w:ascii="仿宋_GB2312" w:hAnsi="仿宋_GB2312" w:eastAsia="仿宋_GB2312" w:cs="仿宋_GB2312"/>
          <w:sz w:val="32"/>
          <w:szCs w:val="32"/>
          <w:highlight w:val="none"/>
        </w:rPr>
        <w:t>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_Toc11880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3AF2FAC">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_Toc6028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三、</w:t>
      </w:r>
      <w:r>
        <w:rPr>
          <w:rFonts w:hint="eastAsia" w:ascii="仿宋_GB2312" w:hAnsi="仿宋_GB2312" w:eastAsia="仿宋_GB2312" w:cs="仿宋_GB2312"/>
          <w:sz w:val="32"/>
          <w:szCs w:val="32"/>
          <w:highlight w:val="none"/>
        </w:rPr>
        <w:t>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_Toc6028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A81623A">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_Toc10949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_Toc10949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5DF32D7">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_Toc2462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_Toc2462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AD24DF7">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_Toc17163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_Toc17163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7284FA7">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_Toc1162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七、财政拨款“三公”经费支出决算情况说明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_Toc1162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3F08FAD">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_Toc26534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_Toc26534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857455A">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_Toc13493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九、</w:t>
      </w:r>
      <w:r>
        <w:rPr>
          <w:rFonts w:hint="eastAsia" w:ascii="仿宋_GB2312" w:hAnsi="仿宋_GB2312" w:eastAsia="仿宋_GB2312" w:cs="仿宋_GB2312"/>
          <w:sz w:val="32"/>
          <w:szCs w:val="32"/>
          <w:highlight w:val="none"/>
        </w:rPr>
        <w:t>国有资本经营预算支出决算情况说明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_Toc13493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7DB41A4">
      <w:pPr>
        <w:pStyle w:val="12"/>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_Toc25295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十、</w:t>
      </w:r>
      <w:r>
        <w:rPr>
          <w:rFonts w:hint="eastAsia" w:ascii="仿宋_GB2312" w:hAnsi="仿宋_GB2312" w:eastAsia="仿宋_GB2312" w:cs="仿宋_GB2312"/>
          <w:sz w:val="32"/>
          <w:szCs w:val="32"/>
          <w:highlight w:val="none"/>
        </w:rPr>
        <w:t>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_Toc25295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3629014">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_Toc28513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第三部分</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_Toc28513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747F83F">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_Toc16639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第四部分 附件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_Toc16639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CB68F74">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_Toc1844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第五部分 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_Toc1844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F2A861E">
      <w:pPr>
        <w:rPr>
          <w:rFonts w:ascii="仿宋" w:hAnsi="仿宋" w:eastAsia="仿宋"/>
          <w:bCs/>
          <w:color w:val="auto"/>
          <w:kern w:val="44"/>
          <w:sz w:val="24"/>
          <w:highlight w:val="none"/>
        </w:rPr>
      </w:pPr>
      <w:r>
        <w:rPr>
          <w:rFonts w:hint="eastAsia" w:ascii="仿宋_GB2312" w:hAnsi="仿宋_GB2312" w:eastAsia="仿宋_GB2312" w:cs="仿宋_GB2312"/>
          <w:sz w:val="32"/>
          <w:szCs w:val="32"/>
        </w:rPr>
        <w:fldChar w:fldCharType="end"/>
      </w:r>
    </w:p>
    <w:p w14:paraId="39D349F6">
      <w:pPr>
        <w:pStyle w:val="21"/>
        <w:numPr>
          <w:ilvl w:val="0"/>
          <w:numId w:val="0"/>
        </w:numPr>
        <w:spacing w:line="600" w:lineRule="exact"/>
        <w:ind w:left="640" w:leftChars="0"/>
        <w:jc w:val="center"/>
        <w:outlineLvl w:val="1"/>
        <w:rPr>
          <w:rFonts w:hint="eastAsia" w:ascii="方正小标宋简体" w:hAnsi="方正小标宋简体" w:eastAsia="方正小标宋简体" w:cs="方正小标宋简体"/>
          <w:color w:val="auto"/>
          <w:sz w:val="44"/>
          <w:szCs w:val="44"/>
          <w:highlight w:val="none"/>
          <w:lang w:eastAsia="zh-CN"/>
        </w:rPr>
      </w:pPr>
      <w:bookmarkStart w:id="0" w:name="_Toc14215"/>
      <w:r>
        <w:rPr>
          <w:rFonts w:hint="eastAsia" w:ascii="方正小标宋简体" w:hAnsi="方正小标宋简体" w:eastAsia="方正小标宋简体" w:cs="方正小标宋简体"/>
          <w:color w:val="auto"/>
          <w:sz w:val="44"/>
          <w:szCs w:val="44"/>
          <w:highlight w:val="none"/>
          <w:lang w:eastAsia="zh-CN"/>
        </w:rPr>
        <w:t>第一部分 单位概况</w:t>
      </w:r>
      <w:bookmarkEnd w:id="0"/>
    </w:p>
    <w:p w14:paraId="65E5AC35">
      <w:pPr>
        <w:pStyle w:val="21"/>
        <w:numPr>
          <w:ilvl w:val="0"/>
          <w:numId w:val="0"/>
        </w:numPr>
        <w:spacing w:line="600" w:lineRule="exact"/>
        <w:ind w:left="640" w:leftChars="0"/>
        <w:outlineLvl w:val="1"/>
        <w:rPr>
          <w:rFonts w:hint="eastAsia" w:ascii="黑体" w:hAnsi="黑体" w:eastAsia="黑体"/>
          <w:color w:val="auto"/>
          <w:sz w:val="32"/>
          <w:szCs w:val="32"/>
          <w:highlight w:val="none"/>
          <w:lang w:eastAsia="zh-CN"/>
        </w:rPr>
      </w:pPr>
      <w:bookmarkStart w:id="1" w:name="_Toc23654"/>
      <w:r>
        <w:rPr>
          <w:rFonts w:hint="eastAsia" w:ascii="黑体" w:hAnsi="黑体" w:eastAsia="黑体"/>
          <w:color w:val="auto"/>
          <w:sz w:val="32"/>
          <w:szCs w:val="32"/>
          <w:highlight w:val="none"/>
          <w:lang w:eastAsia="zh-CN"/>
        </w:rPr>
        <w:t>一、主要职责</w:t>
      </w:r>
      <w:bookmarkEnd w:id="1"/>
    </w:p>
    <w:p w14:paraId="1E2BFD4A">
      <w:pPr>
        <w:keepNext w:val="0"/>
        <w:keepLines w:val="0"/>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outlineLvl w:val="2"/>
        <w:rPr>
          <w:rFonts w:hint="eastAsia" w:ascii="仿宋_GB2312" w:eastAsia="仿宋_GB2312" w:cs="仿宋_GB2312"/>
          <w:bCs/>
          <w:color w:val="000000"/>
          <w:sz w:val="32"/>
          <w:szCs w:val="32"/>
          <w:lang w:bidi="ar-SA"/>
        </w:rPr>
      </w:pPr>
      <w:bookmarkStart w:id="2" w:name="_Toc95694727"/>
      <w:bookmarkStart w:id="3" w:name="_Toc13883"/>
      <w:bookmarkStart w:id="4" w:name="_Toc3696"/>
      <w:bookmarkStart w:id="5" w:name="_Toc12856"/>
      <w:bookmarkStart w:id="6" w:name="_Toc18900"/>
      <w:bookmarkStart w:id="7" w:name="_Toc7645"/>
      <w:r>
        <w:rPr>
          <w:rFonts w:hint="eastAsia" w:ascii="仿宋_GB2312" w:eastAsia="仿宋_GB2312" w:cs="仿宋_GB2312"/>
          <w:bCs/>
          <w:color w:val="000000"/>
          <w:sz w:val="32"/>
          <w:szCs w:val="32"/>
          <w:lang w:val="en-US" w:eastAsia="zh-CN" w:bidi="ar-SA"/>
        </w:rPr>
        <w:t>1.</w:t>
      </w:r>
      <w:r>
        <w:rPr>
          <w:rFonts w:hint="eastAsia" w:ascii="仿宋_GB2312" w:eastAsia="仿宋_GB2312" w:cs="仿宋_GB2312"/>
          <w:bCs/>
          <w:color w:val="000000"/>
          <w:sz w:val="32"/>
          <w:szCs w:val="32"/>
          <w:lang w:bidi="ar-SA"/>
        </w:rPr>
        <w:t>协助县政府领导同志组织起草或审核以县政府、县政府办公室名义发布的公文。办理州政府、州政府办公室及州政府各部门发送县政府的文电。指导全县行政机关公文处理工作。</w:t>
      </w:r>
      <w:bookmarkEnd w:id="2"/>
      <w:bookmarkEnd w:id="3"/>
      <w:bookmarkEnd w:id="4"/>
      <w:bookmarkEnd w:id="5"/>
      <w:bookmarkEnd w:id="6"/>
      <w:bookmarkEnd w:id="7"/>
    </w:p>
    <w:p w14:paraId="28F7AE95">
      <w:pPr>
        <w:keepNext w:val="0"/>
        <w:keepLines w:val="0"/>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lang w:bidi="ar-SA"/>
        </w:rPr>
      </w:pPr>
      <w:r>
        <w:rPr>
          <w:rFonts w:hint="eastAsia" w:ascii="仿宋_GB2312" w:eastAsia="仿宋_GB2312" w:cs="仿宋_GB2312"/>
          <w:bCs/>
          <w:color w:val="000000"/>
          <w:sz w:val="32"/>
          <w:szCs w:val="32"/>
          <w:lang w:val="en-US" w:eastAsia="zh-CN" w:bidi="ar-SA"/>
        </w:rPr>
        <w:t>2.</w:t>
      </w:r>
      <w:r>
        <w:rPr>
          <w:rFonts w:hint="eastAsia" w:ascii="仿宋_GB2312" w:eastAsia="仿宋_GB2312" w:cs="仿宋_GB2312"/>
          <w:sz w:val="32"/>
          <w:szCs w:val="32"/>
          <w:lang w:bidi="ar-SA"/>
        </w:rPr>
        <w:t>研究县政府部门和各乡镇人民政府请示县政府的事项，提出审核意见，报县政府领导同志审批。</w:t>
      </w:r>
    </w:p>
    <w:p w14:paraId="1DA606C9">
      <w:pPr>
        <w:keepNext w:val="0"/>
        <w:keepLines w:val="0"/>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val="en-US" w:eastAsia="zh-CN" w:bidi="ar-SA"/>
        </w:rPr>
        <w:t>3.</w:t>
      </w:r>
      <w:r>
        <w:rPr>
          <w:rFonts w:hint="eastAsia" w:ascii="仿宋_GB2312" w:eastAsia="仿宋_GB2312" w:cs="仿宋_GB2312"/>
          <w:sz w:val="32"/>
          <w:szCs w:val="32"/>
          <w:lang w:bidi="ar-SA"/>
        </w:rPr>
        <w:t>负责县政府会议的筹备工作，协助县政府领导同志组织实施会议决定事项。</w:t>
      </w:r>
    </w:p>
    <w:p w14:paraId="7894C0D9">
      <w:pPr>
        <w:keepNext w:val="0"/>
        <w:keepLines w:val="0"/>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lang w:bidi="ar-SA"/>
        </w:rPr>
      </w:pPr>
      <w:r>
        <w:rPr>
          <w:rFonts w:hint="eastAsia" w:ascii="仿宋_GB2312" w:eastAsia="仿宋_GB2312" w:cs="仿宋_GB2312"/>
          <w:bCs/>
          <w:color w:val="000000"/>
          <w:sz w:val="32"/>
          <w:szCs w:val="32"/>
          <w:lang w:val="en-US" w:eastAsia="zh-CN" w:bidi="ar-SA"/>
        </w:rPr>
        <w:t>4.</w:t>
      </w:r>
      <w:r>
        <w:rPr>
          <w:rFonts w:hint="eastAsia" w:ascii="仿宋_GB2312" w:eastAsia="仿宋_GB2312" w:cs="仿宋_GB2312"/>
          <w:sz w:val="32"/>
          <w:szCs w:val="32"/>
          <w:lang w:bidi="ar-SA"/>
        </w:rPr>
        <w:t>督促检查县政府各部门和各乡镇人民政府对县政府公文、会议决定事项及县政府领导有关指示的执行情况并跟踪调研，及时向县政府领导报告。</w:t>
      </w:r>
    </w:p>
    <w:p w14:paraId="65508918">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val="en-US" w:eastAsia="zh-CN" w:bidi="ar-SA"/>
        </w:rPr>
        <w:t>5.</w:t>
      </w:r>
      <w:r>
        <w:rPr>
          <w:rFonts w:hint="eastAsia" w:ascii="仿宋_GB2312" w:eastAsia="仿宋_GB2312" w:cs="仿宋_GB2312"/>
          <w:sz w:val="32"/>
          <w:szCs w:val="32"/>
          <w:lang w:bidi="ar-SA"/>
        </w:rPr>
        <w:t>组织办理涉及县政府工作的人大代表议案、批评、建议和政协委员提案、建议案工作。</w:t>
      </w:r>
    </w:p>
    <w:p w14:paraId="05D219D4">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lang w:bidi="ar-SA"/>
        </w:rPr>
      </w:pPr>
      <w:r>
        <w:rPr>
          <w:rFonts w:hint="eastAsia" w:ascii="仿宋_GB2312" w:eastAsia="仿宋_GB2312" w:cs="仿宋_GB2312"/>
          <w:bCs/>
          <w:color w:val="000000"/>
          <w:sz w:val="32"/>
          <w:szCs w:val="32"/>
          <w:lang w:val="en-US" w:eastAsia="zh-CN" w:bidi="ar-SA"/>
        </w:rPr>
        <w:t>6.</w:t>
      </w:r>
      <w:r>
        <w:rPr>
          <w:rFonts w:hint="eastAsia" w:ascii="仿宋_GB2312" w:eastAsia="仿宋_GB2312" w:cs="仿宋_GB2312"/>
          <w:sz w:val="32"/>
          <w:szCs w:val="32"/>
          <w:lang w:bidi="ar-SA"/>
        </w:rPr>
        <w:t>负责县政府值班工作，指导各乡镇人民政府和县政府部门值班工作，及时报告重要情况。协助县政府领导组织处理由县政府直接处理的突发事件和重大事故。</w:t>
      </w:r>
    </w:p>
    <w:p w14:paraId="443011A8">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lang w:bidi="ar-SA"/>
        </w:rPr>
      </w:pPr>
      <w:r>
        <w:rPr>
          <w:rFonts w:hint="eastAsia" w:ascii="仿宋_GB2312" w:eastAsia="仿宋_GB2312" w:cs="仿宋_GB2312"/>
          <w:bCs/>
          <w:color w:val="000000"/>
          <w:sz w:val="32"/>
          <w:szCs w:val="32"/>
          <w:lang w:val="en-US" w:eastAsia="zh-CN" w:bidi="ar-SA"/>
        </w:rPr>
        <w:t>7.</w:t>
      </w:r>
      <w:r>
        <w:rPr>
          <w:rFonts w:hint="eastAsia" w:ascii="仿宋_GB2312" w:eastAsia="仿宋_GB2312" w:cs="仿宋_GB2312"/>
          <w:sz w:val="32"/>
          <w:szCs w:val="32"/>
          <w:lang w:bidi="ar-SA"/>
        </w:rPr>
        <w:t>指导、监督全县政府信息公开工作和机关行政效能建设工作，指导、监督全县政府系统电子政务工作和政府网站建设。</w:t>
      </w:r>
    </w:p>
    <w:p w14:paraId="49B11645">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val="en-US" w:eastAsia="zh-CN" w:bidi="ar-SA"/>
        </w:rPr>
        <w:t>8.</w:t>
      </w:r>
      <w:r>
        <w:rPr>
          <w:rFonts w:hint="eastAsia" w:ascii="仿宋_GB2312" w:eastAsia="仿宋_GB2312" w:cs="仿宋_GB2312"/>
          <w:sz w:val="32"/>
          <w:szCs w:val="32"/>
          <w:lang w:bidi="ar-SA"/>
        </w:rPr>
        <w:t>围绕县政府中心工作和县政府领导同志的指示，组织专题调查研究，及时反映情况，提出意见和建议。</w:t>
      </w:r>
    </w:p>
    <w:p w14:paraId="62B2EBD0">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val="en-US" w:eastAsia="zh-CN" w:bidi="ar-SA"/>
        </w:rPr>
        <w:t>9.</w:t>
      </w:r>
      <w:r>
        <w:rPr>
          <w:rFonts w:hint="eastAsia" w:ascii="仿宋_GB2312" w:eastAsia="仿宋_GB2312" w:cs="仿宋_GB2312"/>
          <w:sz w:val="32"/>
          <w:szCs w:val="32"/>
          <w:lang w:bidi="ar-SA"/>
        </w:rPr>
        <w:t>负责县政府人民防空和民防工作，指导全县人民防空和民防工作。</w:t>
      </w:r>
    </w:p>
    <w:p w14:paraId="745F3F8E">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val="en-US" w:eastAsia="zh-CN" w:bidi="ar-SA"/>
        </w:rPr>
        <w:t>10.</w:t>
      </w:r>
      <w:r>
        <w:rPr>
          <w:rFonts w:hint="eastAsia" w:ascii="仿宋_GB2312" w:eastAsia="仿宋_GB2312" w:cs="仿宋_GB2312"/>
          <w:sz w:val="32"/>
          <w:szCs w:val="32"/>
          <w:lang w:bidi="ar-SA"/>
        </w:rPr>
        <w:t>贯彻执行国家外事和港澳政策，研究拟定本县外事和港澳工作规章制度、发展规划，办理本县涉外事务和港澳事务。</w:t>
      </w:r>
    </w:p>
    <w:p w14:paraId="66386ADF">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val="en-US" w:eastAsia="zh-CN" w:bidi="ar-SA"/>
        </w:rPr>
        <w:t>11.</w:t>
      </w:r>
      <w:r>
        <w:rPr>
          <w:rFonts w:hint="eastAsia" w:ascii="仿宋_GB2312" w:eastAsia="仿宋_GB2312" w:cs="仿宋_GB2312"/>
          <w:sz w:val="32"/>
          <w:szCs w:val="32"/>
          <w:lang w:bidi="ar-SA"/>
        </w:rPr>
        <w:t>负责全县公务用车、办公用房及公共机构节能减排工作。</w:t>
      </w:r>
    </w:p>
    <w:p w14:paraId="7619D948">
      <w:pPr>
        <w:pageBreakBefore w:val="0"/>
        <w:widowControl w:val="0"/>
        <w:suppressAutoHyphens/>
        <w:kinsoku/>
        <w:wordWrap/>
        <w:overflowPunct/>
        <w:topLinePunct w:val="0"/>
        <w:autoSpaceDE/>
        <w:autoSpaceDN/>
        <w:bidi w:val="0"/>
        <w:adjustRightInd/>
        <w:snapToGrid/>
        <w:spacing w:line="576" w:lineRule="exact"/>
        <w:ind w:firstLine="640" w:firstLineChars="200"/>
        <w:textAlignment w:val="auto"/>
        <w:rPr>
          <w:rFonts w:hint="eastAsia"/>
          <w:lang w:eastAsia="zh-CN"/>
        </w:rPr>
      </w:pPr>
      <w:r>
        <w:rPr>
          <w:rFonts w:hint="eastAsia" w:ascii="仿宋_GB2312" w:eastAsia="仿宋_GB2312" w:cs="仿宋_GB2312"/>
          <w:sz w:val="32"/>
          <w:szCs w:val="32"/>
          <w:lang w:val="en-US" w:eastAsia="zh-CN" w:bidi="ar-SA"/>
        </w:rPr>
        <w:t>12.</w:t>
      </w:r>
      <w:r>
        <w:rPr>
          <w:rFonts w:hint="eastAsia" w:ascii="仿宋_GB2312" w:eastAsia="仿宋_GB2312" w:cs="仿宋_GB2312"/>
          <w:sz w:val="32"/>
          <w:szCs w:val="32"/>
          <w:lang w:bidi="ar-SA"/>
        </w:rPr>
        <w:t>完成县委、县政府交办的其他事项</w:t>
      </w:r>
      <w:r>
        <w:rPr>
          <w:rFonts w:hint="eastAsia" w:ascii="仿宋_GB2312" w:eastAsia="仿宋_GB2312"/>
          <w:sz w:val="32"/>
          <w:szCs w:val="32"/>
        </w:rPr>
        <w:t>。</w:t>
      </w:r>
    </w:p>
    <w:p w14:paraId="3B27464B">
      <w:pPr>
        <w:pStyle w:val="21"/>
        <w:numPr>
          <w:ilvl w:val="0"/>
          <w:numId w:val="0"/>
        </w:numPr>
        <w:spacing w:line="600" w:lineRule="exact"/>
        <w:ind w:left="640" w:leftChars="0"/>
        <w:outlineLvl w:val="1"/>
        <w:rPr>
          <w:rFonts w:hint="eastAsia" w:ascii="黑体" w:hAnsi="黑体" w:eastAsia="黑体"/>
          <w:color w:val="auto"/>
          <w:sz w:val="32"/>
          <w:szCs w:val="32"/>
          <w:highlight w:val="none"/>
          <w:lang w:val="en-US" w:eastAsia="zh-CN"/>
        </w:rPr>
      </w:pPr>
      <w:bookmarkStart w:id="8" w:name="_Toc8051"/>
      <w:r>
        <w:rPr>
          <w:rFonts w:hint="eastAsia" w:ascii="黑体" w:hAnsi="黑体" w:eastAsia="黑体"/>
          <w:color w:val="auto"/>
          <w:sz w:val="32"/>
          <w:szCs w:val="32"/>
          <w:highlight w:val="none"/>
          <w:lang w:val="en-US" w:eastAsia="zh-CN"/>
        </w:rPr>
        <w:t>二、机构设置</w:t>
      </w:r>
      <w:bookmarkEnd w:id="8"/>
    </w:p>
    <w:p w14:paraId="154302D7">
      <w:pPr>
        <w:pageBreakBefore w:val="0"/>
        <w:widowControl w:val="0"/>
        <w:suppressAutoHyphens/>
        <w:kinsoku/>
        <w:wordWrap/>
        <w:topLinePunct w:val="0"/>
        <w:bidi w:val="0"/>
        <w:spacing w:line="576" w:lineRule="exact"/>
        <w:ind w:firstLine="640" w:firstLineChars="200"/>
        <w:textAlignment w:val="auto"/>
        <w:rPr>
          <w:rFonts w:hint="eastAsia" w:ascii="仿宋" w:eastAsia="仿宋"/>
          <w:color w:val="000000"/>
          <w:sz w:val="32"/>
          <w:szCs w:val="32"/>
          <w:lang w:eastAsia="zh-CN"/>
        </w:rPr>
      </w:pPr>
      <w:r>
        <w:rPr>
          <w:rFonts w:hint="eastAsia" w:ascii="仿宋_GB2312" w:eastAsia="仿宋_GB2312"/>
          <w:sz w:val="32"/>
          <w:szCs w:val="32"/>
        </w:rPr>
        <w:t>茂县人民政府办公室行政单位1个，参照公务员法管理的事业单位0个，其他</w:t>
      </w:r>
      <w:r>
        <w:rPr>
          <w:rFonts w:hint="eastAsia" w:ascii="仿宋" w:eastAsia="仿宋"/>
          <w:color w:val="000000"/>
          <w:sz w:val="32"/>
          <w:szCs w:val="32"/>
        </w:rPr>
        <w:t>事业单位0个。 纳入茂县人民政府办公室</w:t>
      </w:r>
      <w:r>
        <w:rPr>
          <w:rFonts w:hint="eastAsia" w:ascii="仿宋" w:eastAsia="仿宋"/>
          <w:color w:val="000000"/>
          <w:sz w:val="32"/>
          <w:szCs w:val="32"/>
          <w:lang w:eastAsia="zh-CN"/>
        </w:rPr>
        <w:t>202</w:t>
      </w:r>
      <w:r>
        <w:rPr>
          <w:rFonts w:hint="eastAsia" w:ascii="仿宋" w:eastAsia="仿宋"/>
          <w:color w:val="000000"/>
          <w:sz w:val="32"/>
          <w:szCs w:val="32"/>
          <w:lang w:val="en-US" w:eastAsia="zh-CN"/>
        </w:rPr>
        <w:t>5</w:t>
      </w:r>
      <w:r>
        <w:rPr>
          <w:rFonts w:hint="eastAsia" w:ascii="仿宋" w:eastAsia="仿宋"/>
          <w:color w:val="000000"/>
          <w:sz w:val="32"/>
          <w:szCs w:val="32"/>
          <w:lang w:eastAsia="zh-CN"/>
        </w:rPr>
        <w:t>年</w:t>
      </w:r>
      <w:r>
        <w:rPr>
          <w:rFonts w:hint="eastAsia" w:ascii="仿宋" w:eastAsia="仿宋"/>
          <w:color w:val="000000"/>
          <w:sz w:val="32"/>
          <w:szCs w:val="32"/>
        </w:rPr>
        <w:t>度部门决算编制范围的预算单位： 茂县人民政府办公室</w:t>
      </w:r>
      <w:r>
        <w:rPr>
          <w:rFonts w:hint="eastAsia" w:ascii="仿宋" w:eastAsia="仿宋"/>
          <w:color w:val="000000"/>
          <w:sz w:val="32"/>
          <w:szCs w:val="32"/>
          <w:lang w:eastAsia="zh-CN"/>
        </w:rPr>
        <w:t>。</w:t>
      </w:r>
    </w:p>
    <w:p w14:paraId="33F62AB0">
      <w:pPr>
        <w:pStyle w:val="21"/>
        <w:numPr>
          <w:ilvl w:val="0"/>
          <w:numId w:val="0"/>
        </w:numPr>
        <w:spacing w:line="600" w:lineRule="exact"/>
        <w:ind w:left="640" w:leftChars="0"/>
        <w:jc w:val="center"/>
        <w:outlineLvl w:val="1"/>
        <w:rPr>
          <w:rFonts w:hint="eastAsia" w:ascii="方正小标宋简体" w:hAnsi="方正小标宋简体" w:eastAsia="方正小标宋简体" w:cs="方正小标宋简体"/>
          <w:color w:val="auto"/>
          <w:sz w:val="44"/>
          <w:szCs w:val="44"/>
          <w:highlight w:val="none"/>
          <w:lang w:eastAsia="zh-CN"/>
        </w:rPr>
      </w:pPr>
      <w:bookmarkStart w:id="9" w:name="_Toc28988"/>
    </w:p>
    <w:p w14:paraId="5BF127C4">
      <w:pPr>
        <w:pStyle w:val="21"/>
        <w:numPr>
          <w:ilvl w:val="0"/>
          <w:numId w:val="0"/>
        </w:numPr>
        <w:spacing w:line="600" w:lineRule="exact"/>
        <w:ind w:left="640" w:leftChars="0"/>
        <w:jc w:val="center"/>
        <w:outlineLvl w:val="1"/>
        <w:rPr>
          <w:rFonts w:hint="eastAsia" w:ascii="方正小标宋简体" w:hAnsi="方正小标宋简体" w:eastAsia="方正小标宋简体" w:cs="方正小标宋简体"/>
          <w:color w:val="auto"/>
          <w:sz w:val="44"/>
          <w:szCs w:val="44"/>
          <w:highlight w:val="none"/>
          <w:lang w:eastAsia="zh-CN"/>
        </w:rPr>
      </w:pPr>
    </w:p>
    <w:p w14:paraId="5250A33B">
      <w:pPr>
        <w:pStyle w:val="21"/>
        <w:numPr>
          <w:ilvl w:val="0"/>
          <w:numId w:val="0"/>
        </w:numPr>
        <w:spacing w:line="600" w:lineRule="exact"/>
        <w:ind w:left="640" w:leftChars="0"/>
        <w:jc w:val="center"/>
        <w:outlineLvl w:val="1"/>
        <w:rPr>
          <w:rFonts w:hint="eastAsia" w:ascii="方正小标宋简体" w:hAnsi="方正小标宋简体" w:eastAsia="方正小标宋简体" w:cs="方正小标宋简体"/>
          <w:color w:val="auto"/>
          <w:sz w:val="44"/>
          <w:szCs w:val="44"/>
          <w:highlight w:val="none"/>
          <w:lang w:eastAsia="zh-CN"/>
        </w:rPr>
      </w:pPr>
    </w:p>
    <w:p w14:paraId="72B9D002">
      <w:pPr>
        <w:pStyle w:val="21"/>
        <w:numPr>
          <w:ilvl w:val="0"/>
          <w:numId w:val="0"/>
        </w:numPr>
        <w:spacing w:line="600" w:lineRule="exact"/>
        <w:ind w:left="640" w:leftChars="0"/>
        <w:jc w:val="center"/>
        <w:outlineLvl w:val="1"/>
        <w:rPr>
          <w:rFonts w:hint="eastAsia" w:ascii="方正小标宋简体" w:hAnsi="方正小标宋简体" w:eastAsia="方正小标宋简体" w:cs="方正小标宋简体"/>
          <w:color w:val="auto"/>
          <w:sz w:val="44"/>
          <w:szCs w:val="44"/>
          <w:highlight w:val="none"/>
          <w:lang w:eastAsia="zh-CN"/>
        </w:rPr>
      </w:pPr>
    </w:p>
    <w:p w14:paraId="1A790CA2">
      <w:pPr>
        <w:pStyle w:val="21"/>
        <w:numPr>
          <w:ilvl w:val="0"/>
          <w:numId w:val="0"/>
        </w:numPr>
        <w:spacing w:line="600" w:lineRule="exact"/>
        <w:ind w:left="640" w:leftChars="0"/>
        <w:jc w:val="center"/>
        <w:outlineLvl w:val="1"/>
        <w:rPr>
          <w:rFonts w:hint="eastAsia" w:ascii="方正小标宋简体" w:hAnsi="方正小标宋简体" w:eastAsia="方正小标宋简体" w:cs="方正小标宋简体"/>
          <w:color w:val="auto"/>
          <w:sz w:val="44"/>
          <w:szCs w:val="44"/>
          <w:highlight w:val="none"/>
          <w:lang w:eastAsia="zh-CN"/>
        </w:rPr>
      </w:pPr>
    </w:p>
    <w:p w14:paraId="09F4EB78">
      <w:pPr>
        <w:pStyle w:val="21"/>
        <w:numPr>
          <w:ilvl w:val="0"/>
          <w:numId w:val="0"/>
        </w:numPr>
        <w:spacing w:line="600" w:lineRule="exact"/>
        <w:ind w:left="640" w:leftChars="0"/>
        <w:jc w:val="center"/>
        <w:outlineLvl w:val="1"/>
        <w:rPr>
          <w:rFonts w:hint="eastAsia" w:ascii="方正小标宋简体" w:hAnsi="方正小标宋简体" w:eastAsia="方正小标宋简体" w:cs="方正小标宋简体"/>
          <w:color w:val="auto"/>
          <w:sz w:val="44"/>
          <w:szCs w:val="44"/>
          <w:highlight w:val="none"/>
          <w:lang w:eastAsia="zh-CN"/>
        </w:rPr>
      </w:pPr>
    </w:p>
    <w:p w14:paraId="0F30B781">
      <w:pPr>
        <w:pStyle w:val="21"/>
        <w:numPr>
          <w:ilvl w:val="0"/>
          <w:numId w:val="0"/>
        </w:numPr>
        <w:spacing w:line="600" w:lineRule="exact"/>
        <w:ind w:left="640" w:leftChars="0"/>
        <w:jc w:val="center"/>
        <w:outlineLvl w:val="1"/>
        <w:rPr>
          <w:rFonts w:hint="eastAsia" w:ascii="方正小标宋简体" w:hAnsi="方正小标宋简体" w:eastAsia="方正小标宋简体" w:cs="方正小标宋简体"/>
          <w:color w:val="auto"/>
          <w:sz w:val="44"/>
          <w:szCs w:val="44"/>
          <w:highlight w:val="none"/>
          <w:lang w:eastAsia="zh-CN"/>
        </w:rPr>
      </w:pPr>
    </w:p>
    <w:p w14:paraId="32D4DA89">
      <w:pPr>
        <w:pStyle w:val="21"/>
        <w:numPr>
          <w:ilvl w:val="0"/>
          <w:numId w:val="0"/>
        </w:numPr>
        <w:spacing w:line="600" w:lineRule="exact"/>
        <w:ind w:left="640" w:leftChars="0"/>
        <w:jc w:val="center"/>
        <w:outlineLvl w:val="1"/>
        <w:rPr>
          <w:rFonts w:hint="eastAsia" w:ascii="方正小标宋简体" w:hAnsi="方正小标宋简体" w:eastAsia="方正小标宋简体" w:cs="方正小标宋简体"/>
          <w:color w:val="auto"/>
          <w:sz w:val="44"/>
          <w:szCs w:val="44"/>
          <w:highlight w:val="none"/>
          <w:lang w:eastAsia="zh-CN"/>
        </w:rPr>
      </w:pPr>
    </w:p>
    <w:p w14:paraId="3983896D">
      <w:pPr>
        <w:pStyle w:val="21"/>
        <w:numPr>
          <w:ilvl w:val="0"/>
          <w:numId w:val="0"/>
        </w:numPr>
        <w:spacing w:line="600" w:lineRule="exact"/>
        <w:ind w:left="640" w:leftChars="0"/>
        <w:jc w:val="center"/>
        <w:outlineLvl w:val="1"/>
        <w:rPr>
          <w:rFonts w:hint="eastAsia" w:ascii="方正小标宋简体" w:hAnsi="方正小标宋简体" w:eastAsia="方正小标宋简体" w:cs="方正小标宋简体"/>
          <w:color w:val="auto"/>
          <w:sz w:val="44"/>
          <w:szCs w:val="44"/>
          <w:highlight w:val="none"/>
          <w:lang w:eastAsia="zh-CN"/>
        </w:rPr>
      </w:pPr>
    </w:p>
    <w:p w14:paraId="677FFAD0">
      <w:pPr>
        <w:pStyle w:val="21"/>
        <w:numPr>
          <w:ilvl w:val="0"/>
          <w:numId w:val="0"/>
        </w:numPr>
        <w:spacing w:line="600" w:lineRule="exact"/>
        <w:ind w:left="640" w:leftChars="0"/>
        <w:jc w:val="center"/>
        <w:outlineLvl w:val="1"/>
        <w:rPr>
          <w:rFonts w:hint="eastAsia" w:ascii="方正小标宋简体" w:hAnsi="方正小标宋简体" w:eastAsia="方正小标宋简体" w:cs="方正小标宋简体"/>
          <w:color w:val="auto"/>
          <w:sz w:val="44"/>
          <w:szCs w:val="44"/>
          <w:highlight w:val="none"/>
          <w:lang w:eastAsia="zh-CN"/>
        </w:rPr>
      </w:pPr>
      <w:r>
        <w:rPr>
          <w:rFonts w:hint="eastAsia" w:ascii="仿宋_GB2312" w:eastAsia="仿宋_GB2312"/>
          <w:color w:val="auto"/>
          <w:sz w:val="32"/>
          <w:szCs w:val="32"/>
          <w:highlight w:val="none"/>
          <w:lang w:eastAsia="zh-CN"/>
        </w:rPr>
        <w:drawing>
          <wp:anchor distT="0" distB="0" distL="114300" distR="114300" simplePos="0" relativeHeight="251659264" behindDoc="1" locked="0" layoutInCell="1" allowOverlap="1">
            <wp:simplePos x="0" y="0"/>
            <wp:positionH relativeFrom="column">
              <wp:posOffset>201295</wp:posOffset>
            </wp:positionH>
            <wp:positionV relativeFrom="page">
              <wp:posOffset>3070860</wp:posOffset>
            </wp:positionV>
            <wp:extent cx="4999990" cy="2694305"/>
            <wp:effectExtent l="4445" t="4445" r="62865" b="63500"/>
            <wp:wrapTight wrapText="bothSides">
              <wp:wrapPolygon>
                <wp:start x="-19" y="-36"/>
                <wp:lineTo x="-19" y="21498"/>
                <wp:lineTo x="21542" y="21498"/>
                <wp:lineTo x="21542" y="-36"/>
                <wp:lineTo x="-19" y="-36"/>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anchor>
        </w:drawing>
      </w:r>
      <w:r>
        <w:rPr>
          <w:rFonts w:hint="eastAsia" w:ascii="方正小标宋简体" w:hAnsi="方正小标宋简体" w:eastAsia="方正小标宋简体" w:cs="方正小标宋简体"/>
          <w:color w:val="auto"/>
          <w:sz w:val="44"/>
          <w:szCs w:val="44"/>
          <w:highlight w:val="none"/>
          <w:lang w:eastAsia="zh-CN"/>
        </w:rPr>
        <w:t xml:space="preserve">第二部分 </w:t>
      </w:r>
      <w:r>
        <w:rPr>
          <w:rFonts w:hint="eastAsia" w:ascii="方正小标宋简体" w:hAnsi="方正小标宋简体" w:eastAsia="方正小标宋简体" w:cs="方正小标宋简体"/>
          <w:color w:val="auto"/>
          <w:sz w:val="44"/>
          <w:szCs w:val="44"/>
          <w:highlight w:val="none"/>
          <w:lang w:val="en-US" w:eastAsia="zh-CN"/>
        </w:rPr>
        <w:t>2025年度</w:t>
      </w:r>
      <w:r>
        <w:rPr>
          <w:rFonts w:hint="eastAsia" w:ascii="方正小标宋简体" w:hAnsi="方正小标宋简体" w:eastAsia="方正小标宋简体" w:cs="方正小标宋简体"/>
          <w:color w:val="auto"/>
          <w:sz w:val="44"/>
          <w:szCs w:val="44"/>
          <w:highlight w:val="none"/>
          <w:lang w:eastAsia="zh-CN"/>
        </w:rPr>
        <w:t>单位决算情况说明</w:t>
      </w:r>
      <w:bookmarkEnd w:id="9"/>
    </w:p>
    <w:p w14:paraId="1BDAD8D7">
      <w:pPr>
        <w:pStyle w:val="21"/>
        <w:numPr>
          <w:ilvl w:val="0"/>
          <w:numId w:val="0"/>
        </w:numPr>
        <w:spacing w:line="600" w:lineRule="exact"/>
        <w:ind w:left="640" w:leftChars="0"/>
        <w:outlineLvl w:val="1"/>
        <w:rPr>
          <w:rStyle w:val="17"/>
          <w:rFonts w:ascii="黑体" w:hAnsi="黑体" w:eastAsia="黑体"/>
          <w:b w:val="0"/>
          <w:color w:val="auto"/>
          <w:highlight w:val="none"/>
        </w:rPr>
      </w:pPr>
      <w:bookmarkStart w:id="10" w:name="_Toc23366"/>
      <w:r>
        <w:rPr>
          <w:rFonts w:hint="eastAsia" w:ascii="黑体" w:hAnsi="黑体" w:eastAsia="黑体"/>
          <w:color w:val="auto"/>
          <w:sz w:val="32"/>
          <w:szCs w:val="32"/>
          <w:highlight w:val="none"/>
          <w:lang w:eastAsia="zh-CN"/>
        </w:rPr>
        <w:t>一、</w:t>
      </w:r>
      <w:r>
        <w:rPr>
          <w:rFonts w:hint="eastAsia" w:ascii="黑体" w:hAnsi="黑体" w:eastAsia="黑体"/>
          <w:color w:val="auto"/>
          <w:sz w:val="32"/>
          <w:szCs w:val="32"/>
          <w:highlight w:val="none"/>
        </w:rPr>
        <w:t>收</w:t>
      </w:r>
      <w:r>
        <w:rPr>
          <w:rStyle w:val="17"/>
          <w:rFonts w:hint="eastAsia" w:ascii="黑体" w:hAnsi="黑体" w:eastAsia="黑体"/>
          <w:b w:val="0"/>
          <w:color w:val="auto"/>
          <w:highlight w:val="none"/>
        </w:rPr>
        <w:t>入支出决算总体情况说明</w:t>
      </w:r>
      <w:bookmarkEnd w:id="10"/>
    </w:p>
    <w:p w14:paraId="45DC15CE">
      <w:pPr>
        <w:pageBreakBefore w:val="0"/>
        <w:widowControl w:val="0"/>
        <w:suppressAutoHyphens/>
        <w:kinsoku/>
        <w:wordWrap/>
        <w:topLinePunct w:val="0"/>
        <w:bidi w:val="0"/>
        <w:spacing w:line="576" w:lineRule="exact"/>
        <w:ind w:firstLine="640" w:firstLineChars="200"/>
        <w:textAlignment w:val="auto"/>
        <w:rPr>
          <w:rFonts w:hint="eastAsia" w:ascii="仿宋_GB2312" w:eastAsia="仿宋_GB2312" w:cs="Times New Roman"/>
          <w:sz w:val="32"/>
          <w:szCs w:val="32"/>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w:t>
      </w:r>
      <w:r>
        <w:rPr>
          <w:rFonts w:hint="eastAsia" w:ascii="仿宋" w:hAnsi="仿宋" w:eastAsia="仿宋"/>
          <w:color w:val="auto"/>
          <w:sz w:val="32"/>
          <w:szCs w:val="32"/>
          <w:highlight w:val="none"/>
        </w:rPr>
        <w:t>度收、支总计</w:t>
      </w:r>
      <w:r>
        <w:rPr>
          <w:rFonts w:hint="eastAsia" w:ascii="仿宋" w:hAnsi="仿宋" w:eastAsia="仿宋"/>
          <w:color w:val="auto"/>
          <w:sz w:val="32"/>
          <w:szCs w:val="32"/>
          <w:highlight w:val="none"/>
          <w:lang w:eastAsia="zh-CN"/>
        </w:rPr>
        <w:t>均为</w:t>
      </w:r>
      <w:r>
        <w:rPr>
          <w:rFonts w:hint="eastAsia" w:ascii="仿宋_GB2312" w:eastAsia="仿宋_GB2312" w:cs="Times New Roman"/>
          <w:sz w:val="32"/>
          <w:szCs w:val="32"/>
          <w:lang w:val="en-US" w:eastAsia="zh-CN"/>
        </w:rPr>
        <w:t>1160万元</w:t>
      </w:r>
      <w:r>
        <w:rPr>
          <w:rFonts w:hint="eastAsia" w:ascii="仿宋_GB2312" w:eastAsia="仿宋_GB2312" w:cs="Times New Roman"/>
          <w:sz w:val="32"/>
          <w:szCs w:val="32"/>
        </w:rPr>
        <w:t>。与</w:t>
      </w:r>
      <w:r>
        <w:rPr>
          <w:rFonts w:hint="eastAsia" w:ascii="仿宋_GB2312" w:eastAsia="仿宋_GB2312" w:cs="Times New Roman"/>
          <w:sz w:val="32"/>
          <w:szCs w:val="32"/>
          <w:lang w:eastAsia="zh-CN"/>
        </w:rPr>
        <w:t>20</w:t>
      </w:r>
      <w:r>
        <w:rPr>
          <w:rFonts w:hint="eastAsia" w:ascii="仿宋_GB2312" w:eastAsia="仿宋_GB2312" w:cs="Times New Roman"/>
          <w:sz w:val="32"/>
          <w:szCs w:val="32"/>
          <w:lang w:val="en-US" w:eastAsia="zh-CN"/>
        </w:rPr>
        <w:t>24</w:t>
      </w:r>
      <w:r>
        <w:rPr>
          <w:rFonts w:hint="eastAsia" w:ascii="仿宋_GB2312" w:eastAsia="仿宋_GB2312" w:cs="Times New Roman"/>
          <w:sz w:val="32"/>
          <w:szCs w:val="32"/>
          <w:lang w:eastAsia="zh-CN"/>
        </w:rPr>
        <w:t>年度</w:t>
      </w:r>
      <w:r>
        <w:rPr>
          <w:rFonts w:hint="eastAsia" w:ascii="仿宋_GB2312" w:eastAsia="仿宋_GB2312" w:cs="Times New Roman"/>
          <w:sz w:val="32"/>
          <w:szCs w:val="32"/>
        </w:rPr>
        <w:t>相比，收</w:t>
      </w:r>
      <w:r>
        <w:rPr>
          <w:rFonts w:hint="eastAsia" w:ascii="仿宋_GB2312" w:eastAsia="仿宋_GB2312" w:cs="Times New Roman"/>
          <w:sz w:val="32"/>
          <w:szCs w:val="32"/>
          <w:lang w:eastAsia="zh-CN"/>
        </w:rPr>
        <w:t>入增加</w:t>
      </w:r>
      <w:r>
        <w:rPr>
          <w:rFonts w:hint="eastAsia" w:ascii="仿宋_GB2312" w:eastAsia="仿宋_GB2312" w:cs="Times New Roman"/>
          <w:sz w:val="32"/>
          <w:szCs w:val="32"/>
          <w:lang w:val="en-US" w:eastAsia="zh-CN"/>
        </w:rPr>
        <w:t>118.74</w:t>
      </w:r>
      <w:r>
        <w:rPr>
          <w:rFonts w:hint="eastAsia" w:ascii="仿宋_GB2312" w:eastAsia="仿宋_GB2312" w:cs="Times New Roman"/>
          <w:sz w:val="32"/>
          <w:szCs w:val="32"/>
        </w:rPr>
        <w:t>万元，增长</w:t>
      </w:r>
      <w:r>
        <w:rPr>
          <w:rFonts w:hint="eastAsia" w:ascii="仿宋_GB2312" w:eastAsia="仿宋_GB2312" w:cs="Times New Roman"/>
          <w:sz w:val="32"/>
          <w:szCs w:val="32"/>
          <w:lang w:val="en-US" w:eastAsia="zh-CN"/>
        </w:rPr>
        <w:t>11.4</w:t>
      </w:r>
      <w:r>
        <w:rPr>
          <w:rFonts w:hint="eastAsia" w:ascii="仿宋_GB2312" w:eastAsia="仿宋_GB2312" w:cs="Times New Roman"/>
          <w:sz w:val="32"/>
          <w:szCs w:val="32"/>
        </w:rPr>
        <w:t>%。主要变动原因是</w:t>
      </w:r>
      <w:r>
        <w:rPr>
          <w:rFonts w:hint="eastAsia" w:ascii="仿宋_GB2312" w:eastAsia="仿宋_GB2312" w:cs="Times New Roman"/>
          <w:sz w:val="32"/>
          <w:szCs w:val="32"/>
          <w:lang w:eastAsia="zh-CN"/>
        </w:rPr>
        <w:t>1.本年度新增代管资金，2.本年度项目资金较上年增加。</w:t>
      </w:r>
    </w:p>
    <w:p w14:paraId="1AFC746A">
      <w:pPr>
        <w:spacing w:line="600" w:lineRule="exact"/>
        <w:ind w:firstLine="640" w:firstLineChars="200"/>
        <w:rPr>
          <w:rStyle w:val="17"/>
          <w:rFonts w:ascii="黑体" w:hAnsi="黑体" w:eastAsia="黑体"/>
          <w:b w:val="0"/>
          <w:color w:val="auto"/>
          <w:highlight w:val="none"/>
        </w:rPr>
      </w:pPr>
      <w:bookmarkStart w:id="11" w:name="_Toc11880"/>
      <w:r>
        <w:rPr>
          <w:rFonts w:hint="eastAsia" w:ascii="黑体" w:hAnsi="黑体" w:eastAsia="黑体"/>
          <w:color w:val="auto"/>
          <w:sz w:val="32"/>
          <w:szCs w:val="32"/>
          <w:highlight w:val="none"/>
          <w:lang w:eastAsia="zh-CN"/>
        </w:rPr>
        <w:t>二、</w:t>
      </w:r>
      <w:r>
        <w:rPr>
          <w:rFonts w:hint="eastAsia" w:ascii="黑体" w:hAnsi="黑体" w:eastAsia="黑体"/>
          <w:color w:val="auto"/>
          <w:sz w:val="32"/>
          <w:szCs w:val="32"/>
          <w:highlight w:val="none"/>
        </w:rPr>
        <w:t>收</w:t>
      </w:r>
      <w:r>
        <w:rPr>
          <w:rStyle w:val="17"/>
          <w:rFonts w:hint="eastAsia" w:ascii="黑体" w:hAnsi="黑体" w:eastAsia="黑体"/>
          <w:b w:val="0"/>
          <w:color w:val="auto"/>
          <w:highlight w:val="none"/>
        </w:rPr>
        <w:t>入决算情况说明</w:t>
      </w:r>
      <w:bookmarkEnd w:id="11"/>
    </w:p>
    <w:p w14:paraId="45A1033C">
      <w:pPr>
        <w:spacing w:line="600" w:lineRule="exact"/>
        <w:ind w:firstLine="640" w:firstLineChars="200"/>
        <w:outlineLvl w:val="1"/>
        <w:rPr>
          <w:rFonts w:ascii="仿宋" w:hAnsi="仿宋" w:eastAsia="仿宋"/>
          <w:color w:val="auto"/>
          <w:sz w:val="32"/>
          <w:szCs w:val="32"/>
          <w:highlight w:val="none"/>
        </w:rPr>
      </w:pPr>
      <w:bookmarkStart w:id="12" w:name="_Toc13039"/>
      <w:r>
        <w:rPr>
          <w:rFonts w:hint="eastAsia" w:ascii="仿宋_GB2312" w:eastAsia="仿宋_GB2312"/>
          <w:color w:val="auto"/>
          <w:sz w:val="32"/>
          <w:szCs w:val="32"/>
          <w:highlight w:val="none"/>
          <w:lang w:eastAsia="zh-CN"/>
        </w:rPr>
        <w:drawing>
          <wp:anchor distT="0" distB="0" distL="114300" distR="114300" simplePos="0" relativeHeight="251661312" behindDoc="1" locked="0" layoutInCell="1" allowOverlap="1">
            <wp:simplePos x="0" y="0"/>
            <wp:positionH relativeFrom="column">
              <wp:posOffset>401955</wp:posOffset>
            </wp:positionH>
            <wp:positionV relativeFrom="page">
              <wp:posOffset>7533005</wp:posOffset>
            </wp:positionV>
            <wp:extent cx="5019040" cy="2646045"/>
            <wp:effectExtent l="4445" t="4445" r="62865" b="73660"/>
            <wp:wrapTight wrapText="bothSides">
              <wp:wrapPolygon>
                <wp:start x="-19" y="-36"/>
                <wp:lineTo x="-19" y="21424"/>
                <wp:lineTo x="21543" y="21424"/>
                <wp:lineTo x="21543" y="-36"/>
                <wp:lineTo x="-19" y="-36"/>
              </wp:wrapPolygon>
            </wp:wrapTight>
            <wp:docPr id="4" name="图表 4"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1160</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1120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96.6%</w:t>
      </w:r>
      <w:r>
        <w:rPr>
          <w:rFonts w:hint="eastAsia" w:ascii="仿宋" w:hAnsi="仿宋" w:eastAsia="仿宋"/>
          <w:color w:val="auto"/>
          <w:sz w:val="32"/>
          <w:szCs w:val="32"/>
          <w:highlight w:val="none"/>
        </w:rPr>
        <w:t>；其他</w:t>
      </w:r>
      <w:r>
        <w:rPr>
          <w:rFonts w:hint="eastAsia" w:ascii="仿宋" w:hAnsi="仿宋" w:eastAsia="仿宋"/>
          <w:color w:val="auto"/>
          <w:sz w:val="32"/>
          <w:szCs w:val="32"/>
          <w:highlight w:val="none"/>
          <w:lang w:eastAsia="zh-CN"/>
        </w:rPr>
        <w:t>收入</w:t>
      </w:r>
      <w:r>
        <w:rPr>
          <w:rFonts w:hint="eastAsia" w:ascii="仿宋" w:hAnsi="仿宋" w:eastAsia="仿宋"/>
          <w:color w:val="auto"/>
          <w:sz w:val="32"/>
          <w:szCs w:val="32"/>
          <w:highlight w:val="none"/>
          <w:lang w:val="en-US" w:eastAsia="zh-CN"/>
        </w:rPr>
        <w:t>40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12"/>
    </w:p>
    <w:p w14:paraId="60301B15">
      <w:pPr>
        <w:spacing w:line="600" w:lineRule="exact"/>
        <w:ind w:firstLine="640" w:firstLineChars="200"/>
        <w:rPr>
          <w:rStyle w:val="17"/>
          <w:rFonts w:ascii="黑体" w:hAnsi="黑体" w:eastAsia="黑体"/>
          <w:b w:val="0"/>
          <w:color w:val="auto"/>
          <w:highlight w:val="none"/>
        </w:rPr>
      </w:pPr>
      <w:bookmarkStart w:id="13" w:name="_Toc6028"/>
      <w:r>
        <w:rPr>
          <w:rFonts w:hint="eastAsia" w:ascii="黑体" w:hAnsi="黑体" w:eastAsia="黑体"/>
          <w:color w:val="auto"/>
          <w:sz w:val="32"/>
          <w:szCs w:val="32"/>
          <w:highlight w:val="none"/>
          <w:lang w:eastAsia="zh-CN"/>
        </w:rPr>
        <w:t>三、</w:t>
      </w:r>
      <w:r>
        <w:rPr>
          <w:rFonts w:hint="eastAsia" w:ascii="黑体" w:hAnsi="黑体" w:eastAsia="黑体"/>
          <w:color w:val="auto"/>
          <w:sz w:val="32"/>
          <w:szCs w:val="32"/>
          <w:highlight w:val="none"/>
        </w:rPr>
        <w:t>支</w:t>
      </w:r>
      <w:r>
        <w:rPr>
          <w:rStyle w:val="17"/>
          <w:rFonts w:hint="eastAsia" w:ascii="黑体" w:hAnsi="黑体" w:eastAsia="黑体"/>
          <w:b w:val="0"/>
          <w:color w:val="auto"/>
          <w:highlight w:val="none"/>
        </w:rPr>
        <w:t>出决算情况说明</w:t>
      </w:r>
      <w:bookmarkEnd w:id="13"/>
    </w:p>
    <w:p w14:paraId="38D299CF">
      <w:pPr>
        <w:spacing w:line="600" w:lineRule="exact"/>
        <w:ind w:firstLine="640" w:firstLineChars="200"/>
        <w:outlineLvl w:val="1"/>
        <w:rPr>
          <w:rFonts w:ascii="仿宋" w:hAnsi="仿宋" w:eastAsia="仿宋"/>
          <w:color w:val="auto"/>
          <w:sz w:val="32"/>
          <w:szCs w:val="32"/>
          <w:highlight w:val="none"/>
        </w:rPr>
      </w:pPr>
      <w:bookmarkStart w:id="14" w:name="_Toc21407"/>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1154.39</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961.95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83.3</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192.44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16.7</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14"/>
    </w:p>
    <w:p w14:paraId="3D928BA7">
      <w:pPr>
        <w:spacing w:line="600" w:lineRule="exact"/>
        <w:ind w:firstLine="640"/>
        <w:rPr>
          <w:rFonts w:ascii="仿宋" w:hAnsi="仿宋" w:eastAsia="仿宋"/>
          <w:color w:val="auto"/>
          <w:sz w:val="32"/>
          <w:szCs w:val="32"/>
          <w:highlight w:val="none"/>
          <w:shd w:val="pct10" w:color="auto" w:fill="FFFFFF"/>
        </w:rPr>
      </w:pPr>
      <w:r>
        <w:rPr>
          <w:rFonts w:hint="eastAsia" w:ascii="仿宋" w:hAnsi="仿宋" w:eastAsia="仿宋"/>
          <w:b/>
          <w:color w:val="auto"/>
          <w:sz w:val="32"/>
          <w:szCs w:val="32"/>
          <w:highlight w:val="none"/>
          <w:lang w:eastAsia="zh-CN"/>
        </w:rPr>
        <w:drawing>
          <wp:anchor distT="0" distB="0" distL="114300" distR="114300" simplePos="0" relativeHeight="251662336" behindDoc="1" locked="0" layoutInCell="1" allowOverlap="1">
            <wp:simplePos x="0" y="0"/>
            <wp:positionH relativeFrom="column">
              <wp:posOffset>687705</wp:posOffset>
            </wp:positionH>
            <wp:positionV relativeFrom="page">
              <wp:posOffset>2176145</wp:posOffset>
            </wp:positionV>
            <wp:extent cx="4675505" cy="2445385"/>
            <wp:effectExtent l="4445" t="4445" r="6350" b="7620"/>
            <wp:wrapTight wrapText="bothSides">
              <wp:wrapPolygon>
                <wp:start x="-21" y="-39"/>
                <wp:lineTo x="-21" y="21499"/>
                <wp:lineTo x="21541" y="21499"/>
                <wp:lineTo x="21541" y="-39"/>
                <wp:lineTo x="-21" y="-39"/>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22ACAB2F">
      <w:pPr>
        <w:spacing w:line="600" w:lineRule="exact"/>
        <w:ind w:firstLine="640" w:firstLineChars="200"/>
        <w:rPr>
          <w:rStyle w:val="17"/>
          <w:rFonts w:ascii="黑体" w:hAnsi="黑体" w:eastAsia="黑体"/>
          <w:b w:val="0"/>
          <w:color w:val="auto"/>
          <w:highlight w:val="none"/>
        </w:rPr>
      </w:pPr>
      <w:bookmarkStart w:id="15" w:name="_Toc10949"/>
      <w:r>
        <w:rPr>
          <w:rFonts w:hint="eastAsia" w:ascii="黑体" w:hAnsi="黑体" w:eastAsia="黑体"/>
          <w:color w:val="auto"/>
          <w:sz w:val="32"/>
          <w:szCs w:val="32"/>
          <w:highlight w:val="none"/>
        </w:rPr>
        <w:t>四、财</w:t>
      </w:r>
      <w:r>
        <w:rPr>
          <w:rStyle w:val="17"/>
          <w:rFonts w:hint="eastAsia" w:ascii="黑体" w:hAnsi="黑体" w:eastAsia="黑体"/>
          <w:b w:val="0"/>
          <w:color w:val="auto"/>
          <w:highlight w:val="none"/>
        </w:rPr>
        <w:t>政拨款收入支出决算总体情况说明</w:t>
      </w:r>
      <w:bookmarkEnd w:id="15"/>
    </w:p>
    <w:p w14:paraId="3CFD28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财政拨款收、支总计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1120</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相比，财政拨款收、支总计各增加</w:t>
      </w:r>
      <w:r>
        <w:rPr>
          <w:rFonts w:hint="eastAsia" w:ascii="仿宋" w:hAnsi="仿宋" w:eastAsia="仿宋"/>
          <w:color w:val="auto"/>
          <w:sz w:val="32"/>
          <w:szCs w:val="32"/>
          <w:highlight w:val="none"/>
          <w:lang w:val="en-US" w:eastAsia="zh-CN"/>
        </w:rPr>
        <w:t>78.74</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7.6</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eastAsia="zh-CN"/>
        </w:rPr>
        <w:t>：</w:t>
      </w:r>
      <w:r>
        <w:rPr>
          <w:rFonts w:hint="eastAsia" w:eastAsia="仿宋_GB2312" w:cs="仿宋_GB2312"/>
          <w:color w:val="auto"/>
          <w:kern w:val="2"/>
          <w:sz w:val="32"/>
          <w:szCs w:val="32"/>
          <w:highlight w:val="none"/>
          <w:lang w:val="en-US" w:eastAsia="zh-CN" w:bidi="ar-SA"/>
        </w:rPr>
        <w:t>本年度项目资金较上年增加。</w:t>
      </w:r>
    </w:p>
    <w:p w14:paraId="1C61C04B">
      <w:pPr>
        <w:spacing w:line="600" w:lineRule="exact"/>
        <w:ind w:firstLine="640"/>
        <w:rPr>
          <w:rFonts w:hint="eastAsia" w:ascii="仿宋" w:hAnsi="仿宋" w:eastAsia="仿宋"/>
          <w:b/>
          <w:color w:val="auto"/>
          <w:sz w:val="32"/>
          <w:szCs w:val="32"/>
          <w:highlight w:val="none"/>
          <w:lang w:eastAsia="zh-CN"/>
        </w:rPr>
      </w:pPr>
      <w:r>
        <w:rPr>
          <w:rFonts w:hint="eastAsia" w:ascii="仿宋_GB2312" w:eastAsia="仿宋_GB2312"/>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601980</wp:posOffset>
            </wp:positionH>
            <wp:positionV relativeFrom="page">
              <wp:posOffset>6341745</wp:posOffset>
            </wp:positionV>
            <wp:extent cx="4133215" cy="2693035"/>
            <wp:effectExtent l="4445" t="4445" r="15240" b="7620"/>
            <wp:wrapTight wrapText="bothSides">
              <wp:wrapPolygon>
                <wp:start x="-23" y="-36"/>
                <wp:lineTo x="-23" y="21508"/>
                <wp:lineTo x="21481" y="21508"/>
                <wp:lineTo x="21481" y="-36"/>
                <wp:lineTo x="-23" y="-36"/>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17D1A717">
      <w:pPr>
        <w:spacing w:line="600" w:lineRule="exact"/>
        <w:ind w:firstLine="640" w:firstLineChars="200"/>
        <w:outlineLvl w:val="1"/>
        <w:rPr>
          <w:rStyle w:val="17"/>
          <w:rFonts w:ascii="黑体" w:hAnsi="黑体" w:eastAsia="黑体"/>
          <w:b w:val="0"/>
          <w:color w:val="auto"/>
          <w:highlight w:val="none"/>
        </w:rPr>
      </w:pPr>
      <w:bookmarkStart w:id="16" w:name="_Toc2462"/>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17"/>
          <w:rFonts w:hint="eastAsia" w:ascii="黑体" w:hAnsi="黑体" w:eastAsia="黑体"/>
          <w:b w:val="0"/>
          <w:color w:val="auto"/>
          <w:highlight w:val="none"/>
        </w:rPr>
        <w:t>般公共预算财政拨款支出决算情况说明</w:t>
      </w:r>
      <w:bookmarkEnd w:id="16"/>
    </w:p>
    <w:p w14:paraId="25F7DDAD">
      <w:pPr>
        <w:spacing w:line="600" w:lineRule="exact"/>
        <w:ind w:firstLine="643" w:firstLineChars="20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（一）一般公共预算财政拨款支出决算总体情况</w:t>
      </w:r>
    </w:p>
    <w:p w14:paraId="6D929B24">
      <w:pPr>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1120</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增加</w:t>
      </w:r>
      <w:r>
        <w:rPr>
          <w:rFonts w:hint="eastAsia" w:ascii="仿宋" w:hAnsi="仿宋" w:eastAsia="仿宋"/>
          <w:color w:val="auto"/>
          <w:sz w:val="32"/>
          <w:szCs w:val="32"/>
          <w:highlight w:val="none"/>
          <w:lang w:val="en-US" w:eastAsia="zh-CN"/>
        </w:rPr>
        <w:t>78.74</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7.6</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p>
    <w:p w14:paraId="47974BC6">
      <w:pPr>
        <w:spacing w:line="600" w:lineRule="exact"/>
        <w:ind w:firstLine="640" w:firstLineChars="200"/>
        <w:rPr>
          <w:rFonts w:ascii="仿宋" w:hAnsi="仿宋" w:eastAsia="仿宋"/>
          <w:b/>
          <w:color w:val="auto"/>
          <w:sz w:val="32"/>
          <w:szCs w:val="32"/>
          <w:highlight w:val="none"/>
        </w:rPr>
      </w:pPr>
      <w:r>
        <w:rPr>
          <w:rFonts w:hint="eastAsia" w:ascii="仿宋" w:hAnsi="仿宋" w:eastAsia="仿宋"/>
          <w:color w:val="auto"/>
          <w:sz w:val="32"/>
          <w:szCs w:val="32"/>
          <w:highlight w:val="none"/>
          <w:lang w:eastAsia="zh-CN"/>
        </w:rPr>
        <w:drawing>
          <wp:anchor distT="0" distB="0" distL="114300" distR="114300" simplePos="0" relativeHeight="251663360" behindDoc="1" locked="0" layoutInCell="1" allowOverlap="1">
            <wp:simplePos x="0" y="0"/>
            <wp:positionH relativeFrom="column">
              <wp:posOffset>230505</wp:posOffset>
            </wp:positionH>
            <wp:positionV relativeFrom="page">
              <wp:posOffset>2499995</wp:posOffset>
            </wp:positionV>
            <wp:extent cx="5199380" cy="2865120"/>
            <wp:effectExtent l="4445" t="4445" r="73025" b="64135"/>
            <wp:wrapTight wrapText="bothSides">
              <wp:wrapPolygon>
                <wp:start x="-18" y="-34"/>
                <wp:lineTo x="-18" y="21509"/>
                <wp:lineTo x="21508" y="21509"/>
                <wp:lineTo x="21508" y="-34"/>
                <wp:lineTo x="-18" y="-34"/>
              </wp:wrapPolygon>
            </wp:wrapTight>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 w:hAnsi="仿宋" w:eastAsia="仿宋"/>
          <w:b/>
          <w:color w:val="auto"/>
          <w:sz w:val="32"/>
          <w:szCs w:val="32"/>
          <w:highlight w:val="none"/>
        </w:rPr>
        <w:t>（二）一般公共预算财政拨款支出决算结构情况</w:t>
      </w:r>
    </w:p>
    <w:p w14:paraId="16E28084">
      <w:pPr>
        <w:spacing w:line="600" w:lineRule="exact"/>
        <w:ind w:firstLine="640"/>
        <w:rPr>
          <w:rFonts w:hint="eastAsia" w:ascii="仿宋" w:hAnsi="仿宋" w:eastAsia="仿宋"/>
          <w:b/>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1120</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一般公共服务</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906.65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81</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106.99</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9.6</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olor w:val="auto"/>
          <w:sz w:val="32"/>
          <w:szCs w:val="32"/>
          <w:highlight w:val="none"/>
          <w:lang w:val="en-US" w:eastAsia="zh-CN"/>
        </w:rPr>
        <w:t>43.95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3.9</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olor w:val="auto"/>
          <w:sz w:val="32"/>
          <w:szCs w:val="32"/>
          <w:highlight w:val="none"/>
          <w:lang w:val="en-US" w:eastAsia="zh-CN"/>
        </w:rPr>
        <w:t>62.41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5.5</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52F157B3">
      <w:pPr>
        <w:spacing w:line="600" w:lineRule="exact"/>
        <w:ind w:firstLine="640" w:firstLineChars="200"/>
        <w:rPr>
          <w:rFonts w:hint="eastAsia" w:ascii="仿宋" w:hAnsi="仿宋" w:eastAsia="仿宋"/>
          <w:b/>
          <w:color w:val="auto"/>
          <w:sz w:val="32"/>
          <w:szCs w:val="32"/>
          <w:highlight w:val="none"/>
        </w:rPr>
      </w:pPr>
      <w:bookmarkStart w:id="38" w:name="_GoBack"/>
      <w:bookmarkEnd w:id="38"/>
      <w:r>
        <w:rPr>
          <w:rFonts w:hint="eastAsia" w:ascii="仿宋" w:hAnsi="仿宋" w:eastAsia="仿宋"/>
          <w:color w:val="auto"/>
          <w:sz w:val="32"/>
          <w:szCs w:val="32"/>
          <w:highlight w:val="none"/>
          <w:lang w:eastAsia="zh-CN"/>
        </w:rPr>
        <w:drawing>
          <wp:anchor distT="0" distB="0" distL="114300" distR="114300" simplePos="0" relativeHeight="251664384" behindDoc="1" locked="0" layoutInCell="1" allowOverlap="1">
            <wp:simplePos x="0" y="0"/>
            <wp:positionH relativeFrom="column">
              <wp:posOffset>335280</wp:posOffset>
            </wp:positionH>
            <wp:positionV relativeFrom="page">
              <wp:posOffset>7258050</wp:posOffset>
            </wp:positionV>
            <wp:extent cx="4496435" cy="2599690"/>
            <wp:effectExtent l="4445" t="4445" r="52070" b="43815"/>
            <wp:wrapTight wrapText="bothSides">
              <wp:wrapPolygon>
                <wp:start x="-21" y="-37"/>
                <wp:lineTo x="-21" y="21489"/>
                <wp:lineTo x="21576" y="21489"/>
                <wp:lineTo x="21576" y="-37"/>
                <wp:lineTo x="-21" y="-37"/>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70160641">
      <w:pPr>
        <w:spacing w:line="600" w:lineRule="exact"/>
        <w:ind w:firstLine="643"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（三）一般公共预算财政拨款支出决算具体情况</w:t>
      </w:r>
    </w:p>
    <w:p w14:paraId="5657DFA8">
      <w:pPr>
        <w:spacing w:line="600" w:lineRule="exact"/>
        <w:ind w:firstLine="643" w:firstLineChars="200"/>
        <w:outlineLvl w:val="2"/>
        <w:rPr>
          <w:rFonts w:ascii="仿宋" w:hAnsi="仿宋" w:eastAsia="仿宋"/>
          <w:color w:val="auto"/>
          <w:sz w:val="32"/>
          <w:szCs w:val="32"/>
          <w:highlight w:val="none"/>
        </w:rPr>
      </w:pPr>
      <w:r>
        <w:rPr>
          <w:rFonts w:hint="eastAsia" w:ascii="仿宋" w:hAnsi="仿宋" w:eastAsia="仿宋"/>
          <w:b/>
          <w:color w:val="auto"/>
          <w:sz w:val="32"/>
          <w:szCs w:val="32"/>
          <w:highlight w:val="none"/>
          <w:lang w:eastAsia="zh-CN"/>
        </w:rPr>
        <w:t>202</w:t>
      </w:r>
      <w:r>
        <w:rPr>
          <w:rFonts w:hint="eastAsia" w:ascii="仿宋" w:hAnsi="仿宋" w:eastAsia="仿宋"/>
          <w:b/>
          <w:color w:val="auto"/>
          <w:sz w:val="32"/>
          <w:szCs w:val="32"/>
          <w:highlight w:val="none"/>
          <w:lang w:val="en-US" w:eastAsia="zh-CN"/>
        </w:rPr>
        <w:t>5</w:t>
      </w:r>
      <w:r>
        <w:rPr>
          <w:rFonts w:hint="eastAsia" w:ascii="仿宋" w:hAnsi="仿宋" w:eastAsia="仿宋"/>
          <w:b/>
          <w:color w:val="auto"/>
          <w:sz w:val="32"/>
          <w:szCs w:val="32"/>
          <w:highlight w:val="none"/>
          <w:lang w:eastAsia="zh-CN"/>
        </w:rPr>
        <w:t>年度一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1120万元</w:t>
      </w:r>
      <w:r>
        <w:rPr>
          <w:rFonts w:hint="eastAsia" w:ascii="仿宋" w:hAnsi="仿宋" w:eastAsia="仿宋"/>
          <w:color w:val="auto"/>
          <w:sz w:val="32"/>
          <w:szCs w:val="32"/>
          <w:highlight w:val="none"/>
        </w:rPr>
        <w:t>，</w:t>
      </w:r>
      <w:r>
        <w:rPr>
          <w:rStyle w:val="15"/>
          <w:rFonts w:hint="eastAsia" w:ascii="仿宋" w:hAnsi="仿宋" w:eastAsia="仿宋"/>
          <w:bCs/>
          <w:color w:val="auto"/>
          <w:sz w:val="32"/>
          <w:szCs w:val="32"/>
          <w:highlight w:val="none"/>
        </w:rPr>
        <w:t>完成预算</w:t>
      </w:r>
      <w:r>
        <w:rPr>
          <w:rStyle w:val="15"/>
          <w:rFonts w:hint="eastAsia" w:ascii="仿宋" w:hAnsi="仿宋" w:eastAsia="仿宋"/>
          <w:bCs/>
          <w:color w:val="auto"/>
          <w:sz w:val="32"/>
          <w:szCs w:val="32"/>
          <w:highlight w:val="none"/>
          <w:lang w:val="en-US" w:eastAsia="zh-CN"/>
        </w:rPr>
        <w:t>100</w:t>
      </w:r>
      <w:r>
        <w:rPr>
          <w:rStyle w:val="15"/>
          <w:rFonts w:ascii="仿宋" w:hAnsi="仿宋" w:eastAsia="仿宋"/>
          <w:bCs/>
          <w:color w:val="auto"/>
          <w:sz w:val="32"/>
          <w:szCs w:val="32"/>
          <w:highlight w:val="none"/>
        </w:rPr>
        <w:t>%</w:t>
      </w:r>
      <w:r>
        <w:rPr>
          <w:rStyle w:val="15"/>
          <w:rFonts w:hint="eastAsia" w:ascii="仿宋" w:hAnsi="仿宋" w:eastAsia="仿宋"/>
          <w:bCs/>
          <w:color w:val="auto"/>
          <w:sz w:val="32"/>
          <w:szCs w:val="32"/>
          <w:highlight w:val="none"/>
        </w:rPr>
        <w:t>。其中：</w:t>
      </w:r>
    </w:p>
    <w:p w14:paraId="6E73D52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1.一般公共服务支出(类)政府办公厅(室)及相关机构事务（款）行政运行（项）:</w:t>
      </w:r>
      <w:r>
        <w:rPr>
          <w:rFonts w:hint="eastAsia" w:ascii="仿宋_GB2312" w:hAnsi="仿宋_GB2312" w:eastAsia="仿宋_GB2312" w:cs="仿宋_GB2312"/>
          <w:color w:val="auto"/>
          <w:kern w:val="2"/>
          <w:sz w:val="32"/>
          <w:szCs w:val="32"/>
          <w:highlight w:val="none"/>
          <w:lang w:val="en-US" w:eastAsia="zh-CN" w:bidi="ar-SA"/>
        </w:rPr>
        <w:t>支出决算714.20万元，完成预算100%，</w:t>
      </w:r>
      <w:r>
        <w:rPr>
          <w:rStyle w:val="15"/>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color w:val="auto"/>
          <w:kern w:val="2"/>
          <w:sz w:val="32"/>
          <w:szCs w:val="32"/>
          <w:highlight w:val="none"/>
          <w:lang w:val="en-US" w:eastAsia="zh-CN" w:bidi="ar-SA"/>
        </w:rPr>
        <w:t>。</w:t>
      </w:r>
    </w:p>
    <w:p w14:paraId="54B065D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2.一般公共服务支出(类)政府办公厅(室)及相关机构事务(款)其他政府办公厅(室)及相关机构事务支出(项):</w:t>
      </w:r>
      <w:r>
        <w:rPr>
          <w:rFonts w:hint="eastAsia" w:ascii="仿宋_GB2312" w:hAnsi="仿宋_GB2312" w:eastAsia="仿宋_GB2312" w:cs="仿宋_GB2312"/>
          <w:color w:val="auto"/>
          <w:kern w:val="2"/>
          <w:sz w:val="32"/>
          <w:szCs w:val="32"/>
          <w:highlight w:val="none"/>
          <w:lang w:val="en-US" w:eastAsia="zh-CN" w:bidi="ar-SA"/>
        </w:rPr>
        <w:t>支出决算192.44万元，完成预算100%，</w:t>
      </w:r>
      <w:r>
        <w:rPr>
          <w:rStyle w:val="15"/>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color w:val="auto"/>
          <w:kern w:val="2"/>
          <w:sz w:val="32"/>
          <w:szCs w:val="32"/>
          <w:highlight w:val="none"/>
          <w:lang w:val="en-US" w:eastAsia="zh-CN" w:bidi="ar-SA"/>
        </w:rPr>
        <w:t>。</w:t>
      </w:r>
    </w:p>
    <w:p w14:paraId="27D0B0F1">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3.社会保障和就业支出(类)行政事业单位养老支出(款)机关事业单位基本养老保险缴费支出(项):</w:t>
      </w:r>
      <w:r>
        <w:rPr>
          <w:rFonts w:hint="eastAsia" w:ascii="仿宋_GB2312" w:hAnsi="仿宋_GB2312" w:eastAsia="仿宋_GB2312" w:cs="仿宋_GB2312"/>
          <w:color w:val="auto"/>
          <w:kern w:val="2"/>
          <w:sz w:val="32"/>
          <w:szCs w:val="32"/>
          <w:highlight w:val="none"/>
          <w:lang w:val="en-US" w:eastAsia="zh-CN" w:bidi="ar-SA"/>
        </w:rPr>
        <w:t>支出决算71.33万元，完成预算100%，</w:t>
      </w:r>
      <w:r>
        <w:rPr>
          <w:rStyle w:val="15"/>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color w:val="auto"/>
          <w:kern w:val="2"/>
          <w:sz w:val="32"/>
          <w:szCs w:val="32"/>
          <w:highlight w:val="none"/>
          <w:lang w:val="en-US" w:eastAsia="zh-CN" w:bidi="ar-SA"/>
        </w:rPr>
        <w:t>。</w:t>
      </w:r>
    </w:p>
    <w:p w14:paraId="2A67FF7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4.社会保障和就业支出(类)行政事业单位养老支出(款)机关事业单位职业年金缴费支出(项):</w:t>
      </w:r>
      <w:r>
        <w:rPr>
          <w:rFonts w:hint="eastAsia" w:ascii="仿宋_GB2312" w:hAnsi="仿宋_GB2312" w:eastAsia="仿宋_GB2312" w:cs="仿宋_GB2312"/>
          <w:color w:val="auto"/>
          <w:kern w:val="2"/>
          <w:sz w:val="32"/>
          <w:szCs w:val="32"/>
          <w:highlight w:val="none"/>
          <w:lang w:val="en-US" w:eastAsia="zh-CN" w:bidi="ar-SA"/>
        </w:rPr>
        <w:t>支出决算35.66万元，完成预算100%，</w:t>
      </w:r>
      <w:r>
        <w:rPr>
          <w:rStyle w:val="15"/>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color w:val="auto"/>
          <w:kern w:val="2"/>
          <w:sz w:val="32"/>
          <w:szCs w:val="32"/>
          <w:highlight w:val="none"/>
          <w:lang w:val="en-US" w:eastAsia="zh-CN" w:bidi="ar-SA"/>
        </w:rPr>
        <w:t>。</w:t>
      </w:r>
    </w:p>
    <w:p w14:paraId="46B42D41">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5</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b/>
          <w:bCs/>
          <w:color w:val="auto"/>
          <w:sz w:val="32"/>
          <w:szCs w:val="32"/>
          <w:highlight w:val="none"/>
        </w:rPr>
        <w:t>卫生健康</w:t>
      </w:r>
      <w:r>
        <w:rPr>
          <w:rStyle w:val="15"/>
          <w:rFonts w:hint="eastAsia" w:ascii="仿宋_GB2312" w:hAnsi="仿宋_GB2312" w:eastAsia="仿宋_GB2312" w:cs="仿宋_GB2312"/>
          <w:bCs/>
          <w:color w:val="auto"/>
          <w:sz w:val="32"/>
          <w:szCs w:val="32"/>
          <w:highlight w:val="none"/>
        </w:rPr>
        <w:t>（</w:t>
      </w:r>
      <w:r>
        <w:rPr>
          <w:rStyle w:val="15"/>
          <w:rFonts w:hint="eastAsia" w:ascii="仿宋_GB2312" w:hAnsi="仿宋_GB2312" w:eastAsia="仿宋_GB2312" w:cs="仿宋_GB2312"/>
          <w:bCs/>
          <w:color w:val="auto"/>
          <w:sz w:val="32"/>
          <w:szCs w:val="32"/>
          <w:highlight w:val="none"/>
          <w:lang w:val="en-US" w:eastAsia="zh-CN"/>
        </w:rPr>
        <w:t>类</w:t>
      </w:r>
      <w:r>
        <w:rPr>
          <w:rStyle w:val="15"/>
          <w:rFonts w:hint="eastAsia" w:ascii="仿宋_GB2312" w:hAnsi="仿宋_GB2312" w:eastAsia="仿宋_GB2312" w:cs="仿宋_GB2312"/>
          <w:bCs/>
          <w:color w:val="auto"/>
          <w:sz w:val="32"/>
          <w:szCs w:val="32"/>
          <w:highlight w:val="none"/>
        </w:rPr>
        <w:t>）</w:t>
      </w:r>
      <w:r>
        <w:rPr>
          <w:rStyle w:val="15"/>
          <w:rFonts w:hint="eastAsia" w:ascii="仿宋_GB2312" w:hAnsi="仿宋_GB2312" w:eastAsia="仿宋_GB2312" w:cs="仿宋_GB2312"/>
          <w:bCs/>
          <w:color w:val="auto"/>
          <w:sz w:val="32"/>
          <w:szCs w:val="32"/>
          <w:highlight w:val="none"/>
          <w:lang w:eastAsia="zh-CN"/>
        </w:rPr>
        <w:t>行政事业单位医疗</w:t>
      </w:r>
      <w:r>
        <w:rPr>
          <w:rStyle w:val="15"/>
          <w:rFonts w:hint="eastAsia" w:ascii="仿宋_GB2312" w:hAnsi="仿宋_GB2312" w:eastAsia="仿宋_GB2312" w:cs="仿宋_GB2312"/>
          <w:bCs/>
          <w:color w:val="auto"/>
          <w:sz w:val="32"/>
          <w:szCs w:val="32"/>
          <w:highlight w:val="none"/>
        </w:rPr>
        <w:t>（</w:t>
      </w:r>
      <w:r>
        <w:rPr>
          <w:rStyle w:val="15"/>
          <w:rFonts w:hint="eastAsia" w:ascii="仿宋_GB2312" w:hAnsi="仿宋_GB2312" w:eastAsia="仿宋_GB2312" w:cs="仿宋_GB2312"/>
          <w:bCs/>
          <w:color w:val="auto"/>
          <w:sz w:val="32"/>
          <w:szCs w:val="32"/>
          <w:highlight w:val="none"/>
          <w:lang w:val="en-US" w:eastAsia="zh-CN"/>
        </w:rPr>
        <w:t>款</w:t>
      </w:r>
      <w:r>
        <w:rPr>
          <w:rStyle w:val="15"/>
          <w:rFonts w:hint="eastAsia" w:ascii="仿宋_GB2312" w:hAnsi="仿宋_GB2312" w:eastAsia="仿宋_GB2312" w:cs="仿宋_GB2312"/>
          <w:bCs/>
          <w:color w:val="auto"/>
          <w:sz w:val="32"/>
          <w:szCs w:val="32"/>
          <w:highlight w:val="none"/>
        </w:rPr>
        <w:t>）</w:t>
      </w:r>
      <w:r>
        <w:rPr>
          <w:rStyle w:val="15"/>
          <w:rFonts w:hint="eastAsia" w:ascii="仿宋_GB2312" w:hAnsi="仿宋_GB2312" w:eastAsia="仿宋_GB2312" w:cs="仿宋_GB2312"/>
          <w:bCs/>
          <w:color w:val="auto"/>
          <w:sz w:val="32"/>
          <w:szCs w:val="32"/>
          <w:highlight w:val="none"/>
          <w:lang w:eastAsia="zh-CN"/>
        </w:rPr>
        <w:t>行政单位医疗</w:t>
      </w:r>
      <w:r>
        <w:rPr>
          <w:rStyle w:val="15"/>
          <w:rFonts w:hint="eastAsia" w:ascii="仿宋_GB2312" w:hAnsi="仿宋_GB2312" w:eastAsia="仿宋_GB2312" w:cs="仿宋_GB2312"/>
          <w:bCs/>
          <w:color w:val="auto"/>
          <w:sz w:val="32"/>
          <w:szCs w:val="32"/>
          <w:highlight w:val="none"/>
        </w:rPr>
        <w:t>（</w:t>
      </w:r>
      <w:r>
        <w:rPr>
          <w:rStyle w:val="15"/>
          <w:rFonts w:hint="eastAsia" w:ascii="仿宋_GB2312" w:hAnsi="仿宋_GB2312" w:eastAsia="仿宋_GB2312" w:cs="仿宋_GB2312"/>
          <w:bCs/>
          <w:color w:val="auto"/>
          <w:sz w:val="32"/>
          <w:szCs w:val="32"/>
          <w:highlight w:val="none"/>
          <w:lang w:val="en-US" w:eastAsia="zh-CN"/>
        </w:rPr>
        <w:t>项</w:t>
      </w:r>
      <w:r>
        <w:rPr>
          <w:rStyle w:val="15"/>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color w:val="auto"/>
          <w:kern w:val="2"/>
          <w:sz w:val="32"/>
          <w:szCs w:val="32"/>
          <w:highlight w:val="none"/>
          <w:lang w:val="en-US" w:eastAsia="zh-CN" w:bidi="ar-SA"/>
        </w:rPr>
        <w:t>:支出决算43.95万元，完成预算100%，</w:t>
      </w:r>
      <w:r>
        <w:rPr>
          <w:rStyle w:val="15"/>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color w:val="auto"/>
          <w:kern w:val="2"/>
          <w:sz w:val="32"/>
          <w:szCs w:val="32"/>
          <w:highlight w:val="none"/>
          <w:lang w:val="en-US" w:eastAsia="zh-CN" w:bidi="ar-SA"/>
        </w:rPr>
        <w:t>。</w:t>
      </w:r>
    </w:p>
    <w:p w14:paraId="27C41994">
      <w:pPr>
        <w:spacing w:line="600" w:lineRule="exact"/>
        <w:ind w:firstLine="64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6.住房保障支出(类)住房改革支出(款)住房公积金(项):</w:t>
      </w:r>
      <w:r>
        <w:rPr>
          <w:rFonts w:hint="eastAsia" w:ascii="仿宋_GB2312" w:hAnsi="仿宋_GB2312" w:eastAsia="仿宋_GB2312" w:cs="仿宋_GB2312"/>
          <w:b w:val="0"/>
          <w:bCs w:val="0"/>
          <w:color w:val="auto"/>
          <w:kern w:val="2"/>
          <w:sz w:val="32"/>
          <w:szCs w:val="32"/>
          <w:highlight w:val="none"/>
          <w:lang w:val="en-US" w:eastAsia="zh-CN" w:bidi="ar-SA"/>
        </w:rPr>
        <w:t>支出决算61.41万元，完成预算100%，</w:t>
      </w:r>
      <w:r>
        <w:rPr>
          <w:rStyle w:val="15"/>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b w:val="0"/>
          <w:bCs w:val="0"/>
          <w:color w:val="auto"/>
          <w:kern w:val="2"/>
          <w:sz w:val="32"/>
          <w:szCs w:val="32"/>
          <w:highlight w:val="none"/>
          <w:lang w:val="en-US" w:eastAsia="zh-CN" w:bidi="ar-SA"/>
        </w:rPr>
        <w:t>。</w:t>
      </w:r>
    </w:p>
    <w:p w14:paraId="3975AC5F">
      <w:pPr>
        <w:spacing w:line="600" w:lineRule="exact"/>
        <w:ind w:firstLine="64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7.住房保障支出(类)住房改革支出(款)购房补贴(项):</w:t>
      </w:r>
      <w:r>
        <w:rPr>
          <w:rFonts w:hint="eastAsia" w:ascii="仿宋_GB2312" w:hAnsi="仿宋_GB2312" w:eastAsia="仿宋_GB2312" w:cs="仿宋_GB2312"/>
          <w:b w:val="0"/>
          <w:bCs w:val="0"/>
          <w:color w:val="auto"/>
          <w:kern w:val="2"/>
          <w:sz w:val="32"/>
          <w:szCs w:val="32"/>
          <w:highlight w:val="none"/>
          <w:lang w:val="en-US" w:eastAsia="zh-CN" w:bidi="ar-SA"/>
        </w:rPr>
        <w:t>支出决算1万元，完成预算100%，</w:t>
      </w:r>
      <w:r>
        <w:rPr>
          <w:rStyle w:val="15"/>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b w:val="0"/>
          <w:bCs w:val="0"/>
          <w:color w:val="auto"/>
          <w:kern w:val="2"/>
          <w:sz w:val="32"/>
          <w:szCs w:val="32"/>
          <w:highlight w:val="none"/>
          <w:lang w:val="en-US" w:eastAsia="zh-CN" w:bidi="ar-SA"/>
        </w:rPr>
        <w:t>。</w:t>
      </w:r>
    </w:p>
    <w:p w14:paraId="7D0E882F">
      <w:pPr>
        <w:tabs>
          <w:tab w:val="right" w:pos="8306"/>
        </w:tabs>
        <w:spacing w:line="600" w:lineRule="exact"/>
        <w:ind w:firstLine="640"/>
        <w:outlineLvl w:val="1"/>
        <w:rPr>
          <w:rStyle w:val="17"/>
          <w:color w:val="auto"/>
          <w:highlight w:val="none"/>
        </w:rPr>
      </w:pPr>
      <w:bookmarkStart w:id="17" w:name="_Toc17163"/>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17"/>
          <w:rFonts w:hint="eastAsia" w:ascii="黑体" w:hAnsi="黑体" w:eastAsia="黑体"/>
          <w:b w:val="0"/>
          <w:color w:val="auto"/>
          <w:highlight w:val="none"/>
        </w:rPr>
        <w:t>般公共预算财政拨款基本支出决算情况说明</w:t>
      </w:r>
      <w:bookmarkEnd w:id="17"/>
      <w:r>
        <w:rPr>
          <w:rStyle w:val="17"/>
          <w:rFonts w:ascii="黑体" w:hAnsi="黑体" w:eastAsia="黑体"/>
          <w:b w:val="0"/>
          <w:color w:val="auto"/>
          <w:highlight w:val="none"/>
        </w:rPr>
        <w:tab/>
      </w:r>
    </w:p>
    <w:p w14:paraId="06460127">
      <w:pPr>
        <w:spacing w:line="600" w:lineRule="exact"/>
        <w:ind w:firstLine="64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2025年度一般公共预算财政拨款基本支出927.56万元，其中：</w:t>
      </w:r>
    </w:p>
    <w:p w14:paraId="0EF306B7">
      <w:pPr>
        <w:spacing w:line="600" w:lineRule="exact"/>
        <w:ind w:firstLine="64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人员经费786.69万元，主要包括：基本工资、津贴补贴、奖金、机关事业单位基本养老保险缴费、职业年金缴费、</w:t>
      </w:r>
      <w:r>
        <w:rPr>
          <w:rFonts w:hint="eastAsia" w:ascii="仿宋_GB2312" w:hAnsi="仿宋_GB2312" w:eastAsia="仿宋_GB2312" w:cs="仿宋_GB2312"/>
          <w:color w:val="auto"/>
          <w:kern w:val="2"/>
          <w:sz w:val="32"/>
          <w:szCs w:val="32"/>
          <w:highlight w:val="none"/>
          <w:lang w:val="en-US" w:eastAsia="zh-CN" w:bidi="ar-SA"/>
        </w:rPr>
        <w:t>职工基本医疗保险缴费、</w:t>
      </w:r>
      <w:r>
        <w:rPr>
          <w:rFonts w:hint="eastAsia" w:ascii="仿宋_GB2312" w:hAnsi="仿宋_GB2312" w:eastAsia="仿宋_GB2312" w:cs="仿宋_GB2312"/>
          <w:b w:val="0"/>
          <w:bCs w:val="0"/>
          <w:color w:val="auto"/>
          <w:kern w:val="2"/>
          <w:sz w:val="32"/>
          <w:szCs w:val="32"/>
          <w:highlight w:val="none"/>
          <w:lang w:val="en-US" w:eastAsia="zh-CN" w:bidi="ar-SA"/>
        </w:rPr>
        <w:t>其他社会保障缴费、抚恤金、生活补助、医疗费、奖励金、住房公积金等。</w:t>
      </w:r>
      <w:r>
        <w:rPr>
          <w:rFonts w:hint="eastAsia" w:ascii="仿宋_GB2312" w:hAnsi="仿宋_GB2312" w:eastAsia="仿宋_GB2312" w:cs="仿宋_GB2312"/>
          <w:b w:val="0"/>
          <w:bCs w:val="0"/>
          <w:color w:val="auto"/>
          <w:kern w:val="2"/>
          <w:sz w:val="32"/>
          <w:szCs w:val="32"/>
          <w:highlight w:val="none"/>
          <w:lang w:val="en-US" w:eastAsia="zh-CN" w:bidi="ar-SA"/>
        </w:rPr>
        <w:br w:type="textWrapping"/>
      </w:r>
      <w:r>
        <w:rPr>
          <w:rFonts w:hint="eastAsia" w:ascii="仿宋_GB2312" w:hAnsi="仿宋_GB2312" w:eastAsia="仿宋_GB2312" w:cs="仿宋_GB2312"/>
          <w:b w:val="0"/>
          <w:bCs w:val="0"/>
          <w:color w:val="auto"/>
          <w:kern w:val="2"/>
          <w:sz w:val="32"/>
          <w:szCs w:val="32"/>
          <w:highlight w:val="none"/>
          <w:lang w:val="en-US" w:eastAsia="zh-CN" w:bidi="ar-SA"/>
        </w:rPr>
        <w:t>　　公用经费140.87万元，主要包括：办公费、邮电费、差旅费、维修（护）费、租赁费、培训费、劳务费、福利费、公务用车运行维护费、其他商品和服务支出等。</w:t>
      </w:r>
    </w:p>
    <w:p w14:paraId="14798B43">
      <w:pPr>
        <w:spacing w:line="600" w:lineRule="exact"/>
        <w:ind w:firstLine="640"/>
        <w:outlineLvl w:val="1"/>
        <w:rPr>
          <w:rStyle w:val="17"/>
          <w:rFonts w:ascii="黑体" w:hAnsi="黑体" w:eastAsia="黑体"/>
          <w:b w:val="0"/>
          <w:color w:val="auto"/>
          <w:highlight w:val="none"/>
        </w:rPr>
      </w:pPr>
      <w:bookmarkStart w:id="18" w:name="_Toc1162"/>
      <w:r>
        <w:rPr>
          <w:rFonts w:hint="eastAsia" w:ascii="黑体" w:eastAsia="黑体"/>
          <w:color w:val="auto"/>
          <w:sz w:val="32"/>
          <w:szCs w:val="32"/>
          <w:highlight w:val="none"/>
        </w:rPr>
        <w:t>七、</w:t>
      </w:r>
      <w:r>
        <w:rPr>
          <w:rStyle w:val="17"/>
          <w:rFonts w:hint="eastAsia" w:ascii="黑体" w:hAnsi="黑体" w:eastAsia="黑体"/>
          <w:b w:val="0"/>
          <w:color w:val="auto"/>
          <w:highlight w:val="none"/>
        </w:rPr>
        <w:t>财政拨款</w:t>
      </w:r>
      <w:r>
        <w:rPr>
          <w:rStyle w:val="17"/>
          <w:rFonts w:hint="eastAsia" w:ascii="黑体" w:hAnsi="黑体" w:eastAsia="黑体"/>
          <w:b w:val="0"/>
          <w:color w:val="auto"/>
          <w:highlight w:val="none"/>
          <w:lang w:eastAsia="zh-CN"/>
        </w:rPr>
        <w:t>“</w:t>
      </w:r>
      <w:r>
        <w:rPr>
          <w:rStyle w:val="17"/>
          <w:rFonts w:hint="eastAsia" w:ascii="黑体" w:hAnsi="黑体" w:eastAsia="黑体"/>
          <w:b w:val="0"/>
          <w:color w:val="auto"/>
          <w:highlight w:val="none"/>
        </w:rPr>
        <w:t>三公</w:t>
      </w:r>
      <w:r>
        <w:rPr>
          <w:rStyle w:val="17"/>
          <w:rFonts w:hint="eastAsia" w:ascii="黑体" w:hAnsi="黑体" w:eastAsia="黑体"/>
          <w:b w:val="0"/>
          <w:color w:val="auto"/>
          <w:highlight w:val="none"/>
          <w:lang w:eastAsia="zh-CN"/>
        </w:rPr>
        <w:t>”经</w:t>
      </w:r>
      <w:r>
        <w:rPr>
          <w:rStyle w:val="17"/>
          <w:rFonts w:hint="eastAsia" w:ascii="黑体" w:hAnsi="黑体" w:eastAsia="黑体"/>
          <w:b w:val="0"/>
          <w:color w:val="auto"/>
          <w:highlight w:val="none"/>
        </w:rPr>
        <w:t>费支出决算情况说明</w:t>
      </w:r>
      <w:bookmarkEnd w:id="18"/>
    </w:p>
    <w:p w14:paraId="188545EE">
      <w:pPr>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（一）“三公”经费财政拨款支出决算总体情况说明</w:t>
      </w:r>
    </w:p>
    <w:p w14:paraId="4D99B994">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139.51</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与上年度相比</w:t>
      </w:r>
      <w:r>
        <w:rPr>
          <w:rFonts w:hint="eastAsia" w:ascii="仿宋" w:hAnsi="仿宋" w:eastAsia="仿宋"/>
          <w:color w:val="auto"/>
          <w:sz w:val="32"/>
          <w:szCs w:val="32"/>
          <w:highlight w:val="none"/>
          <w:lang w:val="en-US" w:eastAsia="zh-CN"/>
        </w:rPr>
        <w:t>减少56.93万元，下降29%，</w:t>
      </w:r>
      <w:r>
        <w:rPr>
          <w:rFonts w:hint="eastAsia" w:ascii="Times New Roman" w:hAnsi="Times New Roman" w:eastAsia="仿宋_GB2312" w:cs="仿宋_GB2312"/>
          <w:color w:val="auto"/>
          <w:kern w:val="2"/>
          <w:sz w:val="32"/>
          <w:szCs w:val="32"/>
          <w:highlight w:val="none"/>
          <w:lang w:val="en-US" w:eastAsia="zh-CN" w:bidi="ar-SA"/>
        </w:rPr>
        <w:t>主要原因是：1.本年度无因公出国（境），2.加强公务用车管理，减少公</w:t>
      </w:r>
      <w:r>
        <w:rPr>
          <w:rFonts w:hint="default" w:ascii="Times New Roman" w:hAnsi="Times New Roman" w:eastAsia="仿宋_GB2312" w:cs="仿宋_GB2312"/>
          <w:color w:val="auto"/>
          <w:kern w:val="2"/>
          <w:sz w:val="32"/>
          <w:szCs w:val="32"/>
          <w:highlight w:val="none"/>
          <w:lang w:val="en-US" w:eastAsia="zh-CN" w:bidi="ar-SA"/>
        </w:rPr>
        <w:t>务用车运行维护费支出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olor w:val="auto"/>
          <w:sz w:val="32"/>
          <w:szCs w:val="32"/>
          <w:highlight w:val="none"/>
        </w:rPr>
        <w:t>决算数与预算数持平。</w:t>
      </w:r>
    </w:p>
    <w:p w14:paraId="310F8509">
      <w:pPr>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（二）“三公”经费财政拨款支出决算具体情况说明</w:t>
      </w:r>
    </w:p>
    <w:p w14:paraId="2E1D7B71">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139.51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4AE4F309">
      <w:pPr>
        <w:spacing w:line="600" w:lineRule="exact"/>
        <w:ind w:firstLine="640"/>
        <w:rPr>
          <w:rFonts w:ascii="仿宋_GB2312" w:eastAsia="仿宋_GB2312"/>
          <w:color w:val="auto"/>
          <w:sz w:val="32"/>
          <w:szCs w:val="32"/>
          <w:highlight w:val="none"/>
        </w:rPr>
      </w:pPr>
      <w:r>
        <w:rPr>
          <w:rFonts w:ascii="仿宋_GB2312" w:eastAsia="仿宋_GB2312"/>
          <w:b/>
          <w:color w:val="auto"/>
          <w:sz w:val="32"/>
          <w:szCs w:val="32"/>
          <w:highlight w:val="none"/>
        </w:rPr>
        <w:drawing>
          <wp:anchor distT="0" distB="0" distL="114300" distR="114300" simplePos="0" relativeHeight="251665408" behindDoc="1" locked="0" layoutInCell="1" allowOverlap="1">
            <wp:simplePos x="0" y="0"/>
            <wp:positionH relativeFrom="column">
              <wp:posOffset>316230</wp:posOffset>
            </wp:positionH>
            <wp:positionV relativeFrom="page">
              <wp:posOffset>193675</wp:posOffset>
            </wp:positionV>
            <wp:extent cx="5142230" cy="2761615"/>
            <wp:effectExtent l="4445" t="4445" r="15875" b="15240"/>
            <wp:wrapTight wrapText="bothSides">
              <wp:wrapPolygon>
                <wp:start x="-19" y="-35"/>
                <wp:lineTo x="-19" y="21421"/>
                <wp:lineTo x="21507" y="21421"/>
                <wp:lineTo x="21507" y="-35"/>
                <wp:lineTo x="-19" y="-35"/>
              </wp:wrapPolygon>
            </wp:wrapTight>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Times New Roman" w:hAnsi="Times New Roman" w:eastAsia="仿宋_GB2312" w:cs="仿宋_GB2312"/>
          <w:color w:val="auto"/>
          <w:kern w:val="2"/>
          <w:sz w:val="32"/>
          <w:szCs w:val="32"/>
          <w:highlight w:val="none"/>
          <w:lang w:val="en-US" w:eastAsia="zh-CN" w:bidi="ar-SA"/>
        </w:rPr>
        <w:t>。因公出国（境）支出决算与上年度相比减少</w:t>
      </w:r>
      <w:r>
        <w:rPr>
          <w:rFonts w:hint="eastAsia" w:eastAsia="仿宋_GB2312" w:cs="仿宋_GB2312"/>
          <w:color w:val="auto"/>
          <w:kern w:val="2"/>
          <w:sz w:val="32"/>
          <w:szCs w:val="32"/>
          <w:highlight w:val="none"/>
          <w:lang w:val="en-US" w:eastAsia="zh-CN" w:bidi="ar-SA"/>
        </w:rPr>
        <w:t>9.98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：本年度无因公出国（境）。</w:t>
      </w:r>
    </w:p>
    <w:p w14:paraId="6FE7DAFB">
      <w:pPr>
        <w:keepNext w:val="0"/>
        <w:keepLines w:val="0"/>
        <w:widowControl/>
        <w:suppressLineNumbers w:val="0"/>
        <w:ind w:firstLine="643"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139.51</w:t>
      </w:r>
      <w:r>
        <w:rPr>
          <w:rFonts w:hint="eastAsia" w:ascii="仿宋_GB2312" w:eastAsia="仿宋_GB2312"/>
          <w:color w:val="auto"/>
          <w:sz w:val="32"/>
          <w:szCs w:val="32"/>
          <w:highlight w:val="none"/>
        </w:rPr>
        <w:t>万元,</w:t>
      </w:r>
      <w:r>
        <w:rPr>
          <w:rStyle w:val="15"/>
          <w:rFonts w:hint="eastAsia" w:ascii="仿宋" w:hAnsi="仿宋" w:eastAsia="仿宋"/>
          <w:b w:val="0"/>
          <w:bCs/>
          <w:color w:val="auto"/>
          <w:sz w:val="32"/>
          <w:szCs w:val="32"/>
          <w:highlight w:val="none"/>
        </w:rPr>
        <w:t>完成预算</w:t>
      </w:r>
      <w:r>
        <w:rPr>
          <w:rStyle w:val="15"/>
          <w:rFonts w:hint="eastAsia" w:ascii="仿宋" w:hAnsi="仿宋" w:eastAsia="仿宋"/>
          <w:b w:val="0"/>
          <w:bCs/>
          <w:color w:val="auto"/>
          <w:sz w:val="32"/>
          <w:szCs w:val="32"/>
          <w:highlight w:val="none"/>
          <w:lang w:val="en-US" w:eastAsia="zh-CN"/>
        </w:rPr>
        <w:t>100</w:t>
      </w:r>
      <w:r>
        <w:rPr>
          <w:rStyle w:val="15"/>
          <w:rFonts w:ascii="仿宋" w:hAnsi="仿宋" w:eastAsia="仿宋"/>
          <w:b w:val="0"/>
          <w:bCs/>
          <w:color w:val="auto"/>
          <w:sz w:val="32"/>
          <w:szCs w:val="32"/>
          <w:highlight w:val="none"/>
        </w:rPr>
        <w:t>%</w:t>
      </w:r>
      <w:r>
        <w:rPr>
          <w:rStyle w:val="15"/>
          <w:rFonts w:hint="eastAsia" w:ascii="仿宋" w:hAnsi="仿宋" w:eastAsia="仿宋"/>
          <w:b w:val="0"/>
          <w:bCs/>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公务用车购置及运行维护费支出决算与上年度相比减少</w:t>
      </w:r>
      <w:r>
        <w:rPr>
          <w:rFonts w:hint="eastAsia" w:eastAsia="仿宋_GB2312" w:cs="仿宋_GB2312"/>
          <w:color w:val="auto"/>
          <w:kern w:val="2"/>
          <w:sz w:val="32"/>
          <w:szCs w:val="32"/>
          <w:highlight w:val="none"/>
          <w:lang w:val="en-US" w:eastAsia="zh-CN" w:bidi="ar-SA"/>
        </w:rPr>
        <w:t>46.76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25.1</w:t>
      </w:r>
      <w:r>
        <w:rPr>
          <w:rFonts w:hint="eastAsia" w:ascii="Times New Roman" w:hAnsi="Times New Roman" w:eastAsia="仿宋_GB2312" w:cs="仿宋_GB2312"/>
          <w:color w:val="auto"/>
          <w:kern w:val="2"/>
          <w:sz w:val="32"/>
          <w:szCs w:val="32"/>
          <w:highlight w:val="none"/>
          <w:lang w:val="en-US" w:eastAsia="zh-CN" w:bidi="ar-SA"/>
        </w:rPr>
        <w:t>%。主要原因是：加强公务用车管理，减少公</w:t>
      </w:r>
      <w:r>
        <w:rPr>
          <w:rFonts w:hint="default" w:ascii="Times New Roman" w:hAnsi="Times New Roman" w:eastAsia="仿宋_GB2312" w:cs="仿宋_GB2312"/>
          <w:color w:val="auto"/>
          <w:kern w:val="2"/>
          <w:sz w:val="32"/>
          <w:szCs w:val="32"/>
          <w:highlight w:val="none"/>
          <w:lang w:val="en-US" w:eastAsia="zh-CN" w:bidi="ar-SA"/>
        </w:rPr>
        <w:t>务用车运行维护费支出</w:t>
      </w:r>
      <w:r>
        <w:rPr>
          <w:rFonts w:hint="eastAsia" w:ascii="Times New Roman" w:hAnsi="Times New Roman" w:eastAsia="仿宋_GB2312" w:cs="仿宋_GB2312"/>
          <w:color w:val="auto"/>
          <w:kern w:val="2"/>
          <w:sz w:val="32"/>
          <w:szCs w:val="32"/>
          <w:highlight w:val="none"/>
          <w:lang w:val="en-US" w:eastAsia="zh-CN" w:bidi="ar-SA"/>
        </w:rPr>
        <w:t>。</w:t>
      </w:r>
    </w:p>
    <w:p w14:paraId="0D35BE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辆。</w:t>
      </w:r>
    </w:p>
    <w:p w14:paraId="07EDBF5C">
      <w:pPr>
        <w:keepNext w:val="0"/>
        <w:keepLines w:val="0"/>
        <w:widowControl/>
        <w:suppressLineNumbers w:val="0"/>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公务用车运行维护费支出139.51万元。主要用于省州重点项目督查督导</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防汛减灾</w:t>
      </w:r>
      <w:r>
        <w:rPr>
          <w:rFonts w:hint="default" w:ascii="Times New Roman" w:hAnsi="Times New Roman" w:eastAsia="仿宋_GB2312" w:cs="仿宋_GB2312"/>
          <w:color w:val="auto"/>
          <w:kern w:val="2"/>
          <w:sz w:val="32"/>
          <w:szCs w:val="32"/>
          <w:highlight w:val="none"/>
          <w:lang w:val="en-US" w:eastAsia="zh-CN" w:bidi="ar-SA"/>
        </w:rPr>
        <w:t>应急处突及</w:t>
      </w:r>
      <w:r>
        <w:rPr>
          <w:rFonts w:hint="eastAsia" w:ascii="Times New Roman" w:hAnsi="Times New Roman" w:eastAsia="仿宋_GB2312" w:cs="仿宋_GB2312"/>
          <w:color w:val="auto"/>
          <w:kern w:val="2"/>
          <w:sz w:val="32"/>
          <w:szCs w:val="32"/>
          <w:highlight w:val="none"/>
          <w:lang w:val="en-US" w:eastAsia="zh-CN" w:bidi="ar-SA"/>
        </w:rPr>
        <w:t>县</w:t>
      </w:r>
      <w:r>
        <w:rPr>
          <w:rFonts w:hint="default" w:ascii="Times New Roman" w:hAnsi="Times New Roman" w:eastAsia="仿宋_GB2312" w:cs="仿宋_GB2312"/>
          <w:color w:val="auto"/>
          <w:kern w:val="2"/>
          <w:sz w:val="32"/>
          <w:szCs w:val="32"/>
          <w:highlight w:val="none"/>
          <w:lang w:val="en-US" w:eastAsia="zh-CN" w:bidi="ar-SA"/>
        </w:rPr>
        <w:t>政府办日常工作等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754501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19" w:name="_Toc26534"/>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公务接待费支出决算与上年度相比减少</w:t>
      </w:r>
      <w:r>
        <w:rPr>
          <w:rFonts w:hint="eastAsia" w:eastAsia="仿宋_GB2312" w:cs="仿宋_GB2312"/>
          <w:color w:val="auto"/>
          <w:kern w:val="2"/>
          <w:sz w:val="32"/>
          <w:szCs w:val="32"/>
          <w:highlight w:val="none"/>
          <w:lang w:val="en-US" w:eastAsia="zh-CN" w:bidi="ar-SA"/>
        </w:rPr>
        <w:t>0.19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：本年度未产生公务接待费。</w:t>
      </w:r>
    </w:p>
    <w:p w14:paraId="27BC19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71533D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5C2B6A01">
      <w:pPr>
        <w:spacing w:line="600" w:lineRule="exact"/>
        <w:ind w:firstLine="640"/>
        <w:outlineLvl w:val="1"/>
        <w:rPr>
          <w:rStyle w:val="17"/>
          <w:rFonts w:ascii="黑体" w:hAnsi="黑体" w:eastAsia="黑体"/>
          <w:color w:val="auto"/>
          <w:highlight w:val="none"/>
        </w:rPr>
      </w:pPr>
      <w:r>
        <w:rPr>
          <w:rFonts w:hint="eastAsia" w:ascii="黑体" w:eastAsia="黑体"/>
          <w:color w:val="auto"/>
          <w:sz w:val="32"/>
          <w:szCs w:val="32"/>
          <w:highlight w:val="none"/>
        </w:rPr>
        <w:t>八、</w:t>
      </w:r>
      <w:r>
        <w:rPr>
          <w:rStyle w:val="17"/>
          <w:rFonts w:hint="eastAsia" w:ascii="黑体" w:hAnsi="黑体" w:eastAsia="黑体"/>
          <w:b w:val="0"/>
          <w:color w:val="auto"/>
          <w:highlight w:val="none"/>
        </w:rPr>
        <w:t>政府性基金预算支出决算情况说明</w:t>
      </w:r>
      <w:bookmarkEnd w:id="19"/>
    </w:p>
    <w:p w14:paraId="40D31E51">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59FCCB6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7"/>
          <w:rFonts w:ascii="黑体" w:hAnsi="黑体" w:eastAsia="黑体"/>
          <w:b w:val="0"/>
          <w:color w:val="auto"/>
          <w:highlight w:val="none"/>
        </w:rPr>
      </w:pPr>
      <w:bookmarkStart w:id="20" w:name="_Toc13493"/>
      <w:r>
        <w:rPr>
          <w:rStyle w:val="17"/>
          <w:rFonts w:hint="eastAsia" w:ascii="黑体" w:hAnsi="黑体" w:eastAsia="黑体"/>
          <w:b w:val="0"/>
          <w:color w:val="auto"/>
          <w:highlight w:val="none"/>
          <w:lang w:eastAsia="zh-CN"/>
        </w:rPr>
        <w:t>九、</w:t>
      </w:r>
      <w:r>
        <w:rPr>
          <w:rStyle w:val="17"/>
          <w:rFonts w:hint="eastAsia" w:ascii="黑体" w:hAnsi="黑体" w:eastAsia="黑体"/>
          <w:b w:val="0"/>
          <w:color w:val="auto"/>
          <w:highlight w:val="none"/>
        </w:rPr>
        <w:t>国有资本经营预算支出决算情况说明</w:t>
      </w:r>
      <w:bookmarkEnd w:id="20"/>
    </w:p>
    <w:p w14:paraId="7B988625">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14443FB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7"/>
          <w:rFonts w:hint="eastAsia" w:ascii="黑体" w:hAnsi="黑体" w:eastAsia="黑体"/>
          <w:b w:val="0"/>
          <w:color w:val="auto"/>
          <w:highlight w:val="none"/>
        </w:rPr>
      </w:pPr>
      <w:bookmarkStart w:id="21" w:name="_Toc25295"/>
      <w:r>
        <w:rPr>
          <w:rStyle w:val="17"/>
          <w:rFonts w:hint="eastAsia" w:ascii="黑体" w:hAnsi="黑体" w:eastAsia="黑体"/>
          <w:b w:val="0"/>
          <w:color w:val="auto"/>
          <w:highlight w:val="none"/>
          <w:lang w:eastAsia="zh-CN"/>
        </w:rPr>
        <w:t>十、</w:t>
      </w:r>
      <w:r>
        <w:rPr>
          <w:rStyle w:val="17"/>
          <w:rFonts w:hint="eastAsia" w:ascii="黑体" w:hAnsi="黑体" w:eastAsia="黑体"/>
          <w:b w:val="0"/>
          <w:color w:val="auto"/>
          <w:highlight w:val="none"/>
        </w:rPr>
        <w:t>其他重要事项的情况说明</w:t>
      </w:r>
      <w:bookmarkEnd w:id="21"/>
    </w:p>
    <w:p w14:paraId="4083ABD8">
      <w:pPr>
        <w:spacing w:line="600" w:lineRule="exact"/>
        <w:ind w:firstLine="643" w:firstLineChars="200"/>
        <w:outlineLvl w:val="2"/>
        <w:rPr>
          <w:rFonts w:ascii="仿宋" w:hAnsi="仿宋" w:eastAsia="仿宋"/>
          <w:color w:val="auto"/>
          <w:sz w:val="32"/>
          <w:szCs w:val="32"/>
          <w:highlight w:val="none"/>
        </w:rPr>
      </w:pPr>
      <w:r>
        <w:rPr>
          <w:rFonts w:hint="eastAsia" w:ascii="仿宋" w:hAnsi="仿宋" w:eastAsia="仿宋"/>
          <w:b/>
          <w:color w:val="auto"/>
          <w:sz w:val="32"/>
          <w:szCs w:val="32"/>
          <w:highlight w:val="none"/>
        </w:rPr>
        <w:t>（一）机关运行经费支出情况</w:t>
      </w:r>
    </w:p>
    <w:p w14:paraId="053620B7">
      <w:pPr>
        <w:spacing w:line="600" w:lineRule="exact"/>
        <w:ind w:firstLine="640" w:firstLineChars="200"/>
        <w:rPr>
          <w:rFonts w:ascii="仿宋" w:hAnsi="仿宋" w:eastAsia="仿宋"/>
          <w:b/>
          <w:color w:val="auto"/>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茂县人民政府办公室</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140.87</w:t>
      </w:r>
      <w:r>
        <w:rPr>
          <w:rFonts w:hint="eastAsia" w:ascii="Times New Roman" w:hAnsi="Times New Roman" w:eastAsia="仿宋_GB2312" w:cs="仿宋_GB2312"/>
          <w:color w:val="auto"/>
          <w:kern w:val="2"/>
          <w:sz w:val="32"/>
          <w:szCs w:val="32"/>
          <w:highlight w:val="none"/>
          <w:lang w:val="en-US" w:eastAsia="zh-CN" w:bidi="ar-SA"/>
        </w:rPr>
        <w:t>万元，与上年度相比减少</w:t>
      </w:r>
      <w:r>
        <w:rPr>
          <w:rFonts w:hint="eastAsia" w:eastAsia="仿宋_GB2312" w:cs="仿宋_GB2312"/>
          <w:color w:val="auto"/>
          <w:kern w:val="2"/>
          <w:sz w:val="32"/>
          <w:szCs w:val="32"/>
          <w:highlight w:val="none"/>
          <w:lang w:val="en-US" w:eastAsia="zh-CN" w:bidi="ar-SA"/>
        </w:rPr>
        <w:t>7.21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：本年度无</w:t>
      </w:r>
      <w:r>
        <w:rPr>
          <w:rFonts w:hint="eastAsia" w:ascii="Times New Roman" w:hAnsi="Times New Roman" w:eastAsia="仿宋_GB2312" w:cs="仿宋_GB2312"/>
          <w:color w:val="auto"/>
          <w:kern w:val="2"/>
          <w:sz w:val="32"/>
          <w:szCs w:val="32"/>
          <w:highlight w:val="none"/>
          <w:lang w:val="en-US" w:eastAsia="zh-CN" w:bidi="ar-SA"/>
        </w:rPr>
        <w:t>因公出国（境），相关费用减少。</w:t>
      </w:r>
    </w:p>
    <w:p w14:paraId="4D6474B1">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（二）政府采购支出情况</w:t>
      </w:r>
    </w:p>
    <w:p w14:paraId="02C80371">
      <w:pPr>
        <w:numPr>
          <w:ilvl w:val="0"/>
          <w:numId w:val="0"/>
        </w:numPr>
        <w:spacing w:line="600" w:lineRule="exact"/>
        <w:ind w:firstLine="640" w:firstLineChars="200"/>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2025年度，茂县人民政府办公室政府采购支出总额143.36万元，其中：政府采购服务支出143.36万元。该资金为非财政拨款收入，主要用于全县电子政务外网运行维护服务费。</w:t>
      </w:r>
    </w:p>
    <w:p w14:paraId="3EEB4219">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（三）国有资产占有使用情况</w:t>
      </w:r>
    </w:p>
    <w:p w14:paraId="5A7704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b w:val="0"/>
          <w:bCs w:val="0"/>
          <w:color w:val="auto"/>
          <w:kern w:val="2"/>
          <w:sz w:val="32"/>
          <w:szCs w:val="32"/>
          <w:highlight w:val="none"/>
          <w:lang w:val="en-US" w:eastAsia="zh-CN" w:bidi="ar-SA"/>
        </w:rPr>
        <w:t>茂县人民政府办公室</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辆，其中：应急保障用车</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50</w:t>
      </w:r>
      <w:r>
        <w:rPr>
          <w:rFonts w:hint="eastAsia" w:ascii="仿宋_GB2312" w:eastAsia="仿宋_GB2312"/>
          <w:color w:val="auto"/>
          <w:sz w:val="32"/>
          <w:szCs w:val="32"/>
          <w:highlight w:val="none"/>
        </w:rPr>
        <w:t>万元以上通用设备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0F0E0162">
      <w:pPr>
        <w:autoSpaceDE w:val="0"/>
        <w:autoSpaceDN w:val="0"/>
        <w:adjustRightInd w:val="0"/>
        <w:spacing w:line="600" w:lineRule="exact"/>
        <w:ind w:firstLine="643" w:firstLineChars="200"/>
        <w:jc w:val="left"/>
        <w:outlineLvl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（四）预算绩效管理情况</w:t>
      </w:r>
    </w:p>
    <w:p w14:paraId="1FD9C881">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茂县人民政府办公室</w:t>
      </w:r>
      <w:r>
        <w:rPr>
          <w:rFonts w:hint="eastAsia" w:ascii="Times New Roman" w:hAnsi="Times New Roman" w:eastAsia="仿宋_GB2312" w:cs="仿宋_GB2312"/>
          <w:color w:val="auto"/>
          <w:kern w:val="2"/>
          <w:sz w:val="32"/>
          <w:szCs w:val="32"/>
          <w:highlight w:val="none"/>
          <w:lang w:val="en-US" w:eastAsia="zh-CN" w:bidi="ar-SA"/>
        </w:rPr>
        <w:t>在2025年度，组织对全县电子政务外网运行维护服务费</w:t>
      </w:r>
      <w:r>
        <w:rPr>
          <w:rFonts w:hint="eastAsia" w:eastAsia="仿宋_GB2312" w:cs="仿宋_GB2312"/>
          <w:color w:val="auto"/>
          <w:kern w:val="2"/>
          <w:sz w:val="32"/>
          <w:szCs w:val="32"/>
          <w:highlight w:val="none"/>
          <w:lang w:val="en-US" w:eastAsia="zh-CN" w:bidi="ar-SA"/>
        </w:rPr>
        <w:t>、2024年重点工作保障经费、无纸化会议系统服务费、2025年重点工作经费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个项目涉开展了事前绩效评估，对</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个项目编制了绩效目标，预算执行过程中，选取全县电子政务外网运行维护服务费、2024年重点工作保障经费、无纸化会议系统服务费、2025年重点工作经费</w:t>
      </w:r>
      <w:r>
        <w:rPr>
          <w:rFonts w:hint="eastAsia" w:eastAsia="仿宋_GB2312" w:cs="仿宋_GB2312"/>
          <w:color w:val="auto"/>
          <w:kern w:val="2"/>
          <w:sz w:val="32"/>
          <w:szCs w:val="32"/>
          <w:highlight w:val="none"/>
          <w:lang w:val="en-US" w:eastAsia="zh-CN" w:bidi="ar-SA"/>
        </w:rPr>
        <w:t>等4</w:t>
      </w:r>
      <w:r>
        <w:rPr>
          <w:rFonts w:hint="eastAsia" w:ascii="Times New Roman" w:hAnsi="Times New Roman" w:eastAsia="仿宋_GB2312" w:cs="仿宋_GB2312"/>
          <w:color w:val="auto"/>
          <w:kern w:val="2"/>
          <w:sz w:val="32"/>
          <w:szCs w:val="32"/>
          <w:highlight w:val="none"/>
          <w:lang w:val="en-US" w:eastAsia="zh-CN" w:bidi="ar-SA"/>
        </w:rPr>
        <w:t>个项目开展绩效监控。</w:t>
      </w:r>
      <w:r>
        <w:rPr>
          <w:rFonts w:hint="default" w:ascii="Times New Roman" w:hAnsi="Times New Roman" w:eastAsia="仿宋_GB2312" w:cs="Times New Roman"/>
          <w:color w:val="auto"/>
          <w:sz w:val="32"/>
          <w:szCs w:val="32"/>
          <w:highlight w:val="none"/>
          <w:lang w:eastAsia="zh-CN"/>
        </w:rPr>
        <w:t>组织对</w:t>
      </w:r>
      <w:r>
        <w:rPr>
          <w:rFonts w:hint="default" w:ascii="Times New Roman" w:hAnsi="Times New Roman" w:eastAsia="仿宋_GB2312" w:cs="Times New Roman"/>
          <w:color w:val="auto"/>
          <w:sz w:val="32"/>
          <w:szCs w:val="32"/>
          <w:highlight w:val="none"/>
          <w:lang w:val="en-US" w:eastAsia="zh-CN"/>
        </w:rPr>
        <w:t>4个项目开展绩效自评，绩效自评表详见第四部分附件。</w:t>
      </w:r>
      <w:r>
        <w:rPr>
          <w:rFonts w:hint="eastAsia" w:ascii="仿宋_GB2312" w:hAnsi="Times New Roman" w:eastAsia="仿宋_GB2312" w:cs="Times New Roman"/>
          <w:color w:val="auto"/>
          <w:sz w:val="32"/>
          <w:szCs w:val="32"/>
          <w:highlight w:val="none"/>
          <w:lang w:eastAsia="zh-CN"/>
        </w:rPr>
        <w:br w:type="page"/>
      </w:r>
    </w:p>
    <w:p w14:paraId="622D67CC">
      <w:pPr>
        <w:pStyle w:val="21"/>
        <w:numPr>
          <w:ilvl w:val="0"/>
          <w:numId w:val="0"/>
        </w:numPr>
        <w:spacing w:line="600" w:lineRule="exact"/>
        <w:ind w:left="640" w:leftChars="0"/>
        <w:jc w:val="center"/>
        <w:outlineLvl w:val="1"/>
        <w:rPr>
          <w:rFonts w:hint="eastAsia" w:ascii="方正小标宋简体" w:hAnsi="方正小标宋简体" w:eastAsia="方正小标宋简体" w:cs="方正小标宋简体"/>
          <w:color w:val="auto"/>
          <w:sz w:val="44"/>
          <w:szCs w:val="44"/>
          <w:highlight w:val="none"/>
          <w:lang w:eastAsia="zh-CN"/>
        </w:rPr>
      </w:pPr>
      <w:bookmarkStart w:id="22" w:name="_Toc28513"/>
      <w:r>
        <w:rPr>
          <w:rFonts w:hint="eastAsia" w:ascii="方正小标宋简体" w:hAnsi="方正小标宋简体" w:eastAsia="方正小标宋简体" w:cs="方正小标宋简体"/>
          <w:color w:val="auto"/>
          <w:sz w:val="44"/>
          <w:szCs w:val="44"/>
          <w:highlight w:val="none"/>
          <w:lang w:eastAsia="zh-CN"/>
        </w:rPr>
        <w:t>第三部分</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lang w:eastAsia="zh-CN"/>
        </w:rPr>
        <w:t>名词解释</w:t>
      </w:r>
      <w:bookmarkEnd w:id="22"/>
    </w:p>
    <w:p w14:paraId="12BE69AE">
      <w:pPr>
        <w:pStyle w:val="21"/>
        <w:numPr>
          <w:ilvl w:val="0"/>
          <w:numId w:val="0"/>
        </w:numPr>
        <w:spacing w:line="600" w:lineRule="exact"/>
        <w:ind w:left="640" w:leftChars="0"/>
        <w:jc w:val="center"/>
        <w:outlineLvl w:val="1"/>
        <w:rPr>
          <w:rFonts w:hint="eastAsia" w:ascii="方正小标宋简体" w:hAnsi="方正小标宋简体" w:eastAsia="方正小标宋简体" w:cs="方正小标宋简体"/>
          <w:color w:val="auto"/>
          <w:sz w:val="44"/>
          <w:szCs w:val="44"/>
          <w:highlight w:val="none"/>
          <w:lang w:val="en-US" w:eastAsia="zh-CN"/>
        </w:rPr>
      </w:pPr>
    </w:p>
    <w:p w14:paraId="48EF64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A499E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1C7D38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1E9CD0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005881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2354A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69BC18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AC73A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3AEB0E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9.一般公共服务支出（类）政府办公厅（室）及相关机构事务（款）行政运行（项）：反映行政单位（包括实行公务员管理的事业单位）的基本支出。</w:t>
      </w:r>
    </w:p>
    <w:p w14:paraId="06A8F0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10.一般公共服务支出（类）政府办公厅（室）及相关机构事务（款）其他政府办公厅（室）及相关机构事务支出（项）：反映除上述项目以外的其他政府办公厅（室）及相关机构事务支岀。</w:t>
      </w:r>
    </w:p>
    <w:p w14:paraId="6C27CE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11.社会保障和就业支出（类）行政事业单位养老支出（款）机关事业单位基本养老保险缴费支出（项）：反映机关事业单位实施养老保险制度由单位缴纳的基本养老保险费支出。</w:t>
      </w:r>
    </w:p>
    <w:p w14:paraId="589F80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12.社会保障和就业支出（类）行政事业单位养老支出（款）机关事业单位职业年金缴费支出（项）：反映机关事业单位实施养老保险制度由单位实际缴纳的职业年金支出。</w:t>
      </w:r>
    </w:p>
    <w:p w14:paraId="6B5549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14:paraId="1C0860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14.农林水支出（类）扶贫（款）其他扶贫支出（项）：反映除上述项目以外其他用于扶贫方面的支出。</w:t>
      </w:r>
    </w:p>
    <w:p w14:paraId="516EB2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15.住房保障支出（类）住房改革支出（款）住房公积金（项）：反映行政事业单位按人力资源和社会保障部、财政部规定的基本工资和津贴补贴以及规定比例为职工缴纳的住房公积金。</w:t>
      </w:r>
    </w:p>
    <w:p w14:paraId="761EF4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16.住房保障支出（类）住房改革支出（款）购房补贴（项）：反映按房改政策规定，行政事业单位向符合条件职工（含离退休人员）、军队（含武警）向转役复员离退休人员发放的用于购买住房的补贴。</w:t>
      </w:r>
    </w:p>
    <w:p w14:paraId="52EC2A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7.基本支出：指为保障机构正常运转、完成日常工作任务而发生的人员支出和公用支出。</w:t>
      </w:r>
    </w:p>
    <w:p w14:paraId="79DF4F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18.项目支出：指在基本支出之外为完成特定行政任务和事业发展目标所发生的支出。 </w:t>
      </w:r>
    </w:p>
    <w:p w14:paraId="22BC9A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19.经营支出：指事业单位在专业业务活动及其辅助活动之外开展非独立核算经营活动发生的支出。</w:t>
      </w:r>
    </w:p>
    <w:p w14:paraId="016D7B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BD5FA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BF20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22.基本支出：指为保障机构正常运转、完成日常工作任务而发生的人员支出和公用支出。</w:t>
      </w:r>
    </w:p>
    <w:p w14:paraId="02D3DA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23.项目支出：指在基本支出之外为完成特定行政任务和事业发展目标所发生的支出。 </w:t>
      </w:r>
    </w:p>
    <w:p w14:paraId="14B1E8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24.经营支出：指事业单位在专业业务活动及其辅助活动之外开展非独立核算经营活动发生的支出。</w:t>
      </w:r>
    </w:p>
    <w:p w14:paraId="609F33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53E6F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16116F7">
      <w:pPr>
        <w:pStyle w:val="21"/>
        <w:numPr>
          <w:ilvl w:val="0"/>
          <w:numId w:val="0"/>
        </w:numPr>
        <w:spacing w:line="600" w:lineRule="exact"/>
        <w:ind w:left="640" w:leftChars="0"/>
        <w:jc w:val="center"/>
        <w:outlineLvl w:val="1"/>
        <w:rPr>
          <w:rFonts w:hint="eastAsia" w:ascii="方正小标宋简体" w:hAnsi="方正小标宋简体" w:eastAsia="方正小标宋简体" w:cs="方正小标宋简体"/>
          <w:color w:val="auto"/>
          <w:sz w:val="44"/>
          <w:szCs w:val="44"/>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23" w:name="_Toc16639"/>
      <w:r>
        <w:rPr>
          <w:rFonts w:hint="eastAsia" w:ascii="方正小标宋简体" w:hAnsi="方正小标宋简体" w:eastAsia="方正小标宋简体" w:cs="方正小标宋简体"/>
          <w:color w:val="auto"/>
          <w:sz w:val="44"/>
          <w:szCs w:val="44"/>
          <w:highlight w:val="none"/>
          <w:lang w:eastAsia="zh-CN"/>
        </w:rPr>
        <w:t>第四部分 附件</w:t>
      </w:r>
      <w:bookmarkEnd w:id="23"/>
    </w:p>
    <w:p w14:paraId="62B21883">
      <w:pPr>
        <w:pStyle w:val="6"/>
        <w:rPr>
          <w:rFonts w:hint="eastAsia" w:ascii="仿宋_GB2312" w:hAnsi="Calibri" w:eastAsia="仿宋_GB2312" w:cs="仿宋"/>
          <w:color w:val="auto"/>
          <w:kern w:val="0"/>
          <w:sz w:val="32"/>
          <w:szCs w:val="32"/>
          <w:highlight w:val="none"/>
          <w:lang w:val="en-US" w:eastAsia="zh-CN" w:bidi="ar-SA"/>
        </w:rPr>
      </w:pPr>
      <w:r>
        <w:drawing>
          <wp:inline distT="0" distB="0" distL="114300" distR="114300">
            <wp:extent cx="5265420" cy="4102100"/>
            <wp:effectExtent l="0" t="0" r="11430" b="1270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1"/>
                    <a:stretch>
                      <a:fillRect/>
                    </a:stretch>
                  </pic:blipFill>
                  <pic:spPr>
                    <a:xfrm>
                      <a:off x="0" y="0"/>
                      <a:ext cx="5265420" cy="4102100"/>
                    </a:xfrm>
                    <a:prstGeom prst="rect">
                      <a:avLst/>
                    </a:prstGeom>
                    <a:noFill/>
                    <a:ln>
                      <a:noFill/>
                    </a:ln>
                  </pic:spPr>
                </pic:pic>
              </a:graphicData>
            </a:graphic>
          </wp:inline>
        </w:drawing>
      </w:r>
    </w:p>
    <w:p w14:paraId="4190286E">
      <w:pPr>
        <w:pStyle w:val="6"/>
        <w:rPr>
          <w:rFonts w:hint="eastAsia" w:ascii="仿宋_GB2312" w:hAnsi="Calibri" w:eastAsia="仿宋_GB2312" w:cs="仿宋"/>
          <w:color w:val="auto"/>
          <w:kern w:val="0"/>
          <w:sz w:val="32"/>
          <w:szCs w:val="32"/>
          <w:highlight w:val="none"/>
          <w:lang w:val="en-US" w:eastAsia="zh-CN" w:bidi="ar-SA"/>
        </w:rPr>
      </w:pPr>
      <w:r>
        <w:drawing>
          <wp:inline distT="0" distB="0" distL="114300" distR="114300">
            <wp:extent cx="5265420" cy="3959225"/>
            <wp:effectExtent l="0" t="0" r="11430" b="317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2"/>
                    <a:stretch>
                      <a:fillRect/>
                    </a:stretch>
                  </pic:blipFill>
                  <pic:spPr>
                    <a:xfrm>
                      <a:off x="0" y="0"/>
                      <a:ext cx="5265420" cy="3959225"/>
                    </a:xfrm>
                    <a:prstGeom prst="rect">
                      <a:avLst/>
                    </a:prstGeom>
                    <a:noFill/>
                    <a:ln>
                      <a:noFill/>
                    </a:ln>
                  </pic:spPr>
                </pic:pic>
              </a:graphicData>
            </a:graphic>
          </wp:inline>
        </w:drawing>
      </w:r>
      <w:r>
        <w:drawing>
          <wp:inline distT="0" distB="0" distL="114300" distR="114300">
            <wp:extent cx="5265420" cy="3959225"/>
            <wp:effectExtent l="0" t="0" r="11430" b="317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2"/>
                    <a:stretch>
                      <a:fillRect/>
                    </a:stretch>
                  </pic:blipFill>
                  <pic:spPr>
                    <a:xfrm>
                      <a:off x="0" y="0"/>
                      <a:ext cx="5265420" cy="3959225"/>
                    </a:xfrm>
                    <a:prstGeom prst="rect">
                      <a:avLst/>
                    </a:prstGeom>
                    <a:noFill/>
                    <a:ln>
                      <a:noFill/>
                    </a:ln>
                  </pic:spPr>
                </pic:pic>
              </a:graphicData>
            </a:graphic>
          </wp:inline>
        </w:drawing>
      </w:r>
    </w:p>
    <w:p w14:paraId="4A40820C">
      <w:pPr>
        <w:pStyle w:val="6"/>
        <w:rPr>
          <w:rFonts w:hint="eastAsia" w:ascii="仿宋_GB2312" w:hAnsi="Calibri" w:eastAsia="仿宋_GB2312" w:cs="仿宋"/>
          <w:color w:val="auto"/>
          <w:kern w:val="0"/>
          <w:sz w:val="32"/>
          <w:szCs w:val="32"/>
          <w:highlight w:val="none"/>
          <w:lang w:val="en-US" w:eastAsia="zh-CN" w:bidi="ar-SA"/>
        </w:rPr>
      </w:pPr>
      <w:r>
        <w:drawing>
          <wp:inline distT="0" distB="0" distL="114300" distR="114300">
            <wp:extent cx="5265420" cy="4001770"/>
            <wp:effectExtent l="0" t="0" r="11430" b="1778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3"/>
                    <a:stretch>
                      <a:fillRect/>
                    </a:stretch>
                  </pic:blipFill>
                  <pic:spPr>
                    <a:xfrm>
                      <a:off x="0" y="0"/>
                      <a:ext cx="5265420" cy="4001770"/>
                    </a:xfrm>
                    <a:prstGeom prst="rect">
                      <a:avLst/>
                    </a:prstGeom>
                    <a:noFill/>
                    <a:ln>
                      <a:noFill/>
                    </a:ln>
                  </pic:spPr>
                </pic:pic>
              </a:graphicData>
            </a:graphic>
          </wp:inline>
        </w:drawing>
      </w:r>
    </w:p>
    <w:p w14:paraId="2FF48B38">
      <w:pPr>
        <w:pStyle w:val="6"/>
        <w:rPr>
          <w:rFonts w:hint="eastAsia" w:ascii="仿宋_GB2312" w:hAnsi="Calibri" w:eastAsia="仿宋_GB2312" w:cs="仿宋"/>
          <w:color w:val="auto"/>
          <w:kern w:val="0"/>
          <w:sz w:val="32"/>
          <w:szCs w:val="32"/>
          <w:highlight w:val="none"/>
          <w:lang w:val="en-US" w:eastAsia="zh-CN" w:bidi="ar-SA"/>
        </w:rPr>
      </w:pPr>
      <w:r>
        <w:drawing>
          <wp:inline distT="0" distB="0" distL="114300" distR="114300">
            <wp:extent cx="5265420" cy="3774440"/>
            <wp:effectExtent l="0" t="0" r="11430" b="16510"/>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14"/>
                    <a:stretch>
                      <a:fillRect/>
                    </a:stretch>
                  </pic:blipFill>
                  <pic:spPr>
                    <a:xfrm>
                      <a:off x="0" y="0"/>
                      <a:ext cx="5265420" cy="3774440"/>
                    </a:xfrm>
                    <a:prstGeom prst="rect">
                      <a:avLst/>
                    </a:prstGeom>
                    <a:noFill/>
                    <a:ln>
                      <a:noFill/>
                    </a:ln>
                  </pic:spPr>
                </pic:pic>
              </a:graphicData>
            </a:graphic>
          </wp:inline>
        </w:drawing>
      </w:r>
    </w:p>
    <w:p w14:paraId="38BD3BA1">
      <w:pPr>
        <w:pStyle w:val="6"/>
        <w:rPr>
          <w:rFonts w:hint="eastAsia" w:ascii="仿宋_GB2312" w:hAnsi="Calibri" w:eastAsia="仿宋_GB2312" w:cs="仿宋"/>
          <w:color w:val="auto"/>
          <w:kern w:val="0"/>
          <w:sz w:val="32"/>
          <w:szCs w:val="32"/>
          <w:highlight w:val="none"/>
          <w:lang w:val="en-US" w:eastAsia="zh-CN" w:bidi="ar-SA"/>
        </w:rPr>
      </w:pPr>
    </w:p>
    <w:p w14:paraId="6EAA426F">
      <w:pPr>
        <w:pStyle w:val="6"/>
        <w:rPr>
          <w:rFonts w:hint="eastAsia" w:ascii="仿宋_GB2312" w:hAnsi="Calibri" w:eastAsia="仿宋_GB2312" w:cs="仿宋"/>
          <w:color w:val="auto"/>
          <w:kern w:val="0"/>
          <w:sz w:val="32"/>
          <w:szCs w:val="32"/>
          <w:highlight w:val="none"/>
          <w:lang w:val="en-US" w:eastAsia="zh-CN" w:bidi="ar-SA"/>
        </w:rPr>
      </w:pPr>
    </w:p>
    <w:p w14:paraId="4DA2FAA5">
      <w:pPr>
        <w:pStyle w:val="6"/>
        <w:rPr>
          <w:rFonts w:hint="eastAsia" w:ascii="仿宋_GB2312" w:hAnsi="Calibri" w:eastAsia="仿宋_GB2312" w:cs="仿宋"/>
          <w:color w:val="auto"/>
          <w:kern w:val="0"/>
          <w:sz w:val="32"/>
          <w:szCs w:val="32"/>
          <w:highlight w:val="none"/>
          <w:lang w:val="en-US" w:eastAsia="zh-CN" w:bidi="ar-SA"/>
        </w:rPr>
      </w:pPr>
    </w:p>
    <w:p w14:paraId="0A745363">
      <w:pPr>
        <w:rPr>
          <w:rFonts w:hint="eastAsia" w:ascii="黑体" w:hAnsi="黑体" w:eastAsia="黑体"/>
          <w:color w:val="auto"/>
          <w:sz w:val="44"/>
          <w:szCs w:val="44"/>
          <w:highlight w:val="none"/>
        </w:rPr>
      </w:pPr>
      <w:r>
        <w:rPr>
          <w:rFonts w:hint="eastAsia" w:ascii="黑体" w:hAnsi="黑体" w:eastAsia="黑体"/>
          <w:color w:val="auto"/>
          <w:sz w:val="44"/>
          <w:szCs w:val="44"/>
          <w:highlight w:val="none"/>
        </w:rPr>
        <w:br w:type="page"/>
      </w:r>
    </w:p>
    <w:p w14:paraId="74448E8C">
      <w:pPr>
        <w:pStyle w:val="21"/>
        <w:numPr>
          <w:ilvl w:val="0"/>
          <w:numId w:val="0"/>
        </w:numPr>
        <w:spacing w:line="600" w:lineRule="exact"/>
        <w:ind w:left="640" w:leftChars="0"/>
        <w:jc w:val="center"/>
        <w:outlineLvl w:val="1"/>
        <w:rPr>
          <w:rFonts w:hint="eastAsia" w:ascii="方正小标宋简体" w:hAnsi="方正小标宋简体" w:eastAsia="方正小标宋简体" w:cs="方正小标宋简体"/>
          <w:color w:val="auto"/>
          <w:sz w:val="44"/>
          <w:szCs w:val="44"/>
          <w:highlight w:val="none"/>
          <w:lang w:eastAsia="zh-CN"/>
        </w:rPr>
      </w:pPr>
      <w:bookmarkStart w:id="24" w:name="_Toc1844"/>
      <w:r>
        <w:rPr>
          <w:rFonts w:hint="eastAsia" w:ascii="方正小标宋简体" w:hAnsi="方正小标宋简体" w:eastAsia="方正小标宋简体" w:cs="方正小标宋简体"/>
          <w:color w:val="auto"/>
          <w:sz w:val="44"/>
          <w:szCs w:val="44"/>
          <w:highlight w:val="none"/>
          <w:lang w:eastAsia="zh-CN"/>
        </w:rPr>
        <w:t>第五部分 附表</w:t>
      </w:r>
      <w:bookmarkEnd w:id="24"/>
    </w:p>
    <w:p w14:paraId="1C8DD63E">
      <w:pPr>
        <w:pStyle w:val="4"/>
        <w:rPr>
          <w:rFonts w:ascii="仿宋" w:hAnsi="仿宋" w:eastAsia="仿宋"/>
          <w:color w:val="auto"/>
          <w:highlight w:val="none"/>
        </w:rPr>
      </w:pPr>
      <w:bookmarkStart w:id="25" w:name="_Toc15271"/>
      <w:r>
        <w:rPr>
          <w:rFonts w:hint="eastAsia" w:ascii="仿宋" w:hAnsi="仿宋" w:eastAsia="仿宋"/>
          <w:b w:val="0"/>
          <w:color w:val="auto"/>
          <w:highlight w:val="none"/>
        </w:rPr>
        <w:t>一、收</w:t>
      </w:r>
      <w:r>
        <w:rPr>
          <w:rStyle w:val="17"/>
          <w:rFonts w:hint="eastAsia" w:ascii="仿宋" w:hAnsi="仿宋" w:eastAsia="仿宋"/>
          <w:b w:val="0"/>
          <w:bCs w:val="0"/>
          <w:color w:val="auto"/>
          <w:highlight w:val="none"/>
        </w:rPr>
        <w:t>入支出决算总表</w:t>
      </w:r>
      <w:bookmarkEnd w:id="25"/>
    </w:p>
    <w:p w14:paraId="5A414592">
      <w:pPr>
        <w:pStyle w:val="4"/>
        <w:rPr>
          <w:rFonts w:ascii="仿宋" w:hAnsi="仿宋" w:eastAsia="仿宋"/>
          <w:color w:val="auto"/>
          <w:highlight w:val="none"/>
        </w:rPr>
      </w:pPr>
      <w:bookmarkStart w:id="26" w:name="_Toc15370"/>
      <w:r>
        <w:rPr>
          <w:rFonts w:hint="eastAsia" w:ascii="仿宋" w:hAnsi="仿宋" w:eastAsia="仿宋"/>
          <w:b w:val="0"/>
          <w:color w:val="auto"/>
          <w:highlight w:val="none"/>
        </w:rPr>
        <w:t>二、收</w:t>
      </w:r>
      <w:r>
        <w:rPr>
          <w:rStyle w:val="17"/>
          <w:rFonts w:hint="eastAsia" w:ascii="仿宋" w:hAnsi="仿宋" w:eastAsia="仿宋"/>
          <w:b w:val="0"/>
          <w:bCs w:val="0"/>
          <w:color w:val="auto"/>
          <w:highlight w:val="none"/>
        </w:rPr>
        <w:t>入决算表</w:t>
      </w:r>
      <w:bookmarkEnd w:id="26"/>
    </w:p>
    <w:p w14:paraId="2BDD3EC8">
      <w:pPr>
        <w:pStyle w:val="4"/>
        <w:rPr>
          <w:rFonts w:ascii="仿宋" w:hAnsi="仿宋" w:eastAsia="仿宋"/>
          <w:color w:val="auto"/>
          <w:highlight w:val="none"/>
        </w:rPr>
      </w:pPr>
      <w:bookmarkStart w:id="27" w:name="_Toc15578"/>
      <w:r>
        <w:rPr>
          <w:rStyle w:val="17"/>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17"/>
          <w:rFonts w:hint="eastAsia" w:ascii="仿宋" w:hAnsi="仿宋" w:eastAsia="仿宋"/>
          <w:b w:val="0"/>
          <w:bCs w:val="0"/>
          <w:color w:val="auto"/>
          <w:highlight w:val="none"/>
        </w:rPr>
        <w:t>出决算表</w:t>
      </w:r>
      <w:bookmarkEnd w:id="27"/>
    </w:p>
    <w:p w14:paraId="0F914ACC">
      <w:pPr>
        <w:pStyle w:val="4"/>
        <w:rPr>
          <w:rFonts w:ascii="仿宋" w:hAnsi="仿宋" w:eastAsia="仿宋"/>
          <w:b w:val="0"/>
          <w:color w:val="auto"/>
          <w:highlight w:val="none"/>
        </w:rPr>
      </w:pPr>
      <w:bookmarkStart w:id="28" w:name="_Toc25328"/>
      <w:r>
        <w:rPr>
          <w:rStyle w:val="17"/>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17"/>
          <w:rFonts w:hint="eastAsia" w:ascii="仿宋" w:hAnsi="仿宋" w:eastAsia="仿宋"/>
          <w:b w:val="0"/>
          <w:bCs w:val="0"/>
          <w:color w:val="auto"/>
          <w:highlight w:val="none"/>
        </w:rPr>
        <w:t>政拨款收入支出决算总表</w:t>
      </w:r>
      <w:bookmarkEnd w:id="28"/>
    </w:p>
    <w:p w14:paraId="2FCD36CE">
      <w:pPr>
        <w:pStyle w:val="4"/>
        <w:rPr>
          <w:rStyle w:val="17"/>
          <w:rFonts w:ascii="仿宋" w:hAnsi="仿宋" w:eastAsia="仿宋"/>
          <w:b w:val="0"/>
          <w:bCs w:val="0"/>
          <w:color w:val="auto"/>
          <w:highlight w:val="none"/>
        </w:rPr>
      </w:pPr>
      <w:bookmarkStart w:id="29" w:name="_Toc11213"/>
      <w:r>
        <w:rPr>
          <w:rStyle w:val="17"/>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17"/>
          <w:rFonts w:hint="eastAsia" w:ascii="仿宋" w:hAnsi="仿宋" w:eastAsia="仿宋"/>
          <w:b w:val="0"/>
          <w:bCs w:val="0"/>
          <w:color w:val="auto"/>
          <w:highlight w:val="none"/>
        </w:rPr>
        <w:t>政拨款支出决算明细表</w:t>
      </w:r>
      <w:bookmarkEnd w:id="29"/>
    </w:p>
    <w:p w14:paraId="75BBC0D0">
      <w:pPr>
        <w:pStyle w:val="4"/>
        <w:rPr>
          <w:rFonts w:ascii="仿宋" w:hAnsi="仿宋" w:eastAsia="仿宋"/>
          <w:color w:val="auto"/>
          <w:highlight w:val="none"/>
        </w:rPr>
      </w:pPr>
      <w:bookmarkStart w:id="30" w:name="_Toc16840"/>
      <w:r>
        <w:rPr>
          <w:rStyle w:val="17"/>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17"/>
          <w:rFonts w:hint="eastAsia" w:ascii="仿宋" w:hAnsi="仿宋" w:eastAsia="仿宋"/>
          <w:b w:val="0"/>
          <w:bCs w:val="0"/>
          <w:color w:val="auto"/>
          <w:highlight w:val="none"/>
        </w:rPr>
        <w:t>般公共预算财政拨款支出决算表</w:t>
      </w:r>
      <w:bookmarkEnd w:id="30"/>
    </w:p>
    <w:p w14:paraId="544B032E">
      <w:pPr>
        <w:pStyle w:val="4"/>
        <w:rPr>
          <w:rFonts w:ascii="仿宋" w:hAnsi="仿宋" w:eastAsia="仿宋"/>
          <w:color w:val="auto"/>
          <w:highlight w:val="none"/>
        </w:rPr>
      </w:pPr>
      <w:bookmarkStart w:id="31" w:name="_Toc2132"/>
      <w:r>
        <w:rPr>
          <w:rStyle w:val="17"/>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17"/>
          <w:rFonts w:hint="eastAsia" w:ascii="仿宋" w:hAnsi="仿宋" w:eastAsia="仿宋"/>
          <w:b w:val="0"/>
          <w:bCs w:val="0"/>
          <w:color w:val="auto"/>
          <w:highlight w:val="none"/>
        </w:rPr>
        <w:t>般公共预算财政拨款支出决算明细表</w:t>
      </w:r>
      <w:bookmarkEnd w:id="31"/>
    </w:p>
    <w:p w14:paraId="3DC52BCE">
      <w:pPr>
        <w:pStyle w:val="4"/>
        <w:rPr>
          <w:rFonts w:ascii="仿宋" w:hAnsi="仿宋" w:eastAsia="仿宋"/>
          <w:color w:val="auto"/>
          <w:highlight w:val="none"/>
        </w:rPr>
      </w:pPr>
      <w:bookmarkStart w:id="32" w:name="_Toc19625"/>
      <w:r>
        <w:rPr>
          <w:rStyle w:val="17"/>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17"/>
          <w:rFonts w:hint="eastAsia" w:ascii="仿宋" w:hAnsi="仿宋" w:eastAsia="仿宋"/>
          <w:b w:val="0"/>
          <w:bCs w:val="0"/>
          <w:color w:val="auto"/>
          <w:highlight w:val="none"/>
        </w:rPr>
        <w:t>般公共预算财政拨款基本支出决算表</w:t>
      </w:r>
      <w:bookmarkEnd w:id="32"/>
    </w:p>
    <w:p w14:paraId="0D40C308">
      <w:pPr>
        <w:pStyle w:val="4"/>
        <w:rPr>
          <w:rFonts w:ascii="仿宋" w:hAnsi="仿宋" w:eastAsia="仿宋"/>
          <w:color w:val="auto"/>
          <w:highlight w:val="none"/>
        </w:rPr>
      </w:pPr>
      <w:bookmarkStart w:id="33" w:name="_Toc25460"/>
      <w:r>
        <w:rPr>
          <w:rStyle w:val="17"/>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17"/>
          <w:rFonts w:hint="eastAsia" w:ascii="仿宋" w:hAnsi="仿宋" w:eastAsia="仿宋"/>
          <w:b w:val="0"/>
          <w:bCs w:val="0"/>
          <w:color w:val="auto"/>
          <w:highlight w:val="none"/>
        </w:rPr>
        <w:t>般公共预算财政拨款项目支出决算表</w:t>
      </w:r>
      <w:bookmarkEnd w:id="33"/>
    </w:p>
    <w:p w14:paraId="2A18E0B4">
      <w:pPr>
        <w:pStyle w:val="4"/>
        <w:rPr>
          <w:rFonts w:ascii="仿宋" w:hAnsi="仿宋" w:eastAsia="仿宋"/>
          <w:color w:val="auto"/>
          <w:highlight w:val="none"/>
        </w:rPr>
      </w:pPr>
      <w:bookmarkStart w:id="34" w:name="_Toc12451"/>
      <w:r>
        <w:rPr>
          <w:rStyle w:val="17"/>
          <w:rFonts w:hint="eastAsia" w:ascii="仿宋" w:hAnsi="仿宋" w:eastAsia="仿宋"/>
          <w:b w:val="0"/>
          <w:bCs w:val="0"/>
          <w:color w:val="auto"/>
          <w:highlight w:val="none"/>
        </w:rPr>
        <w:t>十、</w:t>
      </w:r>
      <w:r>
        <w:rPr>
          <w:rFonts w:hint="eastAsia" w:ascii="仿宋" w:hAnsi="仿宋" w:eastAsia="仿宋"/>
          <w:b w:val="0"/>
          <w:color w:val="auto"/>
          <w:highlight w:val="none"/>
        </w:rPr>
        <w:t>政</w:t>
      </w:r>
      <w:r>
        <w:rPr>
          <w:rStyle w:val="17"/>
          <w:rFonts w:hint="eastAsia" w:ascii="仿宋" w:hAnsi="仿宋" w:eastAsia="仿宋"/>
          <w:b w:val="0"/>
          <w:bCs w:val="0"/>
          <w:color w:val="auto"/>
          <w:highlight w:val="none"/>
        </w:rPr>
        <w:t>府性基金预算财政拨款收入支出决算表</w:t>
      </w:r>
      <w:bookmarkEnd w:id="34"/>
    </w:p>
    <w:p w14:paraId="47A7CF92">
      <w:pPr>
        <w:pStyle w:val="4"/>
        <w:rPr>
          <w:rFonts w:ascii="仿宋" w:hAnsi="仿宋" w:eastAsia="仿宋"/>
          <w:color w:val="auto"/>
          <w:highlight w:val="none"/>
        </w:rPr>
      </w:pPr>
      <w:bookmarkStart w:id="35" w:name="_Toc7572"/>
      <w:r>
        <w:rPr>
          <w:rStyle w:val="17"/>
          <w:rFonts w:hint="eastAsia" w:ascii="仿宋" w:hAnsi="仿宋" w:eastAsia="仿宋"/>
          <w:b w:val="0"/>
          <w:bCs w:val="0"/>
          <w:color w:val="auto"/>
          <w:highlight w:val="none"/>
        </w:rPr>
        <w:t>十一、</w:t>
      </w:r>
      <w:r>
        <w:rPr>
          <w:rFonts w:hint="eastAsia" w:ascii="仿宋" w:hAnsi="仿宋" w:eastAsia="仿宋"/>
          <w:b w:val="0"/>
          <w:color w:val="auto"/>
          <w:highlight w:val="none"/>
        </w:rPr>
        <w:t>国</w:t>
      </w:r>
      <w:r>
        <w:rPr>
          <w:rStyle w:val="17"/>
          <w:rFonts w:hint="eastAsia" w:ascii="仿宋" w:hAnsi="仿宋" w:eastAsia="仿宋"/>
          <w:b w:val="0"/>
          <w:bCs w:val="0"/>
          <w:color w:val="auto"/>
          <w:highlight w:val="none"/>
        </w:rPr>
        <w:t>有资本经营预算</w:t>
      </w:r>
      <w:r>
        <w:rPr>
          <w:rStyle w:val="17"/>
          <w:rFonts w:hint="eastAsia" w:ascii="仿宋" w:hAnsi="仿宋" w:eastAsia="仿宋"/>
          <w:b w:val="0"/>
          <w:bCs w:val="0"/>
          <w:color w:val="auto"/>
          <w:highlight w:val="none"/>
          <w:lang w:eastAsia="zh-CN"/>
        </w:rPr>
        <w:t>财政拨款收入</w:t>
      </w:r>
      <w:r>
        <w:rPr>
          <w:rStyle w:val="17"/>
          <w:rFonts w:hint="eastAsia" w:ascii="仿宋" w:hAnsi="仿宋" w:eastAsia="仿宋"/>
          <w:b w:val="0"/>
          <w:bCs w:val="0"/>
          <w:color w:val="auto"/>
          <w:highlight w:val="none"/>
        </w:rPr>
        <w:t>支出决算表</w:t>
      </w:r>
      <w:bookmarkEnd w:id="35"/>
    </w:p>
    <w:p w14:paraId="2112DB06">
      <w:pPr>
        <w:pStyle w:val="4"/>
        <w:rPr>
          <w:rFonts w:ascii="仿宋" w:hAnsi="仿宋" w:eastAsia="仿宋"/>
          <w:color w:val="auto"/>
          <w:highlight w:val="none"/>
        </w:rPr>
      </w:pPr>
      <w:bookmarkStart w:id="36" w:name="_Toc32181"/>
      <w:r>
        <w:rPr>
          <w:rStyle w:val="17"/>
          <w:rFonts w:hint="eastAsia" w:ascii="仿宋" w:hAnsi="仿宋" w:eastAsia="仿宋"/>
          <w:b w:val="0"/>
          <w:bCs w:val="0"/>
          <w:color w:val="auto"/>
          <w:highlight w:val="none"/>
        </w:rPr>
        <w:t>十二、</w:t>
      </w:r>
      <w:r>
        <w:rPr>
          <w:rStyle w:val="17"/>
          <w:rFonts w:hint="eastAsia" w:ascii="仿宋" w:hAnsi="仿宋" w:eastAsia="仿宋"/>
          <w:b w:val="0"/>
          <w:bCs w:val="0"/>
          <w:color w:val="auto"/>
          <w:highlight w:val="none"/>
          <w:lang w:eastAsia="zh-CN"/>
        </w:rPr>
        <w:t>国有资本经营预算财政拨款支出决算表</w:t>
      </w:r>
      <w:bookmarkEnd w:id="36"/>
    </w:p>
    <w:p w14:paraId="2EFA73F2">
      <w:pPr>
        <w:pStyle w:val="4"/>
        <w:rPr>
          <w:rFonts w:hint="eastAsia" w:eastAsia="仿宋"/>
          <w:color w:val="auto"/>
          <w:highlight w:val="none"/>
          <w:lang w:eastAsia="zh-CN"/>
        </w:rPr>
      </w:pPr>
      <w:bookmarkStart w:id="37" w:name="_Toc15141"/>
      <w:r>
        <w:rPr>
          <w:rStyle w:val="17"/>
          <w:rFonts w:hint="eastAsia" w:ascii="仿宋" w:hAnsi="仿宋" w:eastAsia="仿宋"/>
          <w:b w:val="0"/>
          <w:bCs w:val="0"/>
          <w:color w:val="auto"/>
          <w:highlight w:val="none"/>
        </w:rPr>
        <w:t>十三、</w:t>
      </w:r>
      <w:r>
        <w:rPr>
          <w:rStyle w:val="17"/>
          <w:rFonts w:hint="eastAsia" w:ascii="仿宋" w:hAnsi="仿宋" w:eastAsia="仿宋"/>
          <w:b w:val="0"/>
          <w:bCs w:val="0"/>
          <w:color w:val="auto"/>
          <w:highlight w:val="none"/>
          <w:lang w:eastAsia="zh-CN"/>
        </w:rPr>
        <w:t>财政拨款“三公”经费支出决算表</w:t>
      </w:r>
      <w:bookmarkEnd w:id="37"/>
    </w:p>
    <w:p w14:paraId="5EAE97A2"/>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Liberation Sans">
    <w:altName w:val="Arial Unicode MS"/>
    <w:panose1 w:val="00000000000000000000"/>
    <w:charset w:val="00"/>
    <w:family w:val="swiss"/>
    <w:pitch w:val="default"/>
    <w:sig w:usb0="00000000"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 w:name="Noto Sans CJK SC Regular">
    <w:altName w:val="宋体"/>
    <w:panose1 w:val="020B0500000000000000"/>
    <w:charset w:val="86"/>
    <w:family w:val="auto"/>
    <w:pitch w:val="default"/>
    <w:sig w:usb0="00000000" w:usb1="00000000" w:usb2="00000016" w:usb3="00000000" w:csb0="602E0107" w:csb1="00000000"/>
  </w:font>
  <w:font w:name="方正小标宋简体">
    <w:panose1 w:val="03000509000000000000"/>
    <w:charset w:val="86"/>
    <w:family w:val="script"/>
    <w:pitch w:val="default"/>
    <w:sig w:usb0="00000001" w:usb1="080E0000" w:usb2="00000000" w:usb3="00000000" w:csb0="00040000" w:csb1="00000000"/>
  </w:font>
  <w:font w:name="FZFangSong-Z02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000000"/>
    <w:rsid w:val="034E157D"/>
    <w:rsid w:val="06A16121"/>
    <w:rsid w:val="06B33611"/>
    <w:rsid w:val="099711B9"/>
    <w:rsid w:val="0B0551A9"/>
    <w:rsid w:val="11786165"/>
    <w:rsid w:val="1684753A"/>
    <w:rsid w:val="18B613D9"/>
    <w:rsid w:val="1EA07981"/>
    <w:rsid w:val="1F0820F9"/>
    <w:rsid w:val="1FD46237"/>
    <w:rsid w:val="21816CDE"/>
    <w:rsid w:val="25E133B0"/>
    <w:rsid w:val="2A1439E1"/>
    <w:rsid w:val="2ABA5942"/>
    <w:rsid w:val="2FA81CB2"/>
    <w:rsid w:val="33EE550E"/>
    <w:rsid w:val="356453A3"/>
    <w:rsid w:val="3BD60A72"/>
    <w:rsid w:val="3FC62645"/>
    <w:rsid w:val="467F3802"/>
    <w:rsid w:val="493354CD"/>
    <w:rsid w:val="4AFD7D54"/>
    <w:rsid w:val="4C672EF9"/>
    <w:rsid w:val="4DAB40F0"/>
    <w:rsid w:val="4EED14AC"/>
    <w:rsid w:val="53DC22CC"/>
    <w:rsid w:val="549A379E"/>
    <w:rsid w:val="58B343D7"/>
    <w:rsid w:val="60B05D07"/>
    <w:rsid w:val="6371157C"/>
    <w:rsid w:val="68696F3D"/>
    <w:rsid w:val="6A1532AE"/>
    <w:rsid w:val="6AE66EBE"/>
    <w:rsid w:val="6E6B772C"/>
    <w:rsid w:val="7180551F"/>
    <w:rsid w:val="7210428E"/>
    <w:rsid w:val="724305BA"/>
    <w:rsid w:val="79467A11"/>
    <w:rsid w:val="7BFFE41D"/>
    <w:rsid w:val="7C894B90"/>
    <w:rsid w:val="7CF60F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3">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7"/>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4">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680"/>
    </w:pPr>
  </w:style>
  <w:style w:type="paragraph" w:styleId="5">
    <w:name w:val="caption"/>
    <w:basedOn w:val="1"/>
    <w:qFormat/>
    <w:uiPriority w:val="0"/>
    <w:pPr>
      <w:widowControl w:val="0"/>
      <w:suppressLineNumbers/>
      <w:suppressAutoHyphens/>
      <w:spacing w:before="120" w:after="120"/>
    </w:pPr>
    <w:rPr>
      <w:i/>
      <w:iCs/>
      <w:sz w:val="24"/>
      <w:szCs w:val="24"/>
    </w:rPr>
  </w:style>
  <w:style w:type="paragraph" w:styleId="6">
    <w:name w:val="Body Text"/>
    <w:basedOn w:val="1"/>
    <w:qFormat/>
    <w:uiPriority w:val="0"/>
    <w:pPr>
      <w:spacing w:before="0" w:after="140" w:line="276" w:lineRule="auto"/>
    </w:p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0">
    <w:name w:val="List"/>
    <w:basedOn w:val="6"/>
    <w:qFormat/>
    <w:uiPriority w:val="0"/>
  </w:style>
  <w:style w:type="paragraph" w:styleId="11">
    <w:name w:val="footnote text"/>
    <w:basedOn w:val="1"/>
    <w:next w:val="8"/>
    <w:semiHidden/>
    <w:qFormat/>
    <w:uiPriority w:val="0"/>
    <w:pPr>
      <w:snapToGrid w:val="0"/>
      <w:jc w:val="left"/>
    </w:pPr>
    <w:rPr>
      <w:sz w:val="18"/>
      <w:szCs w:val="18"/>
    </w:rPr>
  </w:style>
  <w:style w:type="paragraph" w:styleId="12">
    <w:name w:val="toc 2"/>
    <w:basedOn w:val="1"/>
    <w:next w:val="1"/>
    <w:unhideWhenUsed/>
    <w:qFormat/>
    <w:uiPriority w:val="39"/>
    <w:pPr>
      <w:tabs>
        <w:tab w:val="right" w:leader="dot" w:pos="8296"/>
      </w:tabs>
      <w:ind w:left="420" w:leftChars="200"/>
    </w:pPr>
  </w:style>
  <w:style w:type="character" w:styleId="15">
    <w:name w:val="Strong"/>
    <w:basedOn w:val="14"/>
    <w:qFormat/>
    <w:uiPriority w:val="99"/>
    <w:rPr>
      <w:b/>
    </w:rPr>
  </w:style>
  <w:style w:type="character" w:customStyle="1" w:styleId="16">
    <w:name w:val="标题 1 Char"/>
    <w:basedOn w:val="14"/>
    <w:link w:val="3"/>
    <w:qFormat/>
    <w:uiPriority w:val="9"/>
    <w:rPr>
      <w:b/>
      <w:bCs/>
      <w:kern w:val="44"/>
      <w:sz w:val="44"/>
      <w:szCs w:val="44"/>
    </w:rPr>
  </w:style>
  <w:style w:type="character" w:customStyle="1" w:styleId="17">
    <w:name w:val="标题 2 Char"/>
    <w:basedOn w:val="14"/>
    <w:link w:val="4"/>
    <w:qFormat/>
    <w:uiPriority w:val="9"/>
    <w:rPr>
      <w:rFonts w:ascii="Cambria" w:hAnsi="Cambria" w:eastAsia="宋体" w:cs="Times New Roman"/>
      <w:b/>
      <w:bCs/>
      <w:sz w:val="32"/>
      <w:szCs w:val="32"/>
    </w:rPr>
  </w:style>
  <w:style w:type="character" w:customStyle="1" w:styleId="18">
    <w:name w:val="默认段落字体1"/>
    <w:qFormat/>
    <w:uiPriority w:val="0"/>
  </w:style>
  <w:style w:type="paragraph" w:customStyle="1" w:styleId="19">
    <w:name w:val="Heading"/>
    <w:basedOn w:val="1"/>
    <w:next w:val="6"/>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20">
    <w:name w:val="Index"/>
    <w:basedOn w:val="1"/>
    <w:qFormat/>
    <w:uiPriority w:val="0"/>
    <w:pPr>
      <w:widowControl w:val="0"/>
      <w:suppressLineNumbers/>
      <w:suppressAutoHyphens/>
    </w:pPr>
  </w:style>
  <w:style w:type="paragraph" w:styleId="21">
    <w:name w:val="List Paragraph"/>
    <w:basedOn w:val="1"/>
    <w:qFormat/>
    <w:uiPriority w:val="34"/>
    <w:pPr>
      <w:ind w:firstLine="420" w:firstLineChars="200"/>
    </w:pPr>
  </w:style>
  <w:style w:type="paragraph" w:customStyle="1" w:styleId="2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6.xml"/><Relationship Id="rId8" Type="http://schemas.openxmlformats.org/officeDocument/2006/relationships/chart" Target="charts/chart5.xml"/><Relationship Id="rId7" Type="http://schemas.openxmlformats.org/officeDocument/2006/relationships/chart" Target="charts/chart4.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chart" Target="charts/chart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1.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收、支决算总计变动情况图</a:t>
            </a:r>
          </a:p>
        </c:rich>
      </c:tx>
      <c:layout/>
      <c:overlay val="0"/>
      <c:spPr>
        <a:noFill/>
        <a:ln>
          <a:noFill/>
        </a:ln>
        <a:effectLst/>
      </c:spPr>
    </c:title>
    <c:autoTitleDeleted val="0"/>
    <c:plotArea>
      <c:layout>
        <c:manualLayout>
          <c:layoutTarget val="inner"/>
          <c:xMode val="edge"/>
          <c:yMode val="edge"/>
          <c:x val="0.0201256342111621"/>
          <c:y val="0.276668083297918"/>
          <c:w val="0.930345494080696"/>
          <c:h val="0.638631534211645"/>
        </c:manualLayout>
      </c:layout>
      <c:barChart>
        <c:barDir val="col"/>
        <c:grouping val="clustered"/>
        <c:varyColors val="0"/>
        <c:ser>
          <c:idx val="0"/>
          <c:order val="0"/>
          <c:tx>
            <c:strRef>
              <c:f>Sheet1!$B$1</c:f>
              <c:strCache>
                <c:ptCount val="1"/>
                <c:pt idx="0">
                  <c:v>2025年度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收、支决算总计变动情况</c:v>
                </c:pt>
              </c:strCache>
            </c:strRef>
          </c:cat>
          <c:val>
            <c:numRef>
              <c:f>Sheet1!$B$2</c:f>
              <c:numCache>
                <c:formatCode>General</c:formatCode>
                <c:ptCount val="1"/>
                <c:pt idx="0">
                  <c:v>1160</c:v>
                </c:pt>
              </c:numCache>
            </c:numRef>
          </c:val>
        </c:ser>
        <c:ser>
          <c:idx val="1"/>
          <c:order val="1"/>
          <c:tx>
            <c:strRef>
              <c:f>Sheet1!$C$1</c:f>
              <c:strCache>
                <c:ptCount val="1"/>
                <c:pt idx="0">
                  <c:v>2024年度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收、支决算总计变动情况</c:v>
                </c:pt>
              </c:strCache>
            </c:strRef>
          </c:cat>
          <c:val>
            <c:numRef>
              <c:f>Sheet1!$C$2</c:f>
              <c:numCache>
                <c:formatCode>General</c:formatCode>
                <c:ptCount val="1"/>
                <c:pt idx="0">
                  <c:v>1041.26</c:v>
                </c:pt>
              </c:numCache>
            </c:numRef>
          </c:val>
        </c:ser>
        <c:ser>
          <c:idx val="2"/>
          <c:order val="2"/>
          <c:tx>
            <c:strRef>
              <c:f>Sheet1!$D$1</c:f>
              <c:strCache>
                <c:ptCount val="1"/>
                <c:pt idx="0">
                  <c:v>增减变动比例</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收、支决算总计变动情况</c:v>
                </c:pt>
              </c:strCache>
            </c:strRef>
          </c:cat>
          <c:val>
            <c:numRef>
              <c:f>Sheet1!$D$2</c:f>
              <c:numCache>
                <c:formatCode>0.0%</c:formatCode>
                <c:ptCount val="1"/>
                <c:pt idx="0">
                  <c:v>0.114</c:v>
                </c:pt>
              </c:numCache>
            </c:numRef>
          </c:val>
        </c:ser>
        <c:dLbls>
          <c:showLegendKey val="0"/>
          <c:showVal val="1"/>
          <c:showCatName val="0"/>
          <c:showSerName val="0"/>
          <c:showPercent val="0"/>
          <c:showBubbleSize val="0"/>
        </c:dLbls>
        <c:gapWidth val="246"/>
        <c:overlap val="-28"/>
        <c:axId val="140241923"/>
        <c:axId val="719726186"/>
      </c:barChart>
      <c:catAx>
        <c:axId val="14024192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9726186"/>
        <c:crosses val="autoZero"/>
        <c:auto val="1"/>
        <c:lblAlgn val="ctr"/>
        <c:lblOffset val="100"/>
        <c:noMultiLvlLbl val="0"/>
      </c:catAx>
      <c:valAx>
        <c:axId val="719726186"/>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单位：万元</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024192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manualLayout>
          <c:xMode val="edge"/>
          <c:yMode val="edge"/>
          <c:x val="0.578105156210312"/>
          <c:y val="0.098984462696940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d0fe951-f6a3-4617-a3dc-4d08d651713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支出决算结构图</a:t>
            </a:r>
          </a:p>
        </c:rich>
      </c:tx>
      <c:layout/>
      <c:overlay val="0"/>
      <c:spPr>
        <a:noFill/>
        <a:ln>
          <a:noFill/>
        </a:ln>
        <a:effectLst/>
      </c:spPr>
    </c:title>
    <c:autoTitleDeleted val="0"/>
    <c:plotArea>
      <c:layout>
        <c:manualLayout>
          <c:layoutTarget val="inner"/>
          <c:xMode val="edge"/>
          <c:yMode val="edge"/>
          <c:x val="0.281770959168881"/>
          <c:y val="0.306629834254144"/>
          <c:w val="0.390553273737618"/>
          <c:h val="0.686995325116872"/>
        </c:manualLayout>
      </c:layout>
      <c:pieChart>
        <c:varyColors val="1"/>
        <c:ser>
          <c:idx val="1"/>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0856959955638438"/>
                  <c:y val="-0.0642226487927895"/>
                </c:manualLayout>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961.95万元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192.44万元</a:t>
                    </a:r>
                  </a:p>
                </c:rich>
              </c:tx>
              <c:dLblPos val="in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961.95</c:v>
                </c:pt>
                <c:pt idx="1">
                  <c:v>192.44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a1303f24-9de6-41b4-8ca7-a3c261ae2fe8}"/>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7812033138666"/>
          <c:y val="0.201765775123345"/>
          <c:w val="0.828113540676355"/>
          <c:h val="0.558919761101013"/>
        </c:manualLayout>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财政拨款收、支总计</c:v>
                </c:pt>
              </c:strCache>
            </c:strRef>
          </c:cat>
          <c:val>
            <c:numRef>
              <c:f>Sheet1!$B$2</c:f>
              <c:numCache>
                <c:formatCode>General</c:formatCode>
                <c:ptCount val="1"/>
                <c:pt idx="0">
                  <c:v>1120</c:v>
                </c:pt>
              </c:numCache>
            </c:numRef>
          </c:val>
        </c:ser>
        <c:ser>
          <c:idx val="1"/>
          <c:order val="1"/>
          <c:tx>
            <c:strRef>
              <c:f>Sheet1!$C$1</c:f>
              <c:strCache>
                <c:ptCount val="1"/>
                <c:pt idx="0">
                  <c:v>2024年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财政拨款收、支总计</c:v>
                </c:pt>
              </c:strCache>
            </c:strRef>
          </c:cat>
          <c:val>
            <c:numRef>
              <c:f>Sheet1!$C$2</c:f>
              <c:numCache>
                <c:formatCode>General</c:formatCode>
                <c:ptCount val="1"/>
                <c:pt idx="0">
                  <c:v>1041.26</c:v>
                </c:pt>
              </c:numCache>
            </c:numRef>
          </c:val>
        </c:ser>
        <c:ser>
          <c:idx val="2"/>
          <c:order val="2"/>
          <c:tx>
            <c:strRef>
              <c:f>Sheet1!$D$1</c:f>
              <c:strCache>
                <c:ptCount val="1"/>
                <c:pt idx="0">
                  <c:v>增加变动比例</c:v>
                </c:pt>
              </c:strCache>
            </c:strRef>
          </c:tx>
          <c:spPr>
            <a:solidFill>
              <a:schemeClr val="accent3"/>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财政拨款收、支总计</c:v>
                </c:pt>
              </c:strCache>
            </c:strRef>
          </c:cat>
          <c:val>
            <c:numRef>
              <c:f>Sheet1!$D$2</c:f>
              <c:numCache>
                <c:formatCode>0.0%</c:formatCode>
                <c:ptCount val="1"/>
                <c:pt idx="0">
                  <c:v>0.076</c:v>
                </c:pt>
              </c:numCache>
            </c:numRef>
          </c:val>
        </c:ser>
        <c:dLbls>
          <c:showLegendKey val="0"/>
          <c:showVal val="1"/>
          <c:showCatName val="0"/>
          <c:showSerName val="0"/>
          <c:showPercent val="0"/>
          <c:showBubbleSize val="0"/>
        </c:dLbls>
        <c:gapWidth val="246"/>
        <c:overlap val="-28"/>
        <c:axId val="397084290"/>
        <c:axId val="468281493"/>
      </c:barChart>
      <c:catAx>
        <c:axId val="39708429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8281493"/>
        <c:crosses val="autoZero"/>
        <c:auto val="1"/>
        <c:lblAlgn val="ctr"/>
        <c:lblOffset val="100"/>
        <c:noMultiLvlLbl val="0"/>
      </c:catAx>
      <c:valAx>
        <c:axId val="468281493"/>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单位：万元</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708429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a9c6cde0-fd68-4d54-85a3-15c46d5c32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 1120万元</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 40万元</a:t>
                    </a:r>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1120</c:v>
                </c:pt>
                <c:pt idx="1">
                  <c:v>40</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718a54f-2321-48ba-8972-a66edf74a4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一般公共预算财政拨款支出决算变动情况图</a:t>
            </a:r>
          </a:p>
        </c:rich>
      </c:tx>
      <c:layout/>
      <c:overlay val="0"/>
      <c:spPr>
        <a:noFill/>
        <a:ln>
          <a:noFill/>
        </a:ln>
        <a:effectLst/>
      </c:spPr>
    </c:title>
    <c:autoTitleDeleted val="0"/>
    <c:plotArea>
      <c:layout>
        <c:manualLayout>
          <c:layoutTarget val="inner"/>
          <c:xMode val="edge"/>
          <c:yMode val="edge"/>
          <c:x val="0.0430780381734719"/>
          <c:y val="0.158733531661708"/>
          <c:w val="0.930345494080696"/>
          <c:h val="0.638631534211645"/>
        </c:manualLayout>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1120</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1041.26</c:v>
                </c:pt>
              </c:numCache>
            </c:numRef>
          </c:val>
        </c:ser>
        <c:ser>
          <c:idx val="2"/>
          <c:order val="2"/>
          <c:tx>
            <c:strRef>
              <c:f>Sheet1!$D$1</c:f>
              <c:strCache>
                <c:ptCount val="1"/>
                <c:pt idx="0">
                  <c:v>增加变动比例</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Sheet1!$D$2</c:f>
              <c:numCache>
                <c:formatCode>0.0%</c:formatCode>
                <c:ptCount val="1"/>
                <c:pt idx="0">
                  <c:v>0.076</c:v>
                </c:pt>
              </c:numCache>
            </c:numRef>
          </c:val>
        </c:ser>
        <c:dLbls>
          <c:showLegendKey val="0"/>
          <c:showVal val="1"/>
          <c:showCatName val="0"/>
          <c:showSerName val="0"/>
          <c:showPercent val="0"/>
          <c:showBubbleSize val="0"/>
        </c:dLbls>
        <c:gapWidth val="246"/>
        <c:overlap val="-28"/>
        <c:axId val="207911485"/>
        <c:axId val="223119174"/>
      </c:barChart>
      <c:catAx>
        <c:axId val="20791148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3119174"/>
        <c:crosses val="autoZero"/>
        <c:auto val="1"/>
        <c:lblAlgn val="ctr"/>
        <c:lblOffset val="100"/>
        <c:noMultiLvlLbl val="0"/>
      </c:catAx>
      <c:valAx>
        <c:axId val="223119174"/>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单位：万元</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791148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143661a6-1d93-4297-9cbd-5400344f71f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906.65万元</a:t>
                    </a:r>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106.99万元</a:t>
                    </a:r>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43.95万元</a:t>
                    </a:r>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0.0323996746048153"/>
                  <c:y val="-0.0046675506708875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62.41万元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一般公共预算服务支出</c:v>
                </c:pt>
                <c:pt idx="1">
                  <c:v>社会保障和就业支出</c:v>
                </c:pt>
                <c:pt idx="2">
                  <c:v>卫生健康支出</c:v>
                </c:pt>
                <c:pt idx="3">
                  <c:v>住房保障支出</c:v>
                </c:pt>
              </c:strCache>
            </c:strRef>
          </c:cat>
          <c:val>
            <c:numRef>
              <c:f>Sheet1!$B$2:$B$5</c:f>
              <c:numCache>
                <c:formatCode>General</c:formatCode>
                <c:ptCount val="4"/>
                <c:pt idx="0">
                  <c:v>906.65</c:v>
                </c:pt>
                <c:pt idx="1">
                  <c:v>106.99</c:v>
                </c:pt>
                <c:pt idx="2">
                  <c:v>43.95</c:v>
                </c:pt>
                <c:pt idx="3">
                  <c:v>62.41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0701b30-ac30-42fd-88fa-5bc27cb41a7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layout>
                <c:manualLayout>
                  <c:x val="-0.0985329594336533"/>
                  <c:y val="0.023366635473177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139.51万元</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c:v>
                </c:pt>
                <c:pt idx="1">
                  <c:v>公务用车购置及运行维护费</c:v>
                </c:pt>
                <c:pt idx="2">
                  <c:v>公务接待费</c:v>
                </c:pt>
              </c:strCache>
            </c:strRef>
          </c:cat>
          <c:val>
            <c:numRef>
              <c:f>Sheet1!$B$2:$B$4</c:f>
              <c:numCache>
                <c:formatCode>General</c:formatCode>
                <c:ptCount val="3"/>
                <c:pt idx="0">
                  <c:v>0</c:v>
                </c:pt>
                <c:pt idx="1">
                  <c:v>139.51</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c183829-085c-4d91-9325-6605f3f6886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Pages>20</Pages>
  <Words>5589</Words>
  <Characters>6089</Characters>
  <TotalTime>4</TotalTime>
  <ScaleCrop>false</ScaleCrop>
  <LinksUpToDate>false</LinksUpToDate>
  <CharactersWithSpaces>6130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2018-11-27T01:47:00Z</dcterms:created>
  <dc:creator>user</dc:creator>
  <cp:lastModifiedBy>蔻蔻</cp:lastModifiedBy>
  <cp:lastPrinted>2026-09-07T07:10:22Z</cp:lastPrinted>
  <dcterms:modified xsi:type="dcterms:W3CDTF">2026-09-07T07:11:06Z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1C4B2576760D45DDAB4A4BA8E3F4E200_13</vt:lpwstr>
  </property>
  <property fmtid="{D5CDD505-2E9C-101B-9397-08002B2CF9AE}" pid="4" name="KSOTemplateDocerSaveRecord">
    <vt:lpwstr>eyJoZGlkIjoiMjIxNDI3ODFjYmY4Y2Y5MjgwZGVkYTMyNDBlNWQzOWIiLCJ1c2VySWQiOiI1OTk0MDM5NjkifQ==</vt:lpwstr>
  </property>
</Properties>
</file>