
<file path=[Content_Types].xml><?xml version="1.0" encoding="utf-8"?>
<Types xmlns="http://schemas.openxmlformats.org/package/2006/content-types">
  <Default Extension="xlsx" ContentType="application/vnd.openxmlformats-officedocument.spreadsheetml.sheet"/>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Override PartName="/word/theme/themeOverride2.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D8AE1D">
      <w:pPr>
        <w:pStyle w:val="7"/>
        <w:jc w:val="center"/>
        <w:rPr>
          <w:rFonts w:hint="eastAsia" w:ascii="方正小标宋简体" w:hAnsi="宋体" w:eastAsia="方正小标宋简体" w:cs="Times New Roman"/>
          <w:color w:val="auto"/>
          <w:kern w:val="2"/>
          <w:sz w:val="44"/>
          <w:szCs w:val="44"/>
          <w:highlight w:val="none"/>
          <w:lang w:val="en-US" w:eastAsia="zh-CN" w:bidi="ar-SA"/>
        </w:rPr>
      </w:pPr>
    </w:p>
    <w:p w14:paraId="092C9B0C">
      <w:pPr>
        <w:pStyle w:val="7"/>
        <w:jc w:val="center"/>
        <w:rPr>
          <w:rFonts w:hint="eastAsia" w:ascii="Times New Roman" w:eastAsia="方正小标宋简体" w:cs="Times New Roman"/>
          <w:color w:val="auto"/>
          <w:kern w:val="2"/>
          <w:sz w:val="44"/>
          <w:szCs w:val="44"/>
          <w:highlight w:val="none"/>
          <w:lang w:val="en-US" w:eastAsia="zh-CN" w:bidi="ar-SA"/>
        </w:rPr>
      </w:pPr>
      <w:bookmarkStart w:id="0" w:name="_Toc15396476"/>
      <w:bookmarkStart w:id="1" w:name="_Toc15377194"/>
      <w:bookmarkStart w:id="2" w:name="_Toc15377426"/>
      <w:bookmarkStart w:id="3" w:name="_Toc15396598"/>
      <w:bookmarkStart w:id="4" w:name="_Toc15378442"/>
      <w:r>
        <w:rPr>
          <w:rFonts w:hint="eastAsia" w:ascii="Times New Roman" w:eastAsia="方正小标宋简体" w:cs="Times New Roman"/>
          <w:color w:val="auto"/>
          <w:kern w:val="2"/>
          <w:sz w:val="44"/>
          <w:szCs w:val="44"/>
          <w:highlight w:val="none"/>
          <w:lang w:val="en-US" w:eastAsia="zh-CN" w:bidi="ar-SA"/>
        </w:rPr>
        <w:t>2025年度</w:t>
      </w:r>
      <w:r>
        <w:rPr>
          <w:rFonts w:hint="eastAsia" w:ascii="Times New Roman" w:hAnsi="Times New Roman" w:eastAsia="方正小标宋简体" w:cs="Times New Roman"/>
          <w:color w:val="auto"/>
          <w:kern w:val="2"/>
          <w:sz w:val="44"/>
          <w:szCs w:val="44"/>
          <w:highlight w:val="none"/>
          <w:lang w:val="en-US" w:eastAsia="zh-CN" w:bidi="ar-SA"/>
        </w:rPr>
        <w:t>四川省</w:t>
      </w:r>
      <w:bookmarkStart w:id="5" w:name="_Toc15306268"/>
      <w:r>
        <w:rPr>
          <w:rFonts w:hint="eastAsia" w:ascii="Times New Roman" w:eastAsia="方正小标宋简体" w:cs="Times New Roman"/>
          <w:color w:val="auto"/>
          <w:kern w:val="2"/>
          <w:sz w:val="44"/>
          <w:szCs w:val="44"/>
          <w:highlight w:val="none"/>
          <w:lang w:val="en-US" w:eastAsia="zh-CN" w:bidi="ar-SA"/>
        </w:rPr>
        <w:t>阿坝州</w:t>
      </w:r>
    </w:p>
    <w:p w14:paraId="47B8275B">
      <w:pPr>
        <w:pStyle w:val="7"/>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茂县人民政府办公室</w:t>
      </w:r>
      <w:r>
        <w:rPr>
          <w:rFonts w:hint="eastAsia" w:ascii="Times New Roman" w:hAnsi="Times New Roman" w:eastAsia="方正小标宋简体" w:cs="Times New Roman"/>
          <w:color w:val="auto"/>
          <w:kern w:val="2"/>
          <w:sz w:val="44"/>
          <w:szCs w:val="44"/>
          <w:highlight w:val="none"/>
          <w:lang w:val="en-US" w:eastAsia="zh-CN" w:bidi="ar-SA"/>
        </w:rPr>
        <w:t>部门决算</w:t>
      </w:r>
      <w:bookmarkEnd w:id="0"/>
      <w:bookmarkEnd w:id="1"/>
      <w:bookmarkEnd w:id="2"/>
      <w:bookmarkEnd w:id="3"/>
      <w:bookmarkEnd w:id="4"/>
      <w:bookmarkEnd w:id="5"/>
    </w:p>
    <w:p w14:paraId="63771004">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val="en-US" w:eastAsia="zh-CN"/>
        </w:rPr>
      </w:pPr>
    </w:p>
    <w:p w14:paraId="3722C6C8">
      <w:pPr>
        <w:widowControl/>
        <w:jc w:val="center"/>
        <w:rPr>
          <w:rFonts w:ascii="方正小标宋简体" w:hAnsi="宋体" w:eastAsia="方正小标宋简体"/>
          <w:color w:val="auto"/>
          <w:sz w:val="36"/>
          <w:szCs w:val="36"/>
          <w:highlight w:val="none"/>
        </w:rPr>
      </w:pPr>
    </w:p>
    <w:p w14:paraId="47093C7E">
      <w:pPr>
        <w:widowControl/>
        <w:jc w:val="center"/>
        <w:rPr>
          <w:rFonts w:ascii="方正小标宋简体" w:hAnsi="宋体" w:eastAsia="方正小标宋简体"/>
          <w:color w:val="auto"/>
          <w:sz w:val="36"/>
          <w:szCs w:val="36"/>
          <w:highlight w:val="none"/>
        </w:rPr>
      </w:pPr>
    </w:p>
    <w:p w14:paraId="2D8B631A">
      <w:pPr>
        <w:widowControl/>
        <w:jc w:val="center"/>
        <w:rPr>
          <w:rFonts w:ascii="方正小标宋简体" w:hAnsi="宋体" w:eastAsia="方正小标宋简体"/>
          <w:color w:val="auto"/>
          <w:sz w:val="36"/>
          <w:szCs w:val="36"/>
          <w:highlight w:val="none"/>
        </w:rPr>
      </w:pPr>
    </w:p>
    <w:p w14:paraId="7FD186F5">
      <w:pPr>
        <w:widowControl/>
        <w:jc w:val="center"/>
        <w:rPr>
          <w:rFonts w:ascii="方正小标宋简体" w:hAnsi="宋体" w:eastAsia="方正小标宋简体"/>
          <w:color w:val="auto"/>
          <w:sz w:val="36"/>
          <w:szCs w:val="36"/>
          <w:highlight w:val="none"/>
        </w:rPr>
      </w:pPr>
    </w:p>
    <w:p w14:paraId="3CAB47B7">
      <w:pPr>
        <w:widowControl/>
        <w:jc w:val="center"/>
        <w:rPr>
          <w:rFonts w:ascii="方正小标宋简体" w:hAnsi="宋体" w:eastAsia="方正小标宋简体"/>
          <w:color w:val="auto"/>
          <w:sz w:val="36"/>
          <w:szCs w:val="36"/>
          <w:highlight w:val="none"/>
        </w:rPr>
      </w:pPr>
    </w:p>
    <w:p w14:paraId="3468D258">
      <w:pPr>
        <w:widowControl/>
        <w:jc w:val="center"/>
        <w:rPr>
          <w:rFonts w:ascii="方正小标宋简体" w:hAnsi="宋体" w:eastAsia="方正小标宋简体"/>
          <w:color w:val="auto"/>
          <w:sz w:val="36"/>
          <w:szCs w:val="36"/>
          <w:highlight w:val="none"/>
        </w:rPr>
      </w:pPr>
    </w:p>
    <w:p w14:paraId="45E6286F">
      <w:pPr>
        <w:widowControl/>
        <w:jc w:val="center"/>
        <w:rPr>
          <w:rFonts w:ascii="方正小标宋简体" w:hAnsi="宋体" w:eastAsia="方正小标宋简体"/>
          <w:color w:val="auto"/>
          <w:sz w:val="36"/>
          <w:szCs w:val="36"/>
          <w:highlight w:val="none"/>
        </w:rPr>
      </w:pPr>
    </w:p>
    <w:p w14:paraId="0AD85C97">
      <w:pPr>
        <w:widowControl/>
        <w:jc w:val="center"/>
        <w:rPr>
          <w:rFonts w:ascii="方正小标宋简体" w:hAnsi="宋体" w:eastAsia="方正小标宋简体"/>
          <w:color w:val="auto"/>
          <w:sz w:val="36"/>
          <w:szCs w:val="36"/>
          <w:highlight w:val="none"/>
        </w:rPr>
      </w:pPr>
    </w:p>
    <w:p w14:paraId="13C42CCF">
      <w:pPr>
        <w:widowControl/>
        <w:jc w:val="center"/>
        <w:rPr>
          <w:rFonts w:ascii="方正小标宋简体" w:hAnsi="宋体" w:eastAsia="方正小标宋简体"/>
          <w:color w:val="auto"/>
          <w:sz w:val="36"/>
          <w:szCs w:val="36"/>
          <w:highlight w:val="none"/>
        </w:rPr>
      </w:pPr>
    </w:p>
    <w:p w14:paraId="79F3D74E">
      <w:pPr>
        <w:widowControl/>
        <w:jc w:val="center"/>
        <w:rPr>
          <w:rFonts w:ascii="方正小标宋简体" w:hAnsi="宋体" w:eastAsia="方正小标宋简体"/>
          <w:color w:val="auto"/>
          <w:sz w:val="36"/>
          <w:szCs w:val="36"/>
          <w:highlight w:val="none"/>
        </w:rPr>
      </w:pPr>
    </w:p>
    <w:p w14:paraId="5619B756">
      <w:pPr>
        <w:widowControl/>
        <w:jc w:val="center"/>
        <w:rPr>
          <w:rFonts w:ascii="方正小标宋简体" w:hAnsi="宋体" w:eastAsia="方正小标宋简体"/>
          <w:color w:val="auto"/>
          <w:sz w:val="36"/>
          <w:szCs w:val="36"/>
          <w:highlight w:val="none"/>
        </w:rPr>
      </w:pPr>
    </w:p>
    <w:p w14:paraId="502BD3CD">
      <w:pPr>
        <w:widowControl/>
        <w:jc w:val="center"/>
        <w:rPr>
          <w:rFonts w:ascii="方正小标宋简体" w:hAnsi="宋体" w:eastAsia="方正小标宋简体"/>
          <w:color w:val="auto"/>
          <w:sz w:val="36"/>
          <w:szCs w:val="36"/>
          <w:highlight w:val="none"/>
        </w:rPr>
      </w:pPr>
    </w:p>
    <w:p w14:paraId="5F235320">
      <w:pPr>
        <w:widowControl/>
        <w:jc w:val="center"/>
        <w:rPr>
          <w:rFonts w:ascii="方正小标宋简体" w:hAnsi="宋体" w:eastAsia="方正小标宋简体"/>
          <w:color w:val="auto"/>
          <w:sz w:val="36"/>
          <w:szCs w:val="36"/>
          <w:highlight w:val="none"/>
        </w:rPr>
      </w:pPr>
    </w:p>
    <w:p w14:paraId="77932E6E">
      <w:pPr>
        <w:widowControl/>
        <w:jc w:val="center"/>
        <w:rPr>
          <w:rFonts w:ascii="方正小标宋简体" w:hAnsi="宋体" w:eastAsia="方正小标宋简体"/>
          <w:color w:val="auto"/>
          <w:sz w:val="36"/>
          <w:szCs w:val="36"/>
          <w:highlight w:val="none"/>
        </w:rPr>
      </w:pPr>
    </w:p>
    <w:p w14:paraId="6FDB973E">
      <w:pPr>
        <w:widowControl/>
        <w:jc w:val="center"/>
        <w:rPr>
          <w:rFonts w:ascii="方正小标宋简体" w:hAnsi="宋体" w:eastAsia="方正小标宋简体"/>
          <w:color w:val="auto"/>
          <w:sz w:val="36"/>
          <w:szCs w:val="36"/>
          <w:highlight w:val="none"/>
        </w:rPr>
      </w:pPr>
    </w:p>
    <w:p w14:paraId="555ECDDA">
      <w:pPr>
        <w:keepNext w:val="0"/>
        <w:keepLines w:val="0"/>
        <w:widowControl/>
        <w:suppressLineNumbers w:val="0"/>
        <w:jc w:val="left"/>
      </w:pPr>
      <w:r>
        <w:rPr>
          <w:rFonts w:hint="default" w:ascii="Times New Roman" w:hAnsi="Times New Roman" w:eastAsia="宋体" w:cs="Times New Roman"/>
          <w:color w:val="000000"/>
          <w:kern w:val="0"/>
          <w:sz w:val="20"/>
          <w:szCs w:val="20"/>
          <w:lang w:val="en-US" w:eastAsia="zh-CN" w:bidi="ar"/>
        </w:rPr>
        <w:t>(</w:t>
      </w:r>
      <w:r>
        <w:rPr>
          <w:rFonts w:ascii="FZFangSong-Z02S" w:hAnsi="FZFangSong-Z02S" w:eastAsia="FZFangSong-Z02S" w:cs="FZFangSong-Z02S"/>
          <w:color w:val="000000"/>
          <w:kern w:val="0"/>
          <w:sz w:val="20"/>
          <w:szCs w:val="20"/>
          <w:lang w:val="en-US" w:eastAsia="zh-CN" w:bidi="ar"/>
        </w:rPr>
        <w:t>注：决算情况说明按决算公开表取数，以</w:t>
      </w:r>
      <w:r>
        <w:rPr>
          <w:rFonts w:hint="default" w:ascii="Times New Roman" w:hAnsi="Times New Roman" w:eastAsia="宋体" w:cs="Times New Roman"/>
          <w:color w:val="000000"/>
          <w:kern w:val="0"/>
          <w:sz w:val="20"/>
          <w:szCs w:val="20"/>
          <w:lang w:val="en-US" w:eastAsia="zh-CN" w:bidi="ar"/>
        </w:rPr>
        <w:t>“</w:t>
      </w:r>
      <w:r>
        <w:rPr>
          <w:rFonts w:hint="default" w:ascii="FZFangSong-Z02S" w:hAnsi="FZFangSong-Z02S" w:eastAsia="FZFangSong-Z02S" w:cs="FZFangSong-Z02S"/>
          <w:color w:val="000000"/>
          <w:kern w:val="0"/>
          <w:sz w:val="20"/>
          <w:szCs w:val="20"/>
          <w:lang w:val="en-US" w:eastAsia="zh-CN" w:bidi="ar"/>
        </w:rPr>
        <w:t>万元</w:t>
      </w:r>
      <w:r>
        <w:rPr>
          <w:rFonts w:hint="default" w:ascii="Times New Roman" w:hAnsi="Times New Roman" w:eastAsia="宋体" w:cs="Times New Roman"/>
          <w:color w:val="000000"/>
          <w:kern w:val="0"/>
          <w:sz w:val="20"/>
          <w:szCs w:val="20"/>
          <w:lang w:val="en-US" w:eastAsia="zh-CN" w:bidi="ar"/>
        </w:rPr>
        <w:t>”</w:t>
      </w:r>
      <w:r>
        <w:rPr>
          <w:rFonts w:hint="default" w:ascii="FZFangSong-Z02S" w:hAnsi="FZFangSong-Z02S" w:eastAsia="FZFangSong-Z02S" w:cs="FZFangSong-Z02S"/>
          <w:color w:val="000000"/>
          <w:kern w:val="0"/>
          <w:sz w:val="20"/>
          <w:szCs w:val="20"/>
          <w:lang w:val="en-US" w:eastAsia="zh-CN" w:bidi="ar"/>
        </w:rPr>
        <w:t xml:space="preserve">为金额单位，保留两位小数，报表金额单 </w:t>
      </w:r>
    </w:p>
    <w:p w14:paraId="43C47234">
      <w:pPr>
        <w:keepNext w:val="0"/>
        <w:keepLines w:val="0"/>
        <w:widowControl/>
        <w:suppressLineNumbers w:val="0"/>
        <w:jc w:val="left"/>
      </w:pPr>
      <w:r>
        <w:rPr>
          <w:rFonts w:hint="default" w:ascii="FZFangSong-Z02S" w:hAnsi="FZFangSong-Z02S" w:eastAsia="FZFangSong-Z02S" w:cs="FZFangSong-Z02S"/>
          <w:color w:val="000000"/>
          <w:kern w:val="0"/>
          <w:sz w:val="20"/>
          <w:szCs w:val="20"/>
          <w:lang w:val="en-US" w:eastAsia="zh-CN" w:bidi="ar"/>
        </w:rPr>
        <w:t>位转换时可能存在尾数误差。</w:t>
      </w:r>
      <w:r>
        <w:rPr>
          <w:rFonts w:hint="default" w:ascii="Times New Roman" w:hAnsi="Times New Roman" w:eastAsia="宋体" w:cs="Times New Roman"/>
          <w:color w:val="000000"/>
          <w:kern w:val="0"/>
          <w:sz w:val="20"/>
          <w:szCs w:val="20"/>
          <w:lang w:val="en-US" w:eastAsia="zh-CN" w:bidi="ar"/>
        </w:rPr>
        <w:t>)</w:t>
      </w:r>
    </w:p>
    <w:p w14:paraId="758A11B6">
      <w:pPr>
        <w:widowControl/>
        <w:jc w:val="center"/>
        <w:rPr>
          <w:rFonts w:ascii="黑体" w:hAnsi="黑体" w:eastAsia="黑体"/>
          <w:color w:val="auto"/>
          <w:sz w:val="48"/>
          <w:szCs w:val="48"/>
          <w:highlight w:val="none"/>
        </w:rPr>
      </w:pPr>
      <w:r>
        <w:rPr>
          <w:rFonts w:ascii="方正小标宋简体" w:hAnsi="宋体" w:eastAsia="方正小标宋简体"/>
          <w:color w:val="auto"/>
          <w:sz w:val="36"/>
          <w:szCs w:val="36"/>
          <w:highlight w:val="none"/>
        </w:rPr>
        <w:br w:type="page"/>
      </w:r>
      <w:r>
        <w:rPr>
          <w:rFonts w:hint="eastAsia" w:ascii="黑体" w:hAnsi="黑体" w:eastAsia="黑体"/>
          <w:color w:val="auto"/>
          <w:sz w:val="48"/>
          <w:szCs w:val="48"/>
          <w:highlight w:val="none"/>
        </w:rPr>
        <w:t>目录</w:t>
      </w:r>
    </w:p>
    <w:p w14:paraId="0E719B38">
      <w:pPr>
        <w:pStyle w:val="11"/>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公开时间：</w:t>
      </w:r>
      <w:r>
        <w:rPr>
          <w:rFonts w:hint="eastAsia" w:ascii="仿宋_GB2312" w:hAnsi="仿宋_GB2312" w:eastAsia="仿宋_GB2312" w:cs="仿宋_GB2312"/>
          <w:color w:val="auto"/>
          <w:sz w:val="32"/>
          <w:szCs w:val="32"/>
          <w:highlight w:val="none"/>
          <w:lang w:eastAsia="zh-CN"/>
        </w:rPr>
        <w:t>202</w:t>
      </w:r>
      <w:r>
        <w:rPr>
          <w:rFonts w:hint="eastAsia" w:ascii="仿宋_GB2312" w:hAnsi="仿宋_GB2312" w:eastAsia="仿宋_GB2312" w:cs="仿宋_GB2312"/>
          <w:color w:val="auto"/>
          <w:sz w:val="32"/>
          <w:szCs w:val="32"/>
          <w:highlight w:val="none"/>
          <w:lang w:val="en-US" w:eastAsia="zh-CN"/>
        </w:rPr>
        <w:t>6</w:t>
      </w:r>
      <w:r>
        <w:rPr>
          <w:rFonts w:hint="eastAsia" w:ascii="仿宋_GB2312" w:hAnsi="仿宋_GB2312" w:eastAsia="仿宋_GB2312" w:cs="仿宋_GB2312"/>
          <w:color w:val="auto"/>
          <w:sz w:val="32"/>
          <w:szCs w:val="32"/>
          <w:highlight w:val="none"/>
          <w:lang w:eastAsia="zh-CN"/>
        </w:rPr>
        <w:t>年</w:t>
      </w:r>
      <w:r>
        <w:rPr>
          <w:rFonts w:hint="eastAsia" w:ascii="仿宋_GB2312" w:hAnsi="仿宋_GB2312" w:eastAsia="仿宋_GB2312" w:cs="仿宋_GB2312"/>
          <w:color w:val="auto"/>
          <w:sz w:val="32"/>
          <w:szCs w:val="32"/>
          <w:highlight w:val="none"/>
          <w:lang w:val="en-US" w:eastAsia="zh-CN"/>
        </w:rPr>
        <w:t>9</w:t>
      </w:r>
      <w:r>
        <w:rPr>
          <w:rFonts w:hint="eastAsia" w:ascii="仿宋_GB2312" w:hAnsi="仿宋_GB2312" w:eastAsia="仿宋_GB2312" w:cs="仿宋_GB2312"/>
          <w:color w:val="auto"/>
          <w:sz w:val="32"/>
          <w:szCs w:val="32"/>
          <w:highlight w:val="none"/>
        </w:rPr>
        <w:t>月</w:t>
      </w: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rPr>
        <w:t>日</w:t>
      </w:r>
    </w:p>
    <w:p w14:paraId="19C6682B">
      <w:pPr>
        <w:rPr>
          <w:color w:val="auto"/>
          <w:highlight w:val="none"/>
        </w:rPr>
      </w:pPr>
    </w:p>
    <w:p w14:paraId="77A17137">
      <w:pPr>
        <w:pStyle w:val="11"/>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"1-2" \h \u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_Toc13211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highlight w:val="none"/>
        </w:rPr>
        <w:t>第一部分</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 xml:space="preserve"> </w:t>
      </w:r>
      <w:r>
        <w:rPr>
          <w:rFonts w:hint="eastAsia" w:ascii="仿宋_GB2312" w:hAnsi="仿宋_GB2312" w:eastAsia="仿宋_GB2312" w:cs="仿宋_GB2312"/>
          <w:bCs w:val="0"/>
          <w:sz w:val="32"/>
          <w:szCs w:val="32"/>
          <w:highlight w:val="none"/>
        </w:rPr>
        <w:t>部门概况</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_Toc13211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0C6647C2">
      <w:pPr>
        <w:pStyle w:val="15"/>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_Toc28176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highlight w:val="none"/>
        </w:rPr>
        <w:t>一、</w:t>
      </w:r>
      <w:r>
        <w:rPr>
          <w:rFonts w:hint="eastAsia" w:ascii="仿宋_GB2312" w:hAnsi="仿宋_GB2312" w:eastAsia="仿宋_GB2312" w:cs="仿宋_GB2312"/>
          <w:sz w:val="32"/>
          <w:szCs w:val="32"/>
          <w:highlight w:val="none"/>
          <w:lang w:eastAsia="zh-CN"/>
        </w:rPr>
        <w:t>部门职责</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_Toc28176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630031F9">
      <w:pPr>
        <w:pStyle w:val="15"/>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_Toc2776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highlight w:val="none"/>
        </w:rPr>
        <w:t>二、机</w:t>
      </w:r>
      <w:r>
        <w:rPr>
          <w:rFonts w:hint="eastAsia" w:ascii="仿宋_GB2312" w:hAnsi="仿宋_GB2312" w:eastAsia="仿宋_GB2312" w:cs="仿宋_GB2312"/>
          <w:bCs w:val="0"/>
          <w:sz w:val="32"/>
          <w:szCs w:val="32"/>
          <w:highlight w:val="none"/>
        </w:rPr>
        <w:t>构设置</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_Toc2776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74580DB0">
      <w:pPr>
        <w:pStyle w:val="11"/>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_Toc30652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highlight w:val="none"/>
        </w:rPr>
        <w:t>第二部分</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 xml:space="preserve"> </w:t>
      </w:r>
      <w:r>
        <w:rPr>
          <w:rFonts w:hint="eastAsia" w:ascii="仿宋_GB2312" w:hAnsi="仿宋_GB2312" w:eastAsia="仿宋_GB2312" w:cs="仿宋_GB2312"/>
          <w:sz w:val="32"/>
          <w:szCs w:val="32"/>
          <w:highlight w:val="none"/>
          <w:lang w:val="en-US" w:eastAsia="zh-CN"/>
        </w:rPr>
        <w:t>2025年度</w:t>
      </w:r>
      <w:r>
        <w:rPr>
          <w:rFonts w:hint="eastAsia" w:ascii="仿宋_GB2312" w:hAnsi="仿宋_GB2312" w:eastAsia="仿宋_GB2312" w:cs="仿宋_GB2312"/>
          <w:sz w:val="32"/>
          <w:szCs w:val="32"/>
          <w:highlight w:val="none"/>
        </w:rPr>
        <w:t>部门决算情况说明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_Toc30652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5</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69663655">
      <w:pPr>
        <w:pStyle w:val="15"/>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_Toc12359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highlight w:val="none"/>
          <w:lang w:eastAsia="zh-CN"/>
        </w:rPr>
        <w:t>一、</w:t>
      </w:r>
      <w:r>
        <w:rPr>
          <w:rFonts w:hint="eastAsia" w:ascii="仿宋_GB2312" w:hAnsi="仿宋_GB2312" w:eastAsia="仿宋_GB2312" w:cs="仿宋_GB2312"/>
          <w:sz w:val="32"/>
          <w:szCs w:val="32"/>
          <w:highlight w:val="none"/>
        </w:rPr>
        <w:t>收入支出决算总体情况说明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_Toc12359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5</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15420B2E">
      <w:pPr>
        <w:pStyle w:val="15"/>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_Toc28209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highlight w:val="none"/>
          <w:lang w:eastAsia="zh-CN"/>
        </w:rPr>
        <w:t>二、收入决算情况说明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_Toc28209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5</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26430D46">
      <w:pPr>
        <w:pStyle w:val="15"/>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_Toc12094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highlight w:val="none"/>
          <w:lang w:eastAsia="zh-CN"/>
        </w:rPr>
        <w:t>三、</w:t>
      </w:r>
      <w:r>
        <w:rPr>
          <w:rFonts w:hint="eastAsia" w:ascii="仿宋_GB2312" w:hAnsi="仿宋_GB2312" w:eastAsia="仿宋_GB2312" w:cs="仿宋_GB2312"/>
          <w:sz w:val="32"/>
          <w:szCs w:val="32"/>
          <w:highlight w:val="none"/>
        </w:rPr>
        <w:t>支出决算情况说明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_Toc12094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6</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0DD89BFD">
      <w:pPr>
        <w:pStyle w:val="15"/>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_Toc10144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highlight w:val="none"/>
          <w:lang w:eastAsia="zh-CN"/>
        </w:rPr>
        <w:t>四、财政拨款收入支出决算总体情况说明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_Toc10144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6</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0FF74FF1">
      <w:pPr>
        <w:pStyle w:val="15"/>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_Toc131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highlight w:val="none"/>
          <w:lang w:eastAsia="zh-CN"/>
        </w:rPr>
        <w:t>五、一般公共预算财政拨款支出决算情况说明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_Toc131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7</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17BAAFBE">
      <w:pPr>
        <w:pStyle w:val="15"/>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_Toc28193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highlight w:val="none"/>
        </w:rPr>
        <w:t>六、一般公共预算财政拨款基本支出决算情况说明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_Toc28193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9</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13A5F830">
      <w:pPr>
        <w:pStyle w:val="15"/>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_Toc2915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highlight w:val="none"/>
        </w:rPr>
        <w:t>七、财政拨款“三公”经费支出决算情况说明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_Toc2915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9</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2AF07627">
      <w:pPr>
        <w:pStyle w:val="15"/>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_Toc21629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highlight w:val="none"/>
        </w:rPr>
        <w:t>八、政府性基金预算支出决算情况说明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_Toc21629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11</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28D740CF">
      <w:pPr>
        <w:pStyle w:val="15"/>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_Toc23810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highlight w:val="none"/>
          <w:lang w:eastAsia="zh-CN"/>
        </w:rPr>
        <w:t>九、</w:t>
      </w:r>
      <w:r>
        <w:rPr>
          <w:rFonts w:hint="eastAsia" w:ascii="仿宋_GB2312" w:hAnsi="仿宋_GB2312" w:eastAsia="仿宋_GB2312" w:cs="仿宋_GB2312"/>
          <w:sz w:val="32"/>
          <w:szCs w:val="32"/>
          <w:highlight w:val="none"/>
        </w:rPr>
        <w:t>国有资本经营预算支出决算情况说明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_Toc23810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11</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06C5D81E">
      <w:pPr>
        <w:pStyle w:val="15"/>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_Toc1193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highlight w:val="none"/>
          <w:lang w:eastAsia="zh-CN"/>
        </w:rPr>
        <w:t>十、</w:t>
      </w:r>
      <w:r>
        <w:rPr>
          <w:rFonts w:hint="eastAsia" w:ascii="仿宋_GB2312" w:hAnsi="仿宋_GB2312" w:eastAsia="仿宋_GB2312" w:cs="仿宋_GB2312"/>
          <w:sz w:val="32"/>
          <w:szCs w:val="32"/>
          <w:highlight w:val="none"/>
        </w:rPr>
        <w:t>其他重要事项的情况说明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_Toc1193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11</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6E2A6B57">
      <w:pPr>
        <w:pStyle w:val="11"/>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_Toc17411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highlight w:val="none"/>
        </w:rPr>
        <w:t>第</w:t>
      </w:r>
      <w:r>
        <w:rPr>
          <w:rFonts w:hint="eastAsia" w:ascii="仿宋_GB2312" w:hAnsi="仿宋_GB2312" w:eastAsia="仿宋_GB2312" w:cs="仿宋_GB2312"/>
          <w:sz w:val="32"/>
          <w:szCs w:val="32"/>
          <w:highlight w:val="none"/>
          <w:lang w:eastAsia="zh-CN"/>
        </w:rPr>
        <w:t>三</w:t>
      </w:r>
      <w:r>
        <w:rPr>
          <w:rFonts w:hint="eastAsia" w:ascii="仿宋_GB2312" w:hAnsi="仿宋_GB2312" w:eastAsia="仿宋_GB2312" w:cs="仿宋_GB2312"/>
          <w:sz w:val="32"/>
          <w:szCs w:val="32"/>
          <w:highlight w:val="none"/>
        </w:rPr>
        <w:t>部分</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名词解释</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_Toc17411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13</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68545813">
      <w:pPr>
        <w:pStyle w:val="11"/>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_Toc13623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highlight w:val="none"/>
        </w:rPr>
        <w:t>第四部分</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 xml:space="preserve"> 附件</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_Toc13623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17</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71E5BB51">
      <w:pPr>
        <w:pStyle w:val="11"/>
        <w:tabs>
          <w:tab w:val="right" w:leader="dot" w:pos="8306"/>
          <w:tab w:val="clear" w:pos="8296"/>
        </w:tabs>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_Toc5608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highlight w:val="none"/>
        </w:rPr>
        <w:t>第五部分 附表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_Toc5608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34</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7BCC6ADC">
      <w:pPr>
        <w:rPr>
          <w:rFonts w:ascii="仿宋" w:hAnsi="仿宋" w:eastAsia="仿宋"/>
          <w:bCs/>
          <w:color w:val="auto"/>
          <w:kern w:val="44"/>
          <w:sz w:val="24"/>
          <w:highlight w:val="none"/>
        </w:rPr>
      </w:pPr>
      <w:r>
        <w:rPr>
          <w:rFonts w:hint="eastAsia" w:ascii="仿宋_GB2312" w:hAnsi="仿宋_GB2312" w:eastAsia="仿宋_GB2312" w:cs="仿宋_GB2312"/>
          <w:szCs w:val="32"/>
        </w:rPr>
        <w:fldChar w:fldCharType="end"/>
      </w:r>
      <w:bookmarkStart w:id="6" w:name="_Toc1266"/>
    </w:p>
    <w:p w14:paraId="5BA3B4E0">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7" w:name="_Toc13211"/>
    </w:p>
    <w:p w14:paraId="5A6D7996">
      <w:pPr>
        <w:numPr>
          <w:ilvl w:val="0"/>
          <w:numId w:val="0"/>
        </w:numPr>
        <w:spacing w:line="600" w:lineRule="exact"/>
        <w:jc w:val="center"/>
        <w:outlineLvl w:val="0"/>
        <w:rPr>
          <w:rFonts w:hint="eastAsia"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rPr>
        <w:t>第一部分</w:t>
      </w:r>
      <w:r>
        <w:rPr>
          <w:rFonts w:hint="eastAsia" w:ascii="方正小标宋简体" w:hAnsi="方正小标宋简体" w:eastAsia="方正小标宋简体" w:cs="方正小标宋简体"/>
          <w:color w:val="auto"/>
          <w:sz w:val="44"/>
          <w:szCs w:val="44"/>
          <w:highlight w:val="none"/>
          <w:lang w:val="en-US" w:eastAsia="zh-CN"/>
        </w:rPr>
        <w:t xml:space="preserve"> </w:t>
      </w:r>
      <w:r>
        <w:rPr>
          <w:rFonts w:hint="eastAsia" w:ascii="方正小标宋简体" w:hAnsi="方正小标宋简体" w:eastAsia="方正小标宋简体" w:cs="方正小标宋简体"/>
          <w:color w:val="auto"/>
          <w:sz w:val="44"/>
          <w:szCs w:val="44"/>
          <w:highlight w:val="none"/>
        </w:rPr>
        <w:t xml:space="preserve"> 部门概况</w:t>
      </w:r>
      <w:bookmarkEnd w:id="6"/>
      <w:bookmarkEnd w:id="7"/>
    </w:p>
    <w:p w14:paraId="538009CD">
      <w:pPr>
        <w:pStyle w:val="25"/>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8" w:name="_Toc15377197"/>
      <w:bookmarkStart w:id="9" w:name="_Toc15396600"/>
      <w:bookmarkStart w:id="10" w:name="_Toc30964"/>
      <w:bookmarkStart w:id="11" w:name="_Toc28176"/>
      <w:r>
        <w:rPr>
          <w:rFonts w:hint="eastAsia" w:ascii="Times New Roman" w:hAnsi="Times New Roman" w:eastAsia="黑体"/>
          <w:color w:val="auto"/>
          <w:sz w:val="32"/>
          <w:szCs w:val="32"/>
          <w:highlight w:val="none"/>
          <w:lang w:eastAsia="zh-CN"/>
        </w:rPr>
        <w:t>一、</w:t>
      </w:r>
      <w:bookmarkEnd w:id="8"/>
      <w:bookmarkEnd w:id="9"/>
      <w:r>
        <w:rPr>
          <w:rFonts w:hint="eastAsia" w:ascii="Times New Roman" w:hAnsi="Times New Roman" w:eastAsia="黑体"/>
          <w:color w:val="auto"/>
          <w:sz w:val="32"/>
          <w:szCs w:val="32"/>
          <w:highlight w:val="none"/>
          <w:lang w:eastAsia="zh-CN"/>
        </w:rPr>
        <w:t>部门职责</w:t>
      </w:r>
      <w:bookmarkEnd w:id="10"/>
      <w:bookmarkEnd w:id="11"/>
    </w:p>
    <w:p w14:paraId="2DB282CE">
      <w:pPr>
        <w:pStyle w:val="25"/>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仿宋_GB2312" w:hAnsi="仿宋_GB2312" w:eastAsia="仿宋_GB2312" w:cs="仿宋_GB2312"/>
          <w:sz w:val="32"/>
          <w:szCs w:val="32"/>
        </w:rPr>
      </w:pPr>
      <w:bookmarkStart w:id="12" w:name="_Toc10978"/>
      <w:bookmarkStart w:id="13" w:name="_Toc3696"/>
      <w:bookmarkStart w:id="14" w:name="_Toc18900"/>
      <w:bookmarkStart w:id="15" w:name="_Toc13883"/>
      <w:bookmarkStart w:id="16" w:name="_Toc12856"/>
      <w:bookmarkStart w:id="17" w:name="_Toc7645"/>
      <w:bookmarkStart w:id="18" w:name="_Toc15377200"/>
      <w:bookmarkStart w:id="19" w:name="_Toc15396601"/>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协助县政府领导同志组织起草或审核以县政府、县政府办公室名</w:t>
      </w:r>
      <w:r>
        <w:rPr>
          <w:rFonts w:hint="eastAsia" w:ascii="仿宋_GB2312" w:hAnsi="仿宋_GB2312" w:eastAsia="仿宋_GB2312" w:cs="仿宋_GB2312"/>
          <w:sz w:val="32"/>
          <w:szCs w:val="32"/>
        </w:rPr>
        <w:t>义发布的公文。办理州政府、州政府办公室及州政府各部门发送县政府的文电。指导全县行政机关公文处理工作。</w:t>
      </w:r>
      <w:bookmarkEnd w:id="12"/>
      <w:bookmarkEnd w:id="13"/>
      <w:bookmarkEnd w:id="14"/>
      <w:bookmarkEnd w:id="15"/>
      <w:bookmarkEnd w:id="16"/>
      <w:bookmarkEnd w:id="17"/>
    </w:p>
    <w:p w14:paraId="0BCA3CA4">
      <w:pPr>
        <w:pageBreakBefore w:val="0"/>
        <w:widowControl w:val="0"/>
        <w:kinsoku/>
        <w:wordWrap/>
        <w:overflowPunct/>
        <w:topLinePunct w:val="0"/>
        <w:autoSpaceDE/>
        <w:bidi w:val="0"/>
        <w:spacing w:line="576" w:lineRule="exact"/>
        <w:ind w:firstLine="640" w:firstLineChars="200"/>
        <w:textAlignment w:val="auto"/>
        <w:rPr>
          <w:rFonts w:hint="eastAsia" w:ascii="仿宋_GB2312" w:eastAsia="仿宋_GB2312" w:cs="仿宋_GB2312"/>
          <w:sz w:val="32"/>
          <w:szCs w:val="32"/>
        </w:rPr>
      </w:pPr>
      <w:r>
        <w:rPr>
          <w:rFonts w:hint="eastAsia" w:ascii="仿宋_GB2312" w:eastAsia="仿宋_GB2312" w:cs="仿宋_GB2312"/>
          <w:b w:val="0"/>
          <w:bCs/>
          <w:color w:val="000000"/>
          <w:sz w:val="32"/>
          <w:szCs w:val="32"/>
          <w:lang w:val="en-US" w:eastAsia="zh-CN"/>
        </w:rPr>
        <w:t>2.</w:t>
      </w:r>
      <w:r>
        <w:rPr>
          <w:rFonts w:hint="eastAsia" w:ascii="仿宋_GB2312" w:eastAsia="仿宋_GB2312" w:cs="仿宋_GB2312"/>
          <w:sz w:val="32"/>
          <w:szCs w:val="32"/>
        </w:rPr>
        <w:t>研究县政府部门和各乡镇人民政府请示县政府的事项，提出审核意见，报县政府领导同志审批。</w:t>
      </w:r>
    </w:p>
    <w:p w14:paraId="0A0B92CF">
      <w:pPr>
        <w:pageBreakBefore w:val="0"/>
        <w:widowControl w:val="0"/>
        <w:kinsoku/>
        <w:wordWrap/>
        <w:overflowPunct/>
        <w:topLinePunct w:val="0"/>
        <w:autoSpaceDE/>
        <w:bidi w:val="0"/>
        <w:spacing w:line="576" w:lineRule="exact"/>
        <w:ind w:firstLine="640" w:firstLineChars="200"/>
        <w:textAlignment w:val="auto"/>
        <w:rPr>
          <w:rFonts w:hint="eastAsia" w:ascii="仿宋_GB2312" w:eastAsia="仿宋_GB2312" w:cs="仿宋_GB2312"/>
          <w:sz w:val="32"/>
          <w:szCs w:val="32"/>
        </w:rPr>
      </w:pPr>
      <w:r>
        <w:rPr>
          <w:rFonts w:hint="eastAsia" w:ascii="仿宋_GB2312" w:eastAsia="仿宋_GB2312" w:cs="仿宋_GB2312"/>
          <w:sz w:val="32"/>
          <w:szCs w:val="32"/>
          <w:lang w:val="en-US" w:eastAsia="zh-CN"/>
        </w:rPr>
        <w:t>3.</w:t>
      </w:r>
      <w:r>
        <w:rPr>
          <w:rFonts w:hint="eastAsia" w:ascii="仿宋_GB2312" w:eastAsia="仿宋_GB2312" w:cs="仿宋_GB2312"/>
          <w:sz w:val="32"/>
          <w:szCs w:val="32"/>
        </w:rPr>
        <w:t>负责县政府会议的筹备工作，协助县政府领导同志组织实施会议决定事项。</w:t>
      </w:r>
    </w:p>
    <w:p w14:paraId="5E598276">
      <w:pPr>
        <w:pageBreakBefore w:val="0"/>
        <w:widowControl w:val="0"/>
        <w:kinsoku/>
        <w:wordWrap/>
        <w:overflowPunct/>
        <w:topLinePunct w:val="0"/>
        <w:autoSpaceDE/>
        <w:bidi w:val="0"/>
        <w:spacing w:line="576" w:lineRule="exact"/>
        <w:ind w:firstLine="640" w:firstLineChars="200"/>
        <w:textAlignment w:val="auto"/>
        <w:rPr>
          <w:rFonts w:hint="eastAsia" w:ascii="仿宋_GB2312" w:eastAsia="仿宋_GB2312" w:cs="仿宋_GB2312"/>
          <w:sz w:val="32"/>
          <w:szCs w:val="32"/>
        </w:rPr>
      </w:pPr>
      <w:r>
        <w:rPr>
          <w:rFonts w:hint="eastAsia" w:ascii="仿宋_GB2312" w:eastAsia="仿宋_GB2312" w:cs="仿宋_GB2312"/>
          <w:b w:val="0"/>
          <w:bCs/>
          <w:color w:val="000000"/>
          <w:sz w:val="32"/>
          <w:szCs w:val="32"/>
          <w:lang w:val="en-US" w:eastAsia="zh-CN"/>
        </w:rPr>
        <w:t>4.</w:t>
      </w:r>
      <w:r>
        <w:rPr>
          <w:rFonts w:hint="eastAsia" w:ascii="仿宋_GB2312" w:eastAsia="仿宋_GB2312" w:cs="仿宋_GB2312"/>
          <w:sz w:val="32"/>
          <w:szCs w:val="32"/>
        </w:rPr>
        <w:t>督促检查县政府各部门和各乡镇人民政府对县政府公文、会议决定事项及县政府领导有关指示的执行情况并跟踪调研，及时向县政府领导报告。</w:t>
      </w:r>
    </w:p>
    <w:p w14:paraId="011BEF3F">
      <w:pPr>
        <w:pageBreakBefore w:val="0"/>
        <w:widowControl w:val="0"/>
        <w:kinsoku/>
        <w:wordWrap/>
        <w:overflowPunct/>
        <w:topLinePunct w:val="0"/>
        <w:autoSpaceDE/>
        <w:bidi w:val="0"/>
        <w:spacing w:line="576" w:lineRule="exact"/>
        <w:ind w:firstLine="640" w:firstLineChars="200"/>
        <w:textAlignment w:val="auto"/>
        <w:rPr>
          <w:rFonts w:hint="eastAsia" w:ascii="仿宋_GB2312" w:eastAsia="仿宋_GB2312" w:cs="仿宋_GB2312"/>
          <w:sz w:val="32"/>
          <w:szCs w:val="32"/>
        </w:rPr>
      </w:pPr>
      <w:r>
        <w:rPr>
          <w:rFonts w:hint="eastAsia" w:ascii="仿宋_GB2312" w:eastAsia="仿宋_GB2312" w:cs="仿宋_GB2312"/>
          <w:sz w:val="32"/>
          <w:szCs w:val="32"/>
          <w:lang w:val="en-US" w:eastAsia="zh-CN"/>
        </w:rPr>
        <w:t>5.</w:t>
      </w:r>
      <w:r>
        <w:rPr>
          <w:rFonts w:hint="eastAsia" w:ascii="仿宋_GB2312" w:eastAsia="仿宋_GB2312" w:cs="仿宋_GB2312"/>
          <w:sz w:val="32"/>
          <w:szCs w:val="32"/>
        </w:rPr>
        <w:t>组织办理涉及县政府工作的人大代表议案、批评、建议和政协委员提案、建议案工作。</w:t>
      </w:r>
    </w:p>
    <w:p w14:paraId="59CB6B83">
      <w:pPr>
        <w:pageBreakBefore w:val="0"/>
        <w:widowControl w:val="0"/>
        <w:kinsoku/>
        <w:wordWrap/>
        <w:overflowPunct/>
        <w:topLinePunct w:val="0"/>
        <w:autoSpaceDE/>
        <w:bidi w:val="0"/>
        <w:spacing w:line="576" w:lineRule="exact"/>
        <w:ind w:firstLine="640" w:firstLineChars="200"/>
        <w:textAlignment w:val="auto"/>
        <w:rPr>
          <w:rFonts w:hint="eastAsia" w:ascii="仿宋_GB2312" w:eastAsia="仿宋_GB2312" w:cs="仿宋_GB2312"/>
          <w:sz w:val="32"/>
          <w:szCs w:val="32"/>
        </w:rPr>
      </w:pPr>
      <w:r>
        <w:rPr>
          <w:rFonts w:hint="eastAsia" w:ascii="仿宋_GB2312" w:eastAsia="仿宋_GB2312" w:cs="仿宋_GB2312"/>
          <w:b w:val="0"/>
          <w:bCs/>
          <w:color w:val="000000"/>
          <w:sz w:val="32"/>
          <w:szCs w:val="32"/>
          <w:lang w:val="en-US" w:eastAsia="zh-CN"/>
        </w:rPr>
        <w:t>6.</w:t>
      </w:r>
      <w:r>
        <w:rPr>
          <w:rFonts w:hint="eastAsia" w:ascii="仿宋_GB2312" w:eastAsia="仿宋_GB2312" w:cs="仿宋_GB2312"/>
          <w:sz w:val="32"/>
          <w:szCs w:val="32"/>
        </w:rPr>
        <w:t>负责县政府值班工作，指导各乡镇人民政府和县政府部门值班工作，及时报告重要情况。协助县政府领导组织处理由县政府直接处理的突发事件和重大事故。</w:t>
      </w:r>
    </w:p>
    <w:p w14:paraId="744C80B3">
      <w:pPr>
        <w:pageBreakBefore w:val="0"/>
        <w:widowControl w:val="0"/>
        <w:kinsoku/>
        <w:wordWrap/>
        <w:overflowPunct/>
        <w:topLinePunct w:val="0"/>
        <w:autoSpaceDE/>
        <w:bidi w:val="0"/>
        <w:spacing w:line="576" w:lineRule="exact"/>
        <w:ind w:firstLine="640" w:firstLineChars="200"/>
        <w:textAlignment w:val="auto"/>
        <w:rPr>
          <w:rFonts w:hint="eastAsia" w:ascii="仿宋_GB2312" w:eastAsia="仿宋_GB2312" w:cs="仿宋_GB2312"/>
          <w:sz w:val="32"/>
          <w:szCs w:val="32"/>
        </w:rPr>
      </w:pPr>
      <w:r>
        <w:rPr>
          <w:rFonts w:hint="eastAsia" w:ascii="仿宋_GB2312" w:eastAsia="仿宋_GB2312" w:cs="仿宋_GB2312"/>
          <w:b w:val="0"/>
          <w:bCs/>
          <w:color w:val="000000"/>
          <w:sz w:val="32"/>
          <w:szCs w:val="32"/>
          <w:lang w:val="en-US" w:eastAsia="zh-CN"/>
        </w:rPr>
        <w:t>7.</w:t>
      </w:r>
      <w:r>
        <w:rPr>
          <w:rFonts w:hint="eastAsia" w:ascii="仿宋_GB2312" w:eastAsia="仿宋_GB2312" w:cs="仿宋_GB2312"/>
          <w:sz w:val="32"/>
          <w:szCs w:val="32"/>
        </w:rPr>
        <w:t>指导、监督全县政府信息公开工作和机关行政效能建设工作，指导、监督全县政府系统电子政务工作和政府网站建设。</w:t>
      </w:r>
    </w:p>
    <w:p w14:paraId="7914D172">
      <w:pPr>
        <w:pageBreakBefore w:val="0"/>
        <w:widowControl w:val="0"/>
        <w:kinsoku/>
        <w:wordWrap/>
        <w:overflowPunct/>
        <w:topLinePunct w:val="0"/>
        <w:autoSpaceDE/>
        <w:bidi w:val="0"/>
        <w:spacing w:line="576" w:lineRule="exact"/>
        <w:ind w:firstLine="640" w:firstLineChars="200"/>
        <w:textAlignment w:val="auto"/>
        <w:rPr>
          <w:rFonts w:hint="eastAsia" w:ascii="仿宋_GB2312" w:eastAsia="仿宋_GB2312" w:cs="仿宋_GB2312"/>
          <w:sz w:val="32"/>
          <w:szCs w:val="32"/>
        </w:rPr>
      </w:pPr>
      <w:r>
        <w:rPr>
          <w:rFonts w:hint="eastAsia" w:ascii="仿宋_GB2312" w:eastAsia="仿宋_GB2312" w:cs="仿宋_GB2312"/>
          <w:sz w:val="32"/>
          <w:szCs w:val="32"/>
          <w:lang w:val="en-US" w:eastAsia="zh-CN"/>
        </w:rPr>
        <w:t>8.</w:t>
      </w:r>
      <w:r>
        <w:rPr>
          <w:rFonts w:hint="eastAsia" w:ascii="仿宋_GB2312" w:eastAsia="仿宋_GB2312" w:cs="仿宋_GB2312"/>
          <w:sz w:val="32"/>
          <w:szCs w:val="32"/>
        </w:rPr>
        <w:t>围绕县政府中心工作和县政府领导同志的指示，组织专题调查研究，及时反映情况，提出意见和建议。</w:t>
      </w:r>
    </w:p>
    <w:p w14:paraId="5A944AC0">
      <w:pPr>
        <w:pageBreakBefore w:val="0"/>
        <w:widowControl w:val="0"/>
        <w:kinsoku/>
        <w:wordWrap/>
        <w:overflowPunct/>
        <w:topLinePunct w:val="0"/>
        <w:autoSpaceDE/>
        <w:bidi w:val="0"/>
        <w:spacing w:line="576" w:lineRule="exact"/>
        <w:ind w:firstLine="640" w:firstLineChars="200"/>
        <w:textAlignment w:val="auto"/>
        <w:rPr>
          <w:rFonts w:hint="eastAsia" w:ascii="仿宋_GB2312" w:eastAsia="仿宋_GB2312" w:cs="仿宋_GB2312"/>
          <w:sz w:val="32"/>
          <w:szCs w:val="32"/>
        </w:rPr>
      </w:pPr>
      <w:r>
        <w:rPr>
          <w:rFonts w:hint="eastAsia" w:ascii="仿宋_GB2312" w:eastAsia="仿宋_GB2312" w:cs="仿宋_GB2312"/>
          <w:sz w:val="32"/>
          <w:szCs w:val="32"/>
          <w:lang w:val="en-US" w:eastAsia="zh-CN"/>
        </w:rPr>
        <w:t>9.</w:t>
      </w:r>
      <w:r>
        <w:rPr>
          <w:rFonts w:hint="eastAsia" w:ascii="仿宋_GB2312" w:eastAsia="仿宋_GB2312" w:cs="仿宋_GB2312"/>
          <w:sz w:val="32"/>
          <w:szCs w:val="32"/>
        </w:rPr>
        <w:t>负责县政府人民防空和民防工作，指导全县人民防空和民防工作。</w:t>
      </w:r>
    </w:p>
    <w:p w14:paraId="715C5894">
      <w:pPr>
        <w:pageBreakBefore w:val="0"/>
        <w:widowControl w:val="0"/>
        <w:kinsoku/>
        <w:wordWrap/>
        <w:overflowPunct/>
        <w:topLinePunct w:val="0"/>
        <w:autoSpaceDE/>
        <w:bidi w:val="0"/>
        <w:spacing w:line="576" w:lineRule="exact"/>
        <w:ind w:firstLine="640" w:firstLineChars="200"/>
        <w:textAlignment w:val="auto"/>
        <w:rPr>
          <w:rFonts w:hint="eastAsia" w:ascii="仿宋_GB2312" w:eastAsia="仿宋_GB2312" w:cs="仿宋_GB2312"/>
          <w:sz w:val="32"/>
          <w:szCs w:val="32"/>
        </w:rPr>
      </w:pPr>
      <w:r>
        <w:rPr>
          <w:rFonts w:hint="eastAsia" w:ascii="仿宋_GB2312" w:eastAsia="仿宋_GB2312" w:cs="仿宋_GB2312"/>
          <w:sz w:val="32"/>
          <w:szCs w:val="32"/>
          <w:lang w:val="en-US" w:eastAsia="zh-CN"/>
        </w:rPr>
        <w:t>10.</w:t>
      </w:r>
      <w:r>
        <w:rPr>
          <w:rFonts w:hint="eastAsia" w:ascii="仿宋_GB2312" w:eastAsia="仿宋_GB2312" w:cs="仿宋_GB2312"/>
          <w:sz w:val="32"/>
          <w:szCs w:val="32"/>
        </w:rPr>
        <w:t>贯彻执行国家外事和港澳政策，研究拟定本县外事和港澳工作规章制度、发展规划，办理本县涉外事务和港澳事务。</w:t>
      </w:r>
    </w:p>
    <w:p w14:paraId="0680782D">
      <w:pPr>
        <w:pageBreakBefore w:val="0"/>
        <w:widowControl w:val="0"/>
        <w:kinsoku/>
        <w:wordWrap/>
        <w:overflowPunct/>
        <w:topLinePunct w:val="0"/>
        <w:autoSpaceDE/>
        <w:bidi w:val="0"/>
        <w:spacing w:line="576" w:lineRule="exact"/>
        <w:ind w:firstLine="640" w:firstLineChars="200"/>
        <w:textAlignment w:val="auto"/>
        <w:rPr>
          <w:rFonts w:hint="eastAsia" w:ascii="仿宋_GB2312" w:eastAsia="仿宋_GB2312" w:cs="仿宋_GB2312"/>
          <w:sz w:val="32"/>
          <w:szCs w:val="32"/>
        </w:rPr>
      </w:pPr>
      <w:r>
        <w:rPr>
          <w:rFonts w:hint="eastAsia" w:ascii="仿宋_GB2312" w:eastAsia="仿宋_GB2312" w:cs="仿宋_GB2312"/>
          <w:sz w:val="32"/>
          <w:szCs w:val="32"/>
          <w:lang w:val="en-US" w:eastAsia="zh-CN"/>
        </w:rPr>
        <w:t>11.</w:t>
      </w:r>
      <w:r>
        <w:rPr>
          <w:rFonts w:hint="eastAsia" w:ascii="仿宋_GB2312" w:eastAsia="仿宋_GB2312" w:cs="仿宋_GB2312"/>
          <w:sz w:val="32"/>
          <w:szCs w:val="32"/>
        </w:rPr>
        <w:t>负责全县公务用车、办公用房及公共机构节能减排工作。</w:t>
      </w:r>
    </w:p>
    <w:p w14:paraId="38E8DC54">
      <w:pPr>
        <w:pageBreakBefore w:val="0"/>
        <w:widowControl w:val="0"/>
        <w:kinsoku/>
        <w:wordWrap/>
        <w:overflowPunct/>
        <w:topLinePunct w:val="0"/>
        <w:autoSpaceDE/>
        <w:bidi w:val="0"/>
        <w:spacing w:line="576" w:lineRule="exact"/>
        <w:ind w:firstLine="640" w:firstLineChars="200"/>
        <w:textAlignment w:val="auto"/>
        <w:rPr>
          <w:rFonts w:hint="eastAsia"/>
          <w:lang w:eastAsia="zh-CN"/>
        </w:rPr>
      </w:pPr>
      <w:r>
        <w:rPr>
          <w:rFonts w:hint="eastAsia" w:ascii="仿宋_GB2312" w:eastAsia="仿宋_GB2312" w:cs="仿宋_GB2312"/>
          <w:sz w:val="32"/>
          <w:szCs w:val="32"/>
          <w:lang w:val="en-US" w:eastAsia="zh-CN"/>
        </w:rPr>
        <w:t>12.</w:t>
      </w:r>
      <w:r>
        <w:rPr>
          <w:rFonts w:hint="eastAsia" w:ascii="仿宋_GB2312" w:eastAsia="仿宋_GB2312" w:cs="仿宋_GB2312"/>
          <w:sz w:val="32"/>
          <w:szCs w:val="32"/>
        </w:rPr>
        <w:t>完成县委、县政府交办的其他事项</w:t>
      </w:r>
      <w:r>
        <w:rPr>
          <w:rFonts w:hint="eastAsia" w:ascii="仿宋_GB2312" w:eastAsia="仿宋_GB2312"/>
          <w:sz w:val="32"/>
          <w:szCs w:val="32"/>
        </w:rPr>
        <w:t>。</w:t>
      </w:r>
    </w:p>
    <w:p w14:paraId="3F0ED34C">
      <w:pPr>
        <w:pStyle w:val="25"/>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20" w:name="_Toc2776"/>
      <w:bookmarkStart w:id="21" w:name="_Toc22177"/>
      <w:r>
        <w:rPr>
          <w:rFonts w:hint="eastAsia" w:ascii="Times New Roman" w:hAnsi="Times New Roman" w:eastAsia="黑体"/>
          <w:color w:val="auto"/>
          <w:sz w:val="32"/>
          <w:szCs w:val="32"/>
          <w:highlight w:val="none"/>
          <w:lang w:eastAsia="zh-CN"/>
        </w:rPr>
        <w:t>二、机构设置</w:t>
      </w:r>
      <w:bookmarkEnd w:id="18"/>
      <w:bookmarkEnd w:id="19"/>
      <w:bookmarkEnd w:id="20"/>
      <w:bookmarkEnd w:id="21"/>
    </w:p>
    <w:p w14:paraId="624770AE">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茂县人民政府办公室下属二级</w:t>
      </w:r>
      <w:r>
        <w:rPr>
          <w:rFonts w:hint="eastAsia" w:ascii="仿宋_GB2312" w:hAnsi="仿宋_GB2312" w:eastAsia="仿宋_GB2312" w:cs="仿宋_GB2312"/>
          <w:sz w:val="32"/>
          <w:szCs w:val="32"/>
          <w:lang w:eastAsia="zh-CN"/>
        </w:rPr>
        <w:t>预算</w:t>
      </w:r>
      <w:r>
        <w:rPr>
          <w:rFonts w:hint="eastAsia" w:ascii="仿宋_GB2312" w:hAnsi="仿宋_GB2312" w:eastAsia="仿宋_GB2312" w:cs="仿宋_GB2312"/>
          <w:sz w:val="32"/>
          <w:szCs w:val="32"/>
        </w:rPr>
        <w:t>单位</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个，其中行政单位</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个，参照公务员法管理的事业单位</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个，其他事业单位</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个。</w:t>
      </w:r>
    </w:p>
    <w:p w14:paraId="07D95B00">
      <w:pPr>
        <w:pStyle w:val="7"/>
        <w:adjustRightInd w:val="0"/>
        <w:snapToGrid w:val="0"/>
        <w:spacing w:before="93" w:line="600" w:lineRule="exact"/>
        <w:ind w:firstLine="672" w:firstLineChars="21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纳入</w:t>
      </w:r>
      <w:r>
        <w:rPr>
          <w:rFonts w:hint="eastAsia" w:ascii="仿宋_GB2312" w:hAnsi="仿宋_GB2312" w:eastAsia="仿宋_GB2312" w:cs="仿宋_GB2312"/>
          <w:sz w:val="32"/>
          <w:szCs w:val="32"/>
        </w:rPr>
        <w:t>茂县人民政府办公室</w:t>
      </w:r>
      <w:r>
        <w:rPr>
          <w:rFonts w:hint="eastAsia" w:ascii="仿宋_GB2312" w:hAnsi="仿宋_GB2312" w:eastAsia="仿宋_GB2312" w:cs="仿宋_GB2312"/>
          <w:color w:val="auto"/>
          <w:sz w:val="32"/>
          <w:szCs w:val="32"/>
          <w:highlight w:val="none"/>
          <w:lang w:eastAsia="zh-CN"/>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年度</w:t>
      </w:r>
      <w:r>
        <w:rPr>
          <w:rFonts w:hint="eastAsia" w:ascii="仿宋_GB2312" w:hAnsi="仿宋_GB2312" w:eastAsia="仿宋_GB2312" w:cs="仿宋_GB2312"/>
          <w:color w:val="auto"/>
          <w:sz w:val="32"/>
          <w:szCs w:val="32"/>
          <w:highlight w:val="none"/>
        </w:rPr>
        <w:t>部门决算编制范围的二级预算单位包括：</w:t>
      </w:r>
    </w:p>
    <w:p w14:paraId="627A3245">
      <w:pPr>
        <w:pStyle w:val="7"/>
        <w:numPr>
          <w:ilvl w:val="0"/>
          <w:numId w:val="1"/>
        </w:numPr>
        <w:adjustRightInd w:val="0"/>
        <w:snapToGrid w:val="0"/>
        <w:spacing w:before="93" w:line="600" w:lineRule="exact"/>
        <w:outlineLvl w:val="9"/>
        <w:rPr>
          <w:rFonts w:hint="eastAsia" w:ascii="仿宋_GB2312" w:hAnsi="仿宋_GB2312" w:eastAsia="仿宋_GB2312" w:cs="仿宋_GB2312"/>
          <w:color w:val="auto"/>
          <w:sz w:val="32"/>
          <w:szCs w:val="32"/>
          <w:highlight w:val="none"/>
        </w:rPr>
      </w:pPr>
      <w:bookmarkStart w:id="22" w:name="_Toc2981"/>
      <w:r>
        <w:rPr>
          <w:rFonts w:hint="eastAsia" w:ascii="仿宋_GB2312" w:hAnsi="仿宋_GB2312" w:eastAsia="仿宋_GB2312" w:cs="仿宋_GB2312"/>
          <w:color w:val="auto"/>
          <w:sz w:val="32"/>
          <w:szCs w:val="32"/>
          <w:highlight w:val="none"/>
          <w:lang w:eastAsia="zh-CN"/>
        </w:rPr>
        <w:t>茂县人民政府办公室</w:t>
      </w:r>
      <w:bookmarkEnd w:id="22"/>
    </w:p>
    <w:p w14:paraId="6ECF9878">
      <w:pPr>
        <w:pStyle w:val="7"/>
        <w:numPr>
          <w:ilvl w:val="0"/>
          <w:numId w:val="1"/>
        </w:numPr>
        <w:adjustRightInd w:val="0"/>
        <w:snapToGrid w:val="0"/>
        <w:spacing w:before="93" w:line="600" w:lineRule="exact"/>
        <w:outlineLvl w:val="9"/>
        <w:rPr>
          <w:rFonts w:hint="eastAsia" w:ascii="仿宋_GB2312" w:hAnsi="仿宋_GB2312" w:eastAsia="仿宋_GB2312" w:cs="仿宋_GB2312"/>
          <w:color w:val="auto"/>
          <w:sz w:val="32"/>
          <w:szCs w:val="32"/>
          <w:highlight w:val="none"/>
          <w:lang w:eastAsia="zh-CN"/>
        </w:rPr>
      </w:pPr>
      <w:bookmarkStart w:id="23" w:name="_Toc6700"/>
      <w:r>
        <w:rPr>
          <w:rFonts w:hint="eastAsia" w:ascii="仿宋_GB2312" w:hAnsi="仿宋_GB2312" w:eastAsia="仿宋_GB2312" w:cs="仿宋_GB2312"/>
          <w:color w:val="auto"/>
          <w:sz w:val="32"/>
          <w:szCs w:val="32"/>
          <w:highlight w:val="none"/>
          <w:lang w:eastAsia="zh-CN"/>
        </w:rPr>
        <w:t>茂县</w:t>
      </w:r>
      <w:bookmarkEnd w:id="23"/>
      <w:r>
        <w:rPr>
          <w:rFonts w:hint="eastAsia" w:ascii="仿宋_GB2312" w:hAnsi="仿宋_GB2312" w:eastAsia="仿宋_GB2312" w:cs="仿宋_GB2312"/>
          <w:color w:val="auto"/>
          <w:sz w:val="32"/>
          <w:szCs w:val="32"/>
          <w:highlight w:val="none"/>
          <w:lang w:eastAsia="zh-CN"/>
        </w:rPr>
        <w:t>国防动员事务中心</w:t>
      </w:r>
    </w:p>
    <w:p w14:paraId="12B496F1">
      <w:pPr>
        <w:widowControl/>
        <w:jc w:val="left"/>
        <w:rPr>
          <w:rFonts w:ascii="Times New Roman" w:hAnsi="Times New Roman" w:eastAsia="仿宋"/>
          <w:color w:val="auto"/>
          <w:kern w:val="0"/>
          <w:sz w:val="32"/>
          <w:szCs w:val="32"/>
          <w:highlight w:val="none"/>
        </w:rPr>
      </w:pPr>
    </w:p>
    <w:p w14:paraId="5241B10B">
      <w:pPr>
        <w:pStyle w:val="5"/>
        <w:rPr>
          <w:rFonts w:ascii="Times New Roman" w:hAnsi="Times New Roman" w:eastAsia="仿宋"/>
          <w:color w:val="auto"/>
          <w:kern w:val="0"/>
          <w:sz w:val="32"/>
          <w:szCs w:val="32"/>
          <w:highlight w:val="none"/>
        </w:rPr>
      </w:pPr>
    </w:p>
    <w:p w14:paraId="53307496">
      <w:pPr>
        <w:pStyle w:val="5"/>
        <w:rPr>
          <w:rFonts w:ascii="Times New Roman" w:hAnsi="Times New Roman" w:eastAsia="仿宋"/>
          <w:color w:val="auto"/>
          <w:kern w:val="0"/>
          <w:sz w:val="32"/>
          <w:szCs w:val="32"/>
          <w:highlight w:val="none"/>
        </w:rPr>
      </w:pPr>
    </w:p>
    <w:p w14:paraId="714811EB">
      <w:pPr>
        <w:pStyle w:val="5"/>
        <w:rPr>
          <w:rFonts w:ascii="Times New Roman" w:hAnsi="Times New Roman" w:eastAsia="仿宋"/>
          <w:color w:val="auto"/>
          <w:kern w:val="0"/>
          <w:sz w:val="32"/>
          <w:szCs w:val="32"/>
          <w:highlight w:val="none"/>
        </w:rPr>
      </w:pPr>
    </w:p>
    <w:p w14:paraId="439B00B1">
      <w:pPr>
        <w:pStyle w:val="5"/>
        <w:rPr>
          <w:rFonts w:ascii="Times New Roman" w:hAnsi="Times New Roman" w:eastAsia="仿宋"/>
          <w:color w:val="auto"/>
          <w:kern w:val="0"/>
          <w:sz w:val="32"/>
          <w:szCs w:val="32"/>
          <w:highlight w:val="none"/>
        </w:rPr>
      </w:pPr>
    </w:p>
    <w:p w14:paraId="4CDD4085">
      <w:pPr>
        <w:pStyle w:val="5"/>
        <w:rPr>
          <w:rFonts w:ascii="Times New Roman" w:hAnsi="Times New Roman" w:eastAsia="仿宋"/>
          <w:color w:val="auto"/>
          <w:kern w:val="0"/>
          <w:sz w:val="32"/>
          <w:szCs w:val="32"/>
          <w:highlight w:val="none"/>
        </w:rPr>
      </w:pPr>
    </w:p>
    <w:p w14:paraId="549D32AC">
      <w:pPr>
        <w:numPr>
          <w:ilvl w:val="0"/>
          <w:numId w:val="0"/>
        </w:numPr>
        <w:spacing w:line="600" w:lineRule="exact"/>
        <w:jc w:val="center"/>
        <w:outlineLvl w:val="0"/>
        <w:rPr>
          <w:rFonts w:hint="eastAsia" w:ascii="方正小标宋简体" w:hAnsi="方正小标宋简体" w:eastAsia="方正小标宋简体" w:cs="方正小标宋简体"/>
          <w:b w:val="0"/>
          <w:color w:val="auto"/>
          <w:highlight w:val="none"/>
        </w:rPr>
      </w:pPr>
      <w:bookmarkStart w:id="24" w:name="_Toc15377204"/>
      <w:bookmarkStart w:id="25" w:name="_Toc30652"/>
      <w:bookmarkStart w:id="26" w:name="_Toc21359"/>
      <w:bookmarkStart w:id="27" w:name="_Toc15396602"/>
      <w:r>
        <w:rPr>
          <w:rFonts w:hint="eastAsia" w:ascii="方正小标宋简体" w:hAnsi="方正小标宋简体" w:eastAsia="方正小标宋简体" w:cs="方正小标宋简体"/>
          <w:color w:val="auto"/>
          <w:sz w:val="44"/>
          <w:szCs w:val="44"/>
          <w:highlight w:val="none"/>
        </w:rPr>
        <w:t>第二部分</w:t>
      </w:r>
      <w:r>
        <w:rPr>
          <w:rFonts w:hint="eastAsia" w:ascii="方正小标宋简体" w:hAnsi="方正小标宋简体" w:eastAsia="方正小标宋简体" w:cs="方正小标宋简体"/>
          <w:color w:val="auto"/>
          <w:sz w:val="44"/>
          <w:szCs w:val="44"/>
          <w:highlight w:val="none"/>
          <w:lang w:val="en-US" w:eastAsia="zh-CN"/>
        </w:rPr>
        <w:t xml:space="preserve"> </w:t>
      </w:r>
      <w:r>
        <w:rPr>
          <w:rFonts w:hint="eastAsia" w:ascii="方正小标宋简体" w:hAnsi="方正小标宋简体" w:eastAsia="方正小标宋简体" w:cs="方正小标宋简体"/>
          <w:color w:val="auto"/>
          <w:sz w:val="44"/>
          <w:szCs w:val="44"/>
          <w:highlight w:val="none"/>
        </w:rPr>
        <w:t xml:space="preserve"> </w:t>
      </w:r>
      <w:r>
        <w:rPr>
          <w:rFonts w:hint="eastAsia" w:ascii="方正小标宋简体" w:hAnsi="方正小标宋简体" w:eastAsia="方正小标宋简体" w:cs="方正小标宋简体"/>
          <w:color w:val="auto"/>
          <w:sz w:val="44"/>
          <w:szCs w:val="44"/>
          <w:highlight w:val="none"/>
          <w:lang w:val="en-US" w:eastAsia="zh-CN"/>
        </w:rPr>
        <w:t>2025年度</w:t>
      </w:r>
      <w:r>
        <w:rPr>
          <w:rFonts w:hint="eastAsia" w:ascii="方正小标宋简体" w:hAnsi="方正小标宋简体" w:eastAsia="方正小标宋简体" w:cs="方正小标宋简体"/>
          <w:color w:val="auto"/>
          <w:sz w:val="44"/>
          <w:szCs w:val="44"/>
          <w:highlight w:val="none"/>
        </w:rPr>
        <w:t>部门决算情况说明</w:t>
      </w:r>
      <w:bookmarkEnd w:id="24"/>
      <w:bookmarkEnd w:id="25"/>
      <w:bookmarkEnd w:id="26"/>
      <w:bookmarkEnd w:id="27"/>
    </w:p>
    <w:p w14:paraId="1A55A810">
      <w:pPr>
        <w:pStyle w:val="25"/>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1"/>
          <w:rFonts w:hint="eastAsia" w:ascii="Times New Roman" w:hAnsi="Times New Roman" w:eastAsia="黑体"/>
          <w:b w:val="0"/>
          <w:color w:val="auto"/>
          <w:highlight w:val="none"/>
        </w:rPr>
      </w:pPr>
      <w:bookmarkStart w:id="28" w:name="_Toc15396603"/>
      <w:bookmarkStart w:id="29" w:name="_Toc12359"/>
      <w:bookmarkStart w:id="30" w:name="_Toc4791"/>
      <w:bookmarkStart w:id="31" w:name="_Toc15377205"/>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21"/>
          <w:rFonts w:hint="eastAsia" w:ascii="Times New Roman" w:hAnsi="Times New Roman" w:eastAsia="黑体"/>
          <w:b w:val="0"/>
          <w:color w:val="auto"/>
          <w:highlight w:val="none"/>
        </w:rPr>
        <w:t>入支出决算总体情况说明</w:t>
      </w:r>
      <w:bookmarkEnd w:id="28"/>
      <w:bookmarkEnd w:id="29"/>
      <w:bookmarkEnd w:id="30"/>
      <w:bookmarkEnd w:id="31"/>
    </w:p>
    <w:p w14:paraId="2F2CD1A5">
      <w:pPr>
        <w:snapToGrid w:val="0"/>
        <w:spacing w:line="520" w:lineRule="exact"/>
        <w:ind w:firstLine="640" w:firstLineChars="200"/>
        <w:rPr>
          <w:rFonts w:hint="eastAsia" w:ascii="仿宋_GB2312" w:eastAsia="仿宋_GB2312"/>
          <w:sz w:val="32"/>
          <w:szCs w:val="32"/>
          <w:lang w:eastAsia="zh-CN"/>
        </w:rPr>
      </w:pP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lang w:eastAsia="zh-CN"/>
        </w:rPr>
        <w:t>年</w:t>
      </w:r>
      <w:r>
        <w:rPr>
          <w:rFonts w:hint="eastAsia" w:ascii="仿宋" w:hAnsi="仿宋" w:eastAsia="仿宋"/>
          <w:color w:val="auto"/>
          <w:sz w:val="32"/>
          <w:szCs w:val="32"/>
          <w:highlight w:val="none"/>
        </w:rPr>
        <w:t>度收、支总计</w:t>
      </w:r>
      <w:r>
        <w:rPr>
          <w:rFonts w:hint="eastAsia" w:ascii="仿宋" w:hAnsi="仿宋" w:eastAsia="仿宋"/>
          <w:color w:val="auto"/>
          <w:sz w:val="32"/>
          <w:szCs w:val="32"/>
          <w:highlight w:val="none"/>
          <w:lang w:eastAsia="zh-CN"/>
        </w:rPr>
        <w:t>均为</w:t>
      </w:r>
      <w:r>
        <w:rPr>
          <w:rFonts w:hint="eastAsia" w:eastAsia="仿宋_GB2312" w:cs="仿宋_GB2312"/>
          <w:color w:val="auto"/>
          <w:sz w:val="32"/>
          <w:szCs w:val="32"/>
          <w:highlight w:val="none"/>
          <w:lang w:val="en-US" w:eastAsia="zh-CN"/>
        </w:rPr>
        <w:t>1377.24</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、总计增加</w:t>
      </w:r>
      <w:r>
        <w:rPr>
          <w:rFonts w:hint="eastAsia" w:eastAsia="仿宋_GB2312" w:cs="仿宋_GB2312"/>
          <w:color w:val="auto"/>
          <w:sz w:val="32"/>
          <w:szCs w:val="32"/>
          <w:highlight w:val="none"/>
          <w:lang w:val="en-US" w:eastAsia="zh-CN"/>
        </w:rPr>
        <w:t>137.24</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11.1</w:t>
      </w:r>
      <w:r>
        <w:rPr>
          <w:rFonts w:hint="eastAsia" w:ascii="Times New Roman" w:hAnsi="Times New Roman" w:eastAsia="仿宋_GB2312" w:cs="仿宋_GB2312"/>
          <w:color w:val="auto"/>
          <w:sz w:val="32"/>
          <w:szCs w:val="32"/>
          <w:highlight w:val="none"/>
        </w:rPr>
        <w:t>%</w:t>
      </w:r>
      <w:bookmarkStart w:id="32" w:name="_Toc15396604"/>
      <w:bookmarkStart w:id="33" w:name="_Toc15377206"/>
      <w:r>
        <w:rPr>
          <w:rFonts w:hint="eastAsia" w:eastAsia="仿宋_GB2312" w:cs="仿宋_GB2312"/>
          <w:color w:val="auto"/>
          <w:sz w:val="32"/>
          <w:szCs w:val="32"/>
          <w:highlight w:val="none"/>
          <w:lang w:eastAsia="zh-CN"/>
        </w:rPr>
        <w:t>；</w:t>
      </w:r>
      <w:r>
        <w:rPr>
          <w:rFonts w:hint="eastAsia" w:eastAsia="仿宋_GB2312" w:cs="仿宋_GB2312"/>
          <w:color w:val="auto"/>
          <w:sz w:val="32"/>
          <w:szCs w:val="32"/>
          <w:highlight w:val="none"/>
          <w:lang w:val="en-US" w:eastAsia="zh-CN"/>
        </w:rPr>
        <w:t>。</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eastAsia="zh-CN"/>
        </w:rPr>
        <w:t>：</w:t>
      </w:r>
      <w:r>
        <w:rPr>
          <w:rFonts w:hint="eastAsia" w:ascii="仿宋_GB2312" w:eastAsia="仿宋_GB2312"/>
          <w:sz w:val="32"/>
          <w:szCs w:val="32"/>
          <w:lang w:eastAsia="zh-CN"/>
        </w:rPr>
        <w:t>1.本年度新增代管资金，2.本年度项目资金较上年增加。</w:t>
      </w:r>
    </w:p>
    <w:p w14:paraId="63B5657D">
      <w:pPr>
        <w:pStyle w:val="25"/>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34" w:name="_Toc28209"/>
      <w:bookmarkStart w:id="35" w:name="_Toc3637"/>
      <w:r>
        <w:rPr>
          <w:rFonts w:hint="default" w:ascii="仿宋_GB2312" w:eastAsia="仿宋_GB2312"/>
          <w:sz w:val="32"/>
          <w:szCs w:val="32"/>
          <w:lang w:val="en-US" w:eastAsia="zh-CN"/>
        </w:rPr>
        <w:drawing>
          <wp:anchor distT="0" distB="0" distL="114300" distR="114300" simplePos="0" relativeHeight="251659264" behindDoc="1" locked="0" layoutInCell="1" allowOverlap="1">
            <wp:simplePos x="0" y="0"/>
            <wp:positionH relativeFrom="column">
              <wp:posOffset>506730</wp:posOffset>
            </wp:positionH>
            <wp:positionV relativeFrom="page">
              <wp:posOffset>2813685</wp:posOffset>
            </wp:positionV>
            <wp:extent cx="4561205" cy="2750820"/>
            <wp:effectExtent l="12700" t="12700" r="17145" b="17780"/>
            <wp:wrapTight wrapText="bothSides">
              <wp:wrapPolygon>
                <wp:start x="-60" y="-100"/>
                <wp:lineTo x="-60" y="21590"/>
                <wp:lineTo x="21591" y="21590"/>
                <wp:lineTo x="21591" y="-100"/>
                <wp:lineTo x="-60" y="-100"/>
              </wp:wrapPolygon>
            </wp:wrapTight>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anchor>
        </w:drawing>
      </w:r>
      <w:r>
        <w:rPr>
          <w:rFonts w:hint="eastAsia" w:ascii="Times New Roman" w:hAnsi="Times New Roman" w:eastAsia="黑体"/>
          <w:color w:val="auto"/>
          <w:sz w:val="32"/>
          <w:szCs w:val="32"/>
          <w:highlight w:val="none"/>
          <w:lang w:eastAsia="zh-CN"/>
        </w:rPr>
        <w:t>二、收入决算情况说明</w:t>
      </w:r>
      <w:bookmarkEnd w:id="32"/>
      <w:bookmarkEnd w:id="33"/>
      <w:bookmarkEnd w:id="34"/>
      <w:bookmarkEnd w:id="35"/>
    </w:p>
    <w:p w14:paraId="6F339409">
      <w:pPr>
        <w:pStyle w:val="25"/>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bookmarkStart w:id="36" w:name="_Toc32567"/>
      <w:bookmarkStart w:id="37" w:name="_Toc8302"/>
      <w:bookmarkStart w:id="38" w:name="_Toc3653"/>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eastAsia="仿宋_GB2312" w:cs="仿宋_GB2312"/>
          <w:color w:val="auto"/>
          <w:sz w:val="32"/>
          <w:szCs w:val="32"/>
          <w:highlight w:val="none"/>
          <w:lang w:val="en-US" w:eastAsia="zh-CN"/>
        </w:rPr>
        <w:t>1377.24</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eastAsia="仿宋_GB2312" w:cs="仿宋_GB2312"/>
          <w:color w:val="auto"/>
          <w:sz w:val="32"/>
          <w:szCs w:val="32"/>
          <w:highlight w:val="none"/>
          <w:lang w:val="en-US" w:eastAsia="zh-CN"/>
        </w:rPr>
        <w:t>1337.24</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97.1</w:t>
      </w:r>
      <w:r>
        <w:rPr>
          <w:rFonts w:hint="eastAsia" w:ascii="Times New Roman" w:hAnsi="Times New Roman" w:eastAsia="仿宋_GB2312" w:cs="仿宋_GB2312"/>
          <w:color w:val="auto"/>
          <w:sz w:val="32"/>
          <w:szCs w:val="32"/>
          <w:highlight w:val="none"/>
          <w:lang w:eastAsia="zh-CN"/>
        </w:rPr>
        <w:t>%；其他收入</w:t>
      </w:r>
      <w:r>
        <w:rPr>
          <w:rFonts w:hint="eastAsia" w:eastAsia="仿宋_GB2312" w:cs="仿宋_GB2312"/>
          <w:color w:val="auto"/>
          <w:sz w:val="32"/>
          <w:szCs w:val="32"/>
          <w:highlight w:val="none"/>
          <w:lang w:val="en-US" w:eastAsia="zh-CN"/>
        </w:rPr>
        <w:t>40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2.9</w:t>
      </w:r>
      <w:r>
        <w:rPr>
          <w:rFonts w:hint="eastAsia" w:ascii="Times New Roman" w:hAnsi="Times New Roman" w:eastAsia="仿宋_GB2312" w:cs="仿宋_GB2312"/>
          <w:color w:val="auto"/>
          <w:sz w:val="32"/>
          <w:szCs w:val="32"/>
          <w:highlight w:val="none"/>
          <w:lang w:eastAsia="zh-CN"/>
        </w:rPr>
        <w:t>%。</w:t>
      </w:r>
      <w:bookmarkEnd w:id="36"/>
      <w:bookmarkEnd w:id="37"/>
      <w:bookmarkEnd w:id="38"/>
    </w:p>
    <w:p w14:paraId="0B3BFC30">
      <w:pPr>
        <w:pStyle w:val="25"/>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anchor distT="0" distB="0" distL="114300" distR="114300" simplePos="0" relativeHeight="251660288" behindDoc="1" locked="0" layoutInCell="1" allowOverlap="1">
            <wp:simplePos x="0" y="0"/>
            <wp:positionH relativeFrom="column">
              <wp:posOffset>617220</wp:posOffset>
            </wp:positionH>
            <wp:positionV relativeFrom="page">
              <wp:posOffset>7377430</wp:posOffset>
            </wp:positionV>
            <wp:extent cx="4839970" cy="2150745"/>
            <wp:effectExtent l="5080" t="4445" r="12700" b="16510"/>
            <wp:wrapTight wrapText="bothSides">
              <wp:wrapPolygon>
                <wp:start x="-23" y="-45"/>
                <wp:lineTo x="-23" y="21383"/>
                <wp:lineTo x="21572" y="21383"/>
                <wp:lineTo x="21572" y="-45"/>
                <wp:lineTo x="-23" y="-45"/>
              </wp:wrapPolygon>
            </wp:wrapTight>
            <wp:docPr id="5" name="图表 5" descr="7b0a202020202263686172745265734964223a20223230343732313936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p>
    <w:p w14:paraId="08367EC6">
      <w:pPr>
        <w:ind w:firstLine="800" w:firstLineChars="250"/>
        <w:rPr>
          <w:rFonts w:hint="eastAsia" w:ascii="Times New Roman" w:hAnsi="Times New Roman" w:eastAsia="仿宋_GB2312" w:cs="仿宋_GB2312"/>
          <w:color w:val="auto"/>
          <w:sz w:val="32"/>
          <w:szCs w:val="32"/>
          <w:highlight w:val="none"/>
          <w:lang w:eastAsia="zh-CN"/>
        </w:rPr>
      </w:pPr>
    </w:p>
    <w:p w14:paraId="5570A65B">
      <w:pPr>
        <w:pStyle w:val="25"/>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1"/>
          <w:rFonts w:hint="eastAsia" w:ascii="Times New Roman" w:hAnsi="Times New Roman" w:eastAsia="黑体"/>
          <w:b w:val="0"/>
          <w:color w:val="auto"/>
          <w:highlight w:val="none"/>
        </w:rPr>
      </w:pPr>
      <w:bookmarkStart w:id="39" w:name="_Toc12094"/>
      <w:bookmarkStart w:id="40" w:name="_Toc15396605"/>
      <w:bookmarkStart w:id="41" w:name="_Toc15377207"/>
      <w:bookmarkStart w:id="42" w:name="_Toc2457"/>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21"/>
          <w:rFonts w:hint="eastAsia" w:ascii="Times New Roman" w:hAnsi="Times New Roman" w:eastAsia="黑体"/>
          <w:b w:val="0"/>
          <w:color w:val="auto"/>
          <w:highlight w:val="none"/>
        </w:rPr>
        <w:t>出决算情况说明</w:t>
      </w:r>
      <w:bookmarkEnd w:id="39"/>
      <w:bookmarkEnd w:id="40"/>
      <w:bookmarkEnd w:id="41"/>
      <w:bookmarkEnd w:id="42"/>
    </w:p>
    <w:p w14:paraId="0E58909B">
      <w:pPr>
        <w:pStyle w:val="25"/>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bookmarkStart w:id="43" w:name="_Toc29591"/>
      <w:bookmarkStart w:id="44" w:name="_Toc9409"/>
      <w:bookmarkStart w:id="45" w:name="_Toc23719"/>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eastAsia="仿宋_GB2312" w:cs="仿宋_GB2312"/>
          <w:color w:val="auto"/>
          <w:sz w:val="32"/>
          <w:szCs w:val="32"/>
          <w:highlight w:val="none"/>
          <w:lang w:val="en-US" w:eastAsia="zh-CN"/>
        </w:rPr>
        <w:t>1371.63</w:t>
      </w:r>
      <w:r>
        <w:rPr>
          <w:rFonts w:hint="eastAsia" w:ascii="Times New Roman" w:hAnsi="Times New Roman" w:eastAsia="仿宋_GB2312" w:cs="仿宋_GB2312"/>
          <w:color w:val="auto"/>
          <w:sz w:val="32"/>
          <w:szCs w:val="32"/>
          <w:highlight w:val="none"/>
          <w:lang w:eastAsia="zh-CN"/>
        </w:rPr>
        <w:t>万元，其中：基本支出</w:t>
      </w:r>
      <w:r>
        <w:rPr>
          <w:rFonts w:hint="eastAsia" w:eastAsia="仿宋_GB2312" w:cs="仿宋_GB2312"/>
          <w:color w:val="auto"/>
          <w:sz w:val="32"/>
          <w:szCs w:val="32"/>
          <w:highlight w:val="none"/>
          <w:lang w:val="en-US" w:eastAsia="zh-CN"/>
        </w:rPr>
        <w:t>1179.19</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86</w:t>
      </w:r>
      <w:r>
        <w:rPr>
          <w:rFonts w:hint="eastAsia" w:ascii="Times New Roman" w:hAnsi="Times New Roman" w:eastAsia="仿宋_GB2312" w:cs="仿宋_GB2312"/>
          <w:color w:val="auto"/>
          <w:sz w:val="32"/>
          <w:szCs w:val="32"/>
          <w:highlight w:val="none"/>
          <w:lang w:eastAsia="zh-CN"/>
        </w:rPr>
        <w:t>%；项目支出</w:t>
      </w:r>
      <w:r>
        <w:rPr>
          <w:rFonts w:hint="eastAsia" w:eastAsia="仿宋_GB2312" w:cs="仿宋_GB2312"/>
          <w:color w:val="auto"/>
          <w:sz w:val="32"/>
          <w:szCs w:val="32"/>
          <w:highlight w:val="none"/>
          <w:lang w:val="en-US" w:eastAsia="zh-CN"/>
        </w:rPr>
        <w:t>192.44</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14</w:t>
      </w:r>
      <w:r>
        <w:rPr>
          <w:rFonts w:hint="eastAsia" w:ascii="Times New Roman" w:hAnsi="Times New Roman" w:eastAsia="仿宋_GB2312" w:cs="仿宋_GB2312"/>
          <w:color w:val="auto"/>
          <w:sz w:val="32"/>
          <w:szCs w:val="32"/>
          <w:highlight w:val="none"/>
          <w:lang w:eastAsia="zh-CN"/>
        </w:rPr>
        <w:t>%。</w:t>
      </w:r>
      <w:bookmarkEnd w:id="43"/>
      <w:bookmarkEnd w:id="44"/>
      <w:bookmarkEnd w:id="45"/>
    </w:p>
    <w:p w14:paraId="63BC1DDB">
      <w:pPr>
        <w:pStyle w:val="25"/>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46" w:name="_Toc15396606"/>
      <w:bookmarkStart w:id="47" w:name="_Toc15377208"/>
      <w:bookmarkStart w:id="48" w:name="_Toc10144"/>
      <w:r>
        <w:rPr>
          <w:rFonts w:hint="eastAsia" w:ascii="Times New Roman" w:hAnsi="Times New Roman" w:eastAsia="黑体"/>
          <w:color w:val="auto"/>
          <w:sz w:val="32"/>
          <w:szCs w:val="32"/>
          <w:highlight w:val="none"/>
          <w:lang w:eastAsia="zh-CN"/>
        </w:rPr>
        <w:drawing>
          <wp:anchor distT="0" distB="0" distL="114300" distR="114300" simplePos="0" relativeHeight="251661312" behindDoc="1" locked="0" layoutInCell="1" allowOverlap="1">
            <wp:simplePos x="0" y="0"/>
            <wp:positionH relativeFrom="column">
              <wp:posOffset>179705</wp:posOffset>
            </wp:positionH>
            <wp:positionV relativeFrom="page">
              <wp:posOffset>2520950</wp:posOffset>
            </wp:positionV>
            <wp:extent cx="5095240" cy="2780030"/>
            <wp:effectExtent l="4445" t="4445" r="5715" b="15875"/>
            <wp:wrapTight wrapText="bothSides">
              <wp:wrapPolygon>
                <wp:start x="-19" y="-35"/>
                <wp:lineTo x="-19" y="21427"/>
                <wp:lineTo x="21543" y="21427"/>
                <wp:lineTo x="21543" y="-35"/>
                <wp:lineTo x="-19" y="-35"/>
              </wp:wrapPolygon>
            </wp:wrapTight>
            <wp:docPr id="7" name="图表 7" descr="7b0a202020202263686172745265734964223a20223230343732313936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r>
        <w:rPr>
          <w:rFonts w:hint="eastAsia" w:ascii="Times New Roman" w:hAnsi="Times New Roman" w:eastAsia="黑体"/>
          <w:color w:val="auto"/>
          <w:sz w:val="32"/>
          <w:szCs w:val="32"/>
          <w:highlight w:val="none"/>
          <w:lang w:eastAsia="zh-CN"/>
        </w:rPr>
        <w:t>四、财政拨款收入支出决算总体情况说明</w:t>
      </w:r>
      <w:bookmarkEnd w:id="46"/>
      <w:bookmarkEnd w:id="47"/>
      <w:bookmarkEnd w:id="48"/>
    </w:p>
    <w:p w14:paraId="28AF81A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黑体"/>
          <w:color w:val="auto"/>
          <w:sz w:val="32"/>
          <w:szCs w:val="32"/>
          <w:highlight w:val="none"/>
          <w:lang w:val="en-US" w:eastAsia="zh-CN"/>
        </w:rPr>
        <w:drawing>
          <wp:anchor distT="0" distB="0" distL="114300" distR="114300" simplePos="0" relativeHeight="251662336" behindDoc="1" locked="0" layoutInCell="1" allowOverlap="0">
            <wp:simplePos x="0" y="0"/>
            <wp:positionH relativeFrom="column">
              <wp:posOffset>28575</wp:posOffset>
            </wp:positionH>
            <wp:positionV relativeFrom="page">
              <wp:posOffset>6908165</wp:posOffset>
            </wp:positionV>
            <wp:extent cx="5029200" cy="2655570"/>
            <wp:effectExtent l="4445" t="4445" r="52705" b="64135"/>
            <wp:wrapTight wrapText="bothSides">
              <wp:wrapPolygon>
                <wp:start x="-19" y="-36"/>
                <wp:lineTo x="-19" y="21502"/>
                <wp:lineTo x="21581" y="21502"/>
                <wp:lineTo x="21581" y="-36"/>
                <wp:lineTo x="-19" y="-36"/>
              </wp:wrapPolygon>
            </wp:wrapTight>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eastAsia="仿宋_GB2312" w:cs="仿宋_GB2312"/>
          <w:color w:val="auto"/>
          <w:kern w:val="2"/>
          <w:sz w:val="32"/>
          <w:szCs w:val="32"/>
          <w:highlight w:val="none"/>
          <w:lang w:val="en-US" w:eastAsia="zh-CN" w:bidi="ar-SA"/>
        </w:rPr>
        <w:t>1337.24</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年度相比，财政拨款收入、支出总计各增加</w:t>
      </w:r>
      <w:r>
        <w:rPr>
          <w:rFonts w:hint="eastAsia" w:eastAsia="仿宋_GB2312" w:cs="仿宋_GB2312"/>
          <w:color w:val="auto"/>
          <w:kern w:val="2"/>
          <w:sz w:val="32"/>
          <w:szCs w:val="32"/>
          <w:highlight w:val="none"/>
          <w:lang w:val="en-US" w:eastAsia="zh-CN" w:bidi="ar-SA"/>
        </w:rPr>
        <w:t>97.24</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7.8</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：本年度项目资金较上年增加。</w:t>
      </w:r>
    </w:p>
    <w:p w14:paraId="287AD56C">
      <w:pPr>
        <w:pStyle w:val="25"/>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49" w:name="_Toc15396607"/>
      <w:bookmarkStart w:id="50" w:name="_Toc131"/>
      <w:bookmarkStart w:id="51" w:name="_Toc15377209"/>
      <w:r>
        <w:rPr>
          <w:rFonts w:hint="eastAsia" w:ascii="Times New Roman" w:hAnsi="Times New Roman" w:eastAsia="黑体"/>
          <w:color w:val="auto"/>
          <w:sz w:val="32"/>
          <w:szCs w:val="32"/>
          <w:highlight w:val="none"/>
          <w:lang w:eastAsia="zh-CN"/>
        </w:rPr>
        <w:t>五、一般公共预算财政拨款支出决算情况说明</w:t>
      </w:r>
      <w:bookmarkEnd w:id="49"/>
      <w:bookmarkEnd w:id="50"/>
      <w:bookmarkEnd w:id="51"/>
    </w:p>
    <w:p w14:paraId="0F2E4E3F">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2"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52"/>
    </w:p>
    <w:p w14:paraId="2E07A4F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1337.24</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年度相比，一般公共预算财政拨款支出增加</w:t>
      </w:r>
      <w:r>
        <w:rPr>
          <w:rFonts w:hint="eastAsia" w:eastAsia="仿宋_GB2312" w:cs="仿宋_GB2312"/>
          <w:color w:val="auto"/>
          <w:kern w:val="2"/>
          <w:sz w:val="32"/>
          <w:szCs w:val="32"/>
          <w:highlight w:val="none"/>
          <w:lang w:val="en-US" w:eastAsia="zh-CN" w:bidi="ar-SA"/>
        </w:rPr>
        <w:t>97.24</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7.8</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：本年度项目资金较上年增加。</w:t>
      </w:r>
    </w:p>
    <w:p w14:paraId="43E48593">
      <w:pPr>
        <w:spacing w:line="600" w:lineRule="exact"/>
        <w:ind w:firstLine="640"/>
        <w:rPr>
          <w:rFonts w:hint="eastAsia" w:ascii="Times New Roman" w:hAnsi="Times New Roman" w:eastAsia="楷体_GB2312" w:cs="楷体_GB2312"/>
          <w:b/>
          <w:color w:val="auto"/>
          <w:sz w:val="32"/>
          <w:szCs w:val="32"/>
          <w:highlight w:val="none"/>
        </w:rPr>
      </w:pPr>
      <w:r>
        <w:rPr>
          <w:rFonts w:hint="eastAsia" w:ascii="Times New Roman" w:hAnsi="Times New Roman" w:eastAsia="仿宋_GB2312" w:cs="仿宋_GB2312"/>
          <w:color w:val="auto"/>
          <w:kern w:val="2"/>
          <w:sz w:val="32"/>
          <w:szCs w:val="32"/>
          <w:highlight w:val="none"/>
          <w:lang w:val="en-US" w:eastAsia="zh-CN" w:bidi="ar-SA"/>
        </w:rPr>
        <w:drawing>
          <wp:anchor distT="0" distB="0" distL="114300" distR="114300" simplePos="0" relativeHeight="251663360" behindDoc="1" locked="0" layoutInCell="1" allowOverlap="1">
            <wp:simplePos x="0" y="0"/>
            <wp:positionH relativeFrom="column">
              <wp:posOffset>278130</wp:posOffset>
            </wp:positionH>
            <wp:positionV relativeFrom="page">
              <wp:posOffset>3291205</wp:posOffset>
            </wp:positionV>
            <wp:extent cx="4846955" cy="2483485"/>
            <wp:effectExtent l="4445" t="4445" r="63500" b="64770"/>
            <wp:wrapTight wrapText="bothSides">
              <wp:wrapPolygon>
                <wp:start x="-20" y="-39"/>
                <wp:lineTo x="-20" y="21501"/>
                <wp:lineTo x="21543" y="21501"/>
                <wp:lineTo x="21543" y="-39"/>
                <wp:lineTo x="-20" y="-39"/>
              </wp:wrapPolygon>
            </wp:wrapTight>
            <wp:docPr id="10"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bookmarkStart w:id="53"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53"/>
    </w:p>
    <w:p w14:paraId="02571C9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1337.24</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一般公共服务支出</w:t>
      </w:r>
      <w:r>
        <w:rPr>
          <w:rFonts w:hint="eastAsia" w:eastAsia="仿宋_GB2312" w:cs="仿宋_GB2312"/>
          <w:color w:val="auto"/>
          <w:kern w:val="2"/>
          <w:sz w:val="32"/>
          <w:szCs w:val="32"/>
          <w:highlight w:val="none"/>
          <w:lang w:val="en-US" w:eastAsia="zh-CN" w:bidi="ar-SA"/>
        </w:rPr>
        <w:t>1067.95</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79.9</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136.13</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10.2</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55.26</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4.1</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77.91</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5.8</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4B1AA3F1">
      <w:pPr>
        <w:spacing w:line="600" w:lineRule="exact"/>
        <w:ind w:firstLine="640" w:firstLineChars="200"/>
        <w:outlineLvl w:val="2"/>
        <w:rPr>
          <w:rFonts w:hint="eastAsia" w:ascii="Times New Roman" w:hAnsi="Times New Roman" w:eastAsia="楷体_GB2312" w:cs="楷体_GB2312"/>
          <w:b/>
          <w:color w:val="auto"/>
          <w:sz w:val="32"/>
          <w:szCs w:val="32"/>
          <w:highlight w:val="none"/>
        </w:rPr>
      </w:pPr>
      <w:bookmarkStart w:id="54" w:name="_Toc15377212"/>
      <w:bookmarkStart w:id="107" w:name="_GoBack"/>
      <w:r>
        <w:rPr>
          <w:rFonts w:hint="eastAsia" w:ascii="Times New Roman" w:hAnsi="Times New Roman" w:eastAsia="仿宋_GB2312" w:cs="仿宋_GB2312"/>
          <w:color w:val="auto"/>
          <w:kern w:val="2"/>
          <w:sz w:val="32"/>
          <w:szCs w:val="32"/>
          <w:highlight w:val="none"/>
          <w:lang w:val="en-US" w:eastAsia="zh-CN" w:bidi="ar-SA"/>
        </w:rPr>
        <w:drawing>
          <wp:anchor distT="0" distB="0" distL="114300" distR="114300" simplePos="0" relativeHeight="251664384" behindDoc="1" locked="0" layoutInCell="1" allowOverlap="1">
            <wp:simplePos x="0" y="0"/>
            <wp:positionH relativeFrom="column">
              <wp:posOffset>233680</wp:posOffset>
            </wp:positionH>
            <wp:positionV relativeFrom="page">
              <wp:posOffset>7953375</wp:posOffset>
            </wp:positionV>
            <wp:extent cx="4248150" cy="2245995"/>
            <wp:effectExtent l="4445" t="4445" r="52705" b="16510"/>
            <wp:wrapTight wrapText="bothSides">
              <wp:wrapPolygon>
                <wp:start x="-23" y="-43"/>
                <wp:lineTo x="-23" y="21392"/>
                <wp:lineTo x="21577" y="21392"/>
                <wp:lineTo x="21577" y="-43"/>
                <wp:lineTo x="-23" y="-43"/>
              </wp:wrapPolygon>
            </wp:wrapTight>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bookmarkEnd w:id="107"/>
    </w:p>
    <w:p w14:paraId="4278C546">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（三）一般公共预算财政拨款支出决算具体情况</w:t>
      </w:r>
      <w:bookmarkEnd w:id="54"/>
    </w:p>
    <w:p w14:paraId="11D7052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55" w:name="_Toc15377444"/>
      <w:bookmarkStart w:id="56" w:name="_Toc15377213"/>
      <w:bookmarkStart w:id="57" w:name="_Toc15378460"/>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eastAsia="仿宋_GB2312" w:cs="仿宋_GB2312"/>
          <w:color w:val="auto"/>
          <w:kern w:val="2"/>
          <w:sz w:val="32"/>
          <w:szCs w:val="32"/>
          <w:highlight w:val="none"/>
          <w:lang w:val="en-US" w:eastAsia="zh-CN" w:bidi="ar-SA"/>
        </w:rPr>
        <w:t>1337.24</w:t>
      </w:r>
      <w:r>
        <w:rPr>
          <w:rFonts w:hint="eastAsia" w:ascii="仿宋_GB2312" w:hAnsi="仿宋_GB2312"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55"/>
      <w:bookmarkEnd w:id="56"/>
      <w:bookmarkEnd w:id="57"/>
    </w:p>
    <w:p w14:paraId="38D0A843">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1.一般公共服务支出(类)政府办公厅(室)及相关机构事务（款）行政运行（项）:</w:t>
      </w:r>
      <w:r>
        <w:rPr>
          <w:rFonts w:hint="eastAsia" w:ascii="仿宋_GB2312" w:hAnsi="仿宋_GB2312" w:eastAsia="仿宋_GB2312" w:cs="仿宋_GB2312"/>
          <w:color w:val="auto"/>
          <w:kern w:val="2"/>
          <w:sz w:val="32"/>
          <w:szCs w:val="32"/>
          <w:highlight w:val="none"/>
          <w:lang w:val="en-US" w:eastAsia="zh-CN" w:bidi="ar-SA"/>
        </w:rPr>
        <w:t>支出决算714.2万元，完成预算100%，</w:t>
      </w:r>
      <w:r>
        <w:rPr>
          <w:rStyle w:val="19"/>
          <w:rFonts w:hint="eastAsia" w:ascii="仿宋_GB2312" w:hAnsi="仿宋_GB2312" w:eastAsia="仿宋_GB2312" w:cs="仿宋_GB2312"/>
          <w:b w:val="0"/>
          <w:bCs/>
          <w:color w:val="auto"/>
          <w:sz w:val="32"/>
          <w:szCs w:val="32"/>
          <w:highlight w:val="none"/>
          <w:lang w:eastAsia="zh-CN"/>
        </w:rPr>
        <w:t>决算数与预算数持平</w:t>
      </w:r>
      <w:r>
        <w:rPr>
          <w:rFonts w:hint="eastAsia" w:ascii="仿宋_GB2312" w:hAnsi="仿宋_GB2312" w:eastAsia="仿宋_GB2312" w:cs="仿宋_GB2312"/>
          <w:color w:val="auto"/>
          <w:kern w:val="2"/>
          <w:sz w:val="32"/>
          <w:szCs w:val="32"/>
          <w:highlight w:val="none"/>
          <w:lang w:val="en-US" w:eastAsia="zh-CN" w:bidi="ar-SA"/>
        </w:rPr>
        <w:t>。</w:t>
      </w:r>
    </w:p>
    <w:p w14:paraId="73EC3D97">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2.一般公共服务支出(类)政府办公厅(室)及相关机构事务(款)事业运行(项):</w:t>
      </w:r>
      <w:r>
        <w:rPr>
          <w:rFonts w:hint="eastAsia" w:ascii="仿宋_GB2312" w:hAnsi="仿宋_GB2312" w:eastAsia="仿宋_GB2312" w:cs="仿宋_GB2312"/>
          <w:color w:val="auto"/>
          <w:kern w:val="2"/>
          <w:sz w:val="32"/>
          <w:szCs w:val="32"/>
          <w:highlight w:val="none"/>
          <w:lang w:val="en-US" w:eastAsia="zh-CN" w:bidi="ar-SA"/>
        </w:rPr>
        <w:t>支出决算161.31万元，完成预算100%，</w:t>
      </w:r>
      <w:r>
        <w:rPr>
          <w:rStyle w:val="19"/>
          <w:rFonts w:hint="eastAsia" w:ascii="仿宋_GB2312" w:hAnsi="仿宋_GB2312" w:eastAsia="仿宋_GB2312" w:cs="仿宋_GB2312"/>
          <w:b w:val="0"/>
          <w:bCs/>
          <w:color w:val="auto"/>
          <w:sz w:val="32"/>
          <w:szCs w:val="32"/>
          <w:highlight w:val="none"/>
          <w:lang w:eastAsia="zh-CN"/>
        </w:rPr>
        <w:t>决算数与预算数持平</w:t>
      </w:r>
      <w:r>
        <w:rPr>
          <w:rFonts w:hint="eastAsia" w:ascii="仿宋_GB2312" w:hAnsi="仿宋_GB2312" w:eastAsia="仿宋_GB2312" w:cs="仿宋_GB2312"/>
          <w:color w:val="auto"/>
          <w:kern w:val="2"/>
          <w:sz w:val="32"/>
          <w:szCs w:val="32"/>
          <w:highlight w:val="none"/>
          <w:lang w:val="en-US" w:eastAsia="zh-CN" w:bidi="ar-SA"/>
        </w:rPr>
        <w:t>。</w:t>
      </w:r>
    </w:p>
    <w:p w14:paraId="0B27DB93">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3.一般公共服务支出(类)政府办公厅(室)及相关机构事务(款)其他政府办公厅(室)及相关机构事务支出(项):</w:t>
      </w:r>
      <w:r>
        <w:rPr>
          <w:rFonts w:hint="eastAsia" w:ascii="仿宋_GB2312" w:hAnsi="仿宋_GB2312" w:eastAsia="仿宋_GB2312" w:cs="仿宋_GB2312"/>
          <w:color w:val="auto"/>
          <w:kern w:val="2"/>
          <w:sz w:val="32"/>
          <w:szCs w:val="32"/>
          <w:highlight w:val="none"/>
          <w:lang w:val="en-US" w:eastAsia="zh-CN" w:bidi="ar-SA"/>
        </w:rPr>
        <w:t>支出决算192.44万元，完成预算100%，</w:t>
      </w:r>
      <w:r>
        <w:rPr>
          <w:rStyle w:val="19"/>
          <w:rFonts w:hint="eastAsia" w:ascii="仿宋_GB2312" w:hAnsi="仿宋_GB2312" w:eastAsia="仿宋_GB2312" w:cs="仿宋_GB2312"/>
          <w:b w:val="0"/>
          <w:bCs/>
          <w:color w:val="auto"/>
          <w:sz w:val="32"/>
          <w:szCs w:val="32"/>
          <w:highlight w:val="none"/>
          <w:lang w:eastAsia="zh-CN"/>
        </w:rPr>
        <w:t>决算数与预算数持平</w:t>
      </w:r>
      <w:r>
        <w:rPr>
          <w:rFonts w:hint="eastAsia" w:ascii="仿宋_GB2312" w:hAnsi="仿宋_GB2312" w:eastAsia="仿宋_GB2312" w:cs="仿宋_GB2312"/>
          <w:color w:val="auto"/>
          <w:kern w:val="2"/>
          <w:sz w:val="32"/>
          <w:szCs w:val="32"/>
          <w:highlight w:val="none"/>
          <w:lang w:val="en-US" w:eastAsia="zh-CN" w:bidi="ar-SA"/>
        </w:rPr>
        <w:t>。</w:t>
      </w:r>
    </w:p>
    <w:p w14:paraId="2A97D112">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4.社会保障和就业支出(类)行政事业单位养老支出(款)机关事业单位基本养老保险缴费支出(项):</w:t>
      </w:r>
      <w:r>
        <w:rPr>
          <w:rFonts w:hint="eastAsia" w:ascii="仿宋_GB2312" w:hAnsi="仿宋_GB2312" w:eastAsia="仿宋_GB2312" w:cs="仿宋_GB2312"/>
          <w:color w:val="auto"/>
          <w:kern w:val="2"/>
          <w:sz w:val="32"/>
          <w:szCs w:val="32"/>
          <w:highlight w:val="none"/>
          <w:lang w:val="en-US" w:eastAsia="zh-CN" w:bidi="ar-SA"/>
        </w:rPr>
        <w:t>支出决算90.75万元，完成预算100%，</w:t>
      </w:r>
      <w:r>
        <w:rPr>
          <w:rStyle w:val="19"/>
          <w:rFonts w:hint="eastAsia" w:ascii="仿宋_GB2312" w:hAnsi="仿宋_GB2312" w:eastAsia="仿宋_GB2312" w:cs="仿宋_GB2312"/>
          <w:b w:val="0"/>
          <w:bCs/>
          <w:color w:val="auto"/>
          <w:sz w:val="32"/>
          <w:szCs w:val="32"/>
          <w:highlight w:val="none"/>
          <w:lang w:eastAsia="zh-CN"/>
        </w:rPr>
        <w:t>决算数与预算数持平</w:t>
      </w:r>
      <w:r>
        <w:rPr>
          <w:rFonts w:hint="eastAsia" w:ascii="仿宋_GB2312" w:hAnsi="仿宋_GB2312" w:eastAsia="仿宋_GB2312" w:cs="仿宋_GB2312"/>
          <w:color w:val="auto"/>
          <w:kern w:val="2"/>
          <w:sz w:val="32"/>
          <w:szCs w:val="32"/>
          <w:highlight w:val="none"/>
          <w:lang w:val="en-US" w:eastAsia="zh-CN" w:bidi="ar-SA"/>
        </w:rPr>
        <w:t>。</w:t>
      </w:r>
    </w:p>
    <w:p w14:paraId="24C0690E">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5.社会保障和就业支出(类)行政事业单位养老支出(款)机关事业单位职业年金缴费支出(项):</w:t>
      </w:r>
      <w:r>
        <w:rPr>
          <w:rFonts w:hint="eastAsia" w:ascii="仿宋_GB2312" w:hAnsi="仿宋_GB2312" w:eastAsia="仿宋_GB2312" w:cs="仿宋_GB2312"/>
          <w:color w:val="auto"/>
          <w:kern w:val="2"/>
          <w:sz w:val="32"/>
          <w:szCs w:val="32"/>
          <w:highlight w:val="none"/>
          <w:lang w:val="en-US" w:eastAsia="zh-CN" w:bidi="ar-SA"/>
        </w:rPr>
        <w:t>支出决算45.38万元，完成预算100%，</w:t>
      </w:r>
      <w:r>
        <w:rPr>
          <w:rStyle w:val="19"/>
          <w:rFonts w:hint="eastAsia" w:ascii="仿宋_GB2312" w:hAnsi="仿宋_GB2312" w:eastAsia="仿宋_GB2312" w:cs="仿宋_GB2312"/>
          <w:b w:val="0"/>
          <w:bCs/>
          <w:color w:val="auto"/>
          <w:sz w:val="32"/>
          <w:szCs w:val="32"/>
          <w:highlight w:val="none"/>
          <w:lang w:eastAsia="zh-CN"/>
        </w:rPr>
        <w:t>决算数与预算数持平</w:t>
      </w:r>
      <w:r>
        <w:rPr>
          <w:rFonts w:hint="eastAsia" w:ascii="仿宋_GB2312" w:hAnsi="仿宋_GB2312" w:eastAsia="仿宋_GB2312" w:cs="仿宋_GB2312"/>
          <w:color w:val="auto"/>
          <w:kern w:val="2"/>
          <w:sz w:val="32"/>
          <w:szCs w:val="32"/>
          <w:highlight w:val="none"/>
          <w:lang w:val="en-US" w:eastAsia="zh-CN" w:bidi="ar-SA"/>
        </w:rPr>
        <w:t>。</w:t>
      </w:r>
    </w:p>
    <w:p w14:paraId="0C560C82">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6.</w:t>
      </w:r>
      <w:r>
        <w:rPr>
          <w:rFonts w:hint="eastAsia" w:ascii="仿宋_GB2312" w:hAnsi="仿宋_GB2312" w:eastAsia="仿宋_GB2312" w:cs="仿宋_GB2312"/>
          <w:b/>
          <w:bCs/>
          <w:color w:val="auto"/>
          <w:sz w:val="32"/>
          <w:szCs w:val="32"/>
          <w:highlight w:val="none"/>
        </w:rPr>
        <w:t>卫生健康</w:t>
      </w:r>
      <w:r>
        <w:rPr>
          <w:rStyle w:val="19"/>
          <w:rFonts w:hint="eastAsia" w:ascii="仿宋_GB2312" w:hAnsi="仿宋_GB2312" w:eastAsia="仿宋_GB2312" w:cs="仿宋_GB2312"/>
          <w:bCs/>
          <w:color w:val="auto"/>
          <w:sz w:val="32"/>
          <w:szCs w:val="32"/>
          <w:highlight w:val="none"/>
        </w:rPr>
        <w:t>（</w:t>
      </w:r>
      <w:r>
        <w:rPr>
          <w:rStyle w:val="19"/>
          <w:rFonts w:hint="eastAsia" w:ascii="仿宋_GB2312" w:hAnsi="仿宋_GB2312" w:eastAsia="仿宋_GB2312" w:cs="仿宋_GB2312"/>
          <w:bCs/>
          <w:color w:val="auto"/>
          <w:sz w:val="32"/>
          <w:szCs w:val="32"/>
          <w:highlight w:val="none"/>
          <w:lang w:val="en-US" w:eastAsia="zh-CN"/>
        </w:rPr>
        <w:t>类</w:t>
      </w:r>
      <w:r>
        <w:rPr>
          <w:rStyle w:val="19"/>
          <w:rFonts w:hint="eastAsia" w:ascii="仿宋_GB2312" w:hAnsi="仿宋_GB2312" w:eastAsia="仿宋_GB2312" w:cs="仿宋_GB2312"/>
          <w:bCs/>
          <w:color w:val="auto"/>
          <w:sz w:val="32"/>
          <w:szCs w:val="32"/>
          <w:highlight w:val="none"/>
        </w:rPr>
        <w:t>）</w:t>
      </w:r>
      <w:r>
        <w:rPr>
          <w:rStyle w:val="19"/>
          <w:rFonts w:hint="eastAsia" w:ascii="仿宋_GB2312" w:hAnsi="仿宋_GB2312" w:eastAsia="仿宋_GB2312" w:cs="仿宋_GB2312"/>
          <w:bCs/>
          <w:color w:val="auto"/>
          <w:sz w:val="32"/>
          <w:szCs w:val="32"/>
          <w:highlight w:val="none"/>
          <w:lang w:eastAsia="zh-CN"/>
        </w:rPr>
        <w:t>行政事业单位医疗</w:t>
      </w:r>
      <w:r>
        <w:rPr>
          <w:rStyle w:val="19"/>
          <w:rFonts w:hint="eastAsia" w:ascii="仿宋_GB2312" w:hAnsi="仿宋_GB2312" w:eastAsia="仿宋_GB2312" w:cs="仿宋_GB2312"/>
          <w:bCs/>
          <w:color w:val="auto"/>
          <w:sz w:val="32"/>
          <w:szCs w:val="32"/>
          <w:highlight w:val="none"/>
        </w:rPr>
        <w:t>（</w:t>
      </w:r>
      <w:r>
        <w:rPr>
          <w:rStyle w:val="19"/>
          <w:rFonts w:hint="eastAsia" w:ascii="仿宋_GB2312" w:hAnsi="仿宋_GB2312" w:eastAsia="仿宋_GB2312" w:cs="仿宋_GB2312"/>
          <w:bCs/>
          <w:color w:val="auto"/>
          <w:sz w:val="32"/>
          <w:szCs w:val="32"/>
          <w:highlight w:val="none"/>
          <w:lang w:val="en-US" w:eastAsia="zh-CN"/>
        </w:rPr>
        <w:t>款</w:t>
      </w:r>
      <w:r>
        <w:rPr>
          <w:rStyle w:val="19"/>
          <w:rFonts w:hint="eastAsia" w:ascii="仿宋_GB2312" w:hAnsi="仿宋_GB2312" w:eastAsia="仿宋_GB2312" w:cs="仿宋_GB2312"/>
          <w:bCs/>
          <w:color w:val="auto"/>
          <w:sz w:val="32"/>
          <w:szCs w:val="32"/>
          <w:highlight w:val="none"/>
        </w:rPr>
        <w:t>）</w:t>
      </w:r>
      <w:r>
        <w:rPr>
          <w:rStyle w:val="19"/>
          <w:rFonts w:hint="eastAsia" w:ascii="仿宋_GB2312" w:hAnsi="仿宋_GB2312" w:eastAsia="仿宋_GB2312" w:cs="仿宋_GB2312"/>
          <w:bCs/>
          <w:color w:val="auto"/>
          <w:sz w:val="32"/>
          <w:szCs w:val="32"/>
          <w:highlight w:val="none"/>
          <w:lang w:eastAsia="zh-CN"/>
        </w:rPr>
        <w:t>行政单位医疗</w:t>
      </w:r>
      <w:r>
        <w:rPr>
          <w:rStyle w:val="19"/>
          <w:rFonts w:hint="eastAsia" w:ascii="仿宋_GB2312" w:hAnsi="仿宋_GB2312" w:eastAsia="仿宋_GB2312" w:cs="仿宋_GB2312"/>
          <w:bCs/>
          <w:color w:val="auto"/>
          <w:sz w:val="32"/>
          <w:szCs w:val="32"/>
          <w:highlight w:val="none"/>
        </w:rPr>
        <w:t>（</w:t>
      </w:r>
      <w:r>
        <w:rPr>
          <w:rStyle w:val="19"/>
          <w:rFonts w:hint="eastAsia" w:ascii="仿宋_GB2312" w:hAnsi="仿宋_GB2312" w:eastAsia="仿宋_GB2312" w:cs="仿宋_GB2312"/>
          <w:bCs/>
          <w:color w:val="auto"/>
          <w:sz w:val="32"/>
          <w:szCs w:val="32"/>
          <w:highlight w:val="none"/>
          <w:lang w:val="en-US" w:eastAsia="zh-CN"/>
        </w:rPr>
        <w:t>项</w:t>
      </w:r>
      <w:r>
        <w:rPr>
          <w:rStyle w:val="19"/>
          <w:rFonts w:hint="eastAsia" w:ascii="仿宋_GB2312" w:hAnsi="仿宋_GB2312" w:eastAsia="仿宋_GB2312" w:cs="仿宋_GB2312"/>
          <w:bCs/>
          <w:color w:val="auto"/>
          <w:sz w:val="32"/>
          <w:szCs w:val="32"/>
          <w:highlight w:val="none"/>
        </w:rPr>
        <w:t>）</w:t>
      </w:r>
      <w:r>
        <w:rPr>
          <w:rFonts w:hint="eastAsia" w:ascii="仿宋_GB2312" w:hAnsi="仿宋_GB2312" w:eastAsia="仿宋_GB2312" w:cs="仿宋_GB2312"/>
          <w:color w:val="auto"/>
          <w:kern w:val="2"/>
          <w:sz w:val="32"/>
          <w:szCs w:val="32"/>
          <w:highlight w:val="none"/>
          <w:lang w:val="en-US" w:eastAsia="zh-CN" w:bidi="ar-SA"/>
        </w:rPr>
        <w:t>:支出决算43.95万元，完成预算100%，</w:t>
      </w:r>
      <w:r>
        <w:rPr>
          <w:rStyle w:val="19"/>
          <w:rFonts w:hint="eastAsia" w:ascii="仿宋_GB2312" w:hAnsi="仿宋_GB2312" w:eastAsia="仿宋_GB2312" w:cs="仿宋_GB2312"/>
          <w:b w:val="0"/>
          <w:bCs/>
          <w:color w:val="auto"/>
          <w:sz w:val="32"/>
          <w:szCs w:val="32"/>
          <w:highlight w:val="none"/>
          <w:lang w:eastAsia="zh-CN"/>
        </w:rPr>
        <w:t>决算数与预算数持平</w:t>
      </w:r>
      <w:r>
        <w:rPr>
          <w:rFonts w:hint="eastAsia" w:ascii="仿宋_GB2312" w:hAnsi="仿宋_GB2312" w:eastAsia="仿宋_GB2312" w:cs="仿宋_GB2312"/>
          <w:color w:val="auto"/>
          <w:kern w:val="2"/>
          <w:sz w:val="32"/>
          <w:szCs w:val="32"/>
          <w:highlight w:val="none"/>
          <w:lang w:val="en-US" w:eastAsia="zh-CN" w:bidi="ar-SA"/>
        </w:rPr>
        <w:t>。</w:t>
      </w:r>
    </w:p>
    <w:p w14:paraId="4DECB91B">
      <w:pPr>
        <w:spacing w:line="600" w:lineRule="exact"/>
        <w:ind w:firstLine="640"/>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7.卫生健康支出(类)行政事业单位医疗(款)事业单位医疗(项):</w:t>
      </w:r>
      <w:r>
        <w:rPr>
          <w:rFonts w:hint="eastAsia" w:ascii="仿宋_GB2312" w:hAnsi="仿宋_GB2312" w:eastAsia="仿宋_GB2312" w:cs="仿宋_GB2312"/>
          <w:b w:val="0"/>
          <w:bCs w:val="0"/>
          <w:color w:val="auto"/>
          <w:kern w:val="2"/>
          <w:sz w:val="32"/>
          <w:szCs w:val="32"/>
          <w:highlight w:val="none"/>
          <w:lang w:val="en-US" w:eastAsia="zh-CN" w:bidi="ar-SA"/>
        </w:rPr>
        <w:t>支出决算11.31万元，完成预算100%，</w:t>
      </w:r>
      <w:r>
        <w:rPr>
          <w:rStyle w:val="19"/>
          <w:rFonts w:hint="eastAsia" w:ascii="仿宋_GB2312" w:hAnsi="仿宋_GB2312" w:eastAsia="仿宋_GB2312" w:cs="仿宋_GB2312"/>
          <w:b w:val="0"/>
          <w:bCs/>
          <w:color w:val="auto"/>
          <w:sz w:val="32"/>
          <w:szCs w:val="32"/>
          <w:highlight w:val="none"/>
          <w:lang w:eastAsia="zh-CN"/>
        </w:rPr>
        <w:t>决算数与预算数持平</w:t>
      </w:r>
      <w:r>
        <w:rPr>
          <w:rFonts w:hint="eastAsia" w:ascii="仿宋_GB2312" w:hAnsi="仿宋_GB2312" w:eastAsia="仿宋_GB2312" w:cs="仿宋_GB2312"/>
          <w:b w:val="0"/>
          <w:bCs w:val="0"/>
          <w:color w:val="auto"/>
          <w:kern w:val="2"/>
          <w:sz w:val="32"/>
          <w:szCs w:val="32"/>
          <w:highlight w:val="none"/>
          <w:lang w:val="en-US" w:eastAsia="zh-CN" w:bidi="ar-SA"/>
        </w:rPr>
        <w:t>。</w:t>
      </w:r>
    </w:p>
    <w:p w14:paraId="64EF2742">
      <w:pPr>
        <w:spacing w:line="600" w:lineRule="exact"/>
        <w:ind w:firstLine="640"/>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8.住房保障支出(类)住房改革支出(款)住房公积金(项):</w:t>
      </w:r>
      <w:r>
        <w:rPr>
          <w:rFonts w:hint="eastAsia" w:ascii="仿宋_GB2312" w:hAnsi="仿宋_GB2312" w:eastAsia="仿宋_GB2312" w:cs="仿宋_GB2312"/>
          <w:b w:val="0"/>
          <w:bCs w:val="0"/>
          <w:color w:val="auto"/>
          <w:kern w:val="2"/>
          <w:sz w:val="32"/>
          <w:szCs w:val="32"/>
          <w:highlight w:val="none"/>
          <w:lang w:val="en-US" w:eastAsia="zh-CN" w:bidi="ar-SA"/>
        </w:rPr>
        <w:t>支出决算76.91万元，完成预算100%，</w:t>
      </w:r>
      <w:r>
        <w:rPr>
          <w:rStyle w:val="19"/>
          <w:rFonts w:hint="eastAsia" w:ascii="仿宋_GB2312" w:hAnsi="仿宋_GB2312" w:eastAsia="仿宋_GB2312" w:cs="仿宋_GB2312"/>
          <w:b w:val="0"/>
          <w:bCs/>
          <w:color w:val="auto"/>
          <w:sz w:val="32"/>
          <w:szCs w:val="32"/>
          <w:highlight w:val="none"/>
          <w:lang w:eastAsia="zh-CN"/>
        </w:rPr>
        <w:t>决算数与预算数持平</w:t>
      </w:r>
      <w:r>
        <w:rPr>
          <w:rFonts w:hint="eastAsia" w:ascii="仿宋_GB2312" w:hAnsi="仿宋_GB2312" w:eastAsia="仿宋_GB2312" w:cs="仿宋_GB2312"/>
          <w:b w:val="0"/>
          <w:bCs w:val="0"/>
          <w:color w:val="auto"/>
          <w:kern w:val="2"/>
          <w:sz w:val="32"/>
          <w:szCs w:val="32"/>
          <w:highlight w:val="none"/>
          <w:lang w:val="en-US" w:eastAsia="zh-CN" w:bidi="ar-SA"/>
        </w:rPr>
        <w:t>。</w:t>
      </w:r>
    </w:p>
    <w:p w14:paraId="4A71D3F4">
      <w:pPr>
        <w:spacing w:line="600" w:lineRule="exact"/>
        <w:ind w:firstLine="640"/>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9.住房保障支出(类)住房改革支出(款)购房补贴(项):</w:t>
      </w:r>
      <w:r>
        <w:rPr>
          <w:rFonts w:hint="eastAsia" w:ascii="仿宋_GB2312" w:hAnsi="仿宋_GB2312" w:eastAsia="仿宋_GB2312" w:cs="仿宋_GB2312"/>
          <w:b w:val="0"/>
          <w:bCs w:val="0"/>
          <w:color w:val="auto"/>
          <w:kern w:val="2"/>
          <w:sz w:val="32"/>
          <w:szCs w:val="32"/>
          <w:highlight w:val="none"/>
          <w:lang w:val="en-US" w:eastAsia="zh-CN" w:bidi="ar-SA"/>
        </w:rPr>
        <w:t>支出决算1万元，完成预算100%，</w:t>
      </w:r>
      <w:r>
        <w:rPr>
          <w:rStyle w:val="19"/>
          <w:rFonts w:hint="eastAsia" w:ascii="仿宋_GB2312" w:hAnsi="仿宋_GB2312" w:eastAsia="仿宋_GB2312" w:cs="仿宋_GB2312"/>
          <w:b w:val="0"/>
          <w:bCs/>
          <w:color w:val="auto"/>
          <w:sz w:val="32"/>
          <w:szCs w:val="32"/>
          <w:highlight w:val="none"/>
          <w:lang w:eastAsia="zh-CN"/>
        </w:rPr>
        <w:t>决算数与预算数持平</w:t>
      </w:r>
      <w:r>
        <w:rPr>
          <w:rFonts w:hint="eastAsia" w:ascii="仿宋_GB2312" w:hAnsi="仿宋_GB2312" w:eastAsia="仿宋_GB2312" w:cs="仿宋_GB2312"/>
          <w:b w:val="0"/>
          <w:bCs w:val="0"/>
          <w:color w:val="auto"/>
          <w:kern w:val="2"/>
          <w:sz w:val="32"/>
          <w:szCs w:val="32"/>
          <w:highlight w:val="none"/>
          <w:lang w:val="en-US" w:eastAsia="zh-CN" w:bidi="ar-SA"/>
        </w:rPr>
        <w:t>。</w:t>
      </w:r>
    </w:p>
    <w:p w14:paraId="17595D34">
      <w:pPr>
        <w:tabs>
          <w:tab w:val="right" w:pos="8306"/>
        </w:tabs>
        <w:spacing w:line="600" w:lineRule="exact"/>
        <w:ind w:firstLine="640"/>
        <w:outlineLvl w:val="1"/>
        <w:rPr>
          <w:rStyle w:val="21"/>
          <w:rFonts w:ascii="Times New Roman" w:hAnsi="Times New Roman"/>
          <w:color w:val="auto"/>
          <w:highlight w:val="none"/>
        </w:rPr>
      </w:pPr>
      <w:bookmarkStart w:id="58" w:name="_Toc27840"/>
      <w:bookmarkStart w:id="59" w:name="_Toc15377214"/>
      <w:bookmarkStart w:id="60" w:name="_Toc28193"/>
      <w:bookmarkStart w:id="61" w:name="_Toc15396608"/>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21"/>
          <w:rFonts w:hint="eastAsia" w:ascii="Times New Roman" w:hAnsi="Times New Roman" w:eastAsia="黑体"/>
          <w:b w:val="0"/>
          <w:color w:val="auto"/>
          <w:highlight w:val="none"/>
        </w:rPr>
        <w:t>般公共预算财政拨款基本支出决算情况说明</w:t>
      </w:r>
      <w:bookmarkEnd w:id="58"/>
      <w:bookmarkEnd w:id="59"/>
      <w:bookmarkEnd w:id="60"/>
      <w:bookmarkEnd w:id="61"/>
      <w:r>
        <w:rPr>
          <w:rStyle w:val="21"/>
          <w:rFonts w:ascii="Times New Roman" w:hAnsi="Times New Roman" w:eastAsia="黑体"/>
          <w:b w:val="0"/>
          <w:color w:val="auto"/>
          <w:highlight w:val="none"/>
        </w:rPr>
        <w:tab/>
      </w:r>
    </w:p>
    <w:p w14:paraId="261B74A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eastAsia="仿宋_GB2312" w:cs="仿宋_GB2312"/>
          <w:color w:val="auto"/>
          <w:kern w:val="2"/>
          <w:sz w:val="32"/>
          <w:szCs w:val="32"/>
          <w:highlight w:val="none"/>
          <w:lang w:val="en-US" w:eastAsia="zh-CN" w:bidi="ar-SA"/>
        </w:rPr>
        <w:t>1144.8</w:t>
      </w:r>
      <w:r>
        <w:rPr>
          <w:rFonts w:hint="eastAsia" w:ascii="Times New Roman" w:hAnsi="Times New Roman" w:eastAsia="仿宋_GB2312" w:cs="仿宋_GB2312"/>
          <w:color w:val="auto"/>
          <w:kern w:val="2"/>
          <w:sz w:val="32"/>
          <w:szCs w:val="32"/>
          <w:highlight w:val="none"/>
          <w:lang w:val="en-US" w:eastAsia="zh-CN" w:bidi="ar-SA"/>
        </w:rPr>
        <w:t>万元，其中：</w:t>
      </w:r>
    </w:p>
    <w:p w14:paraId="3AB0D40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eastAsia="仿宋_GB2312" w:cs="仿宋_GB2312"/>
          <w:color w:val="auto"/>
          <w:kern w:val="2"/>
          <w:sz w:val="32"/>
          <w:szCs w:val="32"/>
          <w:highlight w:val="none"/>
          <w:lang w:val="en-US" w:eastAsia="zh-CN" w:bidi="ar-SA"/>
        </w:rPr>
        <w:t>990.09</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万元，主要包括：基本工资、津贴补贴、奖金、绩效工资、机关事业单位基本养老保险缴费、职业年金缴费、</w:t>
      </w:r>
      <w:r>
        <w:rPr>
          <w:rFonts w:hint="eastAsia" w:ascii="仿宋_GB2312" w:hAnsi="仿宋_GB2312" w:eastAsia="仿宋_GB2312" w:cs="仿宋_GB2312"/>
          <w:color w:val="auto"/>
          <w:kern w:val="2"/>
          <w:sz w:val="32"/>
          <w:szCs w:val="32"/>
          <w:highlight w:val="none"/>
          <w:lang w:val="en-US" w:eastAsia="zh-CN" w:bidi="ar-SA"/>
        </w:rPr>
        <w:t>职工基本医疗保险缴费、</w:t>
      </w:r>
      <w:r>
        <w:rPr>
          <w:rFonts w:hint="eastAsia" w:ascii="Times New Roman" w:hAnsi="Times New Roman" w:eastAsia="仿宋_GB2312" w:cs="仿宋_GB2312"/>
          <w:color w:val="auto"/>
          <w:kern w:val="2"/>
          <w:sz w:val="32"/>
          <w:szCs w:val="32"/>
          <w:highlight w:val="none"/>
          <w:lang w:val="en-US" w:eastAsia="zh-CN" w:bidi="ar-SA"/>
        </w:rPr>
        <w:t>其他社会保障缴费、抚恤金、生活补助、医疗费、奖励金、住房公积金、其他对个人和家庭的补助支出等。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eastAsia="仿宋_GB2312" w:cs="仿宋_GB2312"/>
          <w:color w:val="auto"/>
          <w:kern w:val="2"/>
          <w:sz w:val="32"/>
          <w:szCs w:val="32"/>
          <w:highlight w:val="none"/>
          <w:lang w:val="en-US" w:eastAsia="zh-CN" w:bidi="ar-SA"/>
        </w:rPr>
        <w:t>154.71</w:t>
      </w:r>
      <w:r>
        <w:rPr>
          <w:rFonts w:hint="eastAsia" w:ascii="Times New Roman" w:hAnsi="Times New Roman" w:eastAsia="仿宋_GB2312" w:cs="仿宋_GB2312"/>
          <w:color w:val="auto"/>
          <w:kern w:val="2"/>
          <w:sz w:val="32"/>
          <w:szCs w:val="32"/>
          <w:highlight w:val="none"/>
          <w:lang w:val="en-US" w:eastAsia="zh-CN" w:bidi="ar-SA"/>
        </w:rPr>
        <w:t>万元，主要包括：办公费、邮电费、差旅费、维修（护）费、租赁费、培训费、劳务费、福利费、公务用车运行维护费、其他商品和服务支出等。</w:t>
      </w:r>
    </w:p>
    <w:p w14:paraId="77220A44">
      <w:pPr>
        <w:spacing w:line="600" w:lineRule="exact"/>
        <w:ind w:firstLine="640"/>
        <w:outlineLvl w:val="1"/>
        <w:rPr>
          <w:rStyle w:val="21"/>
          <w:rFonts w:ascii="Times New Roman" w:hAnsi="Times New Roman" w:eastAsia="黑体"/>
          <w:b w:val="0"/>
          <w:color w:val="auto"/>
          <w:highlight w:val="none"/>
        </w:rPr>
      </w:pPr>
      <w:bookmarkStart w:id="62" w:name="_Toc2915"/>
      <w:bookmarkStart w:id="63" w:name="_Toc15377215"/>
      <w:bookmarkStart w:id="64" w:name="_Toc12304"/>
      <w:bookmarkStart w:id="65" w:name="_Toc15396609"/>
      <w:r>
        <w:rPr>
          <w:rFonts w:hint="eastAsia" w:ascii="Times New Roman" w:hAnsi="Times New Roman" w:eastAsia="黑体"/>
          <w:color w:val="auto"/>
          <w:sz w:val="32"/>
          <w:szCs w:val="32"/>
          <w:highlight w:val="none"/>
        </w:rPr>
        <w:t>七、</w:t>
      </w:r>
      <w:r>
        <w:rPr>
          <w:rStyle w:val="21"/>
          <w:rFonts w:hint="eastAsia" w:ascii="Times New Roman" w:hAnsi="Times New Roman" w:eastAsia="黑体"/>
          <w:b w:val="0"/>
          <w:color w:val="auto"/>
          <w:highlight w:val="none"/>
        </w:rPr>
        <w:t>财政拨款</w:t>
      </w:r>
      <w:r>
        <w:rPr>
          <w:rStyle w:val="21"/>
          <w:rFonts w:hint="eastAsia" w:ascii="Times New Roman" w:hAnsi="Times New Roman" w:eastAsia="黑体"/>
          <w:b w:val="0"/>
          <w:color w:val="auto"/>
          <w:highlight w:val="none"/>
          <w:lang w:eastAsia="zh-CN"/>
        </w:rPr>
        <w:t>“</w:t>
      </w:r>
      <w:r>
        <w:rPr>
          <w:rStyle w:val="21"/>
          <w:rFonts w:hint="eastAsia" w:ascii="Times New Roman" w:hAnsi="Times New Roman" w:eastAsia="黑体"/>
          <w:b w:val="0"/>
          <w:color w:val="auto"/>
          <w:highlight w:val="none"/>
        </w:rPr>
        <w:t>三公</w:t>
      </w:r>
      <w:r>
        <w:rPr>
          <w:rStyle w:val="21"/>
          <w:rFonts w:hint="eastAsia" w:ascii="Times New Roman" w:hAnsi="Times New Roman" w:eastAsia="黑体"/>
          <w:b w:val="0"/>
          <w:color w:val="auto"/>
          <w:highlight w:val="none"/>
          <w:lang w:eastAsia="zh-CN"/>
        </w:rPr>
        <w:t>”</w:t>
      </w:r>
      <w:r>
        <w:rPr>
          <w:rStyle w:val="21"/>
          <w:rFonts w:hint="eastAsia" w:ascii="Times New Roman" w:hAnsi="Times New Roman" w:eastAsia="黑体"/>
          <w:b w:val="0"/>
          <w:color w:val="auto"/>
          <w:highlight w:val="none"/>
        </w:rPr>
        <w:t>经费支出决算情况说明</w:t>
      </w:r>
      <w:bookmarkEnd w:id="62"/>
      <w:bookmarkEnd w:id="63"/>
      <w:bookmarkEnd w:id="64"/>
      <w:bookmarkEnd w:id="65"/>
    </w:p>
    <w:p w14:paraId="4A169C74">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66"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66"/>
    </w:p>
    <w:p w14:paraId="16E1485D">
      <w:pPr>
        <w:keepNext w:val="0"/>
        <w:keepLines w:val="0"/>
        <w:widowControl/>
        <w:suppressLineNumbers w:val="0"/>
        <w:ind w:firstLine="640" w:firstLineChars="200"/>
        <w:jc w:val="left"/>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eastAsia="仿宋_GB2312" w:cs="仿宋_GB2312"/>
          <w:color w:val="auto"/>
          <w:kern w:val="2"/>
          <w:sz w:val="32"/>
          <w:szCs w:val="32"/>
          <w:highlight w:val="none"/>
          <w:lang w:val="en-US" w:eastAsia="zh-CN" w:bidi="ar-SA"/>
        </w:rPr>
        <w:t>139.51</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%，与上年度相比减少</w:t>
      </w:r>
      <w:r>
        <w:rPr>
          <w:rFonts w:hint="eastAsia" w:eastAsia="仿宋_GB2312" w:cs="仿宋_GB2312"/>
          <w:color w:val="auto"/>
          <w:kern w:val="2"/>
          <w:sz w:val="32"/>
          <w:szCs w:val="32"/>
          <w:highlight w:val="none"/>
          <w:lang w:val="en-US" w:eastAsia="zh-CN" w:bidi="ar-SA"/>
        </w:rPr>
        <w:t>46.76</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29</w:t>
      </w:r>
      <w:r>
        <w:rPr>
          <w:rFonts w:hint="eastAsia" w:ascii="Times New Roman" w:hAnsi="Times New Roman" w:eastAsia="仿宋_GB2312" w:cs="仿宋_GB2312"/>
          <w:color w:val="auto"/>
          <w:kern w:val="2"/>
          <w:sz w:val="32"/>
          <w:szCs w:val="32"/>
          <w:highlight w:val="none"/>
          <w:lang w:val="en-US" w:eastAsia="zh-CN" w:bidi="ar-SA"/>
        </w:rPr>
        <w:t>%，主要原因是：1.本年度无因公出国（境），2.加强公务用车管理，减少公</w:t>
      </w:r>
      <w:r>
        <w:rPr>
          <w:rFonts w:hint="default" w:ascii="Times New Roman" w:hAnsi="Times New Roman" w:eastAsia="仿宋_GB2312" w:cs="仿宋_GB2312"/>
          <w:color w:val="auto"/>
          <w:kern w:val="2"/>
          <w:sz w:val="32"/>
          <w:szCs w:val="32"/>
          <w:highlight w:val="none"/>
          <w:lang w:val="en-US" w:eastAsia="zh-CN" w:bidi="ar-SA"/>
        </w:rPr>
        <w:t>务用车运行维护费支出</w:t>
      </w:r>
      <w:r>
        <w:rPr>
          <w:rFonts w:hint="eastAsia" w:ascii="Times New Roman" w:hAnsi="Times New Roman" w:eastAsia="仿宋_GB2312" w:cs="仿宋_GB2312"/>
          <w:color w:val="auto"/>
          <w:kern w:val="2"/>
          <w:sz w:val="32"/>
          <w:szCs w:val="32"/>
          <w:highlight w:val="none"/>
          <w:lang w:val="en-US" w:eastAsia="zh-CN" w:bidi="ar-SA"/>
        </w:rPr>
        <w:t>。</w:t>
      </w:r>
    </w:p>
    <w:p w14:paraId="46805144">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67"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67"/>
    </w:p>
    <w:p w14:paraId="4BE7148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财政拨款“三公”经费支出决算中，公务用车购置及运行维护费支出决算</w:t>
      </w:r>
      <w:r>
        <w:rPr>
          <w:rFonts w:hint="eastAsia" w:eastAsia="仿宋_GB2312" w:cs="仿宋_GB2312"/>
          <w:color w:val="auto"/>
          <w:kern w:val="2"/>
          <w:sz w:val="32"/>
          <w:szCs w:val="32"/>
          <w:highlight w:val="none"/>
          <w:lang w:val="en-US" w:eastAsia="zh-CN" w:bidi="ar-SA"/>
        </w:rPr>
        <w:t>139.51</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%。具体情况如下：</w:t>
      </w:r>
    </w:p>
    <w:p w14:paraId="02A31AE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drawing>
          <wp:anchor distT="0" distB="0" distL="114935" distR="114935" simplePos="0" relativeHeight="251665408" behindDoc="1" locked="0" layoutInCell="1" allowOverlap="1">
            <wp:simplePos x="0" y="0"/>
            <wp:positionH relativeFrom="column">
              <wp:posOffset>509270</wp:posOffset>
            </wp:positionH>
            <wp:positionV relativeFrom="page">
              <wp:posOffset>2536190</wp:posOffset>
            </wp:positionV>
            <wp:extent cx="4494530" cy="2560955"/>
            <wp:effectExtent l="4445" t="5080" r="15875" b="5715"/>
            <wp:wrapTight wrapText="bothSides">
              <wp:wrapPolygon>
                <wp:start x="-21" y="-43"/>
                <wp:lineTo x="-21" y="21488"/>
                <wp:lineTo x="21493" y="21488"/>
                <wp:lineTo x="21493" y="-43"/>
                <wp:lineTo x="-21" y="-43"/>
              </wp:wrapPolygon>
            </wp:wrapTight>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因公出国（境）支出决算与上年度相比减少</w:t>
      </w:r>
      <w:r>
        <w:rPr>
          <w:rFonts w:hint="eastAsia" w:eastAsia="仿宋_GB2312" w:cs="仿宋_GB2312"/>
          <w:color w:val="auto"/>
          <w:kern w:val="2"/>
          <w:sz w:val="32"/>
          <w:szCs w:val="32"/>
          <w:highlight w:val="none"/>
          <w:lang w:val="en-US" w:eastAsia="zh-CN" w:bidi="ar-SA"/>
        </w:rPr>
        <w:t>9.98</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：本年度无因公出国（境）。</w:t>
      </w:r>
    </w:p>
    <w:p w14:paraId="57E0C4E1">
      <w:pPr>
        <w:keepNext w:val="0"/>
        <w:keepLines w:val="0"/>
        <w:widowControl/>
        <w:suppressLineNumbers w:val="0"/>
        <w:ind w:firstLine="643" w:firstLineChars="200"/>
        <w:jc w:val="lef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eastAsia="仿宋_GB2312" w:cs="仿宋_GB2312"/>
          <w:b/>
          <w:bCs/>
          <w:color w:val="auto"/>
          <w:kern w:val="2"/>
          <w:sz w:val="32"/>
          <w:szCs w:val="32"/>
          <w:highlight w:val="none"/>
          <w:lang w:val="en-US" w:eastAsia="zh-CN" w:bidi="ar-SA"/>
        </w:rPr>
        <w:t>139.51</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公务用车购置及运行维护费支出决算与上年度相比减少</w:t>
      </w:r>
      <w:r>
        <w:rPr>
          <w:rFonts w:hint="eastAsia" w:eastAsia="仿宋_GB2312" w:cs="仿宋_GB2312"/>
          <w:color w:val="auto"/>
          <w:kern w:val="2"/>
          <w:sz w:val="32"/>
          <w:szCs w:val="32"/>
          <w:highlight w:val="none"/>
          <w:lang w:val="en-US" w:eastAsia="zh-CN" w:bidi="ar-SA"/>
        </w:rPr>
        <w:t>46.76</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25.1</w:t>
      </w:r>
      <w:r>
        <w:rPr>
          <w:rFonts w:hint="eastAsia" w:ascii="Times New Roman" w:hAnsi="Times New Roman" w:eastAsia="仿宋_GB2312" w:cs="仿宋_GB2312"/>
          <w:color w:val="auto"/>
          <w:kern w:val="2"/>
          <w:sz w:val="32"/>
          <w:szCs w:val="32"/>
          <w:highlight w:val="none"/>
          <w:lang w:val="en-US" w:eastAsia="zh-CN" w:bidi="ar-SA"/>
        </w:rPr>
        <w:t>%。主要原因是：加强公务用车管理，减少公</w:t>
      </w:r>
      <w:r>
        <w:rPr>
          <w:rFonts w:hint="default" w:ascii="Times New Roman" w:hAnsi="Times New Roman" w:eastAsia="仿宋_GB2312" w:cs="仿宋_GB2312"/>
          <w:color w:val="auto"/>
          <w:kern w:val="2"/>
          <w:sz w:val="32"/>
          <w:szCs w:val="32"/>
          <w:highlight w:val="none"/>
          <w:lang w:val="en-US" w:eastAsia="zh-CN" w:bidi="ar-SA"/>
        </w:rPr>
        <w:t>务用车运行维护费支出</w:t>
      </w:r>
      <w:r>
        <w:rPr>
          <w:rFonts w:hint="eastAsia" w:ascii="Times New Roman" w:hAnsi="Times New Roman" w:eastAsia="仿宋_GB2312" w:cs="仿宋_GB2312"/>
          <w:color w:val="auto"/>
          <w:kern w:val="2"/>
          <w:sz w:val="32"/>
          <w:szCs w:val="32"/>
          <w:highlight w:val="none"/>
          <w:lang w:val="en-US" w:eastAsia="zh-CN" w:bidi="ar-SA"/>
        </w:rPr>
        <w:t>。</w:t>
      </w:r>
    </w:p>
    <w:p w14:paraId="48B5339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13</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12</w:t>
      </w:r>
      <w:r>
        <w:rPr>
          <w:rFonts w:hint="eastAsia" w:ascii="Times New Roman" w:hAnsi="Times New Roman" w:eastAsia="仿宋_GB2312" w:cs="仿宋_GB2312"/>
          <w:color w:val="auto"/>
          <w:kern w:val="2"/>
          <w:sz w:val="32"/>
          <w:szCs w:val="32"/>
          <w:highlight w:val="none"/>
          <w:lang w:val="en-US" w:eastAsia="zh-CN" w:bidi="ar-SA"/>
        </w:rPr>
        <w:t>辆。</w:t>
      </w:r>
    </w:p>
    <w:p w14:paraId="62BD6151">
      <w:pPr>
        <w:keepNext w:val="0"/>
        <w:keepLines w:val="0"/>
        <w:widowControl/>
        <w:suppressLineNumbers w:val="0"/>
        <w:ind w:firstLine="640" w:firstLineChars="200"/>
        <w:jc w:val="lef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公务用车运行维护费支出139.51万元。主要用于省州重点项目督查督导</w:t>
      </w:r>
      <w:r>
        <w:rPr>
          <w:rFonts w:hint="default"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防汛减灾</w:t>
      </w:r>
      <w:r>
        <w:rPr>
          <w:rFonts w:hint="default" w:ascii="Times New Roman" w:hAnsi="Times New Roman" w:eastAsia="仿宋_GB2312" w:cs="仿宋_GB2312"/>
          <w:color w:val="auto"/>
          <w:kern w:val="2"/>
          <w:sz w:val="32"/>
          <w:szCs w:val="32"/>
          <w:highlight w:val="none"/>
          <w:lang w:val="en-US" w:eastAsia="zh-CN" w:bidi="ar-SA"/>
        </w:rPr>
        <w:t>应急处突及</w:t>
      </w:r>
      <w:r>
        <w:rPr>
          <w:rFonts w:hint="eastAsia" w:ascii="Times New Roman" w:hAnsi="Times New Roman" w:eastAsia="仿宋_GB2312" w:cs="仿宋_GB2312"/>
          <w:color w:val="auto"/>
          <w:kern w:val="2"/>
          <w:sz w:val="32"/>
          <w:szCs w:val="32"/>
          <w:highlight w:val="none"/>
          <w:lang w:val="en-US" w:eastAsia="zh-CN" w:bidi="ar-SA"/>
        </w:rPr>
        <w:t>县</w:t>
      </w:r>
      <w:r>
        <w:rPr>
          <w:rFonts w:hint="default" w:ascii="Times New Roman" w:hAnsi="Times New Roman" w:eastAsia="仿宋_GB2312" w:cs="仿宋_GB2312"/>
          <w:color w:val="auto"/>
          <w:kern w:val="2"/>
          <w:sz w:val="32"/>
          <w:szCs w:val="32"/>
          <w:highlight w:val="none"/>
          <w:lang w:val="en-US" w:eastAsia="zh-CN" w:bidi="ar-SA"/>
        </w:rPr>
        <w:t>政府办日常工作等</w:t>
      </w:r>
      <w:r>
        <w:rPr>
          <w:rFonts w:hint="eastAsia" w:ascii="Times New Roman" w:hAnsi="Times New Roman" w:eastAsia="仿宋_GB2312" w:cs="仿宋_GB2312"/>
          <w:color w:val="auto"/>
          <w:kern w:val="2"/>
          <w:sz w:val="32"/>
          <w:szCs w:val="32"/>
          <w:highlight w:val="none"/>
          <w:lang w:val="en-US" w:eastAsia="zh-CN" w:bidi="ar-SA"/>
        </w:rPr>
        <w:t>所需的公务用车燃料费、维修费、过路过桥费、保险费等支出。</w:t>
      </w:r>
    </w:p>
    <w:p w14:paraId="22505AC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公务接待费支出决算与上年度相比减少</w:t>
      </w:r>
      <w:r>
        <w:rPr>
          <w:rFonts w:hint="eastAsia" w:eastAsia="仿宋_GB2312" w:cs="仿宋_GB2312"/>
          <w:color w:val="auto"/>
          <w:kern w:val="2"/>
          <w:sz w:val="32"/>
          <w:szCs w:val="32"/>
          <w:highlight w:val="none"/>
          <w:lang w:val="en-US" w:eastAsia="zh-CN" w:bidi="ar-SA"/>
        </w:rPr>
        <w:t>0.19</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：本年度未产生公务接待费。</w:t>
      </w:r>
    </w:p>
    <w:p w14:paraId="67AE27F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p>
    <w:p w14:paraId="138F4CE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p>
    <w:p w14:paraId="364338DF">
      <w:pPr>
        <w:spacing w:line="600" w:lineRule="exact"/>
        <w:ind w:firstLine="640"/>
        <w:outlineLvl w:val="1"/>
        <w:rPr>
          <w:rStyle w:val="21"/>
          <w:rFonts w:ascii="Times New Roman" w:hAnsi="Times New Roman" w:eastAsia="黑体"/>
          <w:color w:val="auto"/>
          <w:highlight w:val="none"/>
        </w:rPr>
      </w:pPr>
      <w:bookmarkStart w:id="68" w:name="_Toc15396610"/>
      <w:bookmarkStart w:id="69" w:name="_Toc7463"/>
      <w:bookmarkStart w:id="70" w:name="_Toc21629"/>
      <w:bookmarkStart w:id="71" w:name="_Toc15377218"/>
      <w:r>
        <w:rPr>
          <w:rFonts w:hint="eastAsia" w:ascii="Times New Roman" w:hAnsi="Times New Roman" w:eastAsia="黑体"/>
          <w:color w:val="auto"/>
          <w:sz w:val="32"/>
          <w:szCs w:val="32"/>
          <w:highlight w:val="none"/>
        </w:rPr>
        <w:t>八、</w:t>
      </w:r>
      <w:r>
        <w:rPr>
          <w:rStyle w:val="21"/>
          <w:rFonts w:hint="eastAsia" w:ascii="Times New Roman" w:hAnsi="Times New Roman" w:eastAsia="黑体"/>
          <w:b w:val="0"/>
          <w:color w:val="auto"/>
          <w:highlight w:val="none"/>
        </w:rPr>
        <w:t>政府性基金预算支出决算情况说明</w:t>
      </w:r>
      <w:bookmarkEnd w:id="68"/>
      <w:bookmarkEnd w:id="69"/>
      <w:bookmarkEnd w:id="70"/>
      <w:bookmarkEnd w:id="71"/>
    </w:p>
    <w:p w14:paraId="1EA2F8D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p>
    <w:p w14:paraId="07131548">
      <w:pPr>
        <w:numPr>
          <w:ilvl w:val="0"/>
          <w:numId w:val="0"/>
        </w:numPr>
        <w:spacing w:line="600" w:lineRule="exact"/>
        <w:ind w:left="630" w:leftChars="0"/>
        <w:outlineLvl w:val="1"/>
        <w:rPr>
          <w:rStyle w:val="21"/>
          <w:rFonts w:ascii="Times New Roman" w:hAnsi="Times New Roman" w:eastAsia="黑体"/>
          <w:b w:val="0"/>
          <w:color w:val="auto"/>
          <w:highlight w:val="none"/>
        </w:rPr>
      </w:pPr>
      <w:bookmarkStart w:id="72" w:name="_Toc22011"/>
      <w:bookmarkStart w:id="73" w:name="_Toc15396611"/>
      <w:bookmarkStart w:id="74" w:name="_Toc15377219"/>
      <w:bookmarkStart w:id="75" w:name="_Toc23810"/>
      <w:r>
        <w:rPr>
          <w:rStyle w:val="21"/>
          <w:rFonts w:hint="eastAsia" w:ascii="Times New Roman" w:hAnsi="Times New Roman" w:eastAsia="黑体"/>
          <w:b w:val="0"/>
          <w:color w:val="auto"/>
          <w:highlight w:val="none"/>
          <w:lang w:eastAsia="zh-CN"/>
        </w:rPr>
        <w:t>九、</w:t>
      </w:r>
      <w:r>
        <w:rPr>
          <w:rStyle w:val="21"/>
          <w:rFonts w:hint="eastAsia" w:ascii="Times New Roman" w:hAnsi="Times New Roman" w:eastAsia="黑体"/>
          <w:b w:val="0"/>
          <w:color w:val="auto"/>
          <w:highlight w:val="none"/>
        </w:rPr>
        <w:t>国有资本经营预算支出决算情况说明</w:t>
      </w:r>
      <w:bookmarkEnd w:id="72"/>
      <w:bookmarkEnd w:id="73"/>
      <w:bookmarkEnd w:id="74"/>
      <w:bookmarkEnd w:id="75"/>
    </w:p>
    <w:p w14:paraId="3D2D6A3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p>
    <w:p w14:paraId="05A79408">
      <w:pPr>
        <w:numPr>
          <w:ilvl w:val="0"/>
          <w:numId w:val="0"/>
        </w:numPr>
        <w:spacing w:line="600" w:lineRule="exact"/>
        <w:ind w:left="630" w:leftChars="0"/>
        <w:outlineLvl w:val="1"/>
        <w:rPr>
          <w:rStyle w:val="21"/>
          <w:rFonts w:hint="eastAsia" w:ascii="Times New Roman" w:hAnsi="Times New Roman" w:eastAsia="黑体"/>
          <w:b w:val="0"/>
          <w:color w:val="auto"/>
          <w:highlight w:val="none"/>
        </w:rPr>
      </w:pPr>
      <w:bookmarkStart w:id="76" w:name="_Toc15377221"/>
      <w:bookmarkStart w:id="77" w:name="_Toc15396612"/>
      <w:bookmarkStart w:id="78" w:name="_Toc1193"/>
      <w:bookmarkStart w:id="79" w:name="_Toc31651"/>
      <w:r>
        <w:rPr>
          <w:rStyle w:val="21"/>
          <w:rFonts w:hint="eastAsia" w:ascii="Times New Roman" w:hAnsi="Times New Roman" w:eastAsia="黑体"/>
          <w:b w:val="0"/>
          <w:color w:val="auto"/>
          <w:highlight w:val="none"/>
          <w:lang w:eastAsia="zh-CN"/>
        </w:rPr>
        <w:t>十、</w:t>
      </w:r>
      <w:r>
        <w:rPr>
          <w:rStyle w:val="21"/>
          <w:rFonts w:hint="eastAsia" w:ascii="Times New Roman" w:hAnsi="Times New Roman" w:eastAsia="黑体"/>
          <w:b w:val="0"/>
          <w:color w:val="auto"/>
          <w:highlight w:val="none"/>
        </w:rPr>
        <w:t>其他重要事项的情况说明</w:t>
      </w:r>
      <w:bookmarkEnd w:id="76"/>
      <w:bookmarkEnd w:id="77"/>
      <w:bookmarkEnd w:id="78"/>
      <w:bookmarkEnd w:id="79"/>
    </w:p>
    <w:p w14:paraId="2BCEA057">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80" w:name="_Toc15377222"/>
      <w:r>
        <w:rPr>
          <w:rFonts w:hint="eastAsia" w:ascii="Times New Roman" w:hAnsi="Times New Roman" w:eastAsia="楷体_GB2312" w:cs="楷体_GB2312"/>
          <w:b/>
          <w:color w:val="auto"/>
          <w:sz w:val="32"/>
          <w:szCs w:val="32"/>
          <w:highlight w:val="none"/>
        </w:rPr>
        <w:t>（一）机关运行经费支出情况</w:t>
      </w:r>
      <w:bookmarkEnd w:id="80"/>
    </w:p>
    <w:p w14:paraId="3ACAFCD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茂县人民政府办公室</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eastAsia="仿宋_GB2312" w:cs="仿宋_GB2312"/>
          <w:color w:val="auto"/>
          <w:kern w:val="2"/>
          <w:sz w:val="32"/>
          <w:szCs w:val="32"/>
          <w:highlight w:val="none"/>
          <w:lang w:val="en-US" w:eastAsia="zh-CN" w:bidi="ar-SA"/>
        </w:rPr>
        <w:t>140.87</w:t>
      </w:r>
      <w:r>
        <w:rPr>
          <w:rFonts w:hint="eastAsia" w:ascii="Times New Roman" w:hAnsi="Times New Roman" w:eastAsia="仿宋_GB2312" w:cs="仿宋_GB2312"/>
          <w:color w:val="auto"/>
          <w:kern w:val="2"/>
          <w:sz w:val="32"/>
          <w:szCs w:val="32"/>
          <w:highlight w:val="none"/>
          <w:lang w:val="en-US" w:eastAsia="zh-CN" w:bidi="ar-SA"/>
        </w:rPr>
        <w:t>万元，与上年度相比减少</w:t>
      </w:r>
      <w:r>
        <w:rPr>
          <w:rFonts w:hint="eastAsia" w:eastAsia="仿宋_GB2312" w:cs="仿宋_GB2312"/>
          <w:color w:val="auto"/>
          <w:kern w:val="2"/>
          <w:sz w:val="32"/>
          <w:szCs w:val="32"/>
          <w:highlight w:val="none"/>
          <w:lang w:val="en-US" w:eastAsia="zh-CN" w:bidi="ar-SA"/>
        </w:rPr>
        <w:t>7.21</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4.9</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：本年度无</w:t>
      </w:r>
      <w:r>
        <w:rPr>
          <w:rFonts w:hint="eastAsia" w:ascii="Times New Roman" w:hAnsi="Times New Roman" w:eastAsia="仿宋_GB2312" w:cs="仿宋_GB2312"/>
          <w:color w:val="auto"/>
          <w:kern w:val="2"/>
          <w:sz w:val="32"/>
          <w:szCs w:val="32"/>
          <w:highlight w:val="none"/>
          <w:lang w:val="en-US" w:eastAsia="zh-CN" w:bidi="ar-SA"/>
        </w:rPr>
        <w:t>因公出国（境），相关费用减少。</w:t>
      </w:r>
    </w:p>
    <w:p w14:paraId="71052F8D">
      <w:pPr>
        <w:numPr>
          <w:ilvl w:val="0"/>
          <w:numId w:val="2"/>
        </w:num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81" w:name="_Toc15377223"/>
      <w:r>
        <w:rPr>
          <w:rFonts w:hint="eastAsia" w:ascii="Times New Roman" w:hAnsi="Times New Roman" w:eastAsia="楷体_GB2312" w:cs="楷体_GB2312"/>
          <w:b/>
          <w:color w:val="auto"/>
          <w:sz w:val="32"/>
          <w:szCs w:val="32"/>
          <w:highlight w:val="none"/>
        </w:rPr>
        <w:t>政府采购支出情况</w:t>
      </w:r>
      <w:bookmarkEnd w:id="81"/>
    </w:p>
    <w:p w14:paraId="2EDB0A9E">
      <w:pPr>
        <w:numPr>
          <w:ilvl w:val="0"/>
          <w:numId w:val="0"/>
        </w:numPr>
        <w:spacing w:line="600" w:lineRule="exact"/>
        <w:ind w:firstLine="640" w:firstLineChars="200"/>
        <w:outlineLvl w:val="2"/>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2025年度，茂县人民政府办公室政府采购支出总额143.36万元，其中：政府采购服务支出143.36万元。该资金为非财政拨款收入，主要用于全县电子政务外网运行维护服务费。</w:t>
      </w:r>
    </w:p>
    <w:p w14:paraId="37B2E31E">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82" w:name="_Toc15377224"/>
      <w:r>
        <w:rPr>
          <w:rFonts w:hint="eastAsia" w:ascii="Times New Roman" w:hAnsi="Times New Roman" w:eastAsia="楷体_GB2312" w:cs="楷体_GB2312"/>
          <w:b/>
          <w:color w:val="auto"/>
          <w:sz w:val="32"/>
          <w:szCs w:val="32"/>
          <w:highlight w:val="none"/>
        </w:rPr>
        <w:t>（三）国有资产占有使用情况</w:t>
      </w:r>
      <w:bookmarkEnd w:id="82"/>
    </w:p>
    <w:p w14:paraId="7F38DD7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hAnsi="仿宋_GB2312" w:eastAsia="仿宋_GB2312" w:cs="仿宋_GB2312"/>
          <w:b w:val="0"/>
          <w:bCs w:val="0"/>
          <w:color w:val="auto"/>
          <w:kern w:val="2"/>
          <w:sz w:val="32"/>
          <w:szCs w:val="32"/>
          <w:highlight w:val="none"/>
          <w:lang w:val="en-US" w:eastAsia="zh-CN" w:bidi="ar-SA"/>
        </w:rPr>
        <w:t>茂县人民政府办公室</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eastAsia="仿宋_GB2312" w:cs="仿宋_GB2312"/>
          <w:color w:val="auto"/>
          <w:kern w:val="2"/>
          <w:sz w:val="32"/>
          <w:szCs w:val="32"/>
          <w:highlight w:val="none"/>
          <w:lang w:val="en-US" w:eastAsia="zh-CN" w:bidi="ar-SA"/>
        </w:rPr>
        <w:t>13</w:t>
      </w:r>
      <w:r>
        <w:rPr>
          <w:rFonts w:hint="eastAsia" w:ascii="Times New Roman" w:hAnsi="Times New Roman" w:eastAsia="仿宋_GB2312" w:cs="仿宋_GB2312"/>
          <w:color w:val="auto"/>
          <w:kern w:val="2"/>
          <w:sz w:val="32"/>
          <w:szCs w:val="32"/>
          <w:highlight w:val="none"/>
          <w:lang w:val="en-US" w:eastAsia="zh-CN" w:bidi="ar-SA"/>
        </w:rPr>
        <w:t>辆，其中：应急保障用车</w:t>
      </w:r>
      <w:r>
        <w:rPr>
          <w:rFonts w:hint="eastAsia" w:eastAsia="仿宋_GB2312" w:cs="仿宋_GB2312"/>
          <w:color w:val="auto"/>
          <w:kern w:val="2"/>
          <w:sz w:val="32"/>
          <w:szCs w:val="32"/>
          <w:highlight w:val="none"/>
          <w:lang w:val="en-US" w:eastAsia="zh-CN" w:bidi="ar-SA"/>
        </w:rPr>
        <w:t>13</w:t>
      </w:r>
      <w:r>
        <w:rPr>
          <w:rFonts w:hint="eastAsia" w:ascii="Times New Roman" w:hAnsi="Times New Roman" w:eastAsia="仿宋_GB2312" w:cs="仿宋_GB2312"/>
          <w:color w:val="auto"/>
          <w:kern w:val="2"/>
          <w:sz w:val="32"/>
          <w:szCs w:val="32"/>
          <w:highlight w:val="none"/>
          <w:lang w:val="en-US" w:eastAsia="zh-CN" w:bidi="ar-SA"/>
        </w:rPr>
        <w:t>辆</w:t>
      </w:r>
      <w:r>
        <w:rPr>
          <w:rFonts w:hint="eastAsia" w:eastAsia="仿宋_GB2312" w:cs="仿宋_GB2312"/>
          <w:color w:val="auto"/>
          <w:kern w:val="2"/>
          <w:sz w:val="32"/>
          <w:szCs w:val="32"/>
          <w:highlight w:val="none"/>
          <w:lang w:val="en-US" w:eastAsia="zh-CN" w:bidi="ar-SA"/>
        </w:rPr>
        <w:t>。</w:t>
      </w:r>
      <w:r>
        <w:rPr>
          <w:rFonts w:hint="eastAsia" w:ascii="仿宋_GB2312" w:eastAsia="仿宋_GB2312"/>
          <w:color w:val="auto"/>
          <w:sz w:val="32"/>
          <w:szCs w:val="32"/>
          <w:highlight w:val="none"/>
        </w:rPr>
        <w:t>单价</w:t>
      </w:r>
      <w:r>
        <w:rPr>
          <w:rFonts w:ascii="仿宋_GB2312" w:eastAsia="仿宋_GB2312"/>
          <w:color w:val="auto"/>
          <w:sz w:val="32"/>
          <w:szCs w:val="32"/>
          <w:highlight w:val="none"/>
        </w:rPr>
        <w:t>50</w:t>
      </w:r>
      <w:r>
        <w:rPr>
          <w:rFonts w:hint="eastAsia" w:ascii="仿宋_GB2312" w:eastAsia="仿宋_GB2312"/>
          <w:color w:val="auto"/>
          <w:sz w:val="32"/>
          <w:szCs w:val="32"/>
          <w:highlight w:val="none"/>
        </w:rPr>
        <w:t>万元以上通用设备</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台（套），</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台（套）。</w:t>
      </w:r>
    </w:p>
    <w:p w14:paraId="00A6FCAA">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785A2299">
      <w:pPr>
        <w:pageBreakBefore w:val="0"/>
        <w:kinsoku/>
        <w:wordWrap/>
        <w:overflowPunct/>
        <w:topLinePunct w:val="0"/>
        <w:bidi w:val="0"/>
        <w:spacing w:line="576"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eastAsia="仿宋_GB2312" w:cs="仿宋_GB2312"/>
          <w:color w:val="auto"/>
          <w:kern w:val="2"/>
          <w:sz w:val="32"/>
          <w:szCs w:val="32"/>
          <w:highlight w:val="none"/>
          <w:lang w:val="en-US" w:eastAsia="zh-CN" w:bidi="ar-SA"/>
        </w:rPr>
        <w:t>茂县人民政府办公室</w:t>
      </w:r>
      <w:r>
        <w:rPr>
          <w:rFonts w:hint="eastAsia" w:ascii="Times New Roman" w:hAnsi="Times New Roman" w:eastAsia="仿宋_GB2312" w:cs="仿宋_GB2312"/>
          <w:color w:val="auto"/>
          <w:kern w:val="2"/>
          <w:sz w:val="32"/>
          <w:szCs w:val="32"/>
          <w:highlight w:val="none"/>
          <w:lang w:val="en-US" w:eastAsia="zh-CN" w:bidi="ar-SA"/>
        </w:rPr>
        <w:t>在2025年度，组织对全县电子政务外网运行维护服务费</w:t>
      </w:r>
      <w:r>
        <w:rPr>
          <w:rFonts w:hint="eastAsia" w:eastAsia="仿宋_GB2312" w:cs="仿宋_GB2312"/>
          <w:color w:val="auto"/>
          <w:kern w:val="2"/>
          <w:sz w:val="32"/>
          <w:szCs w:val="32"/>
          <w:highlight w:val="none"/>
          <w:lang w:val="en-US" w:eastAsia="zh-CN" w:bidi="ar-SA"/>
        </w:rPr>
        <w:t>、2024年重点工作保障经费、无纸化会议系统服务费、2025年重点工作经费</w:t>
      </w:r>
      <w:r>
        <w:rPr>
          <w:rFonts w:hint="eastAsia" w:ascii="Times New Roman" w:hAnsi="Times New Roman" w:eastAsia="仿宋_GB2312" w:cs="仿宋_GB2312"/>
          <w:color w:val="auto"/>
          <w:kern w:val="2"/>
          <w:sz w:val="32"/>
          <w:szCs w:val="32"/>
          <w:highlight w:val="none"/>
          <w:lang w:val="en-US" w:eastAsia="zh-CN" w:bidi="ar-SA"/>
        </w:rPr>
        <w:t>等</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个项目涉开展了事前绩效评估，对</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个项目编制了绩效目标，预算执行过程中，选取全县电子政务外网运行维护服务费、2024年重点工作保障经费、无纸化会议系统服务费、2025年重点工作经费</w:t>
      </w:r>
      <w:r>
        <w:rPr>
          <w:rFonts w:hint="eastAsia" w:eastAsia="仿宋_GB2312" w:cs="仿宋_GB2312"/>
          <w:color w:val="auto"/>
          <w:kern w:val="2"/>
          <w:sz w:val="32"/>
          <w:szCs w:val="32"/>
          <w:highlight w:val="none"/>
          <w:lang w:val="en-US" w:eastAsia="zh-CN" w:bidi="ar-SA"/>
        </w:rPr>
        <w:t>等4</w:t>
      </w:r>
      <w:r>
        <w:rPr>
          <w:rFonts w:hint="eastAsia" w:ascii="Times New Roman" w:hAnsi="Times New Roman" w:eastAsia="仿宋_GB2312" w:cs="仿宋_GB2312"/>
          <w:color w:val="auto"/>
          <w:kern w:val="2"/>
          <w:sz w:val="32"/>
          <w:szCs w:val="32"/>
          <w:highlight w:val="none"/>
          <w:lang w:val="en-US" w:eastAsia="zh-CN" w:bidi="ar-SA"/>
        </w:rPr>
        <w:t>个项目开展绩效监控。</w:t>
      </w:r>
      <w:r>
        <w:rPr>
          <w:rFonts w:hint="default" w:ascii="Times New Roman" w:hAnsi="Times New Roman" w:eastAsia="仿宋_GB2312" w:cs="Times New Roman"/>
          <w:color w:val="auto"/>
          <w:sz w:val="32"/>
          <w:szCs w:val="32"/>
          <w:highlight w:val="none"/>
          <w:lang w:eastAsia="zh-CN"/>
        </w:rPr>
        <w:t>组织对</w:t>
      </w:r>
      <w:r>
        <w:rPr>
          <w:rFonts w:hint="default" w:ascii="Times New Roman" w:hAnsi="Times New Roman" w:eastAsia="仿宋_GB2312" w:cs="Times New Roman"/>
          <w:color w:val="auto"/>
          <w:sz w:val="32"/>
          <w:szCs w:val="32"/>
          <w:highlight w:val="none"/>
          <w:lang w:val="en-US" w:eastAsia="zh-CN"/>
        </w:rPr>
        <w:t>4个项目开展绩效自评，绩效自评表详见第四部分附件。</w:t>
      </w:r>
    </w:p>
    <w:p w14:paraId="08AC757E">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83" w:name="_Toc15377225"/>
      <w:bookmarkStart w:id="84" w:name="_Toc15396613"/>
      <w:bookmarkStart w:id="85" w:name="_Toc26864"/>
    </w:p>
    <w:p w14:paraId="01077808">
      <w:pPr>
        <w:pStyle w:val="2"/>
        <w:rPr>
          <w:rFonts w:hint="eastAsia" w:ascii="Times New Roman" w:hAnsi="Times New Roman" w:eastAsia="黑体"/>
          <w:color w:val="auto"/>
          <w:sz w:val="44"/>
          <w:szCs w:val="44"/>
          <w:highlight w:val="none"/>
        </w:rPr>
      </w:pPr>
    </w:p>
    <w:p w14:paraId="2EA6BE73">
      <w:pPr>
        <w:rPr>
          <w:rFonts w:hint="eastAsia" w:ascii="Times New Roman" w:hAnsi="Times New Roman" w:eastAsia="黑体"/>
          <w:color w:val="auto"/>
          <w:sz w:val="44"/>
          <w:szCs w:val="44"/>
          <w:highlight w:val="none"/>
        </w:rPr>
      </w:pPr>
    </w:p>
    <w:p w14:paraId="77A5AA28">
      <w:pPr>
        <w:pStyle w:val="2"/>
        <w:rPr>
          <w:rFonts w:hint="eastAsia" w:ascii="Times New Roman" w:hAnsi="Times New Roman" w:eastAsia="黑体"/>
          <w:color w:val="auto"/>
          <w:sz w:val="44"/>
          <w:szCs w:val="44"/>
          <w:highlight w:val="none"/>
        </w:rPr>
      </w:pPr>
    </w:p>
    <w:p w14:paraId="7A27B5EE">
      <w:pPr>
        <w:rPr>
          <w:rFonts w:hint="eastAsia" w:ascii="Times New Roman" w:hAnsi="Times New Roman" w:eastAsia="黑体"/>
          <w:color w:val="auto"/>
          <w:sz w:val="44"/>
          <w:szCs w:val="44"/>
          <w:highlight w:val="none"/>
        </w:rPr>
      </w:pPr>
    </w:p>
    <w:p w14:paraId="4D42FED4">
      <w:pPr>
        <w:pStyle w:val="2"/>
        <w:rPr>
          <w:rFonts w:hint="eastAsia" w:ascii="Times New Roman" w:hAnsi="Times New Roman" w:eastAsia="黑体"/>
          <w:color w:val="auto"/>
          <w:sz w:val="44"/>
          <w:szCs w:val="44"/>
          <w:highlight w:val="none"/>
        </w:rPr>
      </w:pPr>
    </w:p>
    <w:p w14:paraId="6F255A93">
      <w:pPr>
        <w:rPr>
          <w:rFonts w:hint="eastAsia"/>
        </w:rPr>
      </w:pPr>
    </w:p>
    <w:p w14:paraId="07D17A07">
      <w:pPr>
        <w:pStyle w:val="2"/>
        <w:rPr>
          <w:rFonts w:hint="eastAsia"/>
        </w:rPr>
      </w:pPr>
    </w:p>
    <w:p w14:paraId="391F2750">
      <w:pPr>
        <w:rPr>
          <w:rFonts w:hint="eastAsia" w:ascii="Times New Roman" w:hAnsi="Times New Roman" w:eastAsia="黑体"/>
          <w:color w:val="auto"/>
          <w:sz w:val="44"/>
          <w:szCs w:val="44"/>
          <w:highlight w:val="none"/>
        </w:rPr>
      </w:pPr>
    </w:p>
    <w:p w14:paraId="0A5D621D">
      <w:pPr>
        <w:numPr>
          <w:ilvl w:val="0"/>
          <w:numId w:val="0"/>
        </w:numPr>
        <w:spacing w:line="600" w:lineRule="exact"/>
        <w:jc w:val="center"/>
        <w:outlineLvl w:val="0"/>
        <w:rPr>
          <w:rFonts w:hint="eastAsia" w:ascii="方正小标宋简体" w:hAnsi="方正小标宋简体" w:eastAsia="方正小标宋简体" w:cs="方正小标宋简体"/>
          <w:color w:val="auto"/>
          <w:sz w:val="44"/>
          <w:szCs w:val="44"/>
          <w:highlight w:val="none"/>
        </w:rPr>
      </w:pPr>
      <w:bookmarkStart w:id="86" w:name="_Toc17411"/>
      <w:r>
        <w:rPr>
          <w:rFonts w:hint="eastAsia" w:ascii="方正小标宋简体" w:hAnsi="方正小标宋简体" w:eastAsia="方正小标宋简体" w:cs="方正小标宋简体"/>
          <w:color w:val="auto"/>
          <w:sz w:val="44"/>
          <w:szCs w:val="44"/>
          <w:highlight w:val="none"/>
        </w:rPr>
        <w:t>第</w:t>
      </w:r>
      <w:r>
        <w:rPr>
          <w:rFonts w:hint="eastAsia" w:ascii="方正小标宋简体" w:hAnsi="方正小标宋简体" w:eastAsia="方正小标宋简体" w:cs="方正小标宋简体"/>
          <w:color w:val="auto"/>
          <w:sz w:val="44"/>
          <w:szCs w:val="44"/>
          <w:highlight w:val="none"/>
          <w:lang w:eastAsia="zh-CN"/>
        </w:rPr>
        <w:t>三</w:t>
      </w:r>
      <w:r>
        <w:rPr>
          <w:rFonts w:hint="eastAsia" w:ascii="方正小标宋简体" w:hAnsi="方正小标宋简体" w:eastAsia="方正小标宋简体" w:cs="方正小标宋简体"/>
          <w:color w:val="auto"/>
          <w:sz w:val="44"/>
          <w:szCs w:val="44"/>
          <w:highlight w:val="none"/>
        </w:rPr>
        <w:t>部分</w:t>
      </w:r>
      <w:r>
        <w:rPr>
          <w:rFonts w:hint="eastAsia" w:ascii="方正小标宋简体" w:hAnsi="方正小标宋简体" w:eastAsia="方正小标宋简体" w:cs="方正小标宋简体"/>
          <w:color w:val="auto"/>
          <w:sz w:val="44"/>
          <w:szCs w:val="44"/>
          <w:highlight w:val="none"/>
          <w:lang w:val="en-US" w:eastAsia="zh-CN"/>
        </w:rPr>
        <w:t xml:space="preserve">  </w:t>
      </w:r>
      <w:r>
        <w:rPr>
          <w:rFonts w:hint="eastAsia" w:ascii="方正小标宋简体" w:hAnsi="方正小标宋简体" w:eastAsia="方正小标宋简体" w:cs="方正小标宋简体"/>
          <w:color w:val="auto"/>
          <w:sz w:val="44"/>
          <w:szCs w:val="44"/>
          <w:highlight w:val="none"/>
        </w:rPr>
        <w:t>名词解释</w:t>
      </w:r>
      <w:bookmarkEnd w:id="83"/>
      <w:bookmarkEnd w:id="84"/>
      <w:bookmarkEnd w:id="85"/>
      <w:bookmarkEnd w:id="86"/>
    </w:p>
    <w:p w14:paraId="2CC1B74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14:paraId="69D99DE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2.事业收入：指事业单位开展专业业务活动及辅助活动取得的收入。</w:t>
      </w:r>
    </w:p>
    <w:p w14:paraId="10994B3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3.经营收入：指事业单位在专业业务活动及其辅助活动之外开展非独立核算经营活动取得的收入。</w:t>
      </w:r>
    </w:p>
    <w:p w14:paraId="705725E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4.其他收入：指单位取得的除上述收入以外的各项收入。 </w:t>
      </w:r>
    </w:p>
    <w:p w14:paraId="49D2A44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14:paraId="168E3A8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6.年初结转和结余：指以前年度尚未完成、结转到本年按有关规定继续使用的资金。 </w:t>
      </w:r>
    </w:p>
    <w:p w14:paraId="54D3577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14:paraId="1AD5600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8.年末结转和结余：指单位按有关规定结转到下年或以后年度继续使用的资金。</w:t>
      </w:r>
    </w:p>
    <w:p w14:paraId="7452365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9.一般公共服务支出（类）政府办公厅（室）及相关机构事务（款）行政运行（项）：反映行政单位（包括实行公务员管理的事业单位）的基本支出。</w:t>
      </w:r>
    </w:p>
    <w:p w14:paraId="5451777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10.一般公共服务支出（类）政府办公厅（室）及相关机构事务（款）事业运行（项）：反映事业单位的基本支出，不包括行政单位（包括实行公务员管理的事业单位）后勤服务中心、医务室等附属事业单位。</w:t>
      </w:r>
    </w:p>
    <w:p w14:paraId="0860D65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11.一般公共服务支出（类）政府办公厅（室）及相关机构事务（款）其他政府办公厅（室）及相关机构事务支出（项）：反映除上述项目以外的其他政府办公厅（室）及相关机构事务支岀。</w:t>
      </w:r>
    </w:p>
    <w:p w14:paraId="1274AEC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12.社会保障和就业支出（类）行政事业单位养老支出（款）机关事业单位基本养老保险缴费支出（项）：反映机关事业单位实施养老保险制度由单位缴纳的基本养老保险费支出。</w:t>
      </w:r>
    </w:p>
    <w:p w14:paraId="65FA3BA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13.社会保障和就业支出（类）行政事业单位养老支出（款）机关事业单位职业年金缴费支出（项）：反映机关事业单位实施养老保险制度由单位实际缴纳的职业年金支出。</w:t>
      </w:r>
    </w:p>
    <w:p w14:paraId="4DFC16E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14.卫生健康支出（类）行政事业单位医疗（款）行政单位医疗（项）：反映财政部门安排的行政单位（包括实行公务员管理的事业单位，下同）基本医疗保险缴费经费，未参加医疗保险的行政单位的公费医疗经费，按国家规定享受离休人员、红军老战士待遇人员的医疗经费。</w:t>
      </w:r>
    </w:p>
    <w:p w14:paraId="2231767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15.卫生健康支出（类）行政事业单位医疗（款）事业单位医疗（项）：反映财政部门安排的事业单位基本医疗保险缴费经费，未参加医疗保险的事业单位的公费医疗经费，按国家规定享受离休人员待遇的医疗经费。</w:t>
      </w:r>
    </w:p>
    <w:p w14:paraId="72B95AE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16.农林水支出（类）扶贫（款）其他扶贫支出（项）：反映除上述项目以外其他用于扶贫方面的支出。</w:t>
      </w:r>
    </w:p>
    <w:p w14:paraId="6C0A23C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17.住房保障支出（类）住房改革支出（款）住房公积金（项）：反映行政事业单位按人力资源和社会保障部、财政部规定的基本工资和津贴补贴以及规定比例为职工缴纳的住房公积金。</w:t>
      </w:r>
    </w:p>
    <w:p w14:paraId="3D6219D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18.住房保障支出（类）住房改革支出（款）购房补贴（项）：反映按房改政策规定，行政事业单位向符合条件职工（含离退休人员）、军队（含武警）向转役复员离退休人员发放的用于购买住房的补贴。</w:t>
      </w:r>
    </w:p>
    <w:p w14:paraId="7E5D213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9.基本支出：指为保障机构正常运转、完成日常工作任务而发生的人员支出和公用支出。</w:t>
      </w:r>
    </w:p>
    <w:p w14:paraId="2C99DE2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20.项目支出：指在基本支出之外为完成特定行政任务和事业发展目标所发生的支出。 </w:t>
      </w:r>
    </w:p>
    <w:p w14:paraId="575B22E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21.经营支出：指事业单位在专业业务活动及其辅助活动之外开展非独立核算经营活动发生的支出。</w:t>
      </w:r>
    </w:p>
    <w:p w14:paraId="3917EA3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22.“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32C6AC6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23.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183E4BF0">
      <w:pPr>
        <w:numPr>
          <w:ilvl w:val="0"/>
          <w:numId w:val="0"/>
        </w:numPr>
        <w:spacing w:line="600" w:lineRule="exact"/>
        <w:jc w:val="center"/>
        <w:outlineLvl w:val="0"/>
        <w:rPr>
          <w:rFonts w:hint="eastAsia" w:ascii="方正小标宋简体" w:hAnsi="方正小标宋简体" w:eastAsia="方正小标宋简体" w:cs="方正小标宋简体"/>
          <w:color w:val="auto"/>
          <w:sz w:val="44"/>
          <w:szCs w:val="44"/>
          <w:highlight w:val="none"/>
        </w:rPr>
      </w:pPr>
      <w:bookmarkStart w:id="87" w:name="_Toc15396614"/>
      <w:bookmarkStart w:id="88" w:name="_Toc13623"/>
      <w:bookmarkStart w:id="89" w:name="_Toc15377226"/>
    </w:p>
    <w:p w14:paraId="415D6884">
      <w:pPr>
        <w:numPr>
          <w:ilvl w:val="0"/>
          <w:numId w:val="0"/>
        </w:numPr>
        <w:spacing w:line="600" w:lineRule="exact"/>
        <w:jc w:val="center"/>
        <w:outlineLvl w:val="0"/>
        <w:rPr>
          <w:rFonts w:hint="eastAsia" w:ascii="方正小标宋简体" w:hAnsi="方正小标宋简体" w:eastAsia="方正小标宋简体" w:cs="方正小标宋简体"/>
          <w:color w:val="auto"/>
          <w:sz w:val="44"/>
          <w:szCs w:val="44"/>
          <w:highlight w:val="none"/>
        </w:rPr>
      </w:pPr>
    </w:p>
    <w:p w14:paraId="60450444">
      <w:pPr>
        <w:numPr>
          <w:ilvl w:val="0"/>
          <w:numId w:val="0"/>
        </w:numPr>
        <w:spacing w:line="600" w:lineRule="exact"/>
        <w:jc w:val="center"/>
        <w:outlineLvl w:val="0"/>
        <w:rPr>
          <w:rFonts w:hint="eastAsia" w:ascii="方正小标宋简体" w:hAnsi="方正小标宋简体" w:eastAsia="方正小标宋简体" w:cs="方正小标宋简体"/>
          <w:color w:val="auto"/>
          <w:sz w:val="44"/>
          <w:szCs w:val="44"/>
          <w:highlight w:val="none"/>
        </w:rPr>
      </w:pPr>
    </w:p>
    <w:p w14:paraId="17EF2F45">
      <w:pPr>
        <w:numPr>
          <w:ilvl w:val="0"/>
          <w:numId w:val="0"/>
        </w:numPr>
        <w:spacing w:line="600" w:lineRule="exact"/>
        <w:jc w:val="center"/>
        <w:outlineLvl w:val="0"/>
        <w:rPr>
          <w:rFonts w:hint="eastAsia" w:ascii="方正小标宋简体" w:hAnsi="方正小标宋简体" w:eastAsia="方正小标宋简体" w:cs="方正小标宋简体"/>
          <w:color w:val="auto"/>
          <w:sz w:val="44"/>
          <w:szCs w:val="44"/>
          <w:highlight w:val="none"/>
        </w:rPr>
      </w:pPr>
    </w:p>
    <w:p w14:paraId="06A1E112">
      <w:pPr>
        <w:numPr>
          <w:ilvl w:val="0"/>
          <w:numId w:val="0"/>
        </w:numPr>
        <w:spacing w:line="600" w:lineRule="exact"/>
        <w:jc w:val="center"/>
        <w:outlineLvl w:val="0"/>
        <w:rPr>
          <w:rFonts w:hint="eastAsia" w:ascii="方正小标宋简体" w:hAnsi="方正小标宋简体" w:eastAsia="方正小标宋简体" w:cs="方正小标宋简体"/>
          <w:color w:val="auto"/>
          <w:sz w:val="44"/>
          <w:szCs w:val="44"/>
          <w:highlight w:val="none"/>
        </w:rPr>
      </w:pPr>
    </w:p>
    <w:p w14:paraId="3103BF16">
      <w:pPr>
        <w:numPr>
          <w:ilvl w:val="0"/>
          <w:numId w:val="0"/>
        </w:numPr>
        <w:spacing w:line="600" w:lineRule="exact"/>
        <w:jc w:val="center"/>
        <w:outlineLvl w:val="0"/>
        <w:rPr>
          <w:rFonts w:hint="eastAsia" w:ascii="方正小标宋简体" w:hAnsi="方正小标宋简体" w:eastAsia="方正小标宋简体" w:cs="方正小标宋简体"/>
          <w:color w:val="auto"/>
          <w:sz w:val="44"/>
          <w:szCs w:val="44"/>
          <w:highlight w:val="none"/>
        </w:rPr>
      </w:pPr>
    </w:p>
    <w:p w14:paraId="11F3CABD">
      <w:pPr>
        <w:numPr>
          <w:ilvl w:val="0"/>
          <w:numId w:val="0"/>
        </w:numPr>
        <w:spacing w:line="600" w:lineRule="exact"/>
        <w:jc w:val="center"/>
        <w:outlineLvl w:val="0"/>
        <w:rPr>
          <w:rFonts w:hint="eastAsia" w:ascii="方正小标宋简体" w:hAnsi="方正小标宋简体" w:eastAsia="方正小标宋简体" w:cs="方正小标宋简体"/>
          <w:color w:val="auto"/>
          <w:sz w:val="44"/>
          <w:szCs w:val="44"/>
          <w:highlight w:val="none"/>
        </w:rPr>
      </w:pPr>
    </w:p>
    <w:p w14:paraId="469DA894">
      <w:pPr>
        <w:numPr>
          <w:ilvl w:val="0"/>
          <w:numId w:val="0"/>
        </w:numPr>
        <w:spacing w:line="600" w:lineRule="exact"/>
        <w:jc w:val="center"/>
        <w:outlineLvl w:val="0"/>
        <w:rPr>
          <w:rFonts w:hint="eastAsia" w:ascii="方正小标宋简体" w:hAnsi="方正小标宋简体" w:eastAsia="方正小标宋简体" w:cs="方正小标宋简体"/>
          <w:color w:val="auto"/>
          <w:sz w:val="44"/>
          <w:szCs w:val="44"/>
          <w:highlight w:val="none"/>
        </w:rPr>
      </w:pPr>
    </w:p>
    <w:p w14:paraId="5DB83A09">
      <w:pPr>
        <w:numPr>
          <w:ilvl w:val="0"/>
          <w:numId w:val="0"/>
        </w:numPr>
        <w:spacing w:line="600" w:lineRule="exact"/>
        <w:jc w:val="center"/>
        <w:outlineLvl w:val="0"/>
        <w:rPr>
          <w:rFonts w:hint="eastAsia" w:ascii="方正小标宋简体" w:hAnsi="方正小标宋简体" w:eastAsia="方正小标宋简体" w:cs="方正小标宋简体"/>
          <w:color w:val="auto"/>
          <w:sz w:val="44"/>
          <w:szCs w:val="44"/>
          <w:highlight w:val="none"/>
        </w:rPr>
      </w:pPr>
    </w:p>
    <w:p w14:paraId="13FDA3D3">
      <w:pPr>
        <w:numPr>
          <w:ilvl w:val="0"/>
          <w:numId w:val="0"/>
        </w:numPr>
        <w:spacing w:line="600" w:lineRule="exact"/>
        <w:jc w:val="center"/>
        <w:outlineLvl w:val="0"/>
        <w:rPr>
          <w:rFonts w:hint="eastAsia" w:ascii="方正小标宋简体" w:hAnsi="方正小标宋简体" w:eastAsia="方正小标宋简体" w:cs="方正小标宋简体"/>
          <w:color w:val="auto"/>
          <w:sz w:val="44"/>
          <w:szCs w:val="44"/>
          <w:highlight w:val="none"/>
        </w:rPr>
      </w:pPr>
    </w:p>
    <w:p w14:paraId="3671DA42">
      <w:pPr>
        <w:numPr>
          <w:ilvl w:val="0"/>
          <w:numId w:val="0"/>
        </w:numPr>
        <w:spacing w:line="600" w:lineRule="exact"/>
        <w:jc w:val="center"/>
        <w:outlineLvl w:val="0"/>
        <w:rPr>
          <w:rFonts w:hint="eastAsia" w:ascii="方正小标宋简体" w:hAnsi="方正小标宋简体" w:eastAsia="方正小标宋简体" w:cs="方正小标宋简体"/>
          <w:color w:val="auto"/>
          <w:sz w:val="44"/>
          <w:szCs w:val="44"/>
          <w:highlight w:val="none"/>
        </w:rPr>
      </w:pPr>
    </w:p>
    <w:p w14:paraId="489447B8">
      <w:pPr>
        <w:numPr>
          <w:ilvl w:val="0"/>
          <w:numId w:val="0"/>
        </w:numPr>
        <w:spacing w:line="600" w:lineRule="exact"/>
        <w:jc w:val="center"/>
        <w:outlineLvl w:val="0"/>
        <w:rPr>
          <w:rFonts w:hint="eastAsia" w:ascii="方正小标宋简体" w:hAnsi="方正小标宋简体" w:eastAsia="方正小标宋简体" w:cs="方正小标宋简体"/>
          <w:color w:val="auto"/>
          <w:sz w:val="44"/>
          <w:szCs w:val="44"/>
          <w:highlight w:val="none"/>
        </w:rPr>
      </w:pPr>
    </w:p>
    <w:p w14:paraId="345BA172">
      <w:pPr>
        <w:numPr>
          <w:ilvl w:val="0"/>
          <w:numId w:val="0"/>
        </w:numPr>
        <w:spacing w:line="600" w:lineRule="exact"/>
        <w:jc w:val="center"/>
        <w:outlineLvl w:val="0"/>
        <w:rPr>
          <w:rFonts w:hint="eastAsia" w:ascii="方正小标宋简体" w:hAnsi="方正小标宋简体" w:eastAsia="方正小标宋简体" w:cs="方正小标宋简体"/>
          <w:color w:val="auto"/>
          <w:sz w:val="44"/>
          <w:szCs w:val="44"/>
          <w:highlight w:val="none"/>
        </w:rPr>
      </w:pPr>
    </w:p>
    <w:p w14:paraId="5C0022CD">
      <w:pPr>
        <w:numPr>
          <w:ilvl w:val="0"/>
          <w:numId w:val="0"/>
        </w:numPr>
        <w:spacing w:line="600" w:lineRule="exact"/>
        <w:jc w:val="center"/>
        <w:outlineLvl w:val="0"/>
        <w:rPr>
          <w:rFonts w:hint="eastAsia" w:ascii="方正小标宋简体" w:hAnsi="方正小标宋简体" w:eastAsia="方正小标宋简体" w:cs="方正小标宋简体"/>
          <w:color w:val="auto"/>
          <w:sz w:val="44"/>
          <w:szCs w:val="44"/>
          <w:highlight w:val="none"/>
        </w:rPr>
      </w:pPr>
    </w:p>
    <w:p w14:paraId="2582CB8D">
      <w:pPr>
        <w:numPr>
          <w:ilvl w:val="0"/>
          <w:numId w:val="0"/>
        </w:numPr>
        <w:spacing w:line="600" w:lineRule="exact"/>
        <w:jc w:val="center"/>
        <w:outlineLvl w:val="0"/>
        <w:rPr>
          <w:rFonts w:hint="eastAsia" w:ascii="方正小标宋简体" w:hAnsi="方正小标宋简体" w:eastAsia="方正小标宋简体" w:cs="方正小标宋简体"/>
          <w:color w:val="auto"/>
          <w:sz w:val="44"/>
          <w:szCs w:val="44"/>
          <w:highlight w:val="none"/>
        </w:rPr>
      </w:pPr>
    </w:p>
    <w:p w14:paraId="7D6CD22F">
      <w:pPr>
        <w:numPr>
          <w:ilvl w:val="0"/>
          <w:numId w:val="0"/>
        </w:numPr>
        <w:spacing w:line="600" w:lineRule="exact"/>
        <w:jc w:val="center"/>
        <w:outlineLvl w:val="0"/>
        <w:rPr>
          <w:rFonts w:hint="eastAsia" w:ascii="方正小标宋简体" w:hAnsi="方正小标宋简体" w:eastAsia="方正小标宋简体" w:cs="方正小标宋简体"/>
          <w:color w:val="auto"/>
          <w:sz w:val="44"/>
          <w:szCs w:val="44"/>
          <w:highlight w:val="none"/>
        </w:rPr>
      </w:pPr>
    </w:p>
    <w:p w14:paraId="1E36A539">
      <w:pPr>
        <w:numPr>
          <w:ilvl w:val="0"/>
          <w:numId w:val="0"/>
        </w:numPr>
        <w:spacing w:line="600" w:lineRule="exact"/>
        <w:jc w:val="center"/>
        <w:outlineLvl w:val="0"/>
        <w:rPr>
          <w:rFonts w:hint="eastAsia" w:ascii="方正小标宋简体" w:hAnsi="方正小标宋简体" w:eastAsia="方正小标宋简体" w:cs="方正小标宋简体"/>
          <w:color w:val="auto"/>
          <w:sz w:val="44"/>
          <w:szCs w:val="44"/>
          <w:highlight w:val="none"/>
        </w:rPr>
      </w:pPr>
    </w:p>
    <w:p w14:paraId="138F545F">
      <w:pPr>
        <w:numPr>
          <w:ilvl w:val="0"/>
          <w:numId w:val="0"/>
        </w:numPr>
        <w:spacing w:line="600" w:lineRule="exact"/>
        <w:jc w:val="center"/>
        <w:outlineLvl w:val="0"/>
        <w:rPr>
          <w:rFonts w:hint="eastAsia" w:ascii="方正小标宋简体" w:hAnsi="方正小标宋简体" w:eastAsia="方正小标宋简体" w:cs="方正小标宋简体"/>
          <w:color w:val="auto"/>
          <w:sz w:val="44"/>
          <w:szCs w:val="44"/>
          <w:highlight w:val="none"/>
        </w:rPr>
      </w:pPr>
    </w:p>
    <w:p w14:paraId="2DBC8DF4">
      <w:pPr>
        <w:numPr>
          <w:ilvl w:val="0"/>
          <w:numId w:val="0"/>
        </w:numPr>
        <w:spacing w:line="600" w:lineRule="exact"/>
        <w:jc w:val="center"/>
        <w:outlineLvl w:val="0"/>
        <w:rPr>
          <w:rFonts w:hint="eastAsia" w:ascii="方正小标宋简体" w:hAnsi="方正小标宋简体" w:eastAsia="方正小标宋简体" w:cs="方正小标宋简体"/>
          <w:color w:val="auto"/>
          <w:sz w:val="44"/>
          <w:szCs w:val="44"/>
          <w:highlight w:val="none"/>
        </w:rPr>
      </w:pPr>
    </w:p>
    <w:p w14:paraId="103EEC73">
      <w:pPr>
        <w:numPr>
          <w:ilvl w:val="0"/>
          <w:numId w:val="0"/>
        </w:numPr>
        <w:spacing w:line="600" w:lineRule="exact"/>
        <w:jc w:val="center"/>
        <w:outlineLvl w:val="0"/>
        <w:rPr>
          <w:rFonts w:hint="eastAsia" w:ascii="方正小标宋简体" w:hAnsi="方正小标宋简体" w:eastAsia="方正小标宋简体" w:cs="方正小标宋简体"/>
          <w:color w:val="auto"/>
          <w:sz w:val="44"/>
          <w:szCs w:val="44"/>
          <w:highlight w:val="none"/>
          <w:lang w:eastAsia="zh-CN"/>
        </w:rPr>
      </w:pPr>
      <w:r>
        <w:rPr>
          <w:rFonts w:hint="eastAsia" w:ascii="方正小标宋简体" w:hAnsi="方正小标宋简体" w:eastAsia="方正小标宋简体" w:cs="方正小标宋简体"/>
          <w:color w:val="auto"/>
          <w:sz w:val="44"/>
          <w:szCs w:val="44"/>
          <w:highlight w:val="none"/>
        </w:rPr>
        <w:t>第四部分</w:t>
      </w:r>
      <w:r>
        <w:rPr>
          <w:rFonts w:hint="eastAsia" w:ascii="方正小标宋简体" w:hAnsi="方正小标宋简体" w:eastAsia="方正小标宋简体" w:cs="方正小标宋简体"/>
          <w:color w:val="auto"/>
          <w:sz w:val="44"/>
          <w:szCs w:val="44"/>
          <w:highlight w:val="none"/>
          <w:lang w:val="en-US" w:eastAsia="zh-CN"/>
        </w:rPr>
        <w:t xml:space="preserve"> </w:t>
      </w:r>
      <w:r>
        <w:rPr>
          <w:rFonts w:hint="eastAsia" w:ascii="方正小标宋简体" w:hAnsi="方正小标宋简体" w:eastAsia="方正小标宋简体" w:cs="方正小标宋简体"/>
          <w:color w:val="auto"/>
          <w:sz w:val="44"/>
          <w:szCs w:val="44"/>
          <w:highlight w:val="none"/>
        </w:rPr>
        <w:t xml:space="preserve"> 附件</w:t>
      </w:r>
      <w:bookmarkEnd w:id="87"/>
      <w:bookmarkEnd w:id="88"/>
    </w:p>
    <w:p w14:paraId="1C05C9BC">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方正小标宋简体"/>
          <w:color w:val="auto"/>
          <w:sz w:val="44"/>
          <w:szCs w:val="44"/>
          <w:highlight w:val="none"/>
          <w:lang w:val="en-US" w:eastAsia="zh-CN"/>
        </w:rPr>
      </w:pPr>
      <w:bookmarkStart w:id="90" w:name="_Toc23085"/>
      <w:bookmarkStart w:id="91" w:name="_Toc7487"/>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bookmarkEnd w:id="90"/>
      <w:bookmarkEnd w:id="91"/>
    </w:p>
    <w:p w14:paraId="3B48E686">
      <w:pPr>
        <w:keepNext w:val="0"/>
        <w:keepLines w:val="0"/>
        <w:pageBreakBefore w:val="0"/>
        <w:widowControl/>
        <w:kinsoku/>
        <w:wordWrap/>
        <w:topLinePunct w:val="0"/>
        <w:bidi w:val="0"/>
        <w:spacing w:line="576" w:lineRule="exact"/>
        <w:contextualSpacing/>
        <w:jc w:val="center"/>
        <w:textAlignment w:val="auto"/>
        <w:rPr>
          <w:rFonts w:hint="eastAsia" w:eastAsia="方正小标宋简体"/>
          <w:bCs/>
          <w:sz w:val="44"/>
          <w:szCs w:val="44"/>
          <w:shd w:val="clear" w:color="auto" w:fill="FFFFFF"/>
          <w:lang w:eastAsia="zh-CN"/>
        </w:rPr>
      </w:pPr>
      <w:bookmarkStart w:id="92" w:name="_Toc15396618"/>
      <w:r>
        <w:rPr>
          <w:rFonts w:hint="eastAsia" w:eastAsia="方正小标宋简体"/>
          <w:bCs/>
          <w:sz w:val="44"/>
          <w:szCs w:val="44"/>
          <w:shd w:val="clear" w:color="auto" w:fill="FFFFFF"/>
          <w:lang w:eastAsia="zh-CN"/>
        </w:rPr>
        <w:t>茂县人民政府办公室</w:t>
      </w:r>
    </w:p>
    <w:p w14:paraId="4B715AC0">
      <w:pPr>
        <w:keepNext w:val="0"/>
        <w:keepLines w:val="0"/>
        <w:pageBreakBefore w:val="0"/>
        <w:widowControl/>
        <w:kinsoku/>
        <w:wordWrap/>
        <w:topLinePunct w:val="0"/>
        <w:bidi w:val="0"/>
        <w:spacing w:line="576" w:lineRule="exact"/>
        <w:contextualSpacing/>
        <w:jc w:val="center"/>
        <w:textAlignment w:val="auto"/>
        <w:rPr>
          <w:rFonts w:eastAsia="方正小标宋简体"/>
          <w:bCs/>
          <w:sz w:val="44"/>
          <w:szCs w:val="44"/>
          <w:shd w:val="clear" w:color="auto" w:fill="FFFFFF"/>
        </w:rPr>
      </w:pPr>
      <w:r>
        <w:rPr>
          <w:rFonts w:hint="eastAsia" w:eastAsia="方正小标宋简体"/>
          <w:bCs/>
          <w:sz w:val="44"/>
          <w:szCs w:val="44"/>
          <w:shd w:val="clear" w:color="auto" w:fill="FFFFFF"/>
          <w:lang w:eastAsia="zh-CN"/>
        </w:rPr>
        <w:t>部门</w:t>
      </w:r>
      <w:r>
        <w:rPr>
          <w:rFonts w:eastAsia="方正小标宋简体"/>
          <w:bCs/>
          <w:sz w:val="44"/>
          <w:szCs w:val="44"/>
          <w:shd w:val="clear" w:color="auto" w:fill="FFFFFF"/>
        </w:rPr>
        <w:t>预算绩效</w:t>
      </w:r>
      <w:r>
        <w:rPr>
          <w:rFonts w:hint="eastAsia" w:eastAsia="方正小标宋简体"/>
          <w:bCs/>
          <w:sz w:val="44"/>
          <w:szCs w:val="44"/>
          <w:shd w:val="clear" w:color="auto" w:fill="FFFFFF"/>
        </w:rPr>
        <w:t>自评</w:t>
      </w:r>
      <w:r>
        <w:rPr>
          <w:rFonts w:eastAsia="方正小标宋简体"/>
          <w:bCs/>
          <w:sz w:val="44"/>
          <w:szCs w:val="44"/>
          <w:shd w:val="clear" w:color="auto" w:fill="FFFFFF"/>
        </w:rPr>
        <w:t>报告</w:t>
      </w:r>
    </w:p>
    <w:p w14:paraId="088FE471">
      <w:pPr>
        <w:keepNext w:val="0"/>
        <w:keepLines w:val="0"/>
        <w:pageBreakBefore w:val="0"/>
        <w:widowControl/>
        <w:kinsoku/>
        <w:wordWrap/>
        <w:topLinePunct w:val="0"/>
        <w:bidi w:val="0"/>
        <w:adjustRightInd w:val="0"/>
        <w:snapToGrid w:val="0"/>
        <w:spacing w:line="576" w:lineRule="exact"/>
        <w:ind w:firstLine="420" w:firstLineChars="200"/>
        <w:contextualSpacing/>
        <w:jc w:val="left"/>
        <w:textAlignment w:val="auto"/>
        <w:rPr>
          <w:rFonts w:eastAsia="黑体"/>
          <w:color w:val="000000"/>
          <w:kern w:val="0"/>
          <w:szCs w:val="32"/>
          <w:shd w:val="clear" w:color="auto" w:fill="FFFFFF"/>
          <w:lang w:val="zh-CN"/>
        </w:rPr>
      </w:pPr>
    </w:p>
    <w:p w14:paraId="098BB78E">
      <w:pPr>
        <w:keepNext w:val="0"/>
        <w:keepLines w:val="0"/>
        <w:pageBreakBefore w:val="0"/>
        <w:widowControl/>
        <w:suppressAutoHyphens/>
        <w:kinsoku/>
        <w:wordWrap/>
        <w:topLinePunct w:val="0"/>
        <w:bidi w:val="0"/>
        <w:adjustRightInd w:val="0"/>
        <w:snapToGrid w:val="0"/>
        <w:spacing w:line="576" w:lineRule="exact"/>
        <w:ind w:firstLine="640" w:firstLineChars="200"/>
        <w:contextualSpacing/>
        <w:jc w:val="left"/>
        <w:textAlignment w:val="auto"/>
        <w:rPr>
          <w:rFonts w:ascii="Calibri" w:hAnsi="Calibri" w:eastAsia="黑体" w:cs="Times New Roman"/>
          <w:color w:val="000000"/>
          <w:kern w:val="0"/>
          <w:sz w:val="32"/>
          <w:szCs w:val="32"/>
          <w:shd w:val="clear" w:color="auto" w:fill="FFFFFF"/>
          <w:lang w:val="zh-CN"/>
        </w:rPr>
      </w:pPr>
      <w:r>
        <w:rPr>
          <w:rFonts w:ascii="Calibri" w:hAnsi="Calibri" w:eastAsia="黑体" w:cs="Times New Roman"/>
          <w:color w:val="000000"/>
          <w:kern w:val="0"/>
          <w:sz w:val="32"/>
          <w:szCs w:val="32"/>
          <w:shd w:val="clear" w:color="auto" w:fill="FFFFFF"/>
          <w:lang w:val="zh-CN"/>
        </w:rPr>
        <w:t>一、部门（单位）基本情况</w:t>
      </w:r>
    </w:p>
    <w:p w14:paraId="2477A356">
      <w:pPr>
        <w:keepNext w:val="0"/>
        <w:keepLines w:val="0"/>
        <w:pageBreakBefore w:val="0"/>
        <w:widowControl/>
        <w:suppressAutoHyphens/>
        <w:kinsoku/>
        <w:wordWrap/>
        <w:topLinePunct w:val="0"/>
        <w:bidi w:val="0"/>
        <w:adjustRightInd w:val="0"/>
        <w:snapToGrid w:val="0"/>
        <w:spacing w:line="576" w:lineRule="exact"/>
        <w:ind w:firstLine="640" w:firstLineChars="200"/>
        <w:contextualSpacing/>
        <w:jc w:val="left"/>
        <w:textAlignment w:val="auto"/>
        <w:rPr>
          <w:rFonts w:ascii="Calibri" w:hAnsi="Calibri" w:eastAsia="黑体" w:cs="Times New Roman"/>
          <w:color w:val="000000"/>
          <w:kern w:val="0"/>
          <w:sz w:val="32"/>
          <w:szCs w:val="32"/>
          <w:shd w:val="clear" w:color="auto" w:fill="FFFFFF"/>
          <w:lang w:val="zh-CN"/>
        </w:rPr>
      </w:pPr>
      <w:r>
        <w:rPr>
          <w:rFonts w:hint="eastAsia" w:ascii="Calibri" w:hAnsi="Calibri" w:eastAsia="黑体" w:cs="Times New Roman"/>
          <w:color w:val="000000"/>
          <w:kern w:val="0"/>
          <w:sz w:val="32"/>
          <w:szCs w:val="32"/>
          <w:shd w:val="clear" w:color="auto" w:fill="FFFFFF"/>
          <w:lang w:val="zh-CN"/>
        </w:rPr>
        <w:t>（一）</w:t>
      </w:r>
      <w:r>
        <w:rPr>
          <w:rFonts w:ascii="Calibri" w:hAnsi="Calibri" w:eastAsia="黑体" w:cs="Times New Roman"/>
          <w:color w:val="000000"/>
          <w:kern w:val="0"/>
          <w:sz w:val="32"/>
          <w:szCs w:val="32"/>
          <w:shd w:val="clear" w:color="auto" w:fill="FFFFFF"/>
          <w:lang w:val="zh-CN"/>
        </w:rPr>
        <w:t>机构组成</w:t>
      </w:r>
    </w:p>
    <w:p w14:paraId="51C15054">
      <w:pPr>
        <w:keepNext w:val="0"/>
        <w:keepLines w:val="0"/>
        <w:pageBreakBefore w:val="0"/>
        <w:widowControl/>
        <w:numPr>
          <w:ilvl w:val="0"/>
          <w:numId w:val="0"/>
        </w:numPr>
        <w:kinsoku/>
        <w:wordWrap/>
        <w:topLinePunct w:val="0"/>
        <w:bidi w:val="0"/>
        <w:adjustRightInd w:val="0"/>
        <w:snapToGrid w:val="0"/>
        <w:spacing w:line="576" w:lineRule="exact"/>
        <w:ind w:firstLine="640" w:firstLineChars="200"/>
        <w:contextualSpacing/>
        <w:jc w:val="left"/>
        <w:textAlignment w:val="auto"/>
        <w:rPr>
          <w:rFonts w:hint="eastAsia" w:ascii="仿宋" w:hAnsi="仿宋" w:eastAsia="仿宋" w:cs="仿宋"/>
          <w:b/>
          <w:bCs/>
          <w:color w:val="000000"/>
          <w:kern w:val="0"/>
          <w:szCs w:val="32"/>
          <w:shd w:val="clear" w:color="auto" w:fill="FFFFFF"/>
          <w:lang w:val="zh-CN"/>
        </w:rPr>
      </w:pPr>
      <w:r>
        <w:rPr>
          <w:rFonts w:hint="eastAsia" w:ascii="仿宋" w:hAnsi="仿宋" w:eastAsia="仿宋" w:cs="仿宋"/>
          <w:sz w:val="32"/>
          <w:szCs w:val="32"/>
          <w:shd w:val="clear" w:color="auto" w:fill="auto"/>
        </w:rPr>
        <w:t>茂县人民政府办公室内设机构有：秘书股、综合股、机关事务管理股，下设事业机构：茂县</w:t>
      </w:r>
      <w:r>
        <w:rPr>
          <w:rFonts w:hint="eastAsia" w:ascii="仿宋" w:hAnsi="仿宋" w:eastAsia="仿宋" w:cs="仿宋"/>
          <w:sz w:val="32"/>
          <w:szCs w:val="32"/>
          <w:shd w:val="clear" w:color="auto" w:fill="auto"/>
          <w:lang w:eastAsia="zh-CN"/>
        </w:rPr>
        <w:t>国防动员事务中心</w:t>
      </w:r>
      <w:r>
        <w:rPr>
          <w:rFonts w:hint="eastAsia" w:ascii="仿宋" w:hAnsi="仿宋" w:eastAsia="仿宋" w:cs="仿宋"/>
          <w:sz w:val="32"/>
          <w:szCs w:val="32"/>
          <w:shd w:val="clear" w:color="auto" w:fill="auto"/>
        </w:rPr>
        <w:t>、茂县人民政府信息公开工作中心、县机关后勤保障服务中心。</w:t>
      </w:r>
    </w:p>
    <w:p w14:paraId="6AB93F19">
      <w:pPr>
        <w:keepNext w:val="0"/>
        <w:keepLines w:val="0"/>
        <w:pageBreakBefore w:val="0"/>
        <w:widowControl/>
        <w:suppressAutoHyphens/>
        <w:kinsoku/>
        <w:wordWrap/>
        <w:topLinePunct w:val="0"/>
        <w:bidi w:val="0"/>
        <w:adjustRightInd w:val="0"/>
        <w:snapToGrid w:val="0"/>
        <w:spacing w:line="576" w:lineRule="exact"/>
        <w:ind w:firstLine="640" w:firstLineChars="200"/>
        <w:contextualSpacing/>
        <w:jc w:val="left"/>
        <w:textAlignment w:val="auto"/>
        <w:rPr>
          <w:rFonts w:hint="eastAsia" w:ascii="Calibri" w:hAnsi="Calibri" w:eastAsia="黑体" w:cs="Times New Roman"/>
          <w:color w:val="000000"/>
          <w:kern w:val="0"/>
          <w:sz w:val="32"/>
          <w:szCs w:val="32"/>
          <w:shd w:val="clear" w:color="auto" w:fill="FFFFFF"/>
          <w:lang w:val="zh-CN"/>
        </w:rPr>
      </w:pPr>
      <w:r>
        <w:rPr>
          <w:rFonts w:hint="eastAsia" w:ascii="Calibri" w:hAnsi="Calibri" w:eastAsia="黑体" w:cs="Times New Roman"/>
          <w:color w:val="000000"/>
          <w:kern w:val="0"/>
          <w:sz w:val="32"/>
          <w:szCs w:val="32"/>
          <w:shd w:val="clear" w:color="auto" w:fill="FFFFFF"/>
          <w:lang w:val="zh-CN"/>
        </w:rPr>
        <w:t>（二）机构职能</w:t>
      </w:r>
    </w:p>
    <w:p w14:paraId="0EA92B64">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val="en-US" w:eastAsia="zh-CN"/>
        </w:rPr>
        <w:t>1.</w:t>
      </w:r>
      <w:r>
        <w:rPr>
          <w:rFonts w:hint="eastAsia" w:ascii="仿宋" w:hAnsi="仿宋" w:eastAsia="仿宋" w:cs="仿宋"/>
          <w:sz w:val="32"/>
          <w:szCs w:val="32"/>
          <w:lang w:eastAsia="zh-CN"/>
        </w:rPr>
        <w:t>协助县政府领导同志组织起草或审核以县政府、县政府办公室名义发布的公文。办理州政府、州政府办公室及州政府各部门发送县政府的文电。指导全县行政机关公文处理工作。</w:t>
      </w:r>
    </w:p>
    <w:p w14:paraId="1E09A710">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val="en-US" w:eastAsia="zh-CN"/>
        </w:rPr>
        <w:t>2.</w:t>
      </w:r>
      <w:r>
        <w:rPr>
          <w:rFonts w:hint="eastAsia" w:ascii="仿宋" w:hAnsi="仿宋" w:eastAsia="仿宋" w:cs="仿宋"/>
          <w:sz w:val="32"/>
          <w:szCs w:val="32"/>
          <w:lang w:eastAsia="zh-CN"/>
        </w:rPr>
        <w:t>研究县政府部门和各镇人民政府请示县政府的事项，提出审核意见，报县政府领导同志审批。</w:t>
      </w:r>
    </w:p>
    <w:p w14:paraId="5CD070AB">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val="en-US" w:eastAsia="zh-CN"/>
        </w:rPr>
        <w:t>3.</w:t>
      </w:r>
      <w:r>
        <w:rPr>
          <w:rFonts w:hint="eastAsia" w:ascii="仿宋" w:hAnsi="仿宋" w:eastAsia="仿宋" w:cs="仿宋"/>
          <w:sz w:val="32"/>
          <w:szCs w:val="32"/>
          <w:lang w:eastAsia="zh-CN"/>
        </w:rPr>
        <w:t>负责县政府会议的筹备工作，协助县政府领导同志组织实施会议决定事项。</w:t>
      </w:r>
    </w:p>
    <w:p w14:paraId="3D986DAB">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val="en-US" w:eastAsia="zh-CN"/>
        </w:rPr>
        <w:t>4.</w:t>
      </w:r>
      <w:r>
        <w:rPr>
          <w:rFonts w:hint="eastAsia" w:ascii="仿宋" w:hAnsi="仿宋" w:eastAsia="仿宋" w:cs="仿宋"/>
          <w:sz w:val="32"/>
          <w:szCs w:val="32"/>
          <w:lang w:eastAsia="zh-CN"/>
        </w:rPr>
        <w:t>督促检查县政府各部门和各镇人民政府对县政府公文、会议决定事项及县政府领导有关指示的执行情况并跟踪调研，及时向县政府领导报告。</w:t>
      </w:r>
    </w:p>
    <w:p w14:paraId="0D4D67F1">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val="en-US" w:eastAsia="zh-CN"/>
        </w:rPr>
        <w:t>5.</w:t>
      </w:r>
      <w:r>
        <w:rPr>
          <w:rFonts w:hint="eastAsia" w:ascii="仿宋" w:hAnsi="仿宋" w:eastAsia="仿宋" w:cs="仿宋"/>
          <w:sz w:val="32"/>
          <w:szCs w:val="32"/>
          <w:lang w:eastAsia="zh-CN"/>
        </w:rPr>
        <w:t>组织办理涉及县政府工作的人大代表议案、批评、建议和政协委员提案、建议案工作。</w:t>
      </w:r>
    </w:p>
    <w:p w14:paraId="6D26B0E8">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val="en-US" w:eastAsia="zh-CN"/>
        </w:rPr>
        <w:t>6.</w:t>
      </w:r>
      <w:r>
        <w:rPr>
          <w:rFonts w:hint="eastAsia" w:ascii="仿宋" w:hAnsi="仿宋" w:eastAsia="仿宋" w:cs="仿宋"/>
          <w:sz w:val="32"/>
          <w:szCs w:val="32"/>
          <w:lang w:eastAsia="zh-CN"/>
        </w:rPr>
        <w:t>负责县政府值班工作，指导各镇人民政府和县政府部门值班工作，及时报告重要情况。协助县政府领导组织处理由县政府直接处理的突发事件和重大事故。</w:t>
      </w:r>
    </w:p>
    <w:p w14:paraId="5916FBB2">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val="en-US" w:eastAsia="zh-CN"/>
        </w:rPr>
        <w:t>7.</w:t>
      </w:r>
      <w:r>
        <w:rPr>
          <w:rFonts w:hint="eastAsia" w:ascii="仿宋" w:hAnsi="仿宋" w:eastAsia="仿宋" w:cs="仿宋"/>
          <w:sz w:val="32"/>
          <w:szCs w:val="32"/>
          <w:lang w:eastAsia="zh-CN"/>
        </w:rPr>
        <w:t>指导、监督全县政府信息公开工作和机关行政效能建设工作，指导、监督全县政府系统电子政务工作和政府网站建设。</w:t>
      </w:r>
    </w:p>
    <w:p w14:paraId="5E9FACE8">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val="en-US" w:eastAsia="zh-CN"/>
        </w:rPr>
        <w:t>8.</w:t>
      </w:r>
      <w:r>
        <w:rPr>
          <w:rFonts w:hint="eastAsia" w:ascii="仿宋" w:hAnsi="仿宋" w:eastAsia="仿宋" w:cs="仿宋"/>
          <w:sz w:val="32"/>
          <w:szCs w:val="32"/>
          <w:lang w:eastAsia="zh-CN"/>
        </w:rPr>
        <w:t>围绕县政府中心工作和县政府领导同志的指示，组织专题调查研究，及时反映情况，提出意见和建议。</w:t>
      </w:r>
    </w:p>
    <w:p w14:paraId="16D00E10">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val="en-US" w:eastAsia="zh-CN"/>
        </w:rPr>
        <w:t>9.</w:t>
      </w:r>
      <w:r>
        <w:rPr>
          <w:rFonts w:hint="eastAsia" w:ascii="仿宋" w:hAnsi="仿宋" w:eastAsia="仿宋" w:cs="仿宋"/>
          <w:sz w:val="32"/>
          <w:szCs w:val="32"/>
          <w:lang w:eastAsia="zh-CN"/>
        </w:rPr>
        <w:t>负责全县国防动员工作。</w:t>
      </w:r>
    </w:p>
    <w:p w14:paraId="2541581E">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val="en-US" w:eastAsia="zh-CN"/>
        </w:rPr>
        <w:t>10.</w:t>
      </w:r>
      <w:r>
        <w:rPr>
          <w:rFonts w:hint="eastAsia" w:ascii="仿宋" w:hAnsi="仿宋" w:eastAsia="仿宋" w:cs="仿宋"/>
          <w:sz w:val="32"/>
          <w:szCs w:val="32"/>
          <w:lang w:eastAsia="zh-CN"/>
        </w:rPr>
        <w:t>贯彻执行国家外事和港澳政策，研究拟定本县外事和港澳工作规章制度、发展规划，办理本县涉外事务和港澳事务。</w:t>
      </w:r>
    </w:p>
    <w:p w14:paraId="1565B3D6">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val="en-US" w:eastAsia="zh-CN"/>
        </w:rPr>
        <w:t>11.</w:t>
      </w:r>
      <w:r>
        <w:rPr>
          <w:rFonts w:hint="eastAsia" w:ascii="仿宋" w:hAnsi="仿宋" w:eastAsia="仿宋" w:cs="仿宋"/>
          <w:sz w:val="32"/>
          <w:szCs w:val="32"/>
          <w:lang w:eastAsia="zh-CN"/>
        </w:rPr>
        <w:t>负责全县公务用车、办公用房及公共机构节能减排工作。</w:t>
      </w:r>
    </w:p>
    <w:p w14:paraId="0DE4FCAD">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val="en-US" w:eastAsia="zh-CN"/>
        </w:rPr>
        <w:t>12.</w:t>
      </w:r>
      <w:r>
        <w:rPr>
          <w:rFonts w:hint="eastAsia" w:ascii="仿宋" w:hAnsi="仿宋" w:eastAsia="仿宋" w:cs="仿宋"/>
          <w:sz w:val="32"/>
          <w:szCs w:val="32"/>
          <w:lang w:eastAsia="zh-CN"/>
        </w:rPr>
        <w:t>完成县委、县政府交办的其他事项。</w:t>
      </w:r>
    </w:p>
    <w:p w14:paraId="22E7D367">
      <w:pPr>
        <w:keepNext w:val="0"/>
        <w:keepLines w:val="0"/>
        <w:pageBreakBefore w:val="0"/>
        <w:kinsoku/>
        <w:wordWrap/>
        <w:topLinePunct w:val="0"/>
        <w:bidi w:val="0"/>
        <w:snapToGrid w:val="0"/>
        <w:spacing w:line="576" w:lineRule="exact"/>
        <w:ind w:firstLine="640" w:firstLineChars="200"/>
        <w:textAlignment w:val="auto"/>
        <w:rPr>
          <w:rFonts w:hint="eastAsia" w:ascii="黑体" w:hAnsi="黑体" w:eastAsia="黑体" w:cs="黑体"/>
          <w:b w:val="0"/>
          <w:bCs w:val="0"/>
          <w:color w:val="000000"/>
          <w:kern w:val="0"/>
          <w:sz w:val="32"/>
          <w:szCs w:val="32"/>
          <w:shd w:val="clear" w:color="auto" w:fill="FFFFFF"/>
          <w:lang w:val="zh-CN"/>
        </w:rPr>
      </w:pPr>
      <w:r>
        <w:rPr>
          <w:rFonts w:hint="eastAsia" w:ascii="黑体" w:hAnsi="黑体" w:eastAsia="黑体" w:cs="黑体"/>
          <w:b w:val="0"/>
          <w:bCs w:val="0"/>
          <w:color w:val="000000"/>
          <w:kern w:val="0"/>
          <w:sz w:val="32"/>
          <w:szCs w:val="32"/>
          <w:shd w:val="clear" w:color="auto" w:fill="FFFFFF"/>
          <w:lang w:val="zh-CN"/>
        </w:rPr>
        <w:t>（三）人员概况</w:t>
      </w:r>
    </w:p>
    <w:p w14:paraId="05A13062">
      <w:pPr>
        <w:keepNext w:val="0"/>
        <w:keepLines w:val="0"/>
        <w:pageBreakBefore w:val="0"/>
        <w:kinsoku/>
        <w:wordWrap/>
        <w:topLinePunct w:val="0"/>
        <w:bidi w:val="0"/>
        <w:spacing w:line="576" w:lineRule="exact"/>
        <w:ind w:firstLine="640" w:firstLineChars="200"/>
        <w:jc w:val="left"/>
        <w:textAlignment w:val="auto"/>
        <w:rPr>
          <w:szCs w:val="32"/>
        </w:rPr>
      </w:pPr>
      <w:r>
        <w:rPr>
          <w:rFonts w:hint="eastAsia" w:ascii="仿宋" w:hAnsi="仿宋" w:eastAsia="仿宋" w:cs="仿宋"/>
          <w:sz w:val="32"/>
          <w:szCs w:val="32"/>
          <w:lang w:val="en-US" w:eastAsia="zh-CN"/>
        </w:rPr>
        <w:t>截至2025年年末，茂县人民政府办公室总编制 56名,其中:行政编制 22 名,行政工勤编制19 名（含人武部工勤编制5名），事业编制 12 名，事业工勤编制 3名。年末实有在职人数52</w:t>
      </w:r>
      <w:r>
        <w:rPr>
          <w:rFonts w:hint="eastAsia" w:ascii="仿宋" w:hAnsi="仿宋" w:eastAsia="仿宋" w:cs="仿宋"/>
          <w:sz w:val="32"/>
          <w:szCs w:val="32"/>
        </w:rPr>
        <w:t>人，行政在职</w:t>
      </w:r>
      <w:r>
        <w:rPr>
          <w:rFonts w:hint="eastAsia" w:ascii="仿宋" w:hAnsi="仿宋" w:eastAsia="仿宋" w:cs="仿宋"/>
          <w:sz w:val="32"/>
          <w:szCs w:val="32"/>
          <w:lang w:val="en-US" w:eastAsia="zh-CN"/>
        </w:rPr>
        <w:t>39</w:t>
      </w:r>
      <w:r>
        <w:rPr>
          <w:rFonts w:hint="eastAsia" w:ascii="仿宋" w:hAnsi="仿宋" w:eastAsia="仿宋" w:cs="仿宋"/>
          <w:sz w:val="32"/>
          <w:szCs w:val="32"/>
        </w:rPr>
        <w:t>人（公务员</w:t>
      </w:r>
      <w:r>
        <w:rPr>
          <w:rFonts w:hint="eastAsia" w:ascii="仿宋" w:hAnsi="仿宋" w:eastAsia="仿宋" w:cs="仿宋"/>
          <w:sz w:val="32"/>
          <w:szCs w:val="32"/>
          <w:lang w:val="en-US" w:eastAsia="zh-CN"/>
        </w:rPr>
        <w:t>20</w:t>
      </w:r>
      <w:r>
        <w:rPr>
          <w:rFonts w:hint="eastAsia" w:ascii="仿宋" w:hAnsi="仿宋" w:eastAsia="仿宋" w:cs="仿宋"/>
          <w:sz w:val="32"/>
          <w:szCs w:val="32"/>
        </w:rPr>
        <w:t>人，行政工勤</w:t>
      </w:r>
      <w:r>
        <w:rPr>
          <w:rFonts w:hint="eastAsia" w:ascii="仿宋" w:hAnsi="仿宋" w:eastAsia="仿宋" w:cs="仿宋"/>
          <w:sz w:val="32"/>
          <w:szCs w:val="32"/>
          <w:lang w:val="en-US" w:eastAsia="zh-CN"/>
        </w:rPr>
        <w:t>19</w:t>
      </w:r>
      <w:r>
        <w:rPr>
          <w:rFonts w:hint="eastAsia" w:ascii="仿宋" w:hAnsi="仿宋" w:eastAsia="仿宋" w:cs="仿宋"/>
          <w:sz w:val="32"/>
          <w:szCs w:val="32"/>
        </w:rPr>
        <w:t>人</w:t>
      </w:r>
      <w:r>
        <w:rPr>
          <w:rFonts w:hint="eastAsia" w:ascii="仿宋" w:hAnsi="仿宋" w:eastAsia="仿宋" w:cs="仿宋"/>
          <w:sz w:val="32"/>
          <w:szCs w:val="32"/>
          <w:lang w:val="en-US" w:eastAsia="zh-CN"/>
        </w:rPr>
        <w:t>，其中含人武部工勤人员5人</w:t>
      </w:r>
      <w:r>
        <w:rPr>
          <w:rFonts w:hint="eastAsia" w:ascii="仿宋" w:hAnsi="仿宋" w:eastAsia="仿宋" w:cs="仿宋"/>
          <w:sz w:val="32"/>
          <w:szCs w:val="32"/>
        </w:rPr>
        <w:t>），事业在职</w:t>
      </w:r>
      <w:r>
        <w:rPr>
          <w:rFonts w:hint="eastAsia" w:ascii="仿宋" w:hAnsi="仿宋" w:eastAsia="仿宋" w:cs="仿宋"/>
          <w:sz w:val="32"/>
          <w:szCs w:val="32"/>
          <w:lang w:val="en-US" w:eastAsia="zh-CN"/>
        </w:rPr>
        <w:t>13</w:t>
      </w:r>
      <w:r>
        <w:rPr>
          <w:rFonts w:hint="eastAsia" w:ascii="仿宋" w:hAnsi="仿宋" w:eastAsia="仿宋" w:cs="仿宋"/>
          <w:sz w:val="32"/>
          <w:szCs w:val="32"/>
        </w:rPr>
        <w:t>人。年末实有退休人员</w:t>
      </w:r>
      <w:r>
        <w:rPr>
          <w:rFonts w:hint="eastAsia" w:ascii="仿宋" w:hAnsi="仿宋" w:eastAsia="仿宋" w:cs="仿宋"/>
          <w:sz w:val="32"/>
          <w:szCs w:val="32"/>
          <w:lang w:val="en-US" w:eastAsia="zh-CN"/>
        </w:rPr>
        <w:t>18</w:t>
      </w:r>
      <w:r>
        <w:rPr>
          <w:rFonts w:hint="eastAsia" w:ascii="仿宋" w:hAnsi="仿宋" w:eastAsia="仿宋" w:cs="仿宋"/>
          <w:sz w:val="32"/>
          <w:szCs w:val="32"/>
        </w:rPr>
        <w:t>人，领取财政补贴退休人员</w:t>
      </w:r>
      <w:r>
        <w:rPr>
          <w:rFonts w:hint="eastAsia" w:ascii="仿宋" w:hAnsi="仿宋" w:eastAsia="仿宋" w:cs="仿宋"/>
          <w:sz w:val="32"/>
          <w:szCs w:val="32"/>
          <w:lang w:val="en-US" w:eastAsia="zh-CN"/>
        </w:rPr>
        <w:t>1</w:t>
      </w:r>
      <w:r>
        <w:rPr>
          <w:rFonts w:hint="eastAsia" w:ascii="仿宋" w:hAnsi="仿宋" w:eastAsia="仿宋" w:cs="仿宋"/>
          <w:sz w:val="32"/>
          <w:szCs w:val="32"/>
        </w:rPr>
        <w:t>人。年末财政供养遗属人员</w:t>
      </w:r>
      <w:r>
        <w:rPr>
          <w:rFonts w:hint="eastAsia" w:ascii="仿宋" w:hAnsi="仿宋" w:eastAsia="仿宋" w:cs="仿宋"/>
          <w:sz w:val="32"/>
          <w:szCs w:val="32"/>
          <w:lang w:val="en-US" w:eastAsia="zh-CN"/>
        </w:rPr>
        <w:t>4</w:t>
      </w:r>
      <w:r>
        <w:rPr>
          <w:rFonts w:hint="eastAsia" w:ascii="仿宋" w:hAnsi="仿宋" w:eastAsia="仿宋" w:cs="仿宋"/>
          <w:sz w:val="32"/>
          <w:szCs w:val="32"/>
        </w:rPr>
        <w:t>人。</w:t>
      </w:r>
    </w:p>
    <w:p w14:paraId="11F35CAE">
      <w:pPr>
        <w:keepNext w:val="0"/>
        <w:keepLines w:val="0"/>
        <w:pageBreakBefore w:val="0"/>
        <w:widowControl/>
        <w:kinsoku/>
        <w:wordWrap/>
        <w:topLinePunct w:val="0"/>
        <w:bidi w:val="0"/>
        <w:adjustRightInd w:val="0"/>
        <w:snapToGrid w:val="0"/>
        <w:spacing w:line="576" w:lineRule="exact"/>
        <w:ind w:firstLine="640" w:firstLineChars="200"/>
        <w:contextualSpacing/>
        <w:jc w:val="left"/>
        <w:textAlignment w:val="auto"/>
        <w:rPr>
          <w:rFonts w:eastAsia="黑体"/>
          <w:b w:val="0"/>
          <w:bCs w:val="0"/>
          <w:color w:val="000000"/>
          <w:kern w:val="0"/>
          <w:sz w:val="32"/>
          <w:szCs w:val="32"/>
          <w:shd w:val="clear" w:color="auto" w:fill="FFFFFF"/>
        </w:rPr>
      </w:pPr>
      <w:r>
        <w:rPr>
          <w:rFonts w:eastAsia="黑体"/>
          <w:b w:val="0"/>
          <w:bCs w:val="0"/>
          <w:color w:val="000000"/>
          <w:kern w:val="0"/>
          <w:sz w:val="32"/>
          <w:szCs w:val="32"/>
          <w:shd w:val="clear" w:color="auto" w:fill="FFFFFF"/>
        </w:rPr>
        <w:t>二、部门资金收支情况</w:t>
      </w:r>
    </w:p>
    <w:p w14:paraId="14722695">
      <w:pPr>
        <w:keepNext w:val="0"/>
        <w:keepLines w:val="0"/>
        <w:pageBreakBefore w:val="0"/>
        <w:kinsoku/>
        <w:wordWrap/>
        <w:topLinePunct w:val="0"/>
        <w:bidi w:val="0"/>
        <w:spacing w:line="576" w:lineRule="exact"/>
        <w:ind w:firstLine="643" w:firstLineChars="200"/>
        <w:jc w:val="left"/>
        <w:textAlignment w:val="auto"/>
        <w:rPr>
          <w:rFonts w:hint="eastAsia" w:ascii="仿宋" w:hAnsi="仿宋" w:eastAsia="仿宋" w:cs="仿宋"/>
          <w:sz w:val="32"/>
          <w:szCs w:val="32"/>
          <w:lang w:val="en-US" w:eastAsia="zh-CN"/>
        </w:rPr>
      </w:pPr>
      <w:r>
        <w:rPr>
          <w:rFonts w:hint="eastAsia" w:ascii="Times New Roman" w:hAnsi="Times New Roman" w:eastAsia="楷体_GB2312" w:cs="Times New Roman"/>
          <w:b/>
          <w:bCs/>
          <w:color w:val="000000"/>
          <w:kern w:val="0"/>
          <w:sz w:val="32"/>
          <w:szCs w:val="32"/>
          <w:shd w:val="clear" w:color="auto" w:fill="FFFFFF"/>
          <w:lang w:val="zh-CN" w:eastAsia="zh-CN"/>
        </w:rPr>
        <w:t>（一）收入情况。</w:t>
      </w:r>
      <w:r>
        <w:rPr>
          <w:rFonts w:hint="eastAsia" w:ascii="仿宋" w:hAnsi="仿宋" w:eastAsia="仿宋" w:cs="仿宋"/>
          <w:sz w:val="32"/>
          <w:szCs w:val="32"/>
          <w:lang w:val="en-US" w:eastAsia="zh-CN"/>
        </w:rPr>
        <w:t>茂县人民政府办公室2025年年初预算收入1010.06万元、本年收入调整预算数为1377.24万元,决算报表收入1377.24万元。</w:t>
      </w:r>
    </w:p>
    <w:p w14:paraId="637C807F">
      <w:pPr>
        <w:keepNext w:val="0"/>
        <w:keepLines w:val="0"/>
        <w:pageBreakBefore w:val="0"/>
        <w:kinsoku/>
        <w:wordWrap/>
        <w:topLinePunct w:val="0"/>
        <w:bidi w:val="0"/>
        <w:spacing w:line="576" w:lineRule="exact"/>
        <w:ind w:firstLine="643" w:firstLineChars="200"/>
        <w:jc w:val="left"/>
        <w:textAlignment w:val="auto"/>
        <w:rPr>
          <w:rFonts w:hint="eastAsia" w:ascii="仿宋" w:hAnsi="仿宋" w:eastAsia="仿宋" w:cs="仿宋"/>
          <w:sz w:val="32"/>
          <w:szCs w:val="32"/>
          <w:lang w:val="zh-CN" w:eastAsia="zh-CN"/>
        </w:rPr>
      </w:pPr>
      <w:r>
        <w:rPr>
          <w:rFonts w:hint="eastAsia" w:ascii="Times New Roman" w:hAnsi="Times New Roman" w:eastAsia="楷体_GB2312" w:cs="Times New Roman"/>
          <w:b/>
          <w:bCs/>
          <w:color w:val="000000"/>
          <w:kern w:val="0"/>
          <w:sz w:val="32"/>
          <w:szCs w:val="32"/>
          <w:shd w:val="clear" w:color="auto" w:fill="FFFFFF"/>
          <w:lang w:val="zh-CN" w:eastAsia="zh-CN"/>
        </w:rPr>
        <w:t>（二）支出情况。</w:t>
      </w:r>
      <w:r>
        <w:rPr>
          <w:rFonts w:hint="eastAsia" w:ascii="仿宋" w:hAnsi="仿宋" w:eastAsia="仿宋" w:cs="仿宋"/>
          <w:sz w:val="32"/>
          <w:szCs w:val="32"/>
          <w:lang w:val="en-US" w:eastAsia="zh-CN"/>
        </w:rPr>
        <w:t>茂县人民政府办公室2025年年初预算支出1010.06万元、决算报表支出1371.63万元，主要保障年度机关日常工作正常运转、保障年度重点工作高效完成。</w:t>
      </w:r>
    </w:p>
    <w:p w14:paraId="2D6B771E">
      <w:pPr>
        <w:keepNext w:val="0"/>
        <w:keepLines w:val="0"/>
        <w:pageBreakBefore w:val="0"/>
        <w:widowControl/>
        <w:kinsoku/>
        <w:wordWrap/>
        <w:topLinePunct w:val="0"/>
        <w:bidi w:val="0"/>
        <w:adjustRightInd w:val="0"/>
        <w:snapToGrid w:val="0"/>
        <w:spacing w:line="576" w:lineRule="exact"/>
        <w:ind w:firstLine="643" w:firstLineChars="200"/>
        <w:contextualSpacing/>
        <w:jc w:val="left"/>
        <w:textAlignment w:val="auto"/>
        <w:rPr>
          <w:rFonts w:hint="eastAsia" w:ascii="仿宋_GB2312" w:hAnsi="仿宋_GB2312" w:eastAsia="仿宋_GB2312" w:cs="仿宋_GB2312"/>
          <w:sz w:val="32"/>
          <w:szCs w:val="32"/>
          <w:lang w:val="zh-CN" w:eastAsia="zh-CN"/>
        </w:rPr>
      </w:pPr>
      <w:r>
        <w:rPr>
          <w:rFonts w:eastAsia="楷体_GB2312"/>
          <w:b/>
          <w:bCs/>
          <w:color w:val="000000"/>
          <w:kern w:val="0"/>
          <w:sz w:val="32"/>
          <w:szCs w:val="32"/>
          <w:shd w:val="clear" w:color="auto" w:fill="FFFFFF"/>
          <w:lang w:val="zh-CN"/>
        </w:rPr>
        <w:t>（三）</w:t>
      </w:r>
      <w:r>
        <w:rPr>
          <w:rFonts w:eastAsia="楷体_GB2312"/>
          <w:b/>
          <w:sz w:val="32"/>
          <w:szCs w:val="32"/>
        </w:rPr>
        <w:t>结余分配和结转结余情况。</w:t>
      </w:r>
      <w:r>
        <w:rPr>
          <w:rFonts w:hint="eastAsia" w:ascii="仿宋_GB2312" w:hAnsi="仿宋_GB2312" w:eastAsia="仿宋_GB2312" w:cs="仿宋_GB2312"/>
          <w:sz w:val="32"/>
          <w:szCs w:val="32"/>
          <w:lang w:eastAsia="zh-CN"/>
        </w:rPr>
        <w:t>茂县人民政府办公室2025年决算报表年末结转和结余</w:t>
      </w:r>
      <w:r>
        <w:rPr>
          <w:rFonts w:hint="eastAsia" w:ascii="仿宋_GB2312" w:hAnsi="仿宋_GB2312" w:eastAsia="仿宋_GB2312" w:cs="仿宋_GB2312"/>
          <w:sz w:val="32"/>
          <w:szCs w:val="32"/>
          <w:lang w:val="en-US" w:eastAsia="zh-CN"/>
        </w:rPr>
        <w:t>5.61万元，主要是其他收入结转和结余。</w:t>
      </w:r>
    </w:p>
    <w:p w14:paraId="4426C272">
      <w:pPr>
        <w:keepNext w:val="0"/>
        <w:keepLines w:val="0"/>
        <w:pageBreakBefore w:val="0"/>
        <w:widowControl/>
        <w:kinsoku/>
        <w:wordWrap/>
        <w:topLinePunct w:val="0"/>
        <w:bidi w:val="0"/>
        <w:adjustRightInd w:val="0"/>
        <w:snapToGrid w:val="0"/>
        <w:spacing w:line="576" w:lineRule="exact"/>
        <w:ind w:firstLine="640" w:firstLineChars="200"/>
        <w:contextualSpacing/>
        <w:jc w:val="left"/>
        <w:textAlignment w:val="auto"/>
        <w:rPr>
          <w:rFonts w:eastAsia="黑体"/>
          <w:color w:val="000000" w:themeColor="text1"/>
          <w:kern w:val="0"/>
          <w:sz w:val="32"/>
          <w:szCs w:val="32"/>
          <w:shd w:val="clear" w:color="auto" w:fill="FFFFFF"/>
          <w14:textFill>
            <w14:solidFill>
              <w14:schemeClr w14:val="tx1"/>
            </w14:solidFill>
          </w14:textFill>
        </w:rPr>
      </w:pPr>
      <w:r>
        <w:rPr>
          <w:rFonts w:eastAsia="黑体"/>
          <w:color w:val="000000"/>
          <w:kern w:val="0"/>
          <w:sz w:val="32"/>
          <w:szCs w:val="32"/>
          <w:shd w:val="clear" w:color="auto" w:fill="FFFFFF"/>
        </w:rPr>
        <w:t>三、部门预算绩效分析</w:t>
      </w:r>
    </w:p>
    <w:p w14:paraId="64207E17">
      <w:pPr>
        <w:keepNext w:val="0"/>
        <w:keepLines w:val="0"/>
        <w:pageBreakBefore w:val="0"/>
        <w:kinsoku/>
        <w:wordWrap/>
        <w:topLinePunct w:val="0"/>
        <w:bidi w:val="0"/>
        <w:adjustRightInd w:val="0"/>
        <w:snapToGrid w:val="0"/>
        <w:spacing w:line="576" w:lineRule="exact"/>
        <w:ind w:firstLine="643" w:firstLineChars="200"/>
        <w:contextualSpacing/>
        <w:jc w:val="left"/>
        <w:textAlignment w:val="auto"/>
        <w:rPr>
          <w:rFonts w:hint="eastAsia" w:ascii="仿宋_GB2312" w:hAnsi="仿宋_GB2312" w:eastAsia="仿宋_GB2312" w:cs="仿宋_GB2312"/>
          <w:sz w:val="32"/>
          <w:szCs w:val="32"/>
          <w:lang w:val="zh-CN" w:eastAsia="zh-CN"/>
        </w:rPr>
      </w:pPr>
      <w:r>
        <w:rPr>
          <w:rFonts w:hint="eastAsia" w:ascii="Times New Roman" w:hAnsi="Times New Roman" w:eastAsia="楷体_GB2312" w:cs="Times New Roman"/>
          <w:b/>
          <w:bCs/>
          <w:color w:val="000000"/>
          <w:kern w:val="0"/>
          <w:sz w:val="32"/>
          <w:szCs w:val="32"/>
          <w:shd w:val="clear" w:color="auto" w:fill="FFFFFF"/>
          <w:lang w:val="zh-CN" w:eastAsia="zh-CN"/>
        </w:rPr>
        <w:t>（一）部门预算总体绩效分析</w:t>
      </w:r>
    </w:p>
    <w:p w14:paraId="28E98D54">
      <w:pPr>
        <w:pStyle w:val="16"/>
        <w:keepNext w:val="0"/>
        <w:keepLines w:val="0"/>
        <w:pageBreakBefore w:val="0"/>
        <w:kinsoku/>
        <w:wordWrap/>
        <w:topLinePunct w:val="0"/>
        <w:bidi w:val="0"/>
        <w:spacing w:beforeAutospacing="0" w:afterAutospacing="0" w:line="576" w:lineRule="exact"/>
        <w:ind w:firstLine="640" w:firstLineChars="200"/>
        <w:textAlignment w:val="auto"/>
        <w:rPr>
          <w:rFonts w:hint="eastAsia" w:ascii="仿宋_GB2312" w:hAnsi="仿宋_GB2312" w:eastAsia="仿宋_GB2312" w:cs="仿宋_GB2312"/>
          <w:kern w:val="2"/>
          <w:sz w:val="32"/>
          <w:szCs w:val="32"/>
          <w:lang w:val="zh-CN" w:eastAsia="zh-CN" w:bidi="ar-SA"/>
        </w:rPr>
      </w:pPr>
      <w:r>
        <w:rPr>
          <w:rFonts w:hint="eastAsia" w:ascii="仿宋_GB2312" w:hAnsi="仿宋_GB2312" w:eastAsia="仿宋_GB2312" w:cs="仿宋_GB2312"/>
          <w:kern w:val="2"/>
          <w:sz w:val="32"/>
          <w:szCs w:val="32"/>
          <w:lang w:val="zh-CN" w:eastAsia="zh-CN" w:bidi="ar-SA"/>
        </w:rPr>
        <w:t>1.履职效能</w:t>
      </w:r>
    </w:p>
    <w:p w14:paraId="16BBEC53">
      <w:pPr>
        <w:pStyle w:val="16"/>
        <w:keepNext w:val="0"/>
        <w:keepLines w:val="0"/>
        <w:pageBreakBefore w:val="0"/>
        <w:kinsoku/>
        <w:wordWrap/>
        <w:topLinePunct w:val="0"/>
        <w:bidi w:val="0"/>
        <w:spacing w:beforeAutospacing="0" w:afterAutospacing="0" w:line="576" w:lineRule="exact"/>
        <w:ind w:firstLine="640" w:firstLineChars="200"/>
        <w:textAlignment w:val="auto"/>
        <w:rPr>
          <w:rFonts w:hint="eastAsia" w:ascii="仿宋_GB2312" w:hAnsi="仿宋_GB2312" w:eastAsia="仿宋_GB2312" w:cs="仿宋_GB2312"/>
          <w:kern w:val="2"/>
          <w:sz w:val="32"/>
          <w:szCs w:val="32"/>
          <w:lang w:val="zh-CN" w:eastAsia="zh-CN" w:bidi="ar-SA"/>
        </w:rPr>
      </w:pPr>
      <w:r>
        <w:rPr>
          <w:rFonts w:hint="eastAsia" w:ascii="仿宋_GB2312" w:hAnsi="仿宋_GB2312" w:eastAsia="仿宋_GB2312" w:cs="仿宋_GB2312"/>
          <w:kern w:val="2"/>
          <w:sz w:val="32"/>
          <w:szCs w:val="32"/>
          <w:lang w:val="zh-CN" w:eastAsia="zh-CN" w:bidi="ar-SA"/>
        </w:rPr>
        <w:t>（1）严格执行《阿坝州关于贯彻落实中央八项规定精神、省委省政府十项规定和州委州政府八条实施意见的实施细则》要求，深入开展精文减会、基层减负和机关规范化建设。</w:t>
      </w:r>
    </w:p>
    <w:p w14:paraId="3A6E5FDD">
      <w:pPr>
        <w:pStyle w:val="16"/>
        <w:keepNext w:val="0"/>
        <w:keepLines w:val="0"/>
        <w:pageBreakBefore w:val="0"/>
        <w:kinsoku/>
        <w:wordWrap/>
        <w:topLinePunct w:val="0"/>
        <w:bidi w:val="0"/>
        <w:spacing w:beforeAutospacing="0" w:afterAutospacing="0" w:line="576" w:lineRule="exact"/>
        <w:ind w:firstLine="640" w:firstLineChars="200"/>
        <w:textAlignment w:val="auto"/>
        <w:rPr>
          <w:rFonts w:hint="eastAsia" w:ascii="仿宋_GB2312" w:hAnsi="仿宋_GB2312" w:eastAsia="仿宋_GB2312" w:cs="仿宋_GB2312"/>
          <w:kern w:val="2"/>
          <w:sz w:val="32"/>
          <w:szCs w:val="32"/>
          <w:lang w:val="zh-CN" w:eastAsia="zh-CN" w:bidi="ar-SA"/>
        </w:rPr>
      </w:pPr>
      <w:r>
        <w:rPr>
          <w:rFonts w:hint="eastAsia" w:ascii="仿宋_GB2312" w:hAnsi="仿宋_GB2312" w:eastAsia="仿宋_GB2312" w:cs="仿宋_GB2312"/>
          <w:kern w:val="2"/>
          <w:sz w:val="32"/>
          <w:szCs w:val="32"/>
          <w:lang w:val="zh-CN" w:eastAsia="zh-CN" w:bidi="ar-SA"/>
        </w:rPr>
        <w:t>（2）大力提升公文质效，从严审核把关以县政府、县政府办名义发文，及时收集掌握县政府、县政府办发文数量，确保发文逐年递减要求刚性落实。同时，进一步规范各镇、各部门上报信息简报，严格控制篇幅字数。</w:t>
      </w:r>
    </w:p>
    <w:p w14:paraId="07E91C11">
      <w:pPr>
        <w:pStyle w:val="16"/>
        <w:keepNext w:val="0"/>
        <w:keepLines w:val="0"/>
        <w:pageBreakBefore w:val="0"/>
        <w:kinsoku/>
        <w:wordWrap/>
        <w:topLinePunct w:val="0"/>
        <w:bidi w:val="0"/>
        <w:spacing w:beforeAutospacing="0" w:afterAutospacing="0" w:line="576" w:lineRule="exact"/>
        <w:ind w:firstLine="640" w:firstLineChars="200"/>
        <w:textAlignment w:val="auto"/>
        <w:rPr>
          <w:rFonts w:hint="eastAsia" w:ascii="仿宋_GB2312" w:hAnsi="仿宋_GB2312" w:eastAsia="仿宋_GB2312" w:cs="仿宋_GB2312"/>
          <w:kern w:val="2"/>
          <w:sz w:val="32"/>
          <w:szCs w:val="32"/>
          <w:lang w:val="zh-CN" w:eastAsia="zh-CN" w:bidi="ar-SA"/>
        </w:rPr>
      </w:pPr>
      <w:r>
        <w:rPr>
          <w:rFonts w:hint="eastAsia" w:ascii="仿宋_GB2312" w:hAnsi="仿宋_GB2312" w:eastAsia="仿宋_GB2312" w:cs="仿宋_GB2312"/>
          <w:kern w:val="2"/>
          <w:sz w:val="32"/>
          <w:szCs w:val="32"/>
          <w:lang w:val="zh-CN" w:eastAsia="zh-CN" w:bidi="ar-SA"/>
        </w:rPr>
        <w:t>（3）秉持精准细致、务实高效标准筹备各类会议活动，按照节俭、高效的原则，进一步加强与“四大办”、县政府工作部门的信息沟通，加大会议的统筹力度，严控会议频次和规模。</w:t>
      </w:r>
    </w:p>
    <w:p w14:paraId="493770F5">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kern w:val="2"/>
          <w:sz w:val="32"/>
          <w:szCs w:val="32"/>
          <w:lang w:val="zh-CN" w:eastAsia="zh-CN" w:bidi="ar-SA"/>
        </w:rPr>
      </w:pPr>
      <w:r>
        <w:rPr>
          <w:rFonts w:hint="eastAsia" w:ascii="仿宋_GB2312" w:hAnsi="仿宋_GB2312" w:eastAsia="仿宋_GB2312" w:cs="仿宋_GB2312"/>
          <w:kern w:val="2"/>
          <w:sz w:val="32"/>
          <w:szCs w:val="32"/>
          <w:lang w:val="zh-CN" w:eastAsia="zh-CN" w:bidi="ar-SA"/>
        </w:rPr>
        <w:t>（4）坚持把抓落实作为办公室工作的生命线，以“督查促落实、保障强运转”为核心，统筹推进督查问效与服务保障双向发力，既以严督实查倒逼政令畅通、责任落实，又以精细服务筑牢工作根基、夯实运转保障，切实打通决策部署落地“最后一公里”。</w:t>
      </w:r>
    </w:p>
    <w:p w14:paraId="5CF70AB0">
      <w:pPr>
        <w:pStyle w:val="16"/>
        <w:keepNext w:val="0"/>
        <w:keepLines w:val="0"/>
        <w:pageBreakBefore w:val="0"/>
        <w:kinsoku/>
        <w:wordWrap/>
        <w:topLinePunct w:val="0"/>
        <w:bidi w:val="0"/>
        <w:spacing w:beforeAutospacing="0" w:afterAutospacing="0" w:line="576"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zh-CN" w:eastAsia="zh-CN" w:bidi="ar-SA"/>
        </w:rPr>
        <w:t>（5）秉持优化提升、精准高效目标做好信息报送，充分发挥政务信息“主渠道、直通车”作用，切实做好县政府信息公开工作，及时更新政府网站信息，认真维护政府门户网站。提炼总结茂县特色亮点工作，形成政务信息上报。</w:t>
      </w:r>
    </w:p>
    <w:p w14:paraId="0C734A20">
      <w:pPr>
        <w:pStyle w:val="16"/>
        <w:keepNext w:val="0"/>
        <w:keepLines w:val="0"/>
        <w:pageBreakBefore w:val="0"/>
        <w:kinsoku/>
        <w:wordWrap/>
        <w:topLinePunct w:val="0"/>
        <w:bidi w:val="0"/>
        <w:spacing w:beforeAutospacing="0" w:afterAutospacing="0" w:line="576" w:lineRule="exact"/>
        <w:ind w:firstLine="640" w:firstLineChars="200"/>
        <w:textAlignment w:val="auto"/>
        <w:rPr>
          <w:rFonts w:hint="eastAsia" w:ascii="仿宋_GB2312" w:hAnsi="仿宋_GB2312" w:eastAsia="仿宋_GB2312" w:cs="仿宋_GB2312"/>
          <w:kern w:val="2"/>
          <w:sz w:val="32"/>
          <w:szCs w:val="32"/>
          <w:lang w:val="zh-CN" w:eastAsia="zh-CN" w:bidi="ar-SA"/>
        </w:rPr>
      </w:pPr>
      <w:r>
        <w:rPr>
          <w:rFonts w:hint="eastAsia" w:ascii="仿宋_GB2312" w:hAnsi="仿宋_GB2312" w:eastAsia="仿宋_GB2312" w:cs="仿宋_GB2312"/>
          <w:kern w:val="2"/>
          <w:sz w:val="32"/>
          <w:szCs w:val="32"/>
          <w:lang w:val="zh-CN" w:eastAsia="zh-CN" w:bidi="ar-SA"/>
        </w:rPr>
        <w:t>（</w:t>
      </w:r>
      <w:r>
        <w:rPr>
          <w:rFonts w:hint="eastAsia" w:ascii="仿宋_GB2312" w:hAnsi="仿宋_GB2312" w:eastAsia="仿宋_GB2312" w:cs="仿宋_GB2312"/>
          <w:kern w:val="2"/>
          <w:sz w:val="32"/>
          <w:szCs w:val="32"/>
          <w:lang w:val="en-US" w:eastAsia="zh-CN" w:bidi="ar-SA"/>
        </w:rPr>
        <w:t>6）</w:t>
      </w:r>
      <w:r>
        <w:rPr>
          <w:rFonts w:hint="eastAsia" w:ascii="仿宋_GB2312" w:hAnsi="仿宋_GB2312" w:eastAsia="仿宋_GB2312" w:cs="仿宋_GB2312"/>
          <w:kern w:val="2"/>
          <w:sz w:val="32"/>
          <w:szCs w:val="32"/>
          <w:lang w:val="zh-CN" w:eastAsia="zh-CN" w:bidi="ar-SA"/>
        </w:rPr>
        <w:t>紧扣“聚焦统筹协调聚合力，保障政府运转顺畅高效”工作目标，充分发挥承上启下、协调左右、联系内外的中枢枢纽作用，通过精细化管理、规范化运作、高效化推进，统筹整合各方资源、精准打通工作堵点，确保政府系统上下协同、闭环运转。严格执行24小时值班制度，周末、节假日值班制度。加强公务用车车辆管理，确保政府、政府办工作正常运转。</w:t>
      </w:r>
    </w:p>
    <w:p w14:paraId="7123B4CE">
      <w:pPr>
        <w:pStyle w:val="16"/>
        <w:keepNext w:val="0"/>
        <w:keepLines w:val="0"/>
        <w:pageBreakBefore w:val="0"/>
        <w:kinsoku/>
        <w:wordWrap/>
        <w:topLinePunct w:val="0"/>
        <w:bidi w:val="0"/>
        <w:spacing w:beforeAutospacing="0" w:afterAutospacing="0" w:line="576" w:lineRule="exact"/>
        <w:ind w:firstLine="640" w:firstLineChars="200"/>
        <w:textAlignment w:val="auto"/>
        <w:rPr>
          <w:rFonts w:hint="eastAsia" w:ascii="仿宋_GB2312" w:hAnsi="仿宋_GB2312" w:eastAsia="仿宋_GB2312" w:cs="仿宋_GB2312"/>
          <w:kern w:val="2"/>
          <w:sz w:val="32"/>
          <w:szCs w:val="32"/>
          <w:lang w:val="zh-CN" w:eastAsia="zh-CN" w:bidi="ar-SA"/>
        </w:rPr>
      </w:pPr>
      <w:r>
        <w:rPr>
          <w:rFonts w:hint="eastAsia" w:ascii="仿宋_GB2312" w:hAnsi="仿宋_GB2312" w:eastAsia="仿宋_GB2312" w:cs="仿宋_GB2312"/>
          <w:kern w:val="2"/>
          <w:sz w:val="32"/>
          <w:szCs w:val="32"/>
          <w:lang w:val="zh-CN" w:eastAsia="zh-CN" w:bidi="ar-SA"/>
        </w:rPr>
        <w:t>总体来说，茂县人民政府办公室</w:t>
      </w:r>
      <w:r>
        <w:rPr>
          <w:rFonts w:hint="eastAsia" w:ascii="仿宋_GB2312" w:hAnsi="仿宋_GB2312" w:eastAsia="仿宋_GB2312" w:cs="仿宋_GB2312"/>
          <w:kern w:val="2"/>
          <w:sz w:val="32"/>
          <w:szCs w:val="32"/>
          <w:lang w:val="en-US" w:eastAsia="zh-CN" w:bidi="ar-SA"/>
        </w:rPr>
        <w:t>2025年度</w:t>
      </w:r>
      <w:r>
        <w:rPr>
          <w:rFonts w:hint="eastAsia" w:ascii="仿宋_GB2312" w:hAnsi="仿宋_GB2312" w:eastAsia="仿宋_GB2312" w:cs="仿宋_GB2312"/>
          <w:kern w:val="2"/>
          <w:sz w:val="32"/>
          <w:szCs w:val="32"/>
          <w:lang w:val="zh-CN" w:eastAsia="zh-CN" w:bidi="ar-SA"/>
        </w:rPr>
        <w:t>着眼服务全县工作大局，全力做好参谋辅政和服务协调，充分发挥运转中枢作用；加强政务运转保障，改进精文简会工作，提升行政效能，优化政务服务；强化督办督查职能，推动重大决策部署落地见效；落实“党政机关过紧日子”要求，厉行节约，压减一般性支出，坚守廉洁底线；在服务全县工作大局中发挥了积极作用。</w:t>
      </w:r>
    </w:p>
    <w:p w14:paraId="671EF6E2">
      <w:pPr>
        <w:pStyle w:val="16"/>
        <w:keepNext w:val="0"/>
        <w:keepLines w:val="0"/>
        <w:pageBreakBefore w:val="0"/>
        <w:kinsoku/>
        <w:wordWrap/>
        <w:topLinePunct w:val="0"/>
        <w:bidi w:val="0"/>
        <w:spacing w:beforeAutospacing="0" w:afterAutospacing="0" w:line="576" w:lineRule="exact"/>
        <w:ind w:firstLine="640" w:firstLineChars="200"/>
        <w:textAlignment w:val="auto"/>
        <w:rPr>
          <w:rFonts w:hint="eastAsia" w:ascii="仿宋_GB2312" w:hAnsi="仿宋_GB2312" w:eastAsia="仿宋_GB2312" w:cs="仿宋_GB2312"/>
          <w:kern w:val="2"/>
          <w:sz w:val="32"/>
          <w:szCs w:val="32"/>
          <w:lang w:val="zh-CN" w:eastAsia="zh-CN" w:bidi="ar-SA"/>
        </w:rPr>
      </w:pPr>
      <w:r>
        <w:rPr>
          <w:rFonts w:hint="eastAsia" w:ascii="仿宋_GB2312" w:hAnsi="仿宋_GB2312" w:eastAsia="仿宋_GB2312" w:cs="仿宋_GB2312"/>
          <w:kern w:val="2"/>
          <w:sz w:val="32"/>
          <w:szCs w:val="32"/>
          <w:lang w:val="en-US" w:eastAsia="zh-CN" w:bidi="ar-SA"/>
        </w:rPr>
        <w:t>2.</w:t>
      </w:r>
      <w:r>
        <w:rPr>
          <w:rFonts w:hint="eastAsia" w:ascii="仿宋_GB2312" w:hAnsi="仿宋_GB2312" w:eastAsia="仿宋_GB2312" w:cs="仿宋_GB2312"/>
          <w:kern w:val="2"/>
          <w:sz w:val="32"/>
          <w:szCs w:val="32"/>
          <w:lang w:val="zh-CN" w:eastAsia="zh-CN" w:bidi="ar-SA"/>
        </w:rPr>
        <w:t>预算管理</w:t>
      </w:r>
    </w:p>
    <w:p w14:paraId="095D82E2">
      <w:pPr>
        <w:pStyle w:val="16"/>
        <w:keepNext w:val="0"/>
        <w:keepLines w:val="0"/>
        <w:pageBreakBefore w:val="0"/>
        <w:kinsoku/>
        <w:wordWrap/>
        <w:topLinePunct w:val="0"/>
        <w:bidi w:val="0"/>
        <w:spacing w:beforeAutospacing="0" w:afterAutospacing="0" w:line="576" w:lineRule="exact"/>
        <w:ind w:firstLine="640" w:firstLineChars="200"/>
        <w:textAlignment w:val="auto"/>
        <w:rPr>
          <w:rFonts w:hint="eastAsia" w:ascii="仿宋_GB2312" w:hAnsi="仿宋_GB2312" w:eastAsia="仿宋_GB2312" w:cs="仿宋_GB2312"/>
          <w:kern w:val="2"/>
          <w:sz w:val="32"/>
          <w:szCs w:val="32"/>
          <w:lang w:val="zh-CN" w:eastAsia="zh-CN" w:bidi="ar-SA"/>
        </w:rPr>
      </w:pPr>
      <w:r>
        <w:rPr>
          <w:rFonts w:hint="eastAsia" w:ascii="仿宋_GB2312" w:hAnsi="仿宋_GB2312" w:eastAsia="仿宋_GB2312" w:cs="仿宋_GB2312"/>
          <w:kern w:val="2"/>
          <w:sz w:val="32"/>
          <w:szCs w:val="32"/>
          <w:lang w:val="zh-CN" w:eastAsia="zh-CN" w:bidi="ar-SA"/>
        </w:rPr>
        <w:t>我单位严格按照单位实际情况制定绩效目标管理制度，严格按照预算管理法进行有效的预算编制工作。</w:t>
      </w:r>
      <w:r>
        <w:rPr>
          <w:rFonts w:hint="eastAsia" w:ascii="仿宋_GB2312" w:hAnsi="仿宋_GB2312" w:eastAsia="仿宋_GB2312" w:cs="仿宋_GB2312"/>
          <w:kern w:val="2"/>
          <w:sz w:val="32"/>
          <w:szCs w:val="32"/>
          <w:lang w:val="en-US" w:eastAsia="zh-CN" w:bidi="ar-SA"/>
        </w:rPr>
        <w:t>2025年我单位无违规违法行为，保质保量的完成了目标实现情况，支出控制及执行进度等指标都及时完成。</w:t>
      </w:r>
    </w:p>
    <w:p w14:paraId="7F8BBEC4">
      <w:pPr>
        <w:pStyle w:val="16"/>
        <w:keepNext w:val="0"/>
        <w:keepLines w:val="0"/>
        <w:pageBreakBefore w:val="0"/>
        <w:kinsoku/>
        <w:wordWrap/>
        <w:topLinePunct w:val="0"/>
        <w:bidi w:val="0"/>
        <w:spacing w:beforeAutospacing="0" w:afterAutospacing="0" w:line="576" w:lineRule="exact"/>
        <w:ind w:firstLine="640" w:firstLineChars="200"/>
        <w:textAlignment w:val="auto"/>
        <w:rPr>
          <w:rFonts w:hint="eastAsia" w:ascii="仿宋_GB2312" w:hAnsi="仿宋_GB2312" w:eastAsia="仿宋_GB2312" w:cs="仿宋_GB2312"/>
          <w:kern w:val="2"/>
          <w:sz w:val="32"/>
          <w:szCs w:val="32"/>
          <w:lang w:val="zh-CN" w:eastAsia="zh-CN" w:bidi="ar-SA"/>
        </w:rPr>
      </w:pPr>
      <w:r>
        <w:rPr>
          <w:rFonts w:hint="eastAsia" w:ascii="仿宋_GB2312" w:hAnsi="仿宋_GB2312" w:eastAsia="仿宋_GB2312" w:cs="仿宋_GB2312"/>
          <w:kern w:val="2"/>
          <w:sz w:val="32"/>
          <w:szCs w:val="32"/>
          <w:lang w:val="en-US" w:eastAsia="zh-CN" w:bidi="ar-SA"/>
        </w:rPr>
        <w:t>3.</w:t>
      </w:r>
      <w:r>
        <w:rPr>
          <w:rFonts w:hint="eastAsia" w:ascii="仿宋_GB2312" w:hAnsi="仿宋_GB2312" w:eastAsia="仿宋_GB2312" w:cs="仿宋_GB2312"/>
          <w:kern w:val="2"/>
          <w:sz w:val="32"/>
          <w:szCs w:val="32"/>
          <w:lang w:val="zh-CN" w:eastAsia="zh-CN" w:bidi="ar-SA"/>
        </w:rPr>
        <w:t>财务管理</w:t>
      </w:r>
    </w:p>
    <w:p w14:paraId="6DA24E4E">
      <w:pPr>
        <w:pStyle w:val="16"/>
        <w:keepNext w:val="0"/>
        <w:keepLines w:val="0"/>
        <w:pageBreakBefore w:val="0"/>
        <w:kinsoku/>
        <w:wordWrap/>
        <w:topLinePunct w:val="0"/>
        <w:bidi w:val="0"/>
        <w:spacing w:beforeAutospacing="0" w:afterAutospacing="0" w:line="576"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zh-CN" w:eastAsia="zh-CN" w:bidi="ar-SA"/>
        </w:rPr>
        <w:t>单位建立了相关的财务管理制度，设立了出纳和会计岗配备了相应的财务人员。在财务管理方面，经费支出实行严格审批制度，严格预算原则。严格控制基本经费支出，加强对日常经费开支的管理。严禁超预算支出。加大对公务卡的使用管理，要求工作人员严格按照公务卡结算目录的要求使用公务卡。资金使用符合相关的财务管理规定。</w:t>
      </w:r>
      <w:r>
        <w:rPr>
          <w:rFonts w:hint="eastAsia" w:ascii="仿宋_GB2312" w:hAnsi="仿宋_GB2312" w:eastAsia="仿宋_GB2312" w:cs="仿宋_GB2312"/>
          <w:kern w:val="2"/>
          <w:sz w:val="32"/>
          <w:szCs w:val="32"/>
          <w:lang w:val="en-US" w:eastAsia="zh-CN" w:bidi="ar-SA"/>
        </w:rPr>
        <w:t xml:space="preserve"> </w:t>
      </w:r>
    </w:p>
    <w:p w14:paraId="57C0AB00">
      <w:pPr>
        <w:pStyle w:val="16"/>
        <w:keepNext w:val="0"/>
        <w:keepLines w:val="0"/>
        <w:pageBreakBefore w:val="0"/>
        <w:kinsoku/>
        <w:wordWrap/>
        <w:topLinePunct w:val="0"/>
        <w:bidi w:val="0"/>
        <w:spacing w:beforeAutospacing="0" w:afterAutospacing="0" w:line="576"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（4）</w:t>
      </w:r>
      <w:r>
        <w:rPr>
          <w:rFonts w:hint="eastAsia" w:ascii="仿宋_GB2312" w:hAnsi="仿宋_GB2312" w:eastAsia="仿宋_GB2312" w:cs="仿宋_GB2312"/>
          <w:kern w:val="2"/>
          <w:sz w:val="32"/>
          <w:szCs w:val="32"/>
          <w:lang w:val="zh-CN" w:eastAsia="zh-CN" w:bidi="ar-SA"/>
        </w:rPr>
        <w:t>资产管理</w:t>
      </w:r>
    </w:p>
    <w:p w14:paraId="5420D345">
      <w:pPr>
        <w:pStyle w:val="16"/>
        <w:keepNext w:val="0"/>
        <w:keepLines w:val="0"/>
        <w:pageBreakBefore w:val="0"/>
        <w:kinsoku/>
        <w:wordWrap/>
        <w:topLinePunct w:val="0"/>
        <w:bidi w:val="0"/>
        <w:spacing w:beforeAutospacing="0" w:afterAutospacing="0" w:line="576"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zh-CN" w:eastAsia="zh-CN" w:bidi="ar-SA"/>
        </w:rPr>
        <w:t>在资产管理方面，坚持谁使用谁保管谁负责的原则，建立台账，各负其责，财务室负责固定资产的日常账务处理，办公室负责台账登记和日常维修，使资产</w:t>
      </w:r>
      <w:r>
        <w:rPr>
          <w:rFonts w:hint="eastAsia" w:ascii="仿宋_GB2312" w:hAnsi="仿宋_GB2312" w:eastAsia="仿宋_GB2312" w:cs="仿宋_GB2312"/>
          <w:kern w:val="2"/>
          <w:sz w:val="32"/>
          <w:szCs w:val="32"/>
          <w:lang w:val="en-US" w:eastAsia="zh-CN" w:bidi="ar-SA"/>
        </w:rPr>
        <w:t>能保障单位工作的正常运转。在办公设备配置上，严格执行电脑，打印机等最低使用年限且年限满后只要维修后能正常使用的我单位都将继续使用，没有超出配置。资产利用率达100%，无闲置资产。</w:t>
      </w:r>
    </w:p>
    <w:p w14:paraId="73CDAACF">
      <w:pPr>
        <w:pStyle w:val="16"/>
        <w:keepNext w:val="0"/>
        <w:keepLines w:val="0"/>
        <w:pageBreakBefore w:val="0"/>
        <w:kinsoku/>
        <w:wordWrap/>
        <w:topLinePunct w:val="0"/>
        <w:bidi w:val="0"/>
        <w:spacing w:beforeAutospacing="0" w:afterAutospacing="0" w:line="576" w:lineRule="exact"/>
        <w:ind w:firstLine="640" w:firstLineChars="200"/>
        <w:textAlignment w:val="auto"/>
        <w:rPr>
          <w:rFonts w:hint="eastAsia" w:ascii="仿宋_GB2312" w:hAnsi="仿宋_GB2312" w:eastAsia="仿宋_GB2312" w:cs="仿宋_GB2312"/>
          <w:kern w:val="2"/>
          <w:sz w:val="32"/>
          <w:szCs w:val="32"/>
          <w:lang w:val="zh-CN" w:eastAsia="zh-CN" w:bidi="ar-SA"/>
        </w:rPr>
      </w:pPr>
      <w:r>
        <w:rPr>
          <w:rFonts w:hint="eastAsia" w:ascii="仿宋_GB2312" w:hAnsi="仿宋_GB2312" w:eastAsia="仿宋_GB2312" w:cs="仿宋_GB2312"/>
          <w:kern w:val="2"/>
          <w:sz w:val="32"/>
          <w:szCs w:val="32"/>
          <w:lang w:val="en-US" w:eastAsia="zh-CN" w:bidi="ar-SA"/>
        </w:rPr>
        <w:t>（5）</w:t>
      </w:r>
      <w:r>
        <w:rPr>
          <w:rFonts w:hint="eastAsia" w:ascii="仿宋_GB2312" w:hAnsi="仿宋_GB2312" w:eastAsia="仿宋_GB2312" w:cs="仿宋_GB2312"/>
          <w:kern w:val="2"/>
          <w:sz w:val="32"/>
          <w:szCs w:val="32"/>
          <w:lang w:val="zh-CN" w:eastAsia="zh-CN" w:bidi="ar-SA"/>
        </w:rPr>
        <w:t>采购管理</w:t>
      </w:r>
    </w:p>
    <w:p w14:paraId="35A65DE1">
      <w:pPr>
        <w:pStyle w:val="16"/>
        <w:keepNext w:val="0"/>
        <w:keepLines w:val="0"/>
        <w:pageBreakBefore w:val="0"/>
        <w:kinsoku/>
        <w:wordWrap/>
        <w:topLinePunct w:val="0"/>
        <w:bidi w:val="0"/>
        <w:spacing w:beforeAutospacing="0" w:afterAutospacing="0" w:line="576" w:lineRule="exact"/>
        <w:ind w:firstLine="640" w:firstLineChars="200"/>
        <w:textAlignment w:val="auto"/>
        <w:rPr>
          <w:rFonts w:hint="eastAsia" w:ascii="仿宋_GB2312" w:hAnsi="仿宋_GB2312" w:eastAsia="仿宋_GB2312" w:cs="仿宋_GB2312"/>
          <w:kern w:val="2"/>
          <w:sz w:val="32"/>
          <w:szCs w:val="32"/>
          <w:lang w:val="zh-CN" w:eastAsia="zh-CN" w:bidi="ar-SA"/>
        </w:rPr>
      </w:pPr>
      <w:r>
        <w:rPr>
          <w:rFonts w:hint="eastAsia" w:ascii="仿宋_GB2312" w:hAnsi="仿宋_GB2312" w:eastAsia="仿宋_GB2312" w:cs="仿宋_GB2312"/>
          <w:kern w:val="2"/>
          <w:sz w:val="32"/>
          <w:szCs w:val="32"/>
          <w:lang w:val="zh-CN" w:eastAsia="zh-CN" w:bidi="ar-SA"/>
        </w:rPr>
        <w:t>我单位的采购主要是采用询价的方式进行，采购严格按照相关的文件进行。围绕支持中小企业发展，我单位按要求发布询价公告进行实地询价，最后确定询价结果和中标公司并公示以及合同的签订，项目在单位的监管下按合同正常推进完成，采购执行率高。</w:t>
      </w:r>
    </w:p>
    <w:p w14:paraId="0050877D">
      <w:pPr>
        <w:keepNext w:val="0"/>
        <w:keepLines w:val="0"/>
        <w:pageBreakBefore w:val="0"/>
        <w:numPr>
          <w:ilvl w:val="0"/>
          <w:numId w:val="0"/>
        </w:numPr>
        <w:kinsoku/>
        <w:wordWrap/>
        <w:topLinePunct w:val="0"/>
        <w:bidi w:val="0"/>
        <w:adjustRightInd w:val="0"/>
        <w:snapToGrid w:val="0"/>
        <w:spacing w:line="576" w:lineRule="exact"/>
        <w:ind w:leftChars="200"/>
        <w:contextualSpacing/>
        <w:jc w:val="left"/>
        <w:textAlignment w:val="auto"/>
        <w:rPr>
          <w:rFonts w:eastAsia="楷体_GB2312"/>
          <w:b/>
          <w:bCs/>
          <w:color w:val="000000"/>
          <w:kern w:val="0"/>
          <w:sz w:val="32"/>
          <w:szCs w:val="32"/>
          <w:highlight w:val="none"/>
          <w:shd w:val="clear" w:color="auto" w:fill="FFFFFF"/>
          <w:lang w:val="zh-CN"/>
        </w:rPr>
      </w:pPr>
      <w:r>
        <w:rPr>
          <w:rFonts w:hint="eastAsia" w:eastAsia="楷体_GB2312"/>
          <w:b/>
          <w:bCs/>
          <w:color w:val="000000"/>
          <w:kern w:val="0"/>
          <w:sz w:val="32"/>
          <w:szCs w:val="32"/>
          <w:highlight w:val="none"/>
          <w:shd w:val="clear" w:color="auto" w:fill="FFFFFF"/>
          <w:lang w:val="zh-CN"/>
        </w:rPr>
        <w:t>（二）</w:t>
      </w:r>
      <w:r>
        <w:rPr>
          <w:rFonts w:eastAsia="楷体_GB2312"/>
          <w:b/>
          <w:bCs/>
          <w:color w:val="000000"/>
          <w:kern w:val="0"/>
          <w:sz w:val="32"/>
          <w:szCs w:val="32"/>
          <w:highlight w:val="none"/>
          <w:shd w:val="clear" w:color="auto" w:fill="FFFFFF"/>
          <w:lang w:val="zh-CN"/>
        </w:rPr>
        <w:t>部门预算项目绩效分析</w:t>
      </w:r>
    </w:p>
    <w:p w14:paraId="01C56DBC">
      <w:pPr>
        <w:keepNext w:val="0"/>
        <w:keepLines w:val="0"/>
        <w:pageBreakBefore w:val="0"/>
        <w:numPr>
          <w:ilvl w:val="0"/>
          <w:numId w:val="0"/>
        </w:numPr>
        <w:kinsoku/>
        <w:wordWrap/>
        <w:topLinePunct w:val="0"/>
        <w:bidi w:val="0"/>
        <w:adjustRightInd w:val="0"/>
        <w:snapToGrid w:val="0"/>
        <w:spacing w:line="576" w:lineRule="exact"/>
        <w:ind w:firstLine="640" w:firstLineChars="200"/>
        <w:contextualSpacing/>
        <w:jc w:val="left"/>
        <w:textAlignment w:val="auto"/>
        <w:rPr>
          <w:rFonts w:hint="eastAsia" w:ascii="仿宋_GB2312" w:hAnsi="仿宋_GB2312" w:eastAsia="仿宋_GB2312" w:cs="仿宋_GB2312"/>
          <w:color w:val="auto"/>
          <w:kern w:val="2"/>
          <w:sz w:val="32"/>
          <w:szCs w:val="32"/>
          <w:lang w:val="zh-CN" w:eastAsia="zh-CN" w:bidi="ar-SA"/>
        </w:rPr>
      </w:pPr>
      <w:r>
        <w:rPr>
          <w:rFonts w:hint="eastAsia" w:ascii="仿宋_GB2312" w:hAnsi="仿宋_GB2312" w:eastAsia="仿宋_GB2312" w:cs="仿宋_GB2312"/>
          <w:color w:val="auto"/>
          <w:kern w:val="2"/>
          <w:sz w:val="32"/>
          <w:szCs w:val="32"/>
          <w:lang w:val="zh-CN" w:eastAsia="zh-CN" w:bidi="ar-SA"/>
        </w:rPr>
        <w:t>常年项目绩效分析。该类项目总数</w:t>
      </w:r>
      <w:r>
        <w:rPr>
          <w:rFonts w:hint="eastAsia" w:ascii="仿宋_GB2312" w:hAnsi="仿宋_GB2312" w:eastAsia="仿宋_GB2312" w:cs="仿宋_GB2312"/>
          <w:color w:val="auto"/>
          <w:kern w:val="2"/>
          <w:sz w:val="32"/>
          <w:szCs w:val="32"/>
          <w:lang w:val="en-US" w:eastAsia="zh-CN" w:bidi="ar-SA"/>
        </w:rPr>
        <w:t>0</w:t>
      </w:r>
      <w:r>
        <w:rPr>
          <w:rFonts w:hint="eastAsia" w:ascii="仿宋_GB2312" w:hAnsi="仿宋_GB2312" w:eastAsia="仿宋_GB2312" w:cs="仿宋_GB2312"/>
          <w:color w:val="auto"/>
          <w:kern w:val="2"/>
          <w:sz w:val="32"/>
          <w:szCs w:val="32"/>
          <w:lang w:val="zh-CN" w:eastAsia="zh-CN" w:bidi="ar-SA"/>
        </w:rPr>
        <w:t>个，涉及预算总金额</w:t>
      </w:r>
      <w:r>
        <w:rPr>
          <w:rFonts w:hint="eastAsia" w:ascii="仿宋_GB2312" w:hAnsi="仿宋_GB2312" w:eastAsia="仿宋_GB2312" w:cs="仿宋_GB2312"/>
          <w:color w:val="auto"/>
          <w:kern w:val="2"/>
          <w:sz w:val="32"/>
          <w:szCs w:val="32"/>
          <w:lang w:val="en-US" w:eastAsia="zh-CN" w:bidi="ar-SA"/>
        </w:rPr>
        <w:t>0</w:t>
      </w:r>
      <w:r>
        <w:rPr>
          <w:rFonts w:hint="eastAsia" w:ascii="仿宋_GB2312" w:hAnsi="仿宋_GB2312" w:eastAsia="仿宋_GB2312" w:cs="仿宋_GB2312"/>
          <w:color w:val="auto"/>
          <w:kern w:val="2"/>
          <w:sz w:val="32"/>
          <w:szCs w:val="32"/>
          <w:lang w:val="zh-CN" w:eastAsia="zh-CN" w:bidi="ar-SA"/>
        </w:rPr>
        <w:t>万元。</w:t>
      </w:r>
    </w:p>
    <w:p w14:paraId="0CEAFE54">
      <w:pPr>
        <w:keepNext w:val="0"/>
        <w:keepLines w:val="0"/>
        <w:pageBreakBefore w:val="0"/>
        <w:numPr>
          <w:ilvl w:val="0"/>
          <w:numId w:val="0"/>
        </w:numPr>
        <w:kinsoku/>
        <w:wordWrap/>
        <w:topLinePunct w:val="0"/>
        <w:bidi w:val="0"/>
        <w:adjustRightInd w:val="0"/>
        <w:snapToGrid w:val="0"/>
        <w:spacing w:line="576" w:lineRule="exact"/>
        <w:ind w:firstLine="640" w:firstLineChars="200"/>
        <w:contextualSpacing/>
        <w:jc w:val="left"/>
        <w:textAlignment w:val="auto"/>
        <w:rPr>
          <w:rFonts w:hint="eastAsia" w:ascii="仿宋" w:hAnsi="仿宋" w:eastAsia="仿宋" w:cs="仿宋"/>
          <w:kern w:val="2"/>
          <w:sz w:val="32"/>
          <w:szCs w:val="32"/>
          <w:lang w:val="zh-CN" w:eastAsia="zh-CN" w:bidi="ar-SA"/>
        </w:rPr>
      </w:pPr>
      <w:r>
        <w:rPr>
          <w:rFonts w:hint="eastAsia" w:ascii="仿宋_GB2312" w:hAnsi="仿宋_GB2312" w:eastAsia="仿宋_GB2312" w:cs="仿宋_GB2312"/>
          <w:color w:val="auto"/>
          <w:kern w:val="2"/>
          <w:sz w:val="32"/>
          <w:szCs w:val="32"/>
          <w:lang w:val="zh-CN" w:eastAsia="zh-CN" w:bidi="ar-SA"/>
        </w:rPr>
        <w:t>阶段（含一</w:t>
      </w:r>
      <w:r>
        <w:rPr>
          <w:rFonts w:hint="eastAsia" w:ascii="仿宋_GB2312" w:hAnsi="仿宋_GB2312" w:eastAsia="仿宋_GB2312" w:cs="仿宋_GB2312"/>
          <w:kern w:val="2"/>
          <w:sz w:val="32"/>
          <w:szCs w:val="32"/>
          <w:lang w:val="zh-CN" w:eastAsia="zh-CN" w:bidi="ar-SA"/>
        </w:rPr>
        <w:t>次性）项目绩效分析。该类项目总数</w:t>
      </w:r>
      <w:r>
        <w:rPr>
          <w:rFonts w:hint="eastAsia" w:ascii="仿宋_GB2312" w:hAnsi="仿宋_GB2312" w:eastAsia="仿宋_GB2312" w:cs="仿宋_GB2312"/>
          <w:kern w:val="2"/>
          <w:sz w:val="32"/>
          <w:szCs w:val="32"/>
          <w:lang w:val="en-US" w:eastAsia="zh-CN" w:bidi="ar-SA"/>
        </w:rPr>
        <w:t>5</w:t>
      </w:r>
      <w:r>
        <w:rPr>
          <w:rFonts w:hint="eastAsia" w:ascii="仿宋_GB2312" w:hAnsi="仿宋_GB2312" w:eastAsia="仿宋_GB2312" w:cs="仿宋_GB2312"/>
          <w:kern w:val="2"/>
          <w:sz w:val="32"/>
          <w:szCs w:val="32"/>
          <w:lang w:val="zh-CN" w:eastAsia="zh-CN" w:bidi="ar-SA"/>
        </w:rPr>
        <w:t>个，涉及预算总金额</w:t>
      </w:r>
      <w:r>
        <w:rPr>
          <w:rFonts w:hint="eastAsia" w:ascii="仿宋_GB2312" w:hAnsi="仿宋_GB2312" w:eastAsia="仿宋_GB2312" w:cs="仿宋_GB2312"/>
          <w:kern w:val="2"/>
          <w:sz w:val="32"/>
          <w:szCs w:val="32"/>
          <w:lang w:val="en-US" w:eastAsia="zh-CN" w:bidi="ar-SA"/>
        </w:rPr>
        <w:t>479.85</w:t>
      </w:r>
      <w:r>
        <w:rPr>
          <w:rFonts w:hint="eastAsia" w:ascii="仿宋_GB2312" w:hAnsi="仿宋_GB2312" w:eastAsia="仿宋_GB2312" w:cs="仿宋_GB2312"/>
          <w:kern w:val="2"/>
          <w:sz w:val="32"/>
          <w:szCs w:val="32"/>
          <w:lang w:val="zh-CN" w:eastAsia="zh-CN" w:bidi="ar-SA"/>
        </w:rPr>
        <w:t>万元，1—12月预算执行总体进度为</w:t>
      </w:r>
      <w:r>
        <w:rPr>
          <w:rFonts w:hint="eastAsia" w:ascii="仿宋_GB2312" w:hAnsi="仿宋_GB2312" w:eastAsia="仿宋_GB2312" w:cs="仿宋_GB2312"/>
          <w:kern w:val="2"/>
          <w:sz w:val="32"/>
          <w:szCs w:val="32"/>
          <w:lang w:val="en-US" w:eastAsia="zh-CN" w:bidi="ar-SA"/>
        </w:rPr>
        <w:t>99</w:t>
      </w:r>
      <w:r>
        <w:rPr>
          <w:rFonts w:hint="eastAsia" w:ascii="仿宋_GB2312" w:hAnsi="仿宋_GB2312" w:eastAsia="仿宋_GB2312" w:cs="仿宋_GB2312"/>
          <w:kern w:val="2"/>
          <w:sz w:val="32"/>
          <w:szCs w:val="32"/>
          <w:lang w:val="zh-CN" w:eastAsia="zh-CN" w:bidi="ar-SA"/>
        </w:rPr>
        <w:t>%，其中：预算结余率大于10%的项目共计</w:t>
      </w:r>
      <w:r>
        <w:rPr>
          <w:rFonts w:hint="eastAsia" w:ascii="仿宋_GB2312" w:hAnsi="仿宋_GB2312" w:eastAsia="仿宋_GB2312" w:cs="仿宋_GB2312"/>
          <w:kern w:val="2"/>
          <w:sz w:val="32"/>
          <w:szCs w:val="32"/>
          <w:lang w:val="en-US" w:eastAsia="zh-CN" w:bidi="ar-SA"/>
        </w:rPr>
        <w:t>1</w:t>
      </w:r>
      <w:r>
        <w:rPr>
          <w:rFonts w:hint="eastAsia" w:ascii="仿宋_GB2312" w:hAnsi="仿宋_GB2312" w:eastAsia="仿宋_GB2312" w:cs="仿宋_GB2312"/>
          <w:kern w:val="2"/>
          <w:sz w:val="32"/>
          <w:szCs w:val="32"/>
          <w:lang w:val="zh-CN" w:eastAsia="zh-CN" w:bidi="ar-SA"/>
        </w:rPr>
        <w:t>个。</w:t>
      </w:r>
    </w:p>
    <w:p w14:paraId="478D42FF">
      <w:pPr>
        <w:keepNext w:val="0"/>
        <w:keepLines w:val="0"/>
        <w:pageBreakBefore w:val="0"/>
        <w:numPr>
          <w:ilvl w:val="0"/>
          <w:numId w:val="0"/>
        </w:numPr>
        <w:kinsoku/>
        <w:wordWrap/>
        <w:topLinePunct w:val="0"/>
        <w:bidi w:val="0"/>
        <w:adjustRightInd w:val="0"/>
        <w:snapToGrid w:val="0"/>
        <w:spacing w:line="576" w:lineRule="exact"/>
        <w:ind w:firstLine="640" w:firstLineChars="200"/>
        <w:contextualSpacing/>
        <w:jc w:val="left"/>
        <w:textAlignment w:val="auto"/>
        <w:rPr>
          <w:rFonts w:hint="eastAsia"/>
          <w:color w:val="000000"/>
          <w:kern w:val="0"/>
          <w:sz w:val="32"/>
          <w:szCs w:val="32"/>
          <w:highlight w:val="none"/>
          <w:shd w:val="clear" w:color="auto" w:fill="FFFFFF"/>
          <w:lang w:val="zh-CN"/>
        </w:rPr>
      </w:pPr>
      <w:r>
        <w:rPr>
          <w:rFonts w:hint="eastAsia" w:ascii="楷体_GB2312" w:hAnsi="楷体_GB2312" w:eastAsia="楷体_GB2312" w:cs="楷体_GB2312"/>
          <w:color w:val="000000"/>
          <w:kern w:val="0"/>
          <w:sz w:val="32"/>
          <w:szCs w:val="32"/>
          <w:highlight w:val="none"/>
          <w:shd w:val="clear" w:color="auto" w:fill="FFFFFF"/>
          <w:lang w:val="en-US" w:eastAsia="zh-CN"/>
        </w:rPr>
        <w:t>1.</w:t>
      </w:r>
      <w:r>
        <w:rPr>
          <w:rFonts w:hint="eastAsia" w:ascii="楷体_GB2312" w:hAnsi="楷体_GB2312" w:eastAsia="楷体_GB2312" w:cs="楷体_GB2312"/>
          <w:color w:val="000000"/>
          <w:kern w:val="0"/>
          <w:sz w:val="32"/>
          <w:szCs w:val="32"/>
          <w:highlight w:val="none"/>
          <w:shd w:val="clear" w:color="auto" w:fill="FFFFFF"/>
          <w:lang w:val="zh-CN"/>
        </w:rPr>
        <w:t>项目决策</w:t>
      </w:r>
    </w:p>
    <w:p w14:paraId="3F09DE9F">
      <w:pPr>
        <w:keepNext w:val="0"/>
        <w:keepLines w:val="0"/>
        <w:pageBreakBefore w:val="0"/>
        <w:numPr>
          <w:ilvl w:val="0"/>
          <w:numId w:val="0"/>
        </w:numPr>
        <w:kinsoku/>
        <w:wordWrap/>
        <w:topLinePunct w:val="0"/>
        <w:bidi w:val="0"/>
        <w:adjustRightInd w:val="0"/>
        <w:snapToGrid w:val="0"/>
        <w:spacing w:line="576" w:lineRule="exact"/>
        <w:ind w:firstLine="640" w:firstLineChars="200"/>
        <w:contextualSpacing/>
        <w:jc w:val="left"/>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zh-CN" w:eastAsia="zh-CN" w:bidi="ar-SA"/>
        </w:rPr>
        <w:t>决策程序</w:t>
      </w:r>
      <w:r>
        <w:rPr>
          <w:rFonts w:hint="eastAsia" w:ascii="仿宋_GB2312" w:hAnsi="仿宋_GB2312" w:eastAsia="仿宋_GB2312" w:cs="仿宋_GB2312"/>
          <w:kern w:val="2"/>
          <w:sz w:val="32"/>
          <w:szCs w:val="32"/>
          <w:lang w:val="en-US" w:eastAsia="zh-CN" w:bidi="ar-SA"/>
        </w:rPr>
        <w:t>方面，部门预算项目设立是按规定履行评估论证、申报程序；</w:t>
      </w:r>
      <w:r>
        <w:rPr>
          <w:rFonts w:hint="eastAsia" w:ascii="仿宋_GB2312" w:hAnsi="仿宋_GB2312" w:eastAsia="仿宋_GB2312" w:cs="仿宋_GB2312"/>
          <w:kern w:val="2"/>
          <w:sz w:val="32"/>
          <w:szCs w:val="32"/>
          <w:lang w:val="zh-CN" w:eastAsia="zh-CN" w:bidi="ar-SA"/>
        </w:rPr>
        <w:t>目标设置</w:t>
      </w:r>
      <w:r>
        <w:rPr>
          <w:rFonts w:hint="eastAsia" w:ascii="仿宋_GB2312" w:hAnsi="仿宋_GB2312" w:eastAsia="仿宋_GB2312" w:cs="仿宋_GB2312"/>
          <w:kern w:val="2"/>
          <w:sz w:val="32"/>
          <w:szCs w:val="32"/>
          <w:lang w:val="en-US" w:eastAsia="zh-CN" w:bidi="ar-SA"/>
        </w:rPr>
        <w:t>方面，部门预算项目绩效目标与计划期内的任务量、预算安排的资金量是相匹配的，绩效目标设置是科学合理、规范完整、量化细化、预算匹配的；项目入库方面，部门预算项目是在规定时间完成项目入库。</w:t>
      </w:r>
    </w:p>
    <w:p w14:paraId="5AAB9329">
      <w:pPr>
        <w:keepNext w:val="0"/>
        <w:keepLines w:val="0"/>
        <w:pageBreakBefore w:val="0"/>
        <w:numPr>
          <w:ilvl w:val="0"/>
          <w:numId w:val="0"/>
        </w:numPr>
        <w:kinsoku/>
        <w:wordWrap/>
        <w:topLinePunct w:val="0"/>
        <w:bidi w:val="0"/>
        <w:adjustRightInd w:val="0"/>
        <w:snapToGrid w:val="0"/>
        <w:spacing w:line="576" w:lineRule="exact"/>
        <w:ind w:firstLine="640" w:firstLineChars="200"/>
        <w:contextualSpacing/>
        <w:jc w:val="left"/>
        <w:textAlignment w:val="auto"/>
        <w:rPr>
          <w:rFonts w:hint="eastAsia" w:ascii="楷体_GB2312" w:hAnsi="楷体_GB2312" w:eastAsia="楷体_GB2312" w:cs="楷体_GB2312"/>
          <w:color w:val="000000"/>
          <w:kern w:val="0"/>
          <w:sz w:val="32"/>
          <w:szCs w:val="32"/>
          <w:highlight w:val="none"/>
          <w:shd w:val="clear" w:color="auto" w:fill="FFFFFF"/>
          <w:lang w:val="zh-CN"/>
        </w:rPr>
      </w:pPr>
      <w:r>
        <w:rPr>
          <w:rFonts w:hint="eastAsia" w:ascii="楷体_GB2312" w:hAnsi="楷体_GB2312" w:eastAsia="楷体_GB2312" w:cs="楷体_GB2312"/>
          <w:color w:val="000000"/>
          <w:kern w:val="0"/>
          <w:sz w:val="32"/>
          <w:szCs w:val="32"/>
          <w:highlight w:val="none"/>
          <w:shd w:val="clear" w:color="auto" w:fill="FFFFFF"/>
          <w:lang w:val="en-US" w:eastAsia="zh-CN"/>
        </w:rPr>
        <w:t>2.</w:t>
      </w:r>
      <w:r>
        <w:rPr>
          <w:rFonts w:hint="eastAsia" w:ascii="楷体_GB2312" w:hAnsi="楷体_GB2312" w:eastAsia="楷体_GB2312" w:cs="楷体_GB2312"/>
          <w:color w:val="000000"/>
          <w:kern w:val="0"/>
          <w:sz w:val="32"/>
          <w:szCs w:val="32"/>
          <w:highlight w:val="none"/>
          <w:shd w:val="clear" w:color="auto" w:fill="FFFFFF"/>
          <w:lang w:val="zh-CN"/>
        </w:rPr>
        <w:t>项目执行</w:t>
      </w:r>
    </w:p>
    <w:p w14:paraId="2CD5269C">
      <w:pPr>
        <w:keepNext w:val="0"/>
        <w:keepLines w:val="0"/>
        <w:pageBreakBefore w:val="0"/>
        <w:numPr>
          <w:ilvl w:val="0"/>
          <w:numId w:val="0"/>
        </w:numPr>
        <w:kinsoku/>
        <w:wordWrap/>
        <w:topLinePunct w:val="0"/>
        <w:bidi w:val="0"/>
        <w:adjustRightInd w:val="0"/>
        <w:snapToGrid w:val="0"/>
        <w:spacing w:line="576" w:lineRule="exact"/>
        <w:ind w:firstLine="640" w:firstLineChars="200"/>
        <w:contextualSpacing/>
        <w:jc w:val="left"/>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zh-CN" w:eastAsia="zh-CN" w:bidi="ar-SA"/>
        </w:rPr>
        <w:t>执行同向</w:t>
      </w:r>
      <w:r>
        <w:rPr>
          <w:rFonts w:hint="eastAsia" w:ascii="仿宋_GB2312" w:hAnsi="仿宋_GB2312" w:eastAsia="仿宋_GB2312" w:cs="仿宋_GB2312"/>
          <w:kern w:val="2"/>
          <w:sz w:val="32"/>
          <w:szCs w:val="32"/>
          <w:lang w:val="en-US" w:eastAsia="zh-CN" w:bidi="ar-SA"/>
        </w:rPr>
        <w:t>方面，部门预算项目实际列支内容是与绩效目标设置方向相符的；项目调整方面，部门预算项目是采取了对应调整措施进行调整；执行结果方面，部门预算项目预算执行是按照资金用途合法合规进行支付执行。</w:t>
      </w:r>
    </w:p>
    <w:p w14:paraId="35D307DD">
      <w:pPr>
        <w:keepNext w:val="0"/>
        <w:keepLines w:val="0"/>
        <w:pageBreakBefore w:val="0"/>
        <w:numPr>
          <w:ilvl w:val="0"/>
          <w:numId w:val="0"/>
        </w:numPr>
        <w:kinsoku/>
        <w:wordWrap/>
        <w:topLinePunct w:val="0"/>
        <w:bidi w:val="0"/>
        <w:adjustRightInd w:val="0"/>
        <w:snapToGrid w:val="0"/>
        <w:spacing w:line="576" w:lineRule="exact"/>
        <w:ind w:firstLine="640" w:firstLineChars="200"/>
        <w:contextualSpacing/>
        <w:jc w:val="left"/>
        <w:textAlignment w:val="auto"/>
        <w:rPr>
          <w:rFonts w:hint="eastAsia" w:ascii="楷体_GB2312" w:hAnsi="楷体_GB2312" w:eastAsia="楷体_GB2312" w:cs="楷体_GB2312"/>
          <w:color w:val="000000"/>
          <w:kern w:val="0"/>
          <w:sz w:val="32"/>
          <w:szCs w:val="32"/>
          <w:highlight w:val="none"/>
          <w:shd w:val="clear" w:color="auto" w:fill="FFFFFF"/>
          <w:lang w:val="zh-CN"/>
        </w:rPr>
      </w:pPr>
      <w:r>
        <w:rPr>
          <w:rFonts w:hint="eastAsia" w:ascii="楷体_GB2312" w:hAnsi="楷体_GB2312" w:eastAsia="楷体_GB2312" w:cs="楷体_GB2312"/>
          <w:color w:val="000000"/>
          <w:kern w:val="0"/>
          <w:sz w:val="32"/>
          <w:szCs w:val="32"/>
          <w:highlight w:val="none"/>
          <w:shd w:val="clear" w:color="auto" w:fill="FFFFFF"/>
          <w:lang w:val="en-US" w:eastAsia="zh-CN"/>
        </w:rPr>
        <w:t>3.</w:t>
      </w:r>
      <w:r>
        <w:rPr>
          <w:rFonts w:hint="eastAsia" w:ascii="楷体_GB2312" w:hAnsi="楷体_GB2312" w:eastAsia="楷体_GB2312" w:cs="楷体_GB2312"/>
          <w:color w:val="000000"/>
          <w:kern w:val="0"/>
          <w:sz w:val="32"/>
          <w:szCs w:val="32"/>
          <w:highlight w:val="none"/>
          <w:shd w:val="clear" w:color="auto" w:fill="FFFFFF"/>
          <w:lang w:val="zh-CN"/>
        </w:rPr>
        <w:t>目标实现</w:t>
      </w:r>
    </w:p>
    <w:p w14:paraId="7104FC72">
      <w:pPr>
        <w:keepNext w:val="0"/>
        <w:keepLines w:val="0"/>
        <w:pageBreakBefore w:val="0"/>
        <w:numPr>
          <w:ilvl w:val="0"/>
          <w:numId w:val="0"/>
        </w:numPr>
        <w:kinsoku/>
        <w:wordWrap/>
        <w:topLinePunct w:val="0"/>
        <w:bidi w:val="0"/>
        <w:adjustRightInd w:val="0"/>
        <w:snapToGrid w:val="0"/>
        <w:spacing w:line="576" w:lineRule="exact"/>
        <w:ind w:firstLine="640" w:firstLineChars="200"/>
        <w:contextualSpacing/>
        <w:jc w:val="left"/>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zh-CN" w:eastAsia="zh-CN" w:bidi="ar-SA"/>
        </w:rPr>
        <w:t>目标完成</w:t>
      </w:r>
      <w:r>
        <w:rPr>
          <w:rFonts w:hint="eastAsia" w:ascii="仿宋_GB2312" w:hAnsi="仿宋_GB2312" w:eastAsia="仿宋_GB2312" w:cs="仿宋_GB2312"/>
          <w:kern w:val="2"/>
          <w:sz w:val="32"/>
          <w:szCs w:val="32"/>
          <w:lang w:val="en-US" w:eastAsia="zh-CN" w:bidi="ar-SA"/>
        </w:rPr>
        <w:t>方面，部门预算项目绩效目标数量指标按时完成了；目标偏离方面，部门预算项目绩效目标数量指标实现程度与预期目标不存在偏离情况；实现效果方面，部门预算项目绩效目标效益指标得到有效实施。</w:t>
      </w:r>
    </w:p>
    <w:p w14:paraId="424B32BE">
      <w:pPr>
        <w:keepNext w:val="0"/>
        <w:keepLines w:val="0"/>
        <w:pageBreakBefore w:val="0"/>
        <w:numPr>
          <w:ilvl w:val="0"/>
          <w:numId w:val="0"/>
        </w:numPr>
        <w:kinsoku/>
        <w:wordWrap/>
        <w:topLinePunct w:val="0"/>
        <w:bidi w:val="0"/>
        <w:adjustRightInd w:val="0"/>
        <w:snapToGrid w:val="0"/>
        <w:spacing w:line="576" w:lineRule="exact"/>
        <w:ind w:firstLine="640" w:firstLineChars="200"/>
        <w:contextualSpacing/>
        <w:jc w:val="left"/>
        <w:textAlignment w:val="auto"/>
        <w:rPr>
          <w:rFonts w:hint="eastAsia" w:ascii="仿宋_GB2312" w:hAnsi="仿宋_GB2312" w:eastAsia="仿宋_GB2312" w:cs="仿宋_GB2312"/>
          <w:kern w:val="2"/>
          <w:sz w:val="32"/>
          <w:szCs w:val="32"/>
          <w:lang w:val="zh-CN" w:eastAsia="zh-CN" w:bidi="ar-SA"/>
        </w:rPr>
      </w:pPr>
      <w:r>
        <w:rPr>
          <w:rFonts w:hint="eastAsia" w:ascii="仿宋_GB2312" w:hAnsi="仿宋_GB2312" w:eastAsia="仿宋_GB2312" w:cs="仿宋_GB2312"/>
          <w:kern w:val="2"/>
          <w:sz w:val="32"/>
          <w:szCs w:val="32"/>
          <w:lang w:val="zh-CN" w:eastAsia="zh-CN" w:bidi="ar-SA"/>
        </w:rPr>
        <w:t>部门2025年度</w:t>
      </w:r>
      <w:r>
        <w:rPr>
          <w:rFonts w:hint="eastAsia" w:ascii="仿宋_GB2312" w:hAnsi="仿宋_GB2312" w:eastAsia="仿宋_GB2312" w:cs="仿宋_GB2312"/>
          <w:kern w:val="2"/>
          <w:sz w:val="32"/>
          <w:szCs w:val="32"/>
          <w:lang w:val="en-US" w:eastAsia="zh-CN" w:bidi="ar-SA"/>
        </w:rPr>
        <w:t>不</w:t>
      </w:r>
      <w:r>
        <w:rPr>
          <w:rFonts w:hint="eastAsia" w:ascii="仿宋_GB2312" w:hAnsi="仿宋_GB2312" w:eastAsia="仿宋_GB2312" w:cs="仿宋_GB2312"/>
          <w:kern w:val="2"/>
          <w:sz w:val="32"/>
          <w:szCs w:val="32"/>
          <w:lang w:val="zh-CN" w:eastAsia="zh-CN" w:bidi="ar-SA"/>
        </w:rPr>
        <w:t>涉及国有资本经营预算、社会保险基金预算。</w:t>
      </w:r>
    </w:p>
    <w:p w14:paraId="112F978E">
      <w:pPr>
        <w:keepNext w:val="0"/>
        <w:keepLines w:val="0"/>
        <w:pageBreakBefore w:val="0"/>
        <w:numPr>
          <w:ilvl w:val="0"/>
          <w:numId w:val="0"/>
        </w:numPr>
        <w:kinsoku/>
        <w:wordWrap/>
        <w:topLinePunct w:val="0"/>
        <w:bidi w:val="0"/>
        <w:adjustRightInd w:val="0"/>
        <w:snapToGrid w:val="0"/>
        <w:spacing w:line="576" w:lineRule="exact"/>
        <w:ind w:leftChars="200"/>
        <w:contextualSpacing/>
        <w:jc w:val="left"/>
        <w:textAlignment w:val="auto"/>
        <w:rPr>
          <w:rFonts w:hint="eastAsia" w:eastAsia="楷体_GB2312"/>
          <w:b/>
          <w:bCs/>
          <w:color w:val="000000"/>
          <w:kern w:val="0"/>
          <w:sz w:val="32"/>
          <w:szCs w:val="32"/>
          <w:highlight w:val="none"/>
          <w:shd w:val="clear" w:color="auto" w:fill="FFFFFF"/>
          <w:lang w:val="zh-CN" w:eastAsia="zh-CN"/>
        </w:rPr>
      </w:pPr>
      <w:r>
        <w:rPr>
          <w:rFonts w:hint="eastAsia" w:eastAsia="楷体_GB2312"/>
          <w:b/>
          <w:bCs/>
          <w:color w:val="000000"/>
          <w:kern w:val="0"/>
          <w:sz w:val="32"/>
          <w:szCs w:val="32"/>
          <w:highlight w:val="none"/>
          <w:shd w:val="clear" w:color="auto" w:fill="FFFFFF"/>
          <w:lang w:val="zh-CN"/>
        </w:rPr>
        <w:t>（三）绩效结果应用情况</w:t>
      </w:r>
    </w:p>
    <w:p w14:paraId="1D3FAE40">
      <w:pPr>
        <w:keepNext w:val="0"/>
        <w:keepLines w:val="0"/>
        <w:pageBreakBefore w:val="0"/>
        <w:numPr>
          <w:ilvl w:val="0"/>
          <w:numId w:val="0"/>
        </w:numPr>
        <w:kinsoku/>
        <w:wordWrap/>
        <w:topLinePunct w:val="0"/>
        <w:bidi w:val="0"/>
        <w:adjustRightInd w:val="0"/>
        <w:snapToGrid w:val="0"/>
        <w:spacing w:line="576" w:lineRule="exact"/>
        <w:ind w:firstLine="640" w:firstLineChars="200"/>
        <w:contextualSpacing/>
        <w:jc w:val="left"/>
        <w:textAlignment w:val="auto"/>
        <w:rPr>
          <w:rFonts w:hint="eastAsia" w:ascii="仿宋_GB2312" w:hAnsi="仿宋_GB2312" w:eastAsia="仿宋_GB2312" w:cs="仿宋_GB2312"/>
          <w:kern w:val="2"/>
          <w:sz w:val="32"/>
          <w:szCs w:val="32"/>
          <w:lang w:val="zh-CN" w:eastAsia="zh-CN" w:bidi="ar-SA"/>
        </w:rPr>
      </w:pPr>
      <w:r>
        <w:rPr>
          <w:rFonts w:hint="eastAsia" w:ascii="仿宋_GB2312" w:hAnsi="仿宋_GB2312" w:eastAsia="仿宋_GB2312" w:cs="仿宋_GB2312"/>
          <w:kern w:val="2"/>
          <w:sz w:val="32"/>
          <w:szCs w:val="32"/>
          <w:lang w:val="zh-CN" w:eastAsia="zh-CN" w:bidi="ar-SA"/>
        </w:rPr>
        <w:t>我单位</w:t>
      </w:r>
      <w:r>
        <w:rPr>
          <w:rFonts w:hint="default" w:ascii="Times New Roman" w:hAnsi="Times New Roman" w:eastAsia="仿宋_GB2312" w:cs="Times New Roman"/>
          <w:w w:val="95"/>
          <w:kern w:val="0"/>
          <w:sz w:val="32"/>
          <w:szCs w:val="32"/>
          <w:lang w:val="zh-CN" w:eastAsia="zh-CN"/>
        </w:rPr>
        <w:t>扎实推进预算绩效结果落地应用。将绩效结果与工作考核挂钩，优化资金配置</w:t>
      </w:r>
      <w:r>
        <w:rPr>
          <w:rFonts w:hint="eastAsia" w:ascii="Times New Roman" w:hAnsi="Times New Roman" w:eastAsia="仿宋_GB2312" w:cs="Times New Roman"/>
          <w:w w:val="95"/>
          <w:kern w:val="0"/>
          <w:sz w:val="32"/>
          <w:szCs w:val="32"/>
          <w:lang w:val="zh-CN" w:eastAsia="zh-CN"/>
        </w:rPr>
        <w:t>。</w:t>
      </w:r>
      <w:r>
        <w:rPr>
          <w:rFonts w:hint="eastAsia" w:ascii="Times New Roman" w:hAnsi="Times New Roman" w:eastAsia="仿宋_GB2312" w:cs="Times New Roman"/>
          <w:w w:val="95"/>
          <w:kern w:val="0"/>
          <w:sz w:val="32"/>
          <w:szCs w:val="32"/>
          <w:lang w:val="en-US" w:eastAsia="zh-CN"/>
        </w:rPr>
        <w:t>2025年度我单位</w:t>
      </w:r>
      <w:r>
        <w:rPr>
          <w:rFonts w:hint="default" w:ascii="Times New Roman" w:hAnsi="Times New Roman" w:eastAsia="仿宋_GB2312" w:cs="Times New Roman"/>
          <w:w w:val="95"/>
          <w:kern w:val="0"/>
          <w:sz w:val="32"/>
          <w:szCs w:val="32"/>
          <w:lang w:val="zh-CN" w:eastAsia="zh-CN"/>
        </w:rPr>
        <w:t>认真做好财政资金预算编制工作，强化资金统筹优化、明确开支范围、细化资金用途，有效保障部门职责任务完成和单位正常运转，降低行政运行成本</w:t>
      </w:r>
      <w:r>
        <w:rPr>
          <w:rFonts w:hint="eastAsia" w:ascii="Times New Roman" w:hAnsi="Times New Roman" w:eastAsia="仿宋_GB2312" w:cs="Times New Roman"/>
          <w:w w:val="95"/>
          <w:kern w:val="0"/>
          <w:sz w:val="32"/>
          <w:szCs w:val="32"/>
          <w:lang w:val="zh-CN" w:eastAsia="zh-CN"/>
        </w:rPr>
        <w:t>，</w:t>
      </w:r>
      <w:r>
        <w:rPr>
          <w:rFonts w:hint="default" w:ascii="Times New Roman" w:hAnsi="Times New Roman" w:eastAsia="仿宋_GB2312" w:cs="Times New Roman"/>
          <w:w w:val="95"/>
          <w:kern w:val="0"/>
          <w:sz w:val="32"/>
          <w:szCs w:val="32"/>
          <w:lang w:val="zh-CN" w:eastAsia="zh-CN"/>
        </w:rPr>
        <w:t>充分发挥财政资金经济效益与社会效益。全年基本支出保障日常工作开展，项目支出支撑重点工作推进，整体完成年初设定绩效目标，自查自评结果良好，</w:t>
      </w:r>
      <w:r>
        <w:rPr>
          <w:rFonts w:hint="eastAsia" w:ascii="仿宋_GB2312" w:hAnsi="仿宋_GB2312" w:eastAsia="仿宋_GB2312" w:cs="仿宋_GB2312"/>
          <w:kern w:val="2"/>
          <w:sz w:val="32"/>
          <w:szCs w:val="32"/>
          <w:lang w:val="en-US" w:eastAsia="zh-CN" w:bidi="ar-SA"/>
        </w:rPr>
        <w:t>我办2025年绩效评价自评得分89分。</w:t>
      </w:r>
      <w:r>
        <w:rPr>
          <w:rFonts w:hint="default" w:ascii="Times New Roman" w:hAnsi="Times New Roman" w:eastAsia="仿宋_GB2312" w:cs="Times New Roman"/>
          <w:w w:val="95"/>
          <w:kern w:val="0"/>
          <w:sz w:val="32"/>
          <w:szCs w:val="32"/>
          <w:lang w:val="zh-CN" w:eastAsia="zh-CN"/>
        </w:rPr>
        <w:t>针对薄弱环节及时整改，建立长效机制，切实提升绩效管控水平。</w:t>
      </w:r>
    </w:p>
    <w:p w14:paraId="20F560B0">
      <w:pPr>
        <w:keepNext w:val="0"/>
        <w:keepLines w:val="0"/>
        <w:pageBreakBefore w:val="0"/>
        <w:widowControl/>
        <w:kinsoku/>
        <w:wordWrap/>
        <w:topLinePunct w:val="0"/>
        <w:bidi w:val="0"/>
        <w:adjustRightInd w:val="0"/>
        <w:snapToGrid w:val="0"/>
        <w:spacing w:line="576" w:lineRule="exact"/>
        <w:ind w:firstLine="640" w:firstLineChars="200"/>
        <w:contextualSpacing/>
        <w:jc w:val="left"/>
        <w:textAlignment w:val="auto"/>
        <w:rPr>
          <w:rFonts w:eastAsia="黑体"/>
          <w:color w:val="000000"/>
          <w:kern w:val="0"/>
          <w:sz w:val="32"/>
          <w:szCs w:val="32"/>
          <w:shd w:val="clear" w:color="auto" w:fill="FFFFFF"/>
        </w:rPr>
      </w:pPr>
      <w:r>
        <w:rPr>
          <w:rFonts w:eastAsia="黑体"/>
          <w:color w:val="000000"/>
          <w:kern w:val="0"/>
          <w:sz w:val="32"/>
          <w:szCs w:val="32"/>
          <w:shd w:val="clear" w:color="auto" w:fill="FFFFFF"/>
        </w:rPr>
        <w:t>四、评价结论及建议</w:t>
      </w:r>
    </w:p>
    <w:p w14:paraId="6FC646E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76" w:lineRule="exact"/>
        <w:ind w:right="0" w:firstLine="643" w:firstLineChars="200"/>
        <w:jc w:val="both"/>
        <w:textAlignment w:val="auto"/>
        <w:rPr>
          <w:rFonts w:hint="eastAsia" w:ascii="仿宋" w:hAnsi="仿宋" w:eastAsia="仿宋" w:cs="仿宋"/>
          <w:lang w:val="zh-CN"/>
        </w:rPr>
      </w:pPr>
      <w:r>
        <w:rPr>
          <w:rFonts w:eastAsia="楷体_GB2312"/>
          <w:b/>
          <w:bCs/>
          <w:color w:val="000000"/>
          <w:kern w:val="0"/>
          <w:sz w:val="32"/>
          <w:szCs w:val="32"/>
          <w:shd w:val="clear" w:color="auto" w:fill="FFFFFF"/>
          <w:lang w:val="zh-CN"/>
        </w:rPr>
        <w:t>（一）评价结论。</w:t>
      </w:r>
      <w:r>
        <w:rPr>
          <w:rFonts w:hint="eastAsia" w:ascii="仿宋" w:hAnsi="仿宋" w:eastAsia="仿宋" w:cs="仿宋"/>
          <w:color w:val="000000"/>
          <w:kern w:val="2"/>
          <w:sz w:val="32"/>
          <w:szCs w:val="32"/>
          <w:lang w:val="en-US" w:eastAsia="zh-CN" w:bidi="ar"/>
        </w:rPr>
        <w:t>根据我办整体支出情况的自查和自评，结论为：我办整体支出情况合法、合规。严格执行法律、政策、科学分配、有效使用、严密管理，有力地促进了我办各项工作顺利完成和各项目标的实现，建立了我办财务管理制度、公务接待制度、车辆管理制度、财务公开制度等。严格按照相关制度进行财务核算，做到资金专款专用，资金支付依据和开支标准合规合法。并按照规定编制决算，审核汇总后报财政部门审批。加强决算审核和分析，规范决算管理工作，保证决算数据的完整、真实、准确。</w:t>
      </w:r>
      <w:r>
        <w:rPr>
          <w:rFonts w:hint="default" w:ascii="Times New Roman" w:hAnsi="Times New Roman" w:eastAsia="仿宋_GB2312" w:cs="Times New Roman"/>
          <w:w w:val="95"/>
          <w:kern w:val="0"/>
          <w:sz w:val="32"/>
          <w:szCs w:val="32"/>
          <w:lang w:val="zh-CN" w:eastAsia="zh-CN"/>
        </w:rPr>
        <w:t>全年基本支出保障日常工作开展，项目支出支撑重点工作推进，整体完成年初设定绩效目标，自查自评结果良好，</w:t>
      </w:r>
      <w:r>
        <w:rPr>
          <w:rFonts w:hint="eastAsia" w:ascii="仿宋_GB2312" w:hAnsi="仿宋_GB2312" w:eastAsia="仿宋_GB2312" w:cs="仿宋_GB2312"/>
          <w:kern w:val="2"/>
          <w:sz w:val="32"/>
          <w:szCs w:val="32"/>
          <w:lang w:val="en-US" w:eastAsia="zh-CN" w:bidi="ar-SA"/>
        </w:rPr>
        <w:t>我办2025年绩效评价自评得分89分。</w:t>
      </w:r>
    </w:p>
    <w:p w14:paraId="3157290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76" w:lineRule="exact"/>
        <w:ind w:right="0" w:firstLine="643" w:firstLineChars="200"/>
        <w:jc w:val="both"/>
        <w:textAlignment w:val="auto"/>
        <w:rPr>
          <w:rFonts w:hint="eastAsia" w:ascii="Times New Roman" w:hAnsi="Times New Roman" w:eastAsia="仿宋_GB2312" w:cs="Times New Roman"/>
          <w:w w:val="95"/>
          <w:kern w:val="0"/>
          <w:sz w:val="32"/>
          <w:szCs w:val="32"/>
          <w:lang w:val="zh-CN" w:eastAsia="zh-CN"/>
        </w:rPr>
      </w:pPr>
      <w:r>
        <w:rPr>
          <w:rFonts w:eastAsia="楷体_GB2312"/>
          <w:b/>
          <w:bCs/>
          <w:color w:val="000000"/>
          <w:kern w:val="0"/>
          <w:sz w:val="32"/>
          <w:szCs w:val="32"/>
          <w:shd w:val="clear" w:color="auto" w:fill="FFFFFF"/>
          <w:lang w:val="zh-CN"/>
        </w:rPr>
        <w:t>（二）存在问题。</w:t>
      </w:r>
      <w:r>
        <w:rPr>
          <w:rFonts w:hint="eastAsia" w:ascii="Times New Roman" w:hAnsi="Times New Roman" w:eastAsia="仿宋_GB2312" w:cs="Times New Roman"/>
          <w:w w:val="95"/>
          <w:kern w:val="0"/>
          <w:sz w:val="32"/>
          <w:szCs w:val="32"/>
          <w:lang w:val="zh-CN" w:eastAsia="zh-CN"/>
        </w:rPr>
        <w:t>绩效评价指标设定不合理，在细化、量化上做的不够，在质量、数量、效益、成本等指标上填报比较笼统。</w:t>
      </w:r>
    </w:p>
    <w:p w14:paraId="7AA9B8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76" w:lineRule="exact"/>
        <w:ind w:right="0" w:firstLine="643" w:firstLineChars="200"/>
        <w:jc w:val="both"/>
        <w:textAlignment w:val="auto"/>
        <w:rPr>
          <w:rFonts w:hint="eastAsia" w:ascii="仿宋" w:hAnsi="仿宋" w:eastAsia="仿宋" w:cs="仿宋"/>
          <w:color w:val="000000"/>
          <w:kern w:val="2"/>
          <w:sz w:val="32"/>
          <w:szCs w:val="32"/>
          <w:lang w:val="zh-CN" w:eastAsia="zh-CN" w:bidi="ar"/>
        </w:rPr>
      </w:pPr>
      <w:r>
        <w:rPr>
          <w:rFonts w:eastAsia="楷体_GB2312"/>
          <w:b/>
          <w:bCs/>
          <w:color w:val="000000"/>
          <w:kern w:val="0"/>
          <w:sz w:val="32"/>
          <w:szCs w:val="32"/>
          <w:shd w:val="clear" w:color="auto" w:fill="FFFFFF"/>
          <w:lang w:val="zh-CN"/>
        </w:rPr>
        <w:t>（三）改进建议。</w:t>
      </w:r>
      <w:r>
        <w:rPr>
          <w:rFonts w:hint="eastAsia" w:ascii="仿宋" w:hAnsi="仿宋" w:eastAsia="仿宋" w:cs="仿宋"/>
          <w:color w:val="000000"/>
          <w:kern w:val="2"/>
          <w:sz w:val="32"/>
          <w:szCs w:val="32"/>
          <w:lang w:val="zh-CN" w:eastAsia="zh-CN" w:bidi="ar"/>
        </w:rPr>
        <w:t>结合</w:t>
      </w:r>
      <w:r>
        <w:rPr>
          <w:rFonts w:hint="eastAsia" w:ascii="仿宋" w:hAnsi="仿宋" w:eastAsia="仿宋" w:cs="仿宋"/>
          <w:color w:val="000000"/>
          <w:kern w:val="2"/>
          <w:sz w:val="32"/>
          <w:szCs w:val="32"/>
          <w:lang w:val="en-US" w:eastAsia="zh-CN" w:bidi="ar"/>
        </w:rPr>
        <w:t>我单位</w:t>
      </w:r>
      <w:r>
        <w:rPr>
          <w:rFonts w:hint="eastAsia" w:ascii="仿宋" w:hAnsi="仿宋" w:eastAsia="仿宋" w:cs="仿宋"/>
          <w:color w:val="000000"/>
          <w:kern w:val="2"/>
          <w:sz w:val="32"/>
          <w:szCs w:val="32"/>
          <w:lang w:val="zh-CN" w:eastAsia="zh-CN" w:bidi="ar"/>
        </w:rPr>
        <w:t>职能职责，按照中央和省、州的各项工作部署积极履职，强化管理，健全预算绩效管理机制，推进预算绩效管理实践，确保预算绩效目标编制完整、规范、严谨，细化、量化各项指标。</w:t>
      </w:r>
    </w:p>
    <w:p w14:paraId="4BB5C92C">
      <w:pPr>
        <w:keepNext w:val="0"/>
        <w:keepLines w:val="0"/>
        <w:pageBreakBefore w:val="0"/>
        <w:kinsoku/>
        <w:wordWrap/>
        <w:topLinePunct w:val="0"/>
        <w:bidi w:val="0"/>
        <w:spacing w:line="576" w:lineRule="exact"/>
        <w:jc w:val="left"/>
        <w:textAlignment w:val="auto"/>
        <w:rPr>
          <w:color w:val="000000"/>
          <w:kern w:val="0"/>
          <w:sz w:val="32"/>
          <w:szCs w:val="32"/>
          <w:shd w:val="clear" w:color="auto" w:fill="FFFFFF"/>
        </w:rPr>
      </w:pPr>
    </w:p>
    <w:p w14:paraId="7043A828">
      <w:pPr>
        <w:pStyle w:val="2"/>
        <w:rPr>
          <w:color w:val="000000"/>
          <w:kern w:val="0"/>
          <w:sz w:val="32"/>
          <w:szCs w:val="32"/>
          <w:shd w:val="clear" w:color="auto" w:fill="FFFFFF"/>
        </w:rPr>
      </w:pPr>
    </w:p>
    <w:p w14:paraId="56685529">
      <w:pPr>
        <w:rPr>
          <w:color w:val="000000"/>
          <w:kern w:val="0"/>
          <w:sz w:val="32"/>
          <w:szCs w:val="32"/>
          <w:shd w:val="clear" w:color="auto" w:fill="FFFFFF"/>
        </w:rPr>
      </w:pPr>
    </w:p>
    <w:p w14:paraId="0725E372">
      <w:pPr>
        <w:pStyle w:val="2"/>
        <w:rPr>
          <w:color w:val="000000"/>
          <w:kern w:val="0"/>
          <w:sz w:val="32"/>
          <w:szCs w:val="32"/>
          <w:shd w:val="clear" w:color="auto" w:fill="FFFFFF"/>
        </w:rPr>
      </w:pPr>
    </w:p>
    <w:p w14:paraId="3316AD42">
      <w:pPr>
        <w:rPr>
          <w:color w:val="000000"/>
          <w:kern w:val="0"/>
          <w:sz w:val="32"/>
          <w:szCs w:val="32"/>
          <w:shd w:val="clear" w:color="auto" w:fill="FFFFFF"/>
        </w:rPr>
      </w:pPr>
    </w:p>
    <w:p w14:paraId="2620243D">
      <w:pPr>
        <w:pStyle w:val="2"/>
      </w:pPr>
    </w:p>
    <w:p w14:paraId="48C88236">
      <w:pPr>
        <w:keepNext w:val="0"/>
        <w:keepLines w:val="0"/>
        <w:pageBreakBefore w:val="0"/>
        <w:kinsoku/>
        <w:wordWrap/>
        <w:topLinePunct w:val="0"/>
        <w:bidi w:val="0"/>
        <w:adjustRightInd w:val="0"/>
        <w:snapToGrid w:val="0"/>
        <w:spacing w:line="576" w:lineRule="exact"/>
        <w:ind w:firstLine="640" w:firstLineChars="200"/>
        <w:contextualSpacing/>
        <w:jc w:val="left"/>
        <w:textAlignment w:val="auto"/>
        <w:rPr>
          <w:rFonts w:hint="eastAsia"/>
          <w:color w:val="000000"/>
          <w:kern w:val="0"/>
          <w:sz w:val="32"/>
          <w:szCs w:val="32"/>
          <w:shd w:val="clear" w:color="auto" w:fill="FFFFFF"/>
          <w:lang w:val="en-US" w:eastAsia="zh-CN"/>
        </w:rPr>
      </w:pPr>
      <w:r>
        <w:rPr>
          <w:rFonts w:hint="eastAsia"/>
          <w:color w:val="000000"/>
          <w:kern w:val="0"/>
          <w:sz w:val="32"/>
          <w:szCs w:val="32"/>
          <w:shd w:val="clear" w:color="auto" w:fill="FFFFFF"/>
          <w:lang w:val="en-US" w:eastAsia="zh-CN"/>
        </w:rPr>
        <w:t xml:space="preserve">                           </w:t>
      </w:r>
    </w:p>
    <w:p w14:paraId="55AF760E">
      <w:pPr>
        <w:keepNext w:val="0"/>
        <w:keepLines w:val="0"/>
        <w:pageBreakBefore w:val="0"/>
        <w:kinsoku/>
        <w:wordWrap/>
        <w:topLinePunct w:val="0"/>
        <w:bidi w:val="0"/>
        <w:adjustRightInd w:val="0"/>
        <w:snapToGrid w:val="0"/>
        <w:spacing w:line="576" w:lineRule="exact"/>
        <w:ind w:firstLine="640" w:firstLineChars="200"/>
        <w:contextualSpacing/>
        <w:jc w:val="left"/>
        <w:textAlignment w:val="auto"/>
        <w:rPr>
          <w:rFonts w:hint="eastAsia"/>
          <w:color w:val="000000"/>
          <w:kern w:val="0"/>
          <w:sz w:val="32"/>
          <w:szCs w:val="32"/>
          <w:shd w:val="clear" w:color="auto" w:fill="FFFFFF"/>
          <w:lang w:val="en-US" w:eastAsia="zh-CN"/>
        </w:rPr>
      </w:pPr>
    </w:p>
    <w:p w14:paraId="35EE5C8C">
      <w:pPr>
        <w:keepNext w:val="0"/>
        <w:keepLines w:val="0"/>
        <w:pageBreakBefore w:val="0"/>
        <w:kinsoku/>
        <w:wordWrap/>
        <w:topLinePunct w:val="0"/>
        <w:bidi w:val="0"/>
        <w:adjustRightInd w:val="0"/>
        <w:snapToGrid w:val="0"/>
        <w:spacing w:line="576" w:lineRule="exact"/>
        <w:ind w:firstLine="640" w:firstLineChars="200"/>
        <w:contextualSpacing/>
        <w:jc w:val="left"/>
        <w:textAlignment w:val="auto"/>
        <w:rPr>
          <w:rFonts w:hint="eastAsia"/>
          <w:color w:val="000000"/>
          <w:kern w:val="0"/>
          <w:sz w:val="32"/>
          <w:szCs w:val="32"/>
          <w:shd w:val="clear" w:color="auto" w:fill="FFFFFF"/>
          <w:lang w:val="en-US" w:eastAsia="zh-CN"/>
        </w:rPr>
      </w:pPr>
    </w:p>
    <w:p w14:paraId="756525B2">
      <w:pPr>
        <w:keepNext w:val="0"/>
        <w:keepLines w:val="0"/>
        <w:pageBreakBefore w:val="0"/>
        <w:kinsoku/>
        <w:wordWrap/>
        <w:topLinePunct w:val="0"/>
        <w:bidi w:val="0"/>
        <w:adjustRightInd w:val="0"/>
        <w:snapToGrid w:val="0"/>
        <w:spacing w:line="576" w:lineRule="exact"/>
        <w:ind w:firstLine="640" w:firstLineChars="200"/>
        <w:contextualSpacing/>
        <w:jc w:val="left"/>
        <w:textAlignment w:val="auto"/>
        <w:rPr>
          <w:rFonts w:hint="eastAsia"/>
          <w:color w:val="000000"/>
          <w:kern w:val="0"/>
          <w:sz w:val="32"/>
          <w:szCs w:val="32"/>
          <w:shd w:val="clear" w:color="auto" w:fill="FFFFFF"/>
          <w:lang w:val="en-US" w:eastAsia="zh-CN"/>
        </w:rPr>
      </w:pPr>
    </w:p>
    <w:p w14:paraId="7D2C4AC4">
      <w:pPr>
        <w:keepNext w:val="0"/>
        <w:keepLines w:val="0"/>
        <w:pageBreakBefore w:val="0"/>
        <w:kinsoku/>
        <w:wordWrap/>
        <w:topLinePunct w:val="0"/>
        <w:bidi w:val="0"/>
        <w:adjustRightInd w:val="0"/>
        <w:snapToGrid w:val="0"/>
        <w:spacing w:line="576" w:lineRule="exact"/>
        <w:ind w:firstLine="640" w:firstLineChars="200"/>
        <w:contextualSpacing/>
        <w:jc w:val="left"/>
        <w:textAlignment w:val="auto"/>
        <w:rPr>
          <w:rFonts w:hint="eastAsia"/>
          <w:color w:val="000000"/>
          <w:kern w:val="0"/>
          <w:sz w:val="32"/>
          <w:szCs w:val="32"/>
          <w:shd w:val="clear" w:color="auto" w:fill="FFFFFF"/>
          <w:lang w:val="en-US" w:eastAsia="zh-CN"/>
        </w:rPr>
      </w:pPr>
    </w:p>
    <w:p w14:paraId="3E8392AB">
      <w:pPr>
        <w:pStyle w:val="2"/>
        <w:rPr>
          <w:rFonts w:hint="eastAsia"/>
          <w:lang w:val="en-US" w:eastAsia="zh-CN"/>
        </w:rPr>
      </w:pPr>
    </w:p>
    <w:p w14:paraId="3CBE3F13">
      <w:pPr>
        <w:keepNext w:val="0"/>
        <w:keepLines w:val="0"/>
        <w:pageBreakBefore w:val="0"/>
        <w:kinsoku/>
        <w:wordWrap/>
        <w:topLinePunct w:val="0"/>
        <w:bidi w:val="0"/>
        <w:adjustRightInd w:val="0"/>
        <w:snapToGrid w:val="0"/>
        <w:spacing w:line="576" w:lineRule="exact"/>
        <w:ind w:firstLine="640" w:firstLineChars="200"/>
        <w:contextualSpacing/>
        <w:jc w:val="left"/>
        <w:textAlignment w:val="auto"/>
        <w:rPr>
          <w:rFonts w:hint="eastAsia"/>
          <w:color w:val="000000"/>
          <w:kern w:val="0"/>
          <w:sz w:val="32"/>
          <w:szCs w:val="32"/>
          <w:shd w:val="clear" w:color="auto" w:fill="FFFFFF"/>
          <w:lang w:val="en-US" w:eastAsia="zh-CN"/>
        </w:rPr>
      </w:pPr>
    </w:p>
    <w:p w14:paraId="2CA3E121">
      <w:pPr>
        <w:keepNext w:val="0"/>
        <w:keepLines w:val="0"/>
        <w:pageBreakBefore w:val="0"/>
        <w:kinsoku/>
        <w:wordWrap/>
        <w:topLinePunct w:val="0"/>
        <w:bidi w:val="0"/>
        <w:adjustRightInd w:val="0"/>
        <w:snapToGrid w:val="0"/>
        <w:spacing w:line="576" w:lineRule="exact"/>
        <w:ind w:firstLine="420" w:firstLineChars="200"/>
        <w:contextualSpacing/>
        <w:jc w:val="left"/>
        <w:textAlignment w:val="auto"/>
        <w:rPr>
          <w:rFonts w:eastAsia="黑体"/>
        </w:rPr>
      </w:pPr>
      <w:r>
        <w:rPr>
          <w:rFonts w:eastAsia="黑体"/>
        </w:rPr>
        <w:t>附表</w:t>
      </w:r>
      <w:r>
        <w:rPr>
          <w:rFonts w:hint="eastAsia" w:eastAsia="黑体"/>
        </w:rPr>
        <w:t>1</w:t>
      </w:r>
    </w:p>
    <w:p w14:paraId="37C068FB">
      <w:pPr>
        <w:widowControl/>
        <w:spacing w:line="600" w:lineRule="exact"/>
        <w:jc w:val="center"/>
        <w:textAlignment w:val="center"/>
        <w:rPr>
          <w:rFonts w:eastAsia="方正小标宋简体"/>
          <w:color w:val="000000"/>
          <w:kern w:val="0"/>
          <w:sz w:val="44"/>
          <w:szCs w:val="44"/>
        </w:rPr>
      </w:pPr>
      <w:r>
        <w:rPr>
          <w:rFonts w:hint="eastAsia" w:eastAsia="方正小标宋简体"/>
          <w:color w:val="000000"/>
          <w:kern w:val="0"/>
          <w:sz w:val="44"/>
          <w:szCs w:val="44"/>
        </w:rPr>
        <w:t>部门预算绩效自评打分表</w:t>
      </w:r>
    </w:p>
    <w:tbl>
      <w:tblPr>
        <w:tblStyle w:val="17"/>
        <w:tblW w:w="10912" w:type="dxa"/>
        <w:jc w:val="center"/>
        <w:tblLayout w:type="fixed"/>
        <w:tblCellMar>
          <w:top w:w="0" w:type="dxa"/>
          <w:left w:w="108" w:type="dxa"/>
          <w:bottom w:w="0" w:type="dxa"/>
          <w:right w:w="108" w:type="dxa"/>
        </w:tblCellMar>
      </w:tblPr>
      <w:tblGrid>
        <w:gridCol w:w="1097"/>
        <w:gridCol w:w="1201"/>
        <w:gridCol w:w="1929"/>
        <w:gridCol w:w="717"/>
        <w:gridCol w:w="4760"/>
        <w:gridCol w:w="730"/>
        <w:gridCol w:w="478"/>
      </w:tblGrid>
      <w:tr w14:paraId="391203C1">
        <w:tblPrEx>
          <w:tblCellMar>
            <w:top w:w="0" w:type="dxa"/>
            <w:left w:w="108" w:type="dxa"/>
            <w:bottom w:w="0" w:type="dxa"/>
            <w:right w:w="108" w:type="dxa"/>
          </w:tblCellMar>
        </w:tblPrEx>
        <w:trPr>
          <w:trHeight w:val="23" w:hRule="atLeast"/>
          <w:jc w:val="center"/>
        </w:trPr>
        <w:tc>
          <w:tcPr>
            <w:tcW w:w="49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D4B87A1">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绩效评价指标指标分值</w:t>
            </w:r>
          </w:p>
        </w:tc>
        <w:tc>
          <w:tcPr>
            <w:tcW w:w="47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2BA61E">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指标解释</w:t>
            </w:r>
          </w:p>
        </w:tc>
        <w:tc>
          <w:tcPr>
            <w:tcW w:w="730" w:type="dxa"/>
            <w:vMerge w:val="restart"/>
            <w:tcBorders>
              <w:top w:val="single" w:color="000000" w:sz="4" w:space="0"/>
              <w:left w:val="single" w:color="000000" w:sz="4" w:space="0"/>
              <w:right w:val="single" w:color="000000" w:sz="4" w:space="0"/>
            </w:tcBorders>
            <w:shd w:val="clear" w:color="auto" w:fill="auto"/>
            <w:vAlign w:val="center"/>
          </w:tcPr>
          <w:p w14:paraId="065963C6">
            <w:pPr>
              <w:widowControl/>
              <w:spacing w:line="240" w:lineRule="exact"/>
              <w:jc w:val="center"/>
              <w:textAlignment w:val="center"/>
              <w:rPr>
                <w:rFonts w:ascii="黑体" w:hAnsi="宋体" w:eastAsia="黑体" w:cs="黑体"/>
                <w:color w:val="000000"/>
                <w:kern w:val="0"/>
                <w:sz w:val="24"/>
              </w:rPr>
            </w:pPr>
            <w:r>
              <w:rPr>
                <w:rFonts w:hint="eastAsia" w:ascii="黑体" w:hAnsi="宋体" w:eastAsia="黑体" w:cs="黑体"/>
                <w:color w:val="000000"/>
                <w:kern w:val="0"/>
                <w:sz w:val="24"/>
              </w:rPr>
              <w:t>自评得分</w:t>
            </w:r>
          </w:p>
        </w:tc>
        <w:tc>
          <w:tcPr>
            <w:tcW w:w="478" w:type="dxa"/>
            <w:vMerge w:val="restart"/>
            <w:tcBorders>
              <w:top w:val="single" w:color="000000" w:sz="4" w:space="0"/>
              <w:left w:val="single" w:color="000000" w:sz="4" w:space="0"/>
              <w:right w:val="single" w:color="000000" w:sz="4" w:space="0"/>
            </w:tcBorders>
            <w:shd w:val="clear" w:color="auto" w:fill="auto"/>
            <w:vAlign w:val="center"/>
          </w:tcPr>
          <w:p w14:paraId="6F1CBCA8">
            <w:pPr>
              <w:widowControl/>
              <w:spacing w:line="240" w:lineRule="exact"/>
              <w:jc w:val="center"/>
              <w:textAlignment w:val="center"/>
              <w:rPr>
                <w:rFonts w:ascii="黑体" w:hAnsi="宋体" w:eastAsia="黑体" w:cs="黑体"/>
                <w:color w:val="000000"/>
                <w:kern w:val="0"/>
                <w:sz w:val="24"/>
              </w:rPr>
            </w:pPr>
            <w:r>
              <w:rPr>
                <w:rFonts w:hint="eastAsia" w:ascii="黑体" w:hAnsi="宋体" w:eastAsia="黑体" w:cs="黑体"/>
                <w:color w:val="000000"/>
                <w:kern w:val="0"/>
                <w:sz w:val="24"/>
              </w:rPr>
              <w:t>备注</w:t>
            </w:r>
          </w:p>
        </w:tc>
      </w:tr>
      <w:tr w14:paraId="67A8A95A">
        <w:tblPrEx>
          <w:tblCellMar>
            <w:top w:w="0" w:type="dxa"/>
            <w:left w:w="108" w:type="dxa"/>
            <w:bottom w:w="0" w:type="dxa"/>
            <w:right w:w="108" w:type="dxa"/>
          </w:tblCellMar>
        </w:tblPrEx>
        <w:trPr>
          <w:trHeight w:val="23" w:hRule="atLeast"/>
          <w:jc w:val="center"/>
        </w:trPr>
        <w:tc>
          <w:tcPr>
            <w:tcW w:w="1097" w:type="dxa"/>
            <w:tcBorders>
              <w:top w:val="single" w:color="000000" w:sz="4" w:space="0"/>
              <w:left w:val="single" w:color="000000" w:sz="4" w:space="0"/>
              <w:bottom w:val="single" w:color="000000" w:sz="4" w:space="0"/>
              <w:right w:val="nil"/>
            </w:tcBorders>
            <w:shd w:val="clear" w:color="auto" w:fill="auto"/>
            <w:vAlign w:val="center"/>
          </w:tcPr>
          <w:p w14:paraId="099FEB5C">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一级指标</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B6EA7">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二级指标</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45BA8">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三级指标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891A0">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指标</w:t>
            </w:r>
            <w:r>
              <w:rPr>
                <w:rFonts w:hint="eastAsia" w:ascii="黑体" w:hAnsi="宋体" w:eastAsia="黑体" w:cs="黑体"/>
                <w:color w:val="000000"/>
                <w:kern w:val="0"/>
                <w:sz w:val="24"/>
              </w:rPr>
              <w:br w:type="textWrapping"/>
            </w:r>
            <w:r>
              <w:rPr>
                <w:rFonts w:hint="eastAsia" w:ascii="黑体" w:hAnsi="宋体" w:eastAsia="黑体" w:cs="黑体"/>
                <w:color w:val="000000"/>
                <w:kern w:val="0"/>
                <w:sz w:val="24"/>
              </w:rPr>
              <w:t>分值</w:t>
            </w:r>
          </w:p>
        </w:tc>
        <w:tc>
          <w:tcPr>
            <w:tcW w:w="4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843BE9">
            <w:pPr>
              <w:widowControl/>
              <w:spacing w:line="240" w:lineRule="exact"/>
              <w:jc w:val="center"/>
              <w:rPr>
                <w:rFonts w:ascii="黑体" w:hAnsi="宋体" w:eastAsia="黑体" w:cs="黑体"/>
                <w:color w:val="000000"/>
                <w:sz w:val="24"/>
              </w:rPr>
            </w:pPr>
          </w:p>
        </w:tc>
        <w:tc>
          <w:tcPr>
            <w:tcW w:w="730" w:type="dxa"/>
            <w:vMerge w:val="continue"/>
            <w:tcBorders>
              <w:left w:val="single" w:color="000000" w:sz="4" w:space="0"/>
              <w:bottom w:val="single" w:color="000000" w:sz="4" w:space="0"/>
              <w:right w:val="single" w:color="000000" w:sz="4" w:space="0"/>
            </w:tcBorders>
            <w:shd w:val="clear" w:color="auto" w:fill="auto"/>
            <w:vAlign w:val="center"/>
          </w:tcPr>
          <w:p w14:paraId="16F8E694">
            <w:pPr>
              <w:widowControl/>
              <w:spacing w:line="240" w:lineRule="exact"/>
              <w:jc w:val="center"/>
              <w:rPr>
                <w:rFonts w:ascii="黑体" w:hAnsi="宋体" w:eastAsia="黑体" w:cs="黑体"/>
                <w:color w:val="000000"/>
                <w:sz w:val="24"/>
              </w:rPr>
            </w:pPr>
          </w:p>
        </w:tc>
        <w:tc>
          <w:tcPr>
            <w:tcW w:w="478" w:type="dxa"/>
            <w:vMerge w:val="continue"/>
            <w:tcBorders>
              <w:left w:val="single" w:color="000000" w:sz="4" w:space="0"/>
              <w:bottom w:val="single" w:color="000000" w:sz="4" w:space="0"/>
              <w:right w:val="single" w:color="000000" w:sz="4" w:space="0"/>
            </w:tcBorders>
            <w:shd w:val="clear" w:color="auto" w:fill="auto"/>
            <w:vAlign w:val="center"/>
          </w:tcPr>
          <w:p w14:paraId="3450E4E0">
            <w:pPr>
              <w:widowControl/>
              <w:spacing w:line="240" w:lineRule="exact"/>
              <w:jc w:val="center"/>
              <w:rPr>
                <w:rFonts w:ascii="黑体" w:hAnsi="宋体" w:eastAsia="黑体" w:cs="黑体"/>
                <w:color w:val="000000"/>
                <w:sz w:val="24"/>
              </w:rPr>
            </w:pPr>
          </w:p>
        </w:tc>
      </w:tr>
      <w:tr w14:paraId="309E109B">
        <w:tblPrEx>
          <w:tblCellMar>
            <w:top w:w="0" w:type="dxa"/>
            <w:left w:w="108" w:type="dxa"/>
            <w:bottom w:w="0" w:type="dxa"/>
            <w:right w:w="108" w:type="dxa"/>
          </w:tblCellMar>
        </w:tblPrEx>
        <w:trPr>
          <w:trHeight w:val="23" w:hRule="atLeast"/>
          <w:jc w:val="center"/>
        </w:trPr>
        <w:tc>
          <w:tcPr>
            <w:tcW w:w="1097" w:type="dxa"/>
            <w:vMerge w:val="restart"/>
            <w:tcBorders>
              <w:top w:val="single" w:color="000000" w:sz="4" w:space="0"/>
              <w:left w:val="single" w:color="000000" w:sz="4" w:space="0"/>
              <w:right w:val="single" w:color="000000" w:sz="4" w:space="0"/>
            </w:tcBorders>
            <w:shd w:val="clear" w:color="auto" w:fill="auto"/>
            <w:vAlign w:val="center"/>
          </w:tcPr>
          <w:p w14:paraId="5FD5F865">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总体绩效（65分）</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2A6D5">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履职效能</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（15分）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C4F87">
            <w:pPr>
              <w:widowControl/>
              <w:spacing w:line="240" w:lineRule="exact"/>
              <w:jc w:val="center"/>
              <w:textAlignment w:val="center"/>
              <w:rPr>
                <w:rFonts w:hint="eastAsia" w:ascii="宋体" w:hAnsi="宋体" w:eastAsia="宋体" w:cs="宋体"/>
                <w:color w:val="000000"/>
                <w:sz w:val="24"/>
                <w:lang w:val="en-US" w:eastAsia="zh-CN"/>
              </w:rPr>
            </w:pPr>
            <w:r>
              <w:rPr>
                <w:rFonts w:hint="eastAsia" w:ascii="宋体" w:hAnsi="宋体" w:eastAsia="宋体" w:cs="宋体"/>
                <w:color w:val="000000"/>
                <w:sz w:val="24"/>
                <w:lang w:val="en-US" w:eastAsia="zh-CN"/>
              </w:rPr>
              <w:t>办文、办会、办事</w:t>
            </w:r>
          </w:p>
        </w:tc>
        <w:tc>
          <w:tcPr>
            <w:tcW w:w="717" w:type="dxa"/>
            <w:tcBorders>
              <w:top w:val="nil"/>
              <w:left w:val="single" w:color="000000" w:sz="4" w:space="0"/>
              <w:bottom w:val="single" w:color="000000" w:sz="4" w:space="0"/>
              <w:right w:val="single" w:color="000000" w:sz="4" w:space="0"/>
            </w:tcBorders>
            <w:shd w:val="clear" w:color="auto" w:fill="auto"/>
            <w:vAlign w:val="center"/>
          </w:tcPr>
          <w:p w14:paraId="5F94B844">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15</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AA8BB">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部门整体绩效目标中选定3-5个核心职能目标，反映该项职能目标完成效果情况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96643">
            <w:pPr>
              <w:widowControl/>
              <w:spacing w:line="240" w:lineRule="exact"/>
              <w:jc w:val="left"/>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061BF">
            <w:pPr>
              <w:widowControl/>
              <w:spacing w:line="240" w:lineRule="exact"/>
              <w:jc w:val="left"/>
              <w:textAlignment w:val="center"/>
              <w:rPr>
                <w:rFonts w:ascii="宋体" w:hAnsi="宋体" w:eastAsia="宋体" w:cs="宋体"/>
                <w:color w:val="000000"/>
                <w:kern w:val="0"/>
                <w:sz w:val="24"/>
              </w:rPr>
            </w:pPr>
          </w:p>
        </w:tc>
      </w:tr>
      <w:tr w14:paraId="132C53CE">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254DCE46">
            <w:pPr>
              <w:widowControl/>
              <w:spacing w:line="240" w:lineRule="exact"/>
              <w:jc w:val="center"/>
              <w:rPr>
                <w:rFonts w:ascii="宋体" w:hAnsi="宋体" w:eastAsia="宋体" w:cs="宋体"/>
                <w:b/>
                <w:color w:val="000000"/>
                <w:sz w:val="24"/>
              </w:rPr>
            </w:pPr>
          </w:p>
        </w:tc>
        <w:tc>
          <w:tcPr>
            <w:tcW w:w="1201" w:type="dxa"/>
            <w:vMerge w:val="restart"/>
            <w:tcBorders>
              <w:top w:val="single" w:color="000000" w:sz="4" w:space="0"/>
              <w:left w:val="single" w:color="000000" w:sz="4" w:space="0"/>
              <w:right w:val="single" w:color="000000" w:sz="4" w:space="0"/>
            </w:tcBorders>
            <w:shd w:val="clear" w:color="auto" w:fill="auto"/>
            <w:vAlign w:val="center"/>
          </w:tcPr>
          <w:p w14:paraId="55554C7F">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预算管理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（25分）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B4CB1">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预算编制质量</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9EA44">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8</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67196">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部门是否严格按要求编制年初部门预算，年初预算编制的科学性和准确性</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17E82">
            <w:pPr>
              <w:widowControl/>
              <w:spacing w:line="240" w:lineRule="exact"/>
              <w:jc w:val="left"/>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7</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1A70C">
            <w:pPr>
              <w:widowControl/>
              <w:spacing w:line="240" w:lineRule="exact"/>
              <w:jc w:val="left"/>
              <w:textAlignment w:val="center"/>
              <w:rPr>
                <w:rFonts w:ascii="宋体" w:hAnsi="宋体" w:eastAsia="宋体" w:cs="宋体"/>
                <w:color w:val="000000"/>
                <w:kern w:val="0"/>
                <w:sz w:val="24"/>
              </w:rPr>
            </w:pPr>
          </w:p>
        </w:tc>
      </w:tr>
      <w:tr w14:paraId="2FE29C2B">
        <w:tblPrEx>
          <w:tblCellMar>
            <w:top w:w="0" w:type="dxa"/>
            <w:left w:w="108" w:type="dxa"/>
            <w:bottom w:w="0" w:type="dxa"/>
            <w:right w:w="108" w:type="dxa"/>
          </w:tblCellMar>
        </w:tblPrEx>
        <w:trPr>
          <w:trHeight w:val="715" w:hRule="atLeast"/>
          <w:jc w:val="center"/>
        </w:trPr>
        <w:tc>
          <w:tcPr>
            <w:tcW w:w="1097" w:type="dxa"/>
            <w:vMerge w:val="continue"/>
            <w:tcBorders>
              <w:left w:val="single" w:color="000000" w:sz="4" w:space="0"/>
              <w:right w:val="single" w:color="000000" w:sz="4" w:space="0"/>
            </w:tcBorders>
            <w:shd w:val="clear" w:color="auto" w:fill="auto"/>
            <w:vAlign w:val="center"/>
          </w:tcPr>
          <w:p w14:paraId="5C02D265">
            <w:pPr>
              <w:widowControl/>
              <w:spacing w:line="240" w:lineRule="exact"/>
              <w:jc w:val="center"/>
              <w:rPr>
                <w:rFonts w:ascii="宋体" w:hAnsi="宋体" w:eastAsia="宋体" w:cs="宋体"/>
                <w:b/>
                <w:color w:val="000000"/>
                <w:sz w:val="24"/>
              </w:rPr>
            </w:pPr>
          </w:p>
        </w:tc>
        <w:tc>
          <w:tcPr>
            <w:tcW w:w="1201" w:type="dxa"/>
            <w:vMerge w:val="continue"/>
            <w:tcBorders>
              <w:left w:val="single" w:color="000000" w:sz="4" w:space="0"/>
              <w:right w:val="single" w:color="000000" w:sz="4" w:space="0"/>
            </w:tcBorders>
            <w:shd w:val="clear" w:color="auto" w:fill="auto"/>
            <w:vAlign w:val="center"/>
          </w:tcPr>
          <w:p w14:paraId="01BB465F">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C90AE">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单位收入统筹</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01764">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34C63">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部门统筹自有收入努力程度</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D8940">
            <w:pPr>
              <w:widowControl/>
              <w:spacing w:line="240" w:lineRule="exact"/>
              <w:jc w:val="left"/>
              <w:textAlignment w:val="center"/>
              <w:rPr>
                <w:rFonts w:ascii="宋体" w:hAnsi="宋体" w:eastAsia="宋体" w:cs="宋体"/>
                <w:color w:val="000000"/>
                <w:kern w:val="0"/>
                <w:sz w:val="24"/>
              </w:rPr>
            </w:pP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5804C">
            <w:pPr>
              <w:widowControl/>
              <w:spacing w:line="240" w:lineRule="exact"/>
              <w:jc w:val="left"/>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不涉及</w:t>
            </w:r>
          </w:p>
        </w:tc>
      </w:tr>
      <w:tr w14:paraId="27AF559F">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55BAA288">
            <w:pPr>
              <w:widowControl/>
              <w:spacing w:line="240" w:lineRule="exact"/>
              <w:jc w:val="center"/>
              <w:rPr>
                <w:rFonts w:ascii="宋体" w:hAnsi="宋体" w:eastAsia="宋体" w:cs="宋体"/>
                <w:b/>
                <w:color w:val="000000"/>
                <w:sz w:val="24"/>
              </w:rPr>
            </w:pPr>
          </w:p>
        </w:tc>
        <w:tc>
          <w:tcPr>
            <w:tcW w:w="1201" w:type="dxa"/>
            <w:vMerge w:val="continue"/>
            <w:tcBorders>
              <w:left w:val="single" w:color="000000" w:sz="4" w:space="0"/>
              <w:right w:val="single" w:color="000000" w:sz="4" w:space="0"/>
            </w:tcBorders>
            <w:shd w:val="clear" w:color="auto" w:fill="auto"/>
            <w:vAlign w:val="center"/>
          </w:tcPr>
          <w:p w14:paraId="12D72461">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B810E">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支出执行管理</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5FD16">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6</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0A43D">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部门1至6月、1至10月预算执行情况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908AA">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49FC5">
            <w:pPr>
              <w:widowControl/>
              <w:spacing w:line="240" w:lineRule="exact"/>
              <w:jc w:val="left"/>
              <w:textAlignment w:val="center"/>
              <w:rPr>
                <w:rFonts w:ascii="宋体" w:hAnsi="宋体" w:eastAsia="宋体" w:cs="宋体"/>
                <w:color w:val="000000"/>
                <w:kern w:val="0"/>
                <w:sz w:val="24"/>
              </w:rPr>
            </w:pPr>
          </w:p>
        </w:tc>
      </w:tr>
      <w:tr w14:paraId="1A5B9761">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18085540">
            <w:pPr>
              <w:widowControl/>
              <w:spacing w:line="240" w:lineRule="exact"/>
              <w:jc w:val="center"/>
              <w:rPr>
                <w:rFonts w:ascii="宋体" w:hAnsi="宋体" w:eastAsia="宋体" w:cs="宋体"/>
                <w:b/>
                <w:color w:val="000000"/>
                <w:sz w:val="24"/>
              </w:rPr>
            </w:pPr>
          </w:p>
        </w:tc>
        <w:tc>
          <w:tcPr>
            <w:tcW w:w="1201" w:type="dxa"/>
            <w:vMerge w:val="continue"/>
            <w:tcBorders>
              <w:left w:val="single" w:color="000000" w:sz="4" w:space="0"/>
              <w:right w:val="single" w:color="000000" w:sz="4" w:space="0"/>
            </w:tcBorders>
            <w:shd w:val="clear" w:color="auto" w:fill="auto"/>
            <w:vAlign w:val="center"/>
          </w:tcPr>
          <w:p w14:paraId="3AB7F09F">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C3DEE">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预算年终结余</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9E973">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2</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C9D37">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部门整体年终预算结余情况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0741B">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FA3CF">
            <w:pPr>
              <w:widowControl/>
              <w:spacing w:line="240" w:lineRule="exact"/>
              <w:jc w:val="left"/>
              <w:textAlignment w:val="center"/>
              <w:rPr>
                <w:rFonts w:ascii="宋体" w:hAnsi="宋体" w:eastAsia="宋体" w:cs="宋体"/>
                <w:color w:val="000000"/>
                <w:kern w:val="0"/>
                <w:sz w:val="24"/>
              </w:rPr>
            </w:pPr>
          </w:p>
        </w:tc>
      </w:tr>
      <w:tr w14:paraId="5F1B0E6B">
        <w:tblPrEx>
          <w:tblCellMar>
            <w:top w:w="0" w:type="dxa"/>
            <w:left w:w="108" w:type="dxa"/>
            <w:bottom w:w="0" w:type="dxa"/>
            <w:right w:w="108" w:type="dxa"/>
          </w:tblCellMar>
        </w:tblPrEx>
        <w:trPr>
          <w:trHeight w:val="743" w:hRule="atLeast"/>
          <w:jc w:val="center"/>
        </w:trPr>
        <w:tc>
          <w:tcPr>
            <w:tcW w:w="1097" w:type="dxa"/>
            <w:vMerge w:val="continue"/>
            <w:tcBorders>
              <w:left w:val="single" w:color="000000" w:sz="4" w:space="0"/>
              <w:right w:val="single" w:color="000000" w:sz="4" w:space="0"/>
            </w:tcBorders>
            <w:shd w:val="clear" w:color="auto" w:fill="auto"/>
            <w:vAlign w:val="center"/>
          </w:tcPr>
          <w:p w14:paraId="40022E2D">
            <w:pPr>
              <w:widowControl/>
              <w:spacing w:line="240" w:lineRule="exact"/>
              <w:jc w:val="center"/>
              <w:rPr>
                <w:rFonts w:ascii="宋体" w:hAnsi="宋体" w:eastAsia="宋体" w:cs="宋体"/>
                <w:b/>
                <w:color w:val="000000"/>
                <w:sz w:val="24"/>
              </w:rPr>
            </w:pPr>
          </w:p>
        </w:tc>
        <w:tc>
          <w:tcPr>
            <w:tcW w:w="1201" w:type="dxa"/>
            <w:vMerge w:val="continue"/>
            <w:tcBorders>
              <w:left w:val="single" w:color="000000" w:sz="4" w:space="0"/>
              <w:right w:val="single" w:color="000000" w:sz="4" w:space="0"/>
            </w:tcBorders>
            <w:shd w:val="clear" w:color="auto" w:fill="auto"/>
            <w:vAlign w:val="center"/>
          </w:tcPr>
          <w:p w14:paraId="4F2E6929">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99E44">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严控一般性支出</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F087B">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5</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BEF23">
            <w:pPr>
              <w:widowControl/>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部门严控“三公”经费、会议、培训、差旅、办节办展、办公设备购置、信息化建设和运维、课题经费、竞赛活动、规划编制一般性支出情况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57188">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E8489">
            <w:pPr>
              <w:widowControl/>
              <w:spacing w:line="240" w:lineRule="exact"/>
              <w:jc w:val="left"/>
              <w:textAlignment w:val="center"/>
              <w:rPr>
                <w:rFonts w:ascii="宋体" w:hAnsi="宋体" w:eastAsia="宋体" w:cs="宋体"/>
                <w:color w:val="000000"/>
                <w:kern w:val="0"/>
                <w:sz w:val="24"/>
              </w:rPr>
            </w:pPr>
          </w:p>
        </w:tc>
      </w:tr>
      <w:tr w14:paraId="4A5BDF8D">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26F15B9A">
            <w:pPr>
              <w:widowControl/>
              <w:spacing w:line="240" w:lineRule="exact"/>
              <w:jc w:val="center"/>
              <w:rPr>
                <w:rFonts w:ascii="宋体" w:hAnsi="宋体" w:eastAsia="宋体" w:cs="宋体"/>
                <w:b/>
                <w:color w:val="000000"/>
                <w:sz w:val="24"/>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DFF4BB">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财务管理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（10分）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670D9">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财务管理制度</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F3A57">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C4536">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部门财务管理制度建立情况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E49D7">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80935">
            <w:pPr>
              <w:widowControl/>
              <w:spacing w:line="240" w:lineRule="exact"/>
              <w:jc w:val="left"/>
              <w:textAlignment w:val="center"/>
              <w:rPr>
                <w:rFonts w:ascii="宋体" w:hAnsi="宋体" w:eastAsia="宋体" w:cs="宋体"/>
                <w:color w:val="000000"/>
                <w:kern w:val="0"/>
                <w:sz w:val="24"/>
              </w:rPr>
            </w:pPr>
          </w:p>
        </w:tc>
      </w:tr>
      <w:tr w14:paraId="525B8D1D">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3D615FC7">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FAD304">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B9617">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财务岗位设置</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8A266">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2</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BBA36">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部门财务岗位设置是否符合相关财务管理制度要求</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7D484">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54686">
            <w:pPr>
              <w:widowControl/>
              <w:spacing w:line="240" w:lineRule="exact"/>
              <w:jc w:val="left"/>
              <w:textAlignment w:val="center"/>
              <w:rPr>
                <w:rFonts w:ascii="宋体" w:hAnsi="宋体" w:eastAsia="宋体" w:cs="宋体"/>
                <w:color w:val="000000"/>
                <w:kern w:val="0"/>
                <w:sz w:val="24"/>
              </w:rPr>
            </w:pPr>
          </w:p>
        </w:tc>
      </w:tr>
      <w:tr w14:paraId="7CFF3E15">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0CC8C4B4">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0D7995">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0A990">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资金使用规范</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443A8">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2043C">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部门资金使用是否符合相关财务管理制度规定</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57CA1">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7F077">
            <w:pPr>
              <w:widowControl/>
              <w:spacing w:line="240" w:lineRule="exact"/>
              <w:jc w:val="left"/>
              <w:textAlignment w:val="center"/>
              <w:rPr>
                <w:rFonts w:ascii="宋体" w:hAnsi="宋体" w:eastAsia="宋体" w:cs="宋体"/>
                <w:color w:val="000000"/>
                <w:kern w:val="0"/>
                <w:sz w:val="24"/>
              </w:rPr>
            </w:pPr>
          </w:p>
        </w:tc>
      </w:tr>
      <w:tr w14:paraId="579C648A">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40185F22">
            <w:pPr>
              <w:widowControl/>
              <w:spacing w:line="240" w:lineRule="exact"/>
              <w:jc w:val="center"/>
              <w:rPr>
                <w:rFonts w:ascii="宋体" w:hAnsi="宋体" w:eastAsia="宋体" w:cs="宋体"/>
                <w:b/>
                <w:color w:val="000000"/>
                <w:sz w:val="24"/>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32C671">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资产管理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（9分）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8C57F">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人均资产变化率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D917E">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FCC49">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部门人均资产变化情况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60EFE">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EA498">
            <w:pPr>
              <w:widowControl/>
              <w:spacing w:line="240" w:lineRule="exact"/>
              <w:jc w:val="left"/>
              <w:textAlignment w:val="center"/>
              <w:rPr>
                <w:rFonts w:ascii="宋体" w:hAnsi="宋体" w:eastAsia="宋体" w:cs="宋体"/>
                <w:color w:val="000000"/>
                <w:kern w:val="0"/>
                <w:sz w:val="24"/>
              </w:rPr>
            </w:pPr>
          </w:p>
        </w:tc>
      </w:tr>
      <w:tr w14:paraId="673103A0">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5407114D">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30E118">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EB3CF">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资产利用率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A2DFD">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198F4">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部门资产超最低使用年限情况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EAE2B">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435CE">
            <w:pPr>
              <w:widowControl/>
              <w:spacing w:line="240" w:lineRule="exact"/>
              <w:jc w:val="left"/>
              <w:textAlignment w:val="center"/>
              <w:rPr>
                <w:rFonts w:ascii="宋体" w:hAnsi="宋体" w:eastAsia="宋体" w:cs="宋体"/>
                <w:color w:val="000000"/>
                <w:kern w:val="0"/>
                <w:sz w:val="24"/>
              </w:rPr>
            </w:pPr>
          </w:p>
        </w:tc>
      </w:tr>
      <w:tr w14:paraId="42AC47D5">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3FF686BE">
            <w:pPr>
              <w:widowControl/>
              <w:spacing w:line="240" w:lineRule="exact"/>
              <w:jc w:val="center"/>
              <w:textAlignment w:val="center"/>
              <w:rPr>
                <w:rFonts w:ascii="宋体" w:hAnsi="宋体" w:eastAsia="宋体" w:cs="宋体"/>
                <w:b/>
                <w:color w:val="000000"/>
                <w:sz w:val="24"/>
              </w:rPr>
            </w:pP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5FD5C">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资产管理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（9分）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23994">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资产盘活率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9DBB2">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FAF76">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部门闲置一年以上的资产盘活情况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D7A4F">
            <w:pPr>
              <w:widowControl/>
              <w:spacing w:line="240" w:lineRule="exact"/>
              <w:jc w:val="left"/>
              <w:textAlignment w:val="center"/>
              <w:rPr>
                <w:rFonts w:ascii="宋体" w:hAnsi="宋体" w:eastAsia="宋体" w:cs="宋体"/>
                <w:color w:val="000000"/>
                <w:kern w:val="0"/>
                <w:sz w:val="24"/>
              </w:rPr>
            </w:pP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F7360">
            <w:pPr>
              <w:widowControl/>
              <w:spacing w:line="240" w:lineRule="exact"/>
              <w:jc w:val="left"/>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不涉及</w:t>
            </w:r>
          </w:p>
        </w:tc>
      </w:tr>
      <w:tr w14:paraId="17C33B0A">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48FF5905">
            <w:pPr>
              <w:widowControl/>
              <w:spacing w:line="240" w:lineRule="exact"/>
              <w:jc w:val="center"/>
              <w:rPr>
                <w:rFonts w:ascii="宋体" w:hAnsi="宋体" w:eastAsia="宋体" w:cs="宋体"/>
                <w:b/>
                <w:color w:val="000000"/>
                <w:sz w:val="24"/>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ACF7B1">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采购管理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（6分）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71F5E">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支持中小企业发展</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8A3FB">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6E01C">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部门是否严格执行政府采购促进中小企业发展相关管理办法</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D3131">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7144E">
            <w:pPr>
              <w:widowControl/>
              <w:spacing w:line="240" w:lineRule="exact"/>
              <w:jc w:val="left"/>
              <w:textAlignment w:val="center"/>
              <w:rPr>
                <w:rFonts w:ascii="宋体" w:hAnsi="宋体" w:eastAsia="宋体" w:cs="宋体"/>
                <w:color w:val="000000"/>
                <w:kern w:val="0"/>
                <w:sz w:val="24"/>
              </w:rPr>
            </w:pPr>
          </w:p>
        </w:tc>
      </w:tr>
      <w:tr w14:paraId="26A4266E">
        <w:tblPrEx>
          <w:tblCellMar>
            <w:top w:w="0" w:type="dxa"/>
            <w:left w:w="108" w:type="dxa"/>
            <w:bottom w:w="0" w:type="dxa"/>
            <w:right w:w="108" w:type="dxa"/>
          </w:tblCellMar>
        </w:tblPrEx>
        <w:trPr>
          <w:trHeight w:val="176" w:hRule="atLeast"/>
          <w:jc w:val="center"/>
        </w:trPr>
        <w:tc>
          <w:tcPr>
            <w:tcW w:w="1097" w:type="dxa"/>
            <w:vMerge w:val="continue"/>
            <w:tcBorders>
              <w:left w:val="single" w:color="000000" w:sz="4" w:space="0"/>
              <w:bottom w:val="single" w:color="000000" w:sz="4" w:space="0"/>
              <w:right w:val="single" w:color="000000" w:sz="4" w:space="0"/>
            </w:tcBorders>
            <w:shd w:val="clear" w:color="auto" w:fill="auto"/>
            <w:vAlign w:val="center"/>
          </w:tcPr>
          <w:p w14:paraId="6920EF52">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6F728D">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8ED8D">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采购执行率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8E65F">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E432F">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部门政府采购项目资金支付比例情况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D7553">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9AF43">
            <w:pPr>
              <w:widowControl/>
              <w:spacing w:line="240" w:lineRule="exact"/>
              <w:jc w:val="left"/>
              <w:textAlignment w:val="center"/>
              <w:rPr>
                <w:rFonts w:ascii="宋体" w:hAnsi="宋体" w:eastAsia="宋体" w:cs="宋体"/>
                <w:color w:val="000000"/>
                <w:kern w:val="0"/>
                <w:sz w:val="24"/>
              </w:rPr>
            </w:pPr>
          </w:p>
        </w:tc>
      </w:tr>
      <w:tr w14:paraId="29382972">
        <w:tblPrEx>
          <w:tblCellMar>
            <w:top w:w="0" w:type="dxa"/>
            <w:left w:w="108" w:type="dxa"/>
            <w:bottom w:w="0" w:type="dxa"/>
            <w:right w:w="108" w:type="dxa"/>
          </w:tblCellMar>
        </w:tblPrEx>
        <w:trPr>
          <w:trHeight w:val="23" w:hRule="atLeast"/>
          <w:jc w:val="center"/>
        </w:trPr>
        <w:tc>
          <w:tcPr>
            <w:tcW w:w="1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838593">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项目绩效（35分）</w:t>
            </w:r>
          </w:p>
        </w:tc>
        <w:tc>
          <w:tcPr>
            <w:tcW w:w="1201" w:type="dxa"/>
            <w:vMerge w:val="restart"/>
            <w:tcBorders>
              <w:top w:val="single" w:color="000000" w:sz="4" w:space="0"/>
              <w:left w:val="single" w:color="000000" w:sz="4" w:space="0"/>
              <w:bottom w:val="nil"/>
              <w:right w:val="single" w:color="000000" w:sz="4" w:space="0"/>
            </w:tcBorders>
            <w:shd w:val="clear" w:color="auto" w:fill="auto"/>
            <w:vAlign w:val="center"/>
          </w:tcPr>
          <w:p w14:paraId="468D8C64">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项目决策</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（12分）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6B117">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决策程序</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8C2C5">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B212D">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部门预算项目设立是否按规定履行评估论证、申报程序</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3C600">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9F978">
            <w:pPr>
              <w:widowControl/>
              <w:spacing w:line="240" w:lineRule="exact"/>
              <w:jc w:val="left"/>
              <w:textAlignment w:val="center"/>
              <w:rPr>
                <w:rFonts w:ascii="宋体" w:hAnsi="宋体" w:eastAsia="宋体" w:cs="宋体"/>
                <w:color w:val="000000"/>
                <w:kern w:val="0"/>
                <w:sz w:val="24"/>
              </w:rPr>
            </w:pPr>
          </w:p>
        </w:tc>
      </w:tr>
      <w:tr w14:paraId="2E859768">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D16D7B">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14:paraId="53C62DF7">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0BE27">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目标设置</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B0679">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D302E">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部门预算项目绩效目标与计划期内的任务量、预算安排的资金量匹配情况，绩效目标设置是否科学合理、规范完整、量化细化、预算匹配</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7B0FA">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05106">
            <w:pPr>
              <w:widowControl/>
              <w:spacing w:line="240" w:lineRule="exact"/>
              <w:jc w:val="left"/>
              <w:textAlignment w:val="center"/>
              <w:rPr>
                <w:rFonts w:ascii="宋体" w:hAnsi="宋体" w:eastAsia="宋体" w:cs="宋体"/>
                <w:color w:val="000000"/>
                <w:kern w:val="0"/>
                <w:sz w:val="24"/>
              </w:rPr>
            </w:pPr>
          </w:p>
        </w:tc>
      </w:tr>
      <w:tr w14:paraId="77B1221A">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FCC657">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14:paraId="081E1F81">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3E0B4">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项目入库</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5DEA9">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BEB2E">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部门预算项目是否在规定时间完成项目入库</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20978">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1E5E6">
            <w:pPr>
              <w:widowControl/>
              <w:spacing w:line="240" w:lineRule="exact"/>
              <w:jc w:val="left"/>
              <w:textAlignment w:val="center"/>
              <w:rPr>
                <w:rFonts w:ascii="宋体" w:hAnsi="宋体" w:eastAsia="宋体" w:cs="宋体"/>
                <w:color w:val="000000"/>
                <w:kern w:val="0"/>
                <w:sz w:val="24"/>
              </w:rPr>
            </w:pPr>
          </w:p>
        </w:tc>
      </w:tr>
      <w:tr w14:paraId="5D49E5D6">
        <w:tblPrEx>
          <w:tblCellMar>
            <w:top w:w="0" w:type="dxa"/>
            <w:left w:w="108" w:type="dxa"/>
            <w:bottom w:w="0" w:type="dxa"/>
            <w:right w:w="108" w:type="dxa"/>
          </w:tblCellMar>
        </w:tblPrEx>
        <w:trPr>
          <w:trHeight w:val="465"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F49077">
            <w:pPr>
              <w:widowControl/>
              <w:spacing w:line="240" w:lineRule="exact"/>
              <w:jc w:val="center"/>
              <w:rPr>
                <w:rFonts w:ascii="宋体" w:hAnsi="宋体" w:eastAsia="宋体" w:cs="宋体"/>
                <w:b/>
                <w:color w:val="000000"/>
                <w:sz w:val="24"/>
              </w:rPr>
            </w:pPr>
          </w:p>
        </w:tc>
        <w:tc>
          <w:tcPr>
            <w:tcW w:w="1201" w:type="dxa"/>
            <w:vMerge w:val="restart"/>
            <w:tcBorders>
              <w:top w:val="single" w:color="000000" w:sz="4" w:space="0"/>
              <w:left w:val="single" w:color="000000" w:sz="4" w:space="0"/>
              <w:bottom w:val="nil"/>
              <w:right w:val="single" w:color="000000" w:sz="4" w:space="0"/>
            </w:tcBorders>
            <w:shd w:val="clear" w:color="auto" w:fill="auto"/>
            <w:vAlign w:val="center"/>
          </w:tcPr>
          <w:p w14:paraId="02C50A0D">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项目执行</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（12分）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3E2A2">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执行同向</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BB623">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6D220">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部门预算项目实际列支内容是否与绩效目标设置方向相符</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EF5E8">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53D6B">
            <w:pPr>
              <w:widowControl/>
              <w:spacing w:line="240" w:lineRule="exact"/>
              <w:jc w:val="left"/>
              <w:textAlignment w:val="center"/>
              <w:rPr>
                <w:rFonts w:ascii="宋体" w:hAnsi="宋体" w:eastAsia="宋体" w:cs="宋体"/>
                <w:color w:val="000000"/>
                <w:kern w:val="0"/>
                <w:sz w:val="24"/>
              </w:rPr>
            </w:pPr>
          </w:p>
        </w:tc>
      </w:tr>
      <w:tr w14:paraId="440DDA50">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25B6D6">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14:paraId="0EF7EBD9">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nil"/>
              <w:right w:val="single" w:color="000000" w:sz="4" w:space="0"/>
            </w:tcBorders>
            <w:shd w:val="clear" w:color="auto" w:fill="auto"/>
            <w:vAlign w:val="center"/>
          </w:tcPr>
          <w:p w14:paraId="52DCA272">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项目调整</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F44D5">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2E450">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部门预算项目是否采取对应调整措施</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A6A1D">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BA598">
            <w:pPr>
              <w:widowControl/>
              <w:spacing w:line="240" w:lineRule="exact"/>
              <w:jc w:val="left"/>
              <w:textAlignment w:val="center"/>
              <w:rPr>
                <w:rFonts w:ascii="宋体" w:hAnsi="宋体" w:eastAsia="宋体" w:cs="宋体"/>
                <w:color w:val="000000"/>
                <w:kern w:val="0"/>
                <w:sz w:val="24"/>
              </w:rPr>
            </w:pPr>
          </w:p>
        </w:tc>
      </w:tr>
      <w:tr w14:paraId="4148231B">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558BC6">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14:paraId="7A9C3E27">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21888">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执行结果</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0683F">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DB653">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部门预算项目预算执行情况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54058">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26AAA">
            <w:pPr>
              <w:widowControl/>
              <w:spacing w:line="240" w:lineRule="exact"/>
              <w:jc w:val="left"/>
              <w:textAlignment w:val="center"/>
              <w:rPr>
                <w:rFonts w:ascii="宋体" w:hAnsi="宋体" w:eastAsia="宋体" w:cs="宋体"/>
                <w:color w:val="000000"/>
                <w:kern w:val="0"/>
                <w:sz w:val="24"/>
              </w:rPr>
            </w:pPr>
          </w:p>
        </w:tc>
      </w:tr>
      <w:tr w14:paraId="1D603998">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FB4DFC">
            <w:pPr>
              <w:widowControl/>
              <w:spacing w:line="240" w:lineRule="exact"/>
              <w:jc w:val="center"/>
              <w:rPr>
                <w:rFonts w:ascii="宋体" w:hAnsi="宋体" w:eastAsia="宋体" w:cs="宋体"/>
                <w:b/>
                <w:color w:val="000000"/>
                <w:sz w:val="24"/>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EA7B78">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目标实现</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（11分）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A3186">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目标完成</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5B0F6">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37D5B">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部门预算项目绩效目标数量指标完成情况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04C52">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9E11B">
            <w:pPr>
              <w:widowControl/>
              <w:spacing w:line="240" w:lineRule="exact"/>
              <w:jc w:val="left"/>
              <w:textAlignment w:val="center"/>
              <w:rPr>
                <w:rFonts w:ascii="宋体" w:hAnsi="宋体" w:eastAsia="宋体" w:cs="宋体"/>
                <w:color w:val="000000"/>
                <w:kern w:val="0"/>
                <w:sz w:val="24"/>
              </w:rPr>
            </w:pPr>
          </w:p>
        </w:tc>
      </w:tr>
      <w:tr w14:paraId="57AC8DFA">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C6BBD8">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75FE52">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6552D">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目标偏离</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77A24">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9DD34">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部门预算项目绩效目标数量指标实现程度与预期目标的偏离情况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F3DAD">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C24A6">
            <w:pPr>
              <w:widowControl/>
              <w:spacing w:line="240" w:lineRule="exact"/>
              <w:jc w:val="left"/>
              <w:textAlignment w:val="center"/>
              <w:rPr>
                <w:rFonts w:ascii="宋体" w:hAnsi="宋体" w:eastAsia="宋体" w:cs="宋体"/>
                <w:color w:val="000000"/>
                <w:kern w:val="0"/>
                <w:sz w:val="24"/>
              </w:rPr>
            </w:pPr>
          </w:p>
        </w:tc>
      </w:tr>
      <w:tr w14:paraId="1891863A">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C9281A">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78DA1C">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2162B">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实现效果</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2D2FD">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A75CB">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部门预算项目绩效目标效益指标实施效果</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E1520">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7B0FB">
            <w:pPr>
              <w:widowControl/>
              <w:spacing w:line="240" w:lineRule="exact"/>
              <w:jc w:val="left"/>
              <w:textAlignment w:val="center"/>
              <w:rPr>
                <w:rFonts w:ascii="宋体" w:hAnsi="宋体" w:eastAsia="宋体" w:cs="宋体"/>
                <w:color w:val="000000"/>
                <w:kern w:val="0"/>
                <w:sz w:val="24"/>
              </w:rPr>
            </w:pPr>
          </w:p>
        </w:tc>
      </w:tr>
      <w:tr w14:paraId="6F7B0E96">
        <w:tblPrEx>
          <w:tblCellMar>
            <w:top w:w="0" w:type="dxa"/>
            <w:left w:w="108" w:type="dxa"/>
            <w:bottom w:w="0" w:type="dxa"/>
            <w:right w:w="108" w:type="dxa"/>
          </w:tblCellMar>
        </w:tblPrEx>
        <w:trPr>
          <w:trHeight w:val="23" w:hRule="atLeast"/>
          <w:jc w:val="center"/>
        </w:trPr>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1D5FF">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扣分项</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（10分）</w:t>
            </w:r>
          </w:p>
        </w:tc>
        <w:tc>
          <w:tcPr>
            <w:tcW w:w="31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08422B">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被评价部门配合度</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83996">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004AF">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被评价对象工作配合情况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C7EC1">
            <w:pPr>
              <w:widowControl/>
              <w:spacing w:line="240" w:lineRule="exact"/>
              <w:jc w:val="left"/>
              <w:textAlignment w:val="center"/>
              <w:rPr>
                <w:rFonts w:ascii="宋体" w:hAnsi="宋体" w:eastAsia="宋体" w:cs="宋体"/>
                <w:color w:val="000000"/>
                <w:kern w:val="0"/>
                <w:sz w:val="24"/>
              </w:rPr>
            </w:pP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B333D">
            <w:pPr>
              <w:widowControl/>
              <w:spacing w:line="240" w:lineRule="exact"/>
              <w:jc w:val="left"/>
              <w:textAlignment w:val="center"/>
              <w:rPr>
                <w:rFonts w:ascii="宋体" w:hAnsi="宋体" w:eastAsia="宋体" w:cs="宋体"/>
                <w:color w:val="000000"/>
                <w:kern w:val="0"/>
                <w:sz w:val="24"/>
              </w:rPr>
            </w:pPr>
          </w:p>
        </w:tc>
      </w:tr>
    </w:tbl>
    <w:p w14:paraId="7F3FBAFE">
      <w:pPr>
        <w:spacing w:line="20" w:lineRule="exact"/>
        <w:rPr>
          <w:rFonts w:eastAsia="黑体"/>
        </w:rPr>
      </w:pPr>
      <w:r>
        <w:rPr>
          <w:rFonts w:eastAsia="黑体"/>
        </w:rPr>
        <w:br w:type="page"/>
      </w:r>
    </w:p>
    <w:p w14:paraId="7E904654">
      <w:pPr>
        <w:spacing w:line="578" w:lineRule="exact"/>
        <w:jc w:val="left"/>
        <w:rPr>
          <w:rFonts w:eastAsia="黑体"/>
        </w:rPr>
      </w:pPr>
      <w:r>
        <w:rPr>
          <w:rFonts w:eastAsia="黑体"/>
        </w:rPr>
        <w:t>附表</w:t>
      </w:r>
      <w:r>
        <w:rPr>
          <w:rFonts w:hint="eastAsia" w:eastAsia="黑体"/>
        </w:rPr>
        <w:t>2</w:t>
      </w:r>
    </w:p>
    <w:p w14:paraId="67A14FF6">
      <w:pPr>
        <w:widowControl/>
        <w:spacing w:line="578" w:lineRule="exact"/>
        <w:jc w:val="center"/>
        <w:textAlignment w:val="center"/>
        <w:rPr>
          <w:rFonts w:eastAsia="方正小标宋简体"/>
          <w:color w:val="000000"/>
          <w:kern w:val="0"/>
          <w:sz w:val="44"/>
          <w:szCs w:val="44"/>
        </w:rPr>
      </w:pPr>
      <w:r>
        <w:rPr>
          <w:rFonts w:eastAsia="方正小标宋简体"/>
          <w:color w:val="000000"/>
          <w:kern w:val="0"/>
          <w:sz w:val="44"/>
          <w:szCs w:val="44"/>
        </w:rPr>
        <w:t>部门整体</w:t>
      </w:r>
      <w:r>
        <w:rPr>
          <w:rFonts w:hint="eastAsia" w:eastAsia="方正小标宋简体"/>
          <w:color w:val="000000"/>
          <w:kern w:val="0"/>
          <w:sz w:val="44"/>
          <w:szCs w:val="44"/>
        </w:rPr>
        <w:t>支出</w:t>
      </w:r>
      <w:r>
        <w:rPr>
          <w:rFonts w:eastAsia="方正小标宋简体"/>
          <w:color w:val="000000"/>
          <w:kern w:val="0"/>
          <w:sz w:val="44"/>
          <w:szCs w:val="44"/>
        </w:rPr>
        <w:t>绩效目标完成情况自评表</w:t>
      </w:r>
    </w:p>
    <w:tbl>
      <w:tblPr>
        <w:tblStyle w:val="17"/>
        <w:tblpPr w:leftFromText="180" w:rightFromText="180" w:vertAnchor="text" w:tblpXSpec="center" w:tblpY="1"/>
        <w:tblOverlap w:val="never"/>
        <w:tblW w:w="9658" w:type="dxa"/>
        <w:tblInd w:w="0" w:type="dxa"/>
        <w:tblLayout w:type="fixed"/>
        <w:tblCellMar>
          <w:top w:w="0" w:type="dxa"/>
          <w:left w:w="108" w:type="dxa"/>
          <w:bottom w:w="0" w:type="dxa"/>
          <w:right w:w="108" w:type="dxa"/>
        </w:tblCellMar>
      </w:tblPr>
      <w:tblGrid>
        <w:gridCol w:w="331"/>
        <w:gridCol w:w="593"/>
        <w:gridCol w:w="803"/>
        <w:gridCol w:w="1246"/>
        <w:gridCol w:w="938"/>
        <w:gridCol w:w="642"/>
        <w:gridCol w:w="1018"/>
        <w:gridCol w:w="1045"/>
        <w:gridCol w:w="1111"/>
        <w:gridCol w:w="1931"/>
      </w:tblGrid>
      <w:tr w14:paraId="673E0E28">
        <w:tblPrEx>
          <w:tblCellMar>
            <w:top w:w="0" w:type="dxa"/>
            <w:left w:w="108" w:type="dxa"/>
            <w:bottom w:w="0" w:type="dxa"/>
            <w:right w:w="108" w:type="dxa"/>
          </w:tblCellMar>
        </w:tblPrEx>
        <w:trPr>
          <w:trHeight w:val="465" w:hRule="atLeast"/>
        </w:trPr>
        <w:tc>
          <w:tcPr>
            <w:tcW w:w="1727" w:type="dxa"/>
            <w:gridSpan w:val="3"/>
            <w:tcBorders>
              <w:top w:val="single" w:color="000000" w:sz="4" w:space="0"/>
              <w:left w:val="single" w:color="000000" w:sz="4" w:space="0"/>
              <w:bottom w:val="single" w:color="auto" w:sz="4" w:space="0"/>
              <w:right w:val="single" w:color="000000" w:sz="4" w:space="0"/>
            </w:tcBorders>
            <w:noWrap/>
            <w:vAlign w:val="center"/>
          </w:tcPr>
          <w:p w14:paraId="574A725E">
            <w:pPr>
              <w:rPr>
                <w:rFonts w:ascii="宋体" w:hAnsi="宋体" w:eastAsia="宋体" w:cs="宋体"/>
                <w:color w:val="000000"/>
                <w:kern w:val="0"/>
                <w:sz w:val="24"/>
              </w:rPr>
            </w:pPr>
            <w:r>
              <w:rPr>
                <w:rFonts w:eastAsia="黑体"/>
                <w:sz w:val="24"/>
              </w:rPr>
              <w:br w:type="page"/>
            </w:r>
            <w:r>
              <w:rPr>
                <w:rFonts w:hint="eastAsia" w:ascii="宋体" w:hAnsi="宋体" w:eastAsia="宋体" w:cs="宋体"/>
                <w:color w:val="000000"/>
                <w:kern w:val="0"/>
                <w:sz w:val="24"/>
              </w:rPr>
              <w:t>部门名称</w:t>
            </w:r>
          </w:p>
        </w:tc>
        <w:tc>
          <w:tcPr>
            <w:tcW w:w="7931" w:type="dxa"/>
            <w:gridSpan w:val="7"/>
            <w:tcBorders>
              <w:top w:val="single" w:color="000000" w:sz="4" w:space="0"/>
              <w:left w:val="single" w:color="000000" w:sz="4" w:space="0"/>
              <w:bottom w:val="single" w:color="000000" w:sz="4" w:space="0"/>
              <w:right w:val="single" w:color="000000" w:sz="4" w:space="0"/>
            </w:tcBorders>
            <w:noWrap/>
            <w:vAlign w:val="center"/>
          </w:tcPr>
          <w:p w14:paraId="27A64581">
            <w:pPr>
              <w:widowControl/>
              <w:spacing w:line="240" w:lineRule="exact"/>
              <w:jc w:val="both"/>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茂县人民政府办公室</w:t>
            </w:r>
          </w:p>
        </w:tc>
      </w:tr>
      <w:tr w14:paraId="79F603A4">
        <w:tblPrEx>
          <w:tblCellMar>
            <w:top w:w="0" w:type="dxa"/>
            <w:left w:w="108" w:type="dxa"/>
            <w:bottom w:w="0" w:type="dxa"/>
            <w:right w:w="108" w:type="dxa"/>
          </w:tblCellMar>
        </w:tblPrEx>
        <w:trPr>
          <w:trHeight w:val="485" w:hRule="atLeast"/>
        </w:trPr>
        <w:tc>
          <w:tcPr>
            <w:tcW w:w="1727" w:type="dxa"/>
            <w:gridSpan w:val="3"/>
            <w:tcBorders>
              <w:top w:val="single" w:color="auto" w:sz="4" w:space="0"/>
              <w:left w:val="single" w:color="auto" w:sz="4" w:space="0"/>
              <w:bottom w:val="single" w:color="auto" w:sz="4" w:space="0"/>
              <w:right w:val="single" w:color="auto" w:sz="4" w:space="0"/>
            </w:tcBorders>
            <w:noWrap/>
            <w:vAlign w:val="center"/>
          </w:tcPr>
          <w:p w14:paraId="051ED5F6">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年度部门整体预算</w:t>
            </w:r>
          </w:p>
        </w:tc>
        <w:tc>
          <w:tcPr>
            <w:tcW w:w="2184" w:type="dxa"/>
            <w:gridSpan w:val="2"/>
            <w:tcBorders>
              <w:top w:val="single" w:color="000000" w:sz="4" w:space="0"/>
              <w:left w:val="single" w:color="auto" w:sz="4" w:space="0"/>
              <w:bottom w:val="single" w:color="000000" w:sz="4" w:space="0"/>
              <w:right w:val="single" w:color="auto" w:sz="4" w:space="0"/>
            </w:tcBorders>
            <w:noWrap/>
            <w:vAlign w:val="center"/>
          </w:tcPr>
          <w:p w14:paraId="6AEEBBC7">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资金总额</w:t>
            </w:r>
          </w:p>
        </w:tc>
        <w:tc>
          <w:tcPr>
            <w:tcW w:w="1660" w:type="dxa"/>
            <w:gridSpan w:val="2"/>
            <w:tcBorders>
              <w:top w:val="single" w:color="auto" w:sz="4" w:space="0"/>
              <w:left w:val="single" w:color="auto" w:sz="4" w:space="0"/>
              <w:bottom w:val="single" w:color="auto" w:sz="4" w:space="0"/>
              <w:right w:val="single" w:color="auto" w:sz="4" w:space="0"/>
            </w:tcBorders>
            <w:noWrap/>
            <w:vAlign w:val="center"/>
          </w:tcPr>
          <w:p w14:paraId="090F3BEF">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财政拨款</w:t>
            </w:r>
          </w:p>
        </w:tc>
        <w:tc>
          <w:tcPr>
            <w:tcW w:w="4087" w:type="dxa"/>
            <w:gridSpan w:val="3"/>
            <w:tcBorders>
              <w:top w:val="single" w:color="auto" w:sz="4" w:space="0"/>
              <w:left w:val="single" w:color="auto" w:sz="4" w:space="0"/>
              <w:bottom w:val="single" w:color="auto" w:sz="4" w:space="0"/>
              <w:right w:val="single" w:color="auto" w:sz="4" w:space="0"/>
            </w:tcBorders>
            <w:noWrap/>
            <w:vAlign w:val="center"/>
          </w:tcPr>
          <w:p w14:paraId="7715A834">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其他资金</w:t>
            </w:r>
          </w:p>
        </w:tc>
      </w:tr>
      <w:tr w14:paraId="2AC3DF71">
        <w:tblPrEx>
          <w:tblCellMar>
            <w:top w:w="0" w:type="dxa"/>
            <w:left w:w="108" w:type="dxa"/>
            <w:bottom w:w="0" w:type="dxa"/>
            <w:right w:w="108" w:type="dxa"/>
          </w:tblCellMar>
        </w:tblPrEx>
        <w:trPr>
          <w:trHeight w:val="239" w:hRule="atLeast"/>
        </w:trPr>
        <w:tc>
          <w:tcPr>
            <w:tcW w:w="1727" w:type="dxa"/>
            <w:gridSpan w:val="3"/>
            <w:tcBorders>
              <w:top w:val="single" w:color="auto" w:sz="4" w:space="0"/>
              <w:left w:val="single" w:color="auto" w:sz="4" w:space="0"/>
              <w:bottom w:val="single" w:color="auto" w:sz="4" w:space="0"/>
              <w:right w:val="single" w:color="auto" w:sz="4" w:space="0"/>
            </w:tcBorders>
            <w:noWrap/>
            <w:vAlign w:val="center"/>
          </w:tcPr>
          <w:p w14:paraId="6B3D86DB">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收入预算</w:t>
            </w:r>
          </w:p>
        </w:tc>
        <w:tc>
          <w:tcPr>
            <w:tcW w:w="2184" w:type="dxa"/>
            <w:gridSpan w:val="2"/>
            <w:tcBorders>
              <w:top w:val="single" w:color="000000" w:sz="4" w:space="0"/>
              <w:left w:val="single" w:color="auto" w:sz="4" w:space="0"/>
              <w:bottom w:val="single" w:color="000000" w:sz="4" w:space="0"/>
              <w:right w:val="single" w:color="auto" w:sz="4" w:space="0"/>
            </w:tcBorders>
            <w:noWrap/>
            <w:vAlign w:val="center"/>
          </w:tcPr>
          <w:p w14:paraId="55FA98E0">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1010.06</w:t>
            </w:r>
          </w:p>
        </w:tc>
        <w:tc>
          <w:tcPr>
            <w:tcW w:w="1660" w:type="dxa"/>
            <w:gridSpan w:val="2"/>
            <w:tcBorders>
              <w:top w:val="single" w:color="auto" w:sz="4" w:space="0"/>
              <w:left w:val="single" w:color="auto" w:sz="4" w:space="0"/>
              <w:bottom w:val="single" w:color="auto" w:sz="4" w:space="0"/>
              <w:right w:val="single" w:color="auto" w:sz="4" w:space="0"/>
            </w:tcBorders>
            <w:noWrap/>
            <w:vAlign w:val="center"/>
          </w:tcPr>
          <w:p w14:paraId="2780FFC1">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1010.06</w:t>
            </w:r>
          </w:p>
        </w:tc>
        <w:tc>
          <w:tcPr>
            <w:tcW w:w="4087" w:type="dxa"/>
            <w:gridSpan w:val="3"/>
            <w:tcBorders>
              <w:top w:val="single" w:color="auto" w:sz="4" w:space="0"/>
              <w:left w:val="single" w:color="auto" w:sz="4" w:space="0"/>
              <w:bottom w:val="single" w:color="auto" w:sz="4" w:space="0"/>
              <w:right w:val="single" w:color="auto" w:sz="4" w:space="0"/>
            </w:tcBorders>
            <w:noWrap/>
            <w:vAlign w:val="center"/>
          </w:tcPr>
          <w:p w14:paraId="1FEB9451">
            <w:pPr>
              <w:widowControl/>
              <w:spacing w:line="240" w:lineRule="exact"/>
              <w:jc w:val="center"/>
              <w:textAlignment w:val="center"/>
              <w:rPr>
                <w:rFonts w:ascii="宋体" w:hAnsi="宋体" w:eastAsia="宋体" w:cs="宋体"/>
                <w:color w:val="000000"/>
                <w:kern w:val="0"/>
                <w:sz w:val="24"/>
              </w:rPr>
            </w:pPr>
          </w:p>
        </w:tc>
      </w:tr>
      <w:tr w14:paraId="6A08DFF2">
        <w:tblPrEx>
          <w:tblCellMar>
            <w:top w:w="0" w:type="dxa"/>
            <w:left w:w="108" w:type="dxa"/>
            <w:bottom w:w="0" w:type="dxa"/>
            <w:right w:w="108" w:type="dxa"/>
          </w:tblCellMar>
        </w:tblPrEx>
        <w:trPr>
          <w:trHeight w:val="296" w:hRule="atLeast"/>
        </w:trPr>
        <w:tc>
          <w:tcPr>
            <w:tcW w:w="1727" w:type="dxa"/>
            <w:gridSpan w:val="3"/>
            <w:tcBorders>
              <w:top w:val="single" w:color="auto" w:sz="4" w:space="0"/>
              <w:left w:val="single" w:color="auto" w:sz="4" w:space="0"/>
              <w:bottom w:val="single" w:color="auto" w:sz="4" w:space="0"/>
              <w:right w:val="single" w:color="auto" w:sz="4" w:space="0"/>
            </w:tcBorders>
            <w:noWrap/>
            <w:vAlign w:val="center"/>
          </w:tcPr>
          <w:p w14:paraId="5AB6F63B">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支出预算</w:t>
            </w:r>
          </w:p>
        </w:tc>
        <w:tc>
          <w:tcPr>
            <w:tcW w:w="2184" w:type="dxa"/>
            <w:gridSpan w:val="2"/>
            <w:tcBorders>
              <w:top w:val="single" w:color="000000" w:sz="4" w:space="0"/>
              <w:left w:val="single" w:color="auto" w:sz="4" w:space="0"/>
              <w:bottom w:val="single" w:color="000000" w:sz="4" w:space="0"/>
              <w:right w:val="single" w:color="000000" w:sz="4" w:space="0"/>
            </w:tcBorders>
            <w:noWrap/>
            <w:vAlign w:val="center"/>
          </w:tcPr>
          <w:p w14:paraId="2E9FE157">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1010.06</w:t>
            </w:r>
          </w:p>
        </w:tc>
        <w:tc>
          <w:tcPr>
            <w:tcW w:w="1660" w:type="dxa"/>
            <w:gridSpan w:val="2"/>
            <w:tcBorders>
              <w:top w:val="single" w:color="auto" w:sz="4" w:space="0"/>
              <w:left w:val="single" w:color="000000" w:sz="4" w:space="0"/>
              <w:bottom w:val="single" w:color="000000" w:sz="4" w:space="0"/>
              <w:right w:val="single" w:color="000000" w:sz="4" w:space="0"/>
            </w:tcBorders>
            <w:noWrap/>
            <w:vAlign w:val="center"/>
          </w:tcPr>
          <w:p w14:paraId="19E649E9">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1010.06</w:t>
            </w:r>
          </w:p>
        </w:tc>
        <w:tc>
          <w:tcPr>
            <w:tcW w:w="4087" w:type="dxa"/>
            <w:gridSpan w:val="3"/>
            <w:tcBorders>
              <w:top w:val="single" w:color="auto" w:sz="4" w:space="0"/>
              <w:left w:val="single" w:color="000000" w:sz="4" w:space="0"/>
              <w:bottom w:val="single" w:color="000000" w:sz="4" w:space="0"/>
              <w:right w:val="single" w:color="000000" w:sz="4" w:space="0"/>
            </w:tcBorders>
            <w:noWrap/>
            <w:vAlign w:val="center"/>
          </w:tcPr>
          <w:p w14:paraId="46F662A3">
            <w:pPr>
              <w:widowControl/>
              <w:spacing w:line="240" w:lineRule="exact"/>
              <w:jc w:val="center"/>
              <w:textAlignment w:val="center"/>
              <w:rPr>
                <w:rFonts w:ascii="宋体" w:hAnsi="宋体" w:eastAsia="宋体" w:cs="宋体"/>
                <w:color w:val="000000"/>
                <w:kern w:val="0"/>
                <w:sz w:val="24"/>
              </w:rPr>
            </w:pPr>
          </w:p>
        </w:tc>
      </w:tr>
      <w:tr w14:paraId="56368943">
        <w:tblPrEx>
          <w:tblCellMar>
            <w:top w:w="0" w:type="dxa"/>
            <w:left w:w="108" w:type="dxa"/>
            <w:bottom w:w="0" w:type="dxa"/>
            <w:right w:w="108" w:type="dxa"/>
          </w:tblCellMar>
        </w:tblPrEx>
        <w:trPr>
          <w:trHeight w:val="296" w:hRule="atLeast"/>
        </w:trPr>
        <w:tc>
          <w:tcPr>
            <w:tcW w:w="1727" w:type="dxa"/>
            <w:gridSpan w:val="3"/>
            <w:tcBorders>
              <w:top w:val="single" w:color="auto" w:sz="4" w:space="0"/>
              <w:left w:val="single" w:color="000000" w:sz="4" w:space="0"/>
              <w:bottom w:val="single" w:color="000000" w:sz="4" w:space="0"/>
              <w:right w:val="single" w:color="000000" w:sz="4" w:space="0"/>
            </w:tcBorders>
            <w:noWrap/>
            <w:vAlign w:val="center"/>
          </w:tcPr>
          <w:p w14:paraId="72DCBAB8">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年度总体目标</w:t>
            </w:r>
          </w:p>
        </w:tc>
        <w:tc>
          <w:tcPr>
            <w:tcW w:w="7931" w:type="dxa"/>
            <w:gridSpan w:val="7"/>
            <w:tcBorders>
              <w:top w:val="single" w:color="000000" w:sz="4" w:space="0"/>
              <w:left w:val="single" w:color="000000" w:sz="4" w:space="0"/>
              <w:bottom w:val="single" w:color="000000" w:sz="4" w:space="0"/>
              <w:right w:val="single" w:color="000000" w:sz="4" w:space="0"/>
            </w:tcBorders>
            <w:noWrap/>
            <w:vAlign w:val="center"/>
          </w:tcPr>
          <w:p w14:paraId="2FA10D4C">
            <w:pPr>
              <w:widowControl/>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18"/>
                <w:szCs w:val="18"/>
              </w:rPr>
              <w:t>总值班室：负责县政府值班工作，及时掌握和报告县内相关重大情况和动态，办理向县政府报送的紧急事项；收集和综合重要政务信息，报县政府和县政府领导同志；指导全县政府系统值班工作，保证县政府与乡镇和县直各单位联络畅通；负责政府大事记工作；负责县政府常务会议、县长碰头会、县长办公会以及以县政府名义召开的其他重大会议和办公室重要会议的通知发放；负责电子公文系统文电的收发、登记、传阅、催办。办会：负责承办县人民政府全体会议、县人民政府党组会议、县人民政府常务会议、县长办公会议、县人民政府专题会议和全县综合性工作会议等。负责办理办公室主任会议、办公室职工大会。办事：统筹整合督查考核项目，突出政府工作报告、重大决策、对县政府重要工作、重点项目、重要会议和文件精神、领导批示交办事项、社会热点难点等工作重点的督查督办；负责涉及全局性、综合性的重大调研课题，重要文件起草和县长交办的重要调研课题的起草。后勤保障：由县长、副县长在县内参加的重要政务活动、相关会议、考察、调研、洽谈合作项目等活动的对接协调和后勤保障，落实公共机构机关节能制度，做好设施设备维护工作和环境卫生、绿化美化工作，确保相关设施设备运转正常。做好机关食堂管理工作。真落实公车改革相关制度，切实加强公车及驾驶员管理，做好车辆性能维护工作，科学调配车辆，确保重大活动、重要工作、机要公文传送、应急调度等用车需要。机关事务管理：严格审核公务用车的报废、车辆更新、车辆划转，及时将更新车辆上户报备州主管部门，完成了2025年公务用车统计报告数据报送系统；完成2025年机关运行成本统计信息系统；完成公共机构能源资源消费统计和机关单位反食品浪费系统上报；对资料齐全理由充足且符合规定的资产处置事项进行审核批复。信息中心：强化信息服务功能为重点，积极收集、采编、报送政务信息，为领导及时了解情况、科学决策做好信息服务。同时，创新公开形式，拓宽公开渠道，强化政务新媒体与政府网站、政务服务平台相结合、实现信息资源共享共用，不断提高政府信息的公开实效。</w:t>
            </w:r>
          </w:p>
        </w:tc>
      </w:tr>
      <w:tr w14:paraId="2FEB14AA">
        <w:tblPrEx>
          <w:tblCellMar>
            <w:top w:w="0" w:type="dxa"/>
            <w:left w:w="108" w:type="dxa"/>
            <w:bottom w:w="0" w:type="dxa"/>
            <w:right w:w="108" w:type="dxa"/>
          </w:tblCellMar>
        </w:tblPrEx>
        <w:trPr>
          <w:trHeight w:val="296" w:hRule="atLeast"/>
        </w:trPr>
        <w:tc>
          <w:tcPr>
            <w:tcW w:w="331" w:type="dxa"/>
            <w:vMerge w:val="restart"/>
            <w:tcBorders>
              <w:top w:val="single" w:color="000000" w:sz="4" w:space="0"/>
              <w:left w:val="single" w:color="000000" w:sz="4" w:space="0"/>
              <w:bottom w:val="single" w:color="000000" w:sz="4" w:space="0"/>
              <w:right w:val="single" w:color="000000" w:sz="4" w:space="0"/>
            </w:tcBorders>
            <w:noWrap/>
            <w:vAlign w:val="center"/>
          </w:tcPr>
          <w:p w14:paraId="6CAA89EF">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管理效率</w:t>
            </w:r>
          </w:p>
        </w:tc>
        <w:tc>
          <w:tcPr>
            <w:tcW w:w="593" w:type="dxa"/>
            <w:vMerge w:val="restart"/>
            <w:tcBorders>
              <w:top w:val="single" w:color="000000" w:sz="4" w:space="0"/>
              <w:left w:val="single" w:color="000000" w:sz="4" w:space="0"/>
              <w:bottom w:val="single" w:color="000000" w:sz="4" w:space="0"/>
              <w:right w:val="single" w:color="000000" w:sz="4" w:space="0"/>
            </w:tcBorders>
            <w:noWrap/>
            <w:vAlign w:val="center"/>
          </w:tcPr>
          <w:p w14:paraId="589D229E">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一级指标</w:t>
            </w:r>
          </w:p>
        </w:tc>
        <w:tc>
          <w:tcPr>
            <w:tcW w:w="803" w:type="dxa"/>
            <w:vMerge w:val="restart"/>
            <w:tcBorders>
              <w:top w:val="single" w:color="000000" w:sz="4" w:space="0"/>
              <w:left w:val="single" w:color="000000" w:sz="4" w:space="0"/>
              <w:bottom w:val="single" w:color="000000" w:sz="4" w:space="0"/>
              <w:right w:val="single" w:color="000000" w:sz="4" w:space="0"/>
            </w:tcBorders>
            <w:noWrap/>
            <w:vAlign w:val="center"/>
          </w:tcPr>
          <w:p w14:paraId="68BF77E5">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二级指标</w:t>
            </w:r>
          </w:p>
        </w:tc>
        <w:tc>
          <w:tcPr>
            <w:tcW w:w="1246" w:type="dxa"/>
            <w:vMerge w:val="restart"/>
            <w:tcBorders>
              <w:top w:val="single" w:color="000000" w:sz="4" w:space="0"/>
              <w:left w:val="single" w:color="000000" w:sz="4" w:space="0"/>
              <w:bottom w:val="single" w:color="000000" w:sz="4" w:space="0"/>
              <w:right w:val="single" w:color="000000" w:sz="4" w:space="0"/>
            </w:tcBorders>
            <w:noWrap/>
            <w:vAlign w:val="center"/>
          </w:tcPr>
          <w:p w14:paraId="7B6439D0">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三级指标</w:t>
            </w:r>
          </w:p>
        </w:tc>
        <w:tc>
          <w:tcPr>
            <w:tcW w:w="938" w:type="dxa"/>
            <w:vMerge w:val="restart"/>
            <w:tcBorders>
              <w:top w:val="single" w:color="000000" w:sz="4" w:space="0"/>
              <w:left w:val="single" w:color="000000" w:sz="4" w:space="0"/>
              <w:bottom w:val="single" w:color="000000" w:sz="4" w:space="0"/>
              <w:right w:val="single" w:color="000000" w:sz="4" w:space="0"/>
            </w:tcBorders>
            <w:noWrap/>
            <w:vAlign w:val="center"/>
          </w:tcPr>
          <w:p w14:paraId="2CD29EE7">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指标值</w:t>
            </w:r>
          </w:p>
        </w:tc>
        <w:tc>
          <w:tcPr>
            <w:tcW w:w="3816" w:type="dxa"/>
            <w:gridSpan w:val="4"/>
            <w:tcBorders>
              <w:top w:val="single" w:color="000000" w:sz="4" w:space="0"/>
              <w:left w:val="single" w:color="000000" w:sz="4" w:space="0"/>
              <w:bottom w:val="single" w:color="000000" w:sz="4" w:space="0"/>
              <w:right w:val="single" w:color="000000" w:sz="4" w:space="0"/>
            </w:tcBorders>
            <w:noWrap/>
            <w:vAlign w:val="center"/>
          </w:tcPr>
          <w:p w14:paraId="54E1BDB4">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指标设置参考值</w:t>
            </w:r>
          </w:p>
        </w:tc>
        <w:tc>
          <w:tcPr>
            <w:tcW w:w="1931" w:type="dxa"/>
            <w:vMerge w:val="restart"/>
            <w:tcBorders>
              <w:top w:val="single" w:color="000000" w:sz="4" w:space="0"/>
              <w:left w:val="single" w:color="000000" w:sz="4" w:space="0"/>
              <w:right w:val="single" w:color="000000" w:sz="4" w:space="0"/>
            </w:tcBorders>
            <w:noWrap/>
            <w:vAlign w:val="center"/>
          </w:tcPr>
          <w:p w14:paraId="1E9E6E47">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指标实际完成值</w:t>
            </w:r>
          </w:p>
        </w:tc>
      </w:tr>
      <w:tr w14:paraId="74A6A7E4">
        <w:tblPrEx>
          <w:tblCellMar>
            <w:top w:w="0" w:type="dxa"/>
            <w:left w:w="108" w:type="dxa"/>
            <w:bottom w:w="0" w:type="dxa"/>
            <w:right w:w="108" w:type="dxa"/>
          </w:tblCellMar>
        </w:tblPrEx>
        <w:trPr>
          <w:trHeight w:val="295" w:hRule="atLeast"/>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70C721AB">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5D3E0FC6">
            <w:pPr>
              <w:widowControl/>
              <w:spacing w:line="240" w:lineRule="exact"/>
              <w:jc w:val="center"/>
              <w:textAlignment w:val="center"/>
              <w:rPr>
                <w:rFonts w:ascii="宋体" w:hAnsi="宋体" w:eastAsia="宋体" w:cs="宋体"/>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668EB471">
            <w:pPr>
              <w:widowControl/>
              <w:spacing w:line="240" w:lineRule="exact"/>
              <w:jc w:val="center"/>
              <w:textAlignment w:val="center"/>
              <w:rPr>
                <w:rFonts w:ascii="宋体" w:hAnsi="宋体" w:eastAsia="宋体" w:cs="宋体"/>
                <w:color w:val="000000"/>
                <w:kern w:val="0"/>
                <w:sz w:val="24"/>
              </w:rPr>
            </w:pPr>
          </w:p>
        </w:tc>
        <w:tc>
          <w:tcPr>
            <w:tcW w:w="1246" w:type="dxa"/>
            <w:vMerge w:val="continue"/>
            <w:tcBorders>
              <w:top w:val="single" w:color="000000" w:sz="4" w:space="0"/>
              <w:left w:val="single" w:color="000000" w:sz="4" w:space="0"/>
              <w:bottom w:val="single" w:color="000000" w:sz="4" w:space="0"/>
              <w:right w:val="single" w:color="000000" w:sz="4" w:space="0"/>
            </w:tcBorders>
            <w:noWrap/>
            <w:vAlign w:val="center"/>
          </w:tcPr>
          <w:p w14:paraId="2CFC0304">
            <w:pPr>
              <w:widowControl/>
              <w:spacing w:line="240" w:lineRule="exact"/>
              <w:jc w:val="center"/>
              <w:textAlignment w:val="center"/>
              <w:rPr>
                <w:rFonts w:ascii="宋体" w:hAnsi="宋体" w:eastAsia="宋体" w:cs="宋体"/>
                <w:color w:val="000000"/>
                <w:kern w:val="0"/>
                <w:sz w:val="24"/>
              </w:rPr>
            </w:pPr>
          </w:p>
        </w:tc>
        <w:tc>
          <w:tcPr>
            <w:tcW w:w="938" w:type="dxa"/>
            <w:vMerge w:val="continue"/>
            <w:tcBorders>
              <w:top w:val="single" w:color="000000" w:sz="4" w:space="0"/>
              <w:left w:val="single" w:color="000000" w:sz="4" w:space="0"/>
              <w:bottom w:val="single" w:color="000000" w:sz="4" w:space="0"/>
              <w:right w:val="single" w:color="000000" w:sz="4" w:space="0"/>
            </w:tcBorders>
            <w:noWrap/>
            <w:vAlign w:val="center"/>
          </w:tcPr>
          <w:p w14:paraId="449D8B48">
            <w:pPr>
              <w:widowControl/>
              <w:spacing w:line="240" w:lineRule="exact"/>
              <w:jc w:val="center"/>
              <w:textAlignment w:val="center"/>
              <w:rPr>
                <w:rFonts w:ascii="宋体" w:hAnsi="宋体" w:eastAsia="宋体" w:cs="宋体"/>
                <w:color w:val="000000"/>
                <w:kern w:val="0"/>
                <w:sz w:val="24"/>
              </w:rPr>
            </w:pPr>
          </w:p>
        </w:tc>
        <w:tc>
          <w:tcPr>
            <w:tcW w:w="642" w:type="dxa"/>
            <w:tcBorders>
              <w:top w:val="single" w:color="000000" w:sz="4" w:space="0"/>
              <w:left w:val="single" w:color="000000" w:sz="4" w:space="0"/>
              <w:right w:val="single" w:color="000000" w:sz="4" w:space="0"/>
            </w:tcBorders>
            <w:noWrap/>
            <w:vAlign w:val="center"/>
          </w:tcPr>
          <w:p w14:paraId="473BD93E">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三年</w:t>
            </w:r>
          </w:p>
          <w:p w14:paraId="0443E69E">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均值</w:t>
            </w: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04CC1421">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2023</w:t>
            </w:r>
            <w:r>
              <w:rPr>
                <w:rFonts w:ascii="宋体" w:hAnsi="宋体" w:eastAsia="宋体" w:cs="宋体"/>
                <w:color w:val="000000"/>
                <w:kern w:val="0"/>
                <w:sz w:val="24"/>
              </w:rPr>
              <w:t>年</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724AEB9F">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2024</w:t>
            </w:r>
            <w:r>
              <w:rPr>
                <w:rFonts w:ascii="宋体" w:hAnsi="宋体" w:eastAsia="宋体" w:cs="宋体"/>
                <w:color w:val="000000"/>
                <w:kern w:val="0"/>
                <w:sz w:val="24"/>
              </w:rPr>
              <w:t>年</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6684535D">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2025</w:t>
            </w:r>
            <w:r>
              <w:rPr>
                <w:rFonts w:ascii="宋体" w:hAnsi="宋体" w:eastAsia="宋体" w:cs="宋体"/>
                <w:color w:val="000000"/>
                <w:kern w:val="0"/>
                <w:sz w:val="24"/>
              </w:rPr>
              <w:t>年</w:t>
            </w:r>
          </w:p>
        </w:tc>
        <w:tc>
          <w:tcPr>
            <w:tcW w:w="1931" w:type="dxa"/>
            <w:vMerge w:val="continue"/>
            <w:tcBorders>
              <w:left w:val="single" w:color="000000" w:sz="4" w:space="0"/>
              <w:right w:val="single" w:color="000000" w:sz="4" w:space="0"/>
            </w:tcBorders>
            <w:noWrap/>
            <w:vAlign w:val="center"/>
          </w:tcPr>
          <w:p w14:paraId="72D463C4">
            <w:pPr>
              <w:widowControl/>
              <w:spacing w:line="240" w:lineRule="exact"/>
              <w:jc w:val="center"/>
              <w:textAlignment w:val="center"/>
              <w:rPr>
                <w:rFonts w:ascii="宋体" w:hAnsi="宋体" w:eastAsia="宋体" w:cs="宋体"/>
                <w:color w:val="000000"/>
                <w:kern w:val="0"/>
                <w:sz w:val="24"/>
              </w:rPr>
            </w:pPr>
          </w:p>
        </w:tc>
      </w:tr>
      <w:tr w14:paraId="16D8D39E">
        <w:tblPrEx>
          <w:tblCellMar>
            <w:top w:w="0" w:type="dxa"/>
            <w:left w:w="108" w:type="dxa"/>
            <w:bottom w:w="0" w:type="dxa"/>
            <w:right w:w="108" w:type="dxa"/>
          </w:tblCellMar>
        </w:tblPrEx>
        <w:trPr>
          <w:trHeight w:val="90" w:hRule="atLeast"/>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75EEBC7F">
            <w:pPr>
              <w:widowControl/>
              <w:spacing w:line="240" w:lineRule="exact"/>
              <w:jc w:val="center"/>
              <w:textAlignment w:val="center"/>
              <w:rPr>
                <w:rFonts w:ascii="宋体" w:hAnsi="宋体" w:eastAsia="宋体" w:cs="宋体"/>
                <w:color w:val="000000"/>
                <w:kern w:val="0"/>
                <w:sz w:val="24"/>
              </w:rPr>
            </w:pPr>
          </w:p>
        </w:tc>
        <w:tc>
          <w:tcPr>
            <w:tcW w:w="593" w:type="dxa"/>
            <w:vMerge w:val="restart"/>
            <w:tcBorders>
              <w:top w:val="single" w:color="000000" w:sz="4" w:space="0"/>
              <w:left w:val="single" w:color="000000" w:sz="4" w:space="0"/>
              <w:bottom w:val="single" w:color="000000" w:sz="4" w:space="0"/>
              <w:right w:val="single" w:color="000000" w:sz="4" w:space="0"/>
            </w:tcBorders>
            <w:noWrap/>
            <w:vAlign w:val="center"/>
          </w:tcPr>
          <w:p w14:paraId="34CADA34">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成本指标</w:t>
            </w:r>
          </w:p>
        </w:tc>
        <w:tc>
          <w:tcPr>
            <w:tcW w:w="803" w:type="dxa"/>
            <w:vMerge w:val="restart"/>
            <w:tcBorders>
              <w:top w:val="single" w:color="000000" w:sz="4" w:space="0"/>
              <w:left w:val="single" w:color="000000" w:sz="4" w:space="0"/>
              <w:bottom w:val="single" w:color="000000" w:sz="4" w:space="0"/>
              <w:right w:val="single" w:color="000000" w:sz="4" w:space="0"/>
            </w:tcBorders>
            <w:noWrap/>
            <w:vAlign w:val="center"/>
          </w:tcPr>
          <w:p w14:paraId="1785EAA1">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预算管理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1191EAD1">
            <w:pPr>
              <w:widowControl/>
              <w:spacing w:line="240" w:lineRule="exact"/>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财政拨款</w:t>
            </w:r>
            <w:r>
              <w:rPr>
                <w:rFonts w:ascii="宋体" w:hAnsi="宋体" w:eastAsia="宋体" w:cs="宋体"/>
                <w:color w:val="000000"/>
                <w:kern w:val="0"/>
                <w:sz w:val="21"/>
                <w:szCs w:val="21"/>
              </w:rPr>
              <w:t>预算编制偏离度</w:t>
            </w:r>
          </w:p>
        </w:tc>
        <w:tc>
          <w:tcPr>
            <w:tcW w:w="938" w:type="dxa"/>
            <w:tcBorders>
              <w:top w:val="single" w:color="000000" w:sz="4" w:space="0"/>
              <w:left w:val="single" w:color="000000" w:sz="4" w:space="0"/>
              <w:bottom w:val="single" w:color="000000" w:sz="4" w:space="0"/>
              <w:right w:val="single" w:color="000000" w:sz="4" w:space="0"/>
            </w:tcBorders>
            <w:noWrap/>
            <w:vAlign w:val="center"/>
          </w:tcPr>
          <w:p w14:paraId="4EF2BD62">
            <w:pPr>
              <w:widowControl/>
              <w:spacing w:line="240" w:lineRule="exact"/>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r>
              <w:rPr>
                <w:rFonts w:hint="eastAsia" w:ascii="宋体" w:hAnsi="宋体" w:eastAsia="宋体" w:cs="宋体"/>
                <w:color w:val="000000"/>
                <w:kern w:val="0"/>
                <w:sz w:val="18"/>
                <w:szCs w:val="18"/>
                <w:lang w:val="en-US" w:eastAsia="zh-CN"/>
              </w:rPr>
              <w:t>45</w:t>
            </w:r>
            <w:r>
              <w:rPr>
                <w:rFonts w:hint="eastAsia" w:ascii="宋体" w:hAnsi="宋体" w:eastAsia="宋体" w:cs="宋体"/>
                <w:color w:val="000000"/>
                <w:kern w:val="0"/>
                <w:sz w:val="18"/>
                <w:szCs w:val="18"/>
              </w:rPr>
              <w:t>%</w:t>
            </w:r>
          </w:p>
        </w:tc>
        <w:tc>
          <w:tcPr>
            <w:tcW w:w="642" w:type="dxa"/>
            <w:tcBorders>
              <w:top w:val="single" w:color="000000" w:sz="4" w:space="0"/>
              <w:left w:val="single" w:color="000000" w:sz="4" w:space="0"/>
              <w:bottom w:val="single" w:color="000000" w:sz="4" w:space="0"/>
              <w:right w:val="single" w:color="000000" w:sz="4" w:space="0"/>
            </w:tcBorders>
            <w:noWrap/>
            <w:vAlign w:val="center"/>
          </w:tcPr>
          <w:p w14:paraId="7724CA26">
            <w:pPr>
              <w:keepNext w:val="0"/>
              <w:keepLines w:val="0"/>
              <w:widowControl/>
              <w:suppressLineNumbers w:val="0"/>
              <w:jc w:val="right"/>
              <w:textAlignment w:val="center"/>
              <w:rPr>
                <w:rFonts w:ascii="宋体" w:hAnsi="宋体" w:eastAsia="宋体" w:cs="宋体"/>
                <w:color w:val="000000"/>
                <w:kern w:val="0"/>
                <w:sz w:val="24"/>
              </w:rPr>
            </w:pPr>
            <w:r>
              <w:rPr>
                <w:rFonts w:hint="eastAsia" w:ascii="宋体" w:hAnsi="宋体" w:eastAsia="宋体" w:cs="宋体"/>
                <w:i w:val="0"/>
                <w:iCs w:val="0"/>
                <w:color w:val="000000"/>
                <w:kern w:val="0"/>
                <w:sz w:val="18"/>
                <w:szCs w:val="18"/>
                <w:u w:val="none"/>
                <w:lang w:val="en-US" w:eastAsia="zh-CN" w:bidi="ar"/>
              </w:rPr>
              <w:t>47.99%</w:t>
            </w: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26A53E33">
            <w:pPr>
              <w:keepNext w:val="0"/>
              <w:keepLines w:val="0"/>
              <w:widowControl/>
              <w:suppressLineNumbers w:val="0"/>
              <w:jc w:val="right"/>
              <w:textAlignment w:val="center"/>
              <w:rPr>
                <w:rFonts w:ascii="宋体" w:hAnsi="宋体" w:eastAsia="宋体" w:cs="宋体"/>
                <w:color w:val="000000"/>
                <w:kern w:val="0"/>
                <w:sz w:val="24"/>
              </w:rPr>
            </w:pPr>
            <w:r>
              <w:rPr>
                <w:rFonts w:hint="eastAsia" w:ascii="宋体" w:hAnsi="宋体" w:eastAsia="宋体" w:cs="宋体"/>
                <w:i w:val="0"/>
                <w:iCs w:val="0"/>
                <w:color w:val="000000"/>
                <w:kern w:val="0"/>
                <w:sz w:val="18"/>
                <w:szCs w:val="18"/>
                <w:u w:val="none"/>
                <w:lang w:val="en-US" w:eastAsia="zh-CN" w:bidi="ar"/>
              </w:rPr>
              <w:t>48.72%</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00D0AEB2">
            <w:pPr>
              <w:keepNext w:val="0"/>
              <w:keepLines w:val="0"/>
              <w:widowControl/>
              <w:suppressLineNumbers w:val="0"/>
              <w:jc w:val="right"/>
              <w:textAlignment w:val="center"/>
              <w:rPr>
                <w:rFonts w:ascii="宋体" w:hAnsi="宋体" w:eastAsia="宋体" w:cs="宋体"/>
                <w:color w:val="000000"/>
                <w:kern w:val="0"/>
                <w:sz w:val="24"/>
              </w:rPr>
            </w:pPr>
            <w:r>
              <w:rPr>
                <w:rFonts w:hint="eastAsia" w:ascii="宋体" w:hAnsi="宋体" w:eastAsia="宋体" w:cs="宋体"/>
                <w:i w:val="0"/>
                <w:iCs w:val="0"/>
                <w:color w:val="000000"/>
                <w:kern w:val="0"/>
                <w:sz w:val="18"/>
                <w:szCs w:val="18"/>
                <w:u w:val="none"/>
                <w:lang w:val="en-US" w:eastAsia="zh-CN" w:bidi="ar"/>
              </w:rPr>
              <w:t>34.67%</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13C1AA14">
            <w:pPr>
              <w:keepNext w:val="0"/>
              <w:keepLines w:val="0"/>
              <w:widowControl/>
              <w:suppressLineNumbers w:val="0"/>
              <w:jc w:val="right"/>
              <w:textAlignment w:val="center"/>
              <w:rPr>
                <w:rFonts w:ascii="宋体" w:hAnsi="宋体" w:eastAsia="宋体" w:cs="宋体"/>
                <w:color w:val="000000"/>
                <w:kern w:val="0"/>
                <w:sz w:val="24"/>
              </w:rPr>
            </w:pPr>
            <w:r>
              <w:rPr>
                <w:rFonts w:hint="eastAsia" w:ascii="宋体" w:hAnsi="宋体" w:eastAsia="宋体" w:cs="宋体"/>
                <w:i w:val="0"/>
                <w:iCs w:val="0"/>
                <w:color w:val="000000"/>
                <w:kern w:val="0"/>
                <w:sz w:val="18"/>
                <w:szCs w:val="18"/>
                <w:u w:val="none"/>
                <w:lang w:val="en-US" w:eastAsia="zh-CN" w:bidi="ar"/>
              </w:rPr>
              <w:t>60.57%</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6BB6F6B9">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60.57%</w:t>
            </w:r>
          </w:p>
        </w:tc>
      </w:tr>
      <w:tr w14:paraId="528521E2">
        <w:tblPrEx>
          <w:tblCellMar>
            <w:top w:w="0" w:type="dxa"/>
            <w:left w:w="108" w:type="dxa"/>
            <w:bottom w:w="0" w:type="dxa"/>
            <w:right w:w="108" w:type="dxa"/>
          </w:tblCellMar>
        </w:tblPrEx>
        <w:trPr>
          <w:trHeight w:val="90" w:hRule="atLeast"/>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2E2B3472">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3FFA7F13">
            <w:pPr>
              <w:widowControl/>
              <w:spacing w:line="240" w:lineRule="exact"/>
              <w:jc w:val="center"/>
              <w:textAlignment w:val="center"/>
              <w:rPr>
                <w:rFonts w:ascii="宋体" w:hAnsi="宋体" w:eastAsia="宋体" w:cs="宋体"/>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50F04FCF">
            <w:pPr>
              <w:widowControl/>
              <w:spacing w:line="240" w:lineRule="exact"/>
              <w:jc w:val="center"/>
              <w:textAlignment w:val="center"/>
              <w:rPr>
                <w:rFonts w:ascii="宋体" w:hAnsi="宋体" w:eastAsia="宋体" w:cs="宋体"/>
                <w:color w:val="000000"/>
                <w:kern w:val="0"/>
                <w:sz w:val="24"/>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4AA58620">
            <w:pPr>
              <w:widowControl/>
              <w:spacing w:line="240" w:lineRule="exact"/>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单位收入统筹度</w:t>
            </w:r>
          </w:p>
        </w:tc>
        <w:tc>
          <w:tcPr>
            <w:tcW w:w="938" w:type="dxa"/>
            <w:tcBorders>
              <w:top w:val="single" w:color="000000" w:sz="4" w:space="0"/>
              <w:left w:val="single" w:color="000000" w:sz="4" w:space="0"/>
              <w:bottom w:val="single" w:color="000000" w:sz="4" w:space="0"/>
              <w:right w:val="single" w:color="000000" w:sz="4" w:space="0"/>
            </w:tcBorders>
            <w:noWrap/>
            <w:vAlign w:val="center"/>
          </w:tcPr>
          <w:p w14:paraId="1EA38A04">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w:t>
            </w:r>
            <w:r>
              <w:rPr>
                <w:rFonts w:hint="eastAsia" w:ascii="宋体" w:hAnsi="宋体" w:eastAsia="宋体" w:cs="宋体"/>
                <w:color w:val="000000"/>
                <w:kern w:val="0"/>
                <w:sz w:val="24"/>
                <w:lang w:val="en-US" w:eastAsia="zh-CN"/>
              </w:rPr>
              <w:t>0</w:t>
            </w:r>
            <w:r>
              <w:rPr>
                <w:rFonts w:hint="eastAsia" w:ascii="宋体" w:hAnsi="宋体" w:eastAsia="宋体" w:cs="宋体"/>
                <w:color w:val="000000"/>
                <w:kern w:val="0"/>
                <w:sz w:val="24"/>
              </w:rPr>
              <w:t>%</w:t>
            </w:r>
          </w:p>
        </w:tc>
        <w:tc>
          <w:tcPr>
            <w:tcW w:w="642" w:type="dxa"/>
            <w:tcBorders>
              <w:top w:val="single" w:color="000000" w:sz="4" w:space="0"/>
              <w:left w:val="single" w:color="000000" w:sz="4" w:space="0"/>
              <w:bottom w:val="single" w:color="000000" w:sz="4" w:space="0"/>
              <w:right w:val="single" w:color="000000" w:sz="4" w:space="0"/>
            </w:tcBorders>
            <w:noWrap/>
            <w:vAlign w:val="center"/>
          </w:tcPr>
          <w:p w14:paraId="07429667">
            <w:pPr>
              <w:widowControl/>
              <w:spacing w:line="240" w:lineRule="exact"/>
              <w:jc w:val="center"/>
              <w:textAlignment w:val="center"/>
              <w:rPr>
                <w:rFonts w:ascii="宋体" w:hAnsi="宋体" w:eastAsia="宋体" w:cs="宋体"/>
                <w:color w:val="000000"/>
                <w:kern w:val="0"/>
                <w:sz w:val="24"/>
              </w:rPr>
            </w:pP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3B01ACA2">
            <w:pPr>
              <w:widowControl/>
              <w:spacing w:line="240" w:lineRule="exact"/>
              <w:jc w:val="center"/>
              <w:textAlignment w:val="center"/>
              <w:rPr>
                <w:rFonts w:ascii="宋体" w:hAnsi="宋体" w:eastAsia="宋体" w:cs="宋体"/>
                <w:color w:val="000000"/>
                <w:kern w:val="0"/>
                <w:sz w:val="24"/>
              </w:rPr>
            </w:pP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2D81A78E">
            <w:pPr>
              <w:widowControl/>
              <w:spacing w:line="240" w:lineRule="exact"/>
              <w:jc w:val="center"/>
              <w:textAlignment w:val="center"/>
              <w:rPr>
                <w:rFonts w:ascii="宋体" w:hAnsi="宋体" w:eastAsia="宋体" w:cs="宋体"/>
                <w:color w:val="000000"/>
                <w:kern w:val="0"/>
                <w:sz w:val="24"/>
              </w:rPr>
            </w:pP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3972A628">
            <w:pPr>
              <w:widowControl/>
              <w:spacing w:line="240" w:lineRule="exact"/>
              <w:jc w:val="center"/>
              <w:textAlignment w:val="center"/>
              <w:rPr>
                <w:rFonts w:ascii="宋体" w:hAnsi="宋体" w:eastAsia="宋体" w:cs="宋体"/>
                <w:color w:val="000000"/>
                <w:kern w:val="0"/>
                <w:sz w:val="24"/>
              </w:rPr>
            </w:pP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1434B233">
            <w:pPr>
              <w:widowControl/>
              <w:spacing w:line="240" w:lineRule="exact"/>
              <w:jc w:val="center"/>
              <w:textAlignment w:val="center"/>
              <w:rPr>
                <w:rFonts w:ascii="宋体" w:hAnsi="宋体" w:eastAsia="宋体" w:cs="宋体"/>
                <w:color w:val="000000"/>
                <w:kern w:val="0"/>
                <w:sz w:val="24"/>
              </w:rPr>
            </w:pPr>
          </w:p>
        </w:tc>
      </w:tr>
      <w:tr w14:paraId="04851EA0">
        <w:tblPrEx>
          <w:tblCellMar>
            <w:top w:w="0" w:type="dxa"/>
            <w:left w:w="108" w:type="dxa"/>
            <w:bottom w:w="0" w:type="dxa"/>
            <w:right w:w="108" w:type="dxa"/>
          </w:tblCellMar>
        </w:tblPrEx>
        <w:trPr>
          <w:trHeight w:val="90" w:hRule="atLeast"/>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5E3BB9E6">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15D9F90D">
            <w:pPr>
              <w:widowControl/>
              <w:spacing w:line="240" w:lineRule="exact"/>
              <w:jc w:val="center"/>
              <w:textAlignment w:val="center"/>
              <w:rPr>
                <w:rFonts w:ascii="宋体" w:hAnsi="宋体" w:eastAsia="宋体" w:cs="宋体"/>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604FF85B">
            <w:pPr>
              <w:widowControl/>
              <w:spacing w:line="240" w:lineRule="exact"/>
              <w:jc w:val="center"/>
              <w:textAlignment w:val="center"/>
              <w:rPr>
                <w:rFonts w:ascii="宋体" w:hAnsi="宋体" w:eastAsia="宋体" w:cs="宋体"/>
                <w:color w:val="000000"/>
                <w:kern w:val="0"/>
                <w:sz w:val="24"/>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11638321">
            <w:pPr>
              <w:widowControl/>
              <w:spacing w:line="240" w:lineRule="exact"/>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预算年终结余</w:t>
            </w:r>
            <w:r>
              <w:rPr>
                <w:rFonts w:ascii="宋体" w:hAnsi="宋体" w:eastAsia="宋体" w:cs="宋体"/>
                <w:color w:val="000000"/>
                <w:kern w:val="0"/>
                <w:sz w:val="21"/>
                <w:szCs w:val="21"/>
              </w:rPr>
              <w:t>率</w:t>
            </w:r>
          </w:p>
        </w:tc>
        <w:tc>
          <w:tcPr>
            <w:tcW w:w="938" w:type="dxa"/>
            <w:tcBorders>
              <w:top w:val="single" w:color="000000" w:sz="4" w:space="0"/>
              <w:left w:val="single" w:color="000000" w:sz="4" w:space="0"/>
              <w:bottom w:val="single" w:color="000000" w:sz="4" w:space="0"/>
              <w:right w:val="single" w:color="000000" w:sz="4" w:space="0"/>
            </w:tcBorders>
            <w:noWrap/>
            <w:vAlign w:val="center"/>
          </w:tcPr>
          <w:p w14:paraId="13E0E343">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w:t>
            </w:r>
          </w:p>
        </w:tc>
        <w:tc>
          <w:tcPr>
            <w:tcW w:w="642" w:type="dxa"/>
            <w:tcBorders>
              <w:top w:val="single" w:color="000000" w:sz="4" w:space="0"/>
              <w:left w:val="single" w:color="000000" w:sz="4" w:space="0"/>
              <w:bottom w:val="single" w:color="000000" w:sz="4" w:space="0"/>
              <w:right w:val="single" w:color="000000" w:sz="4" w:space="0"/>
            </w:tcBorders>
            <w:noWrap/>
            <w:vAlign w:val="center"/>
          </w:tcPr>
          <w:p w14:paraId="220BAB76">
            <w:pPr>
              <w:widowControl/>
              <w:spacing w:line="240" w:lineRule="exact"/>
              <w:jc w:val="center"/>
              <w:textAlignment w:val="center"/>
              <w:rPr>
                <w:rFonts w:ascii="宋体" w:hAnsi="宋体" w:eastAsia="宋体" w:cs="宋体"/>
                <w:color w:val="000000"/>
                <w:kern w:val="0"/>
                <w:sz w:val="24"/>
              </w:rPr>
            </w:pP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577E348D">
            <w:pPr>
              <w:widowControl/>
              <w:spacing w:line="240" w:lineRule="exact"/>
              <w:jc w:val="center"/>
              <w:textAlignment w:val="center"/>
              <w:rPr>
                <w:rFonts w:ascii="宋体" w:hAnsi="宋体" w:eastAsia="宋体" w:cs="宋体"/>
                <w:color w:val="000000"/>
                <w:kern w:val="0"/>
                <w:sz w:val="24"/>
              </w:rPr>
            </w:pP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2B6F5196">
            <w:pPr>
              <w:widowControl/>
              <w:spacing w:line="240" w:lineRule="exact"/>
              <w:jc w:val="center"/>
              <w:textAlignment w:val="center"/>
              <w:rPr>
                <w:rFonts w:ascii="宋体" w:hAnsi="宋体" w:eastAsia="宋体" w:cs="宋体"/>
                <w:color w:val="000000"/>
                <w:kern w:val="0"/>
                <w:sz w:val="24"/>
              </w:rPr>
            </w:pP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618516E6">
            <w:pPr>
              <w:widowControl/>
              <w:spacing w:line="240" w:lineRule="exact"/>
              <w:jc w:val="center"/>
              <w:textAlignment w:val="center"/>
              <w:rPr>
                <w:rFonts w:ascii="宋体" w:hAnsi="宋体" w:eastAsia="宋体" w:cs="宋体"/>
                <w:color w:val="000000"/>
                <w:kern w:val="0"/>
                <w:sz w:val="24"/>
              </w:rPr>
            </w:pP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68E45333">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w:t>
            </w:r>
          </w:p>
        </w:tc>
      </w:tr>
      <w:tr w14:paraId="6C906059">
        <w:tblPrEx>
          <w:tblCellMar>
            <w:top w:w="0" w:type="dxa"/>
            <w:left w:w="108" w:type="dxa"/>
            <w:bottom w:w="0" w:type="dxa"/>
            <w:right w:w="108" w:type="dxa"/>
          </w:tblCellMar>
        </w:tblPrEx>
        <w:trPr>
          <w:trHeight w:val="90" w:hRule="atLeast"/>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12178AA1">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28DFF07B">
            <w:pPr>
              <w:widowControl/>
              <w:spacing w:line="240" w:lineRule="exact"/>
              <w:jc w:val="center"/>
              <w:textAlignment w:val="center"/>
              <w:rPr>
                <w:rFonts w:ascii="宋体" w:hAnsi="宋体" w:eastAsia="宋体" w:cs="宋体"/>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0BD7986D">
            <w:pPr>
              <w:widowControl/>
              <w:spacing w:line="240" w:lineRule="exact"/>
              <w:jc w:val="center"/>
              <w:textAlignment w:val="center"/>
              <w:rPr>
                <w:rFonts w:ascii="宋体" w:hAnsi="宋体" w:eastAsia="宋体" w:cs="宋体"/>
                <w:color w:val="000000"/>
                <w:kern w:val="0"/>
                <w:sz w:val="24"/>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509652CE">
            <w:pPr>
              <w:widowControl/>
              <w:spacing w:line="240" w:lineRule="exact"/>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一般性支出</w:t>
            </w:r>
            <w:r>
              <w:rPr>
                <w:rFonts w:ascii="宋体" w:hAnsi="宋体" w:eastAsia="宋体" w:cs="宋体"/>
                <w:color w:val="000000"/>
                <w:kern w:val="0"/>
                <w:sz w:val="21"/>
                <w:szCs w:val="21"/>
              </w:rPr>
              <w:t>金额</w:t>
            </w:r>
          </w:p>
        </w:tc>
        <w:tc>
          <w:tcPr>
            <w:tcW w:w="938" w:type="dxa"/>
            <w:tcBorders>
              <w:top w:val="single" w:color="000000" w:sz="4" w:space="0"/>
              <w:left w:val="single" w:color="000000" w:sz="4" w:space="0"/>
              <w:bottom w:val="single" w:color="000000" w:sz="4" w:space="0"/>
              <w:right w:val="single" w:color="000000" w:sz="4" w:space="0"/>
            </w:tcBorders>
            <w:noWrap/>
            <w:vAlign w:val="center"/>
          </w:tcPr>
          <w:p w14:paraId="357A0BCA">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w:t>
            </w:r>
            <w:r>
              <w:rPr>
                <w:rFonts w:hint="eastAsia" w:ascii="宋体" w:hAnsi="宋体" w:eastAsia="宋体" w:cs="宋体"/>
                <w:color w:val="000000"/>
                <w:kern w:val="0"/>
                <w:sz w:val="24"/>
                <w:lang w:val="en-US" w:eastAsia="zh-CN"/>
              </w:rPr>
              <w:t>140.2</w:t>
            </w:r>
            <w:r>
              <w:rPr>
                <w:rFonts w:ascii="宋体" w:hAnsi="宋体" w:eastAsia="宋体" w:cs="宋体"/>
                <w:color w:val="000000"/>
                <w:kern w:val="0"/>
                <w:sz w:val="24"/>
              </w:rPr>
              <w:t>万元</w:t>
            </w:r>
          </w:p>
        </w:tc>
        <w:tc>
          <w:tcPr>
            <w:tcW w:w="3816" w:type="dxa"/>
            <w:gridSpan w:val="4"/>
            <w:tcBorders>
              <w:top w:val="single" w:color="000000" w:sz="4" w:space="0"/>
              <w:left w:val="single" w:color="000000" w:sz="4" w:space="0"/>
              <w:bottom w:val="single" w:color="000000" w:sz="4" w:space="0"/>
              <w:right w:val="single" w:color="000000" w:sz="4" w:space="0"/>
            </w:tcBorders>
            <w:noWrap/>
            <w:vAlign w:val="center"/>
          </w:tcPr>
          <w:p w14:paraId="13B13D6E">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x</w:t>
            </w:r>
            <w:r>
              <w:rPr>
                <w:rFonts w:ascii="宋体" w:hAnsi="宋体" w:eastAsia="宋体" w:cs="宋体"/>
                <w:color w:val="000000"/>
                <w:kern w:val="0"/>
                <w:sz w:val="24"/>
              </w:rPr>
              <w:t>为上年一般性支出金额</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6DC99995">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116.21万元</w:t>
            </w:r>
          </w:p>
        </w:tc>
      </w:tr>
      <w:tr w14:paraId="23F1A094">
        <w:tblPrEx>
          <w:tblCellMar>
            <w:top w:w="0" w:type="dxa"/>
            <w:left w:w="108" w:type="dxa"/>
            <w:bottom w:w="0" w:type="dxa"/>
            <w:right w:w="108" w:type="dxa"/>
          </w:tblCellMar>
        </w:tblPrEx>
        <w:trPr>
          <w:trHeight w:val="90" w:hRule="atLeast"/>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2ED629C8">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63DA2681">
            <w:pPr>
              <w:widowControl/>
              <w:spacing w:line="240" w:lineRule="exact"/>
              <w:jc w:val="center"/>
              <w:textAlignment w:val="center"/>
              <w:rPr>
                <w:rFonts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6A6E84F6">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财务管理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6F94D2A8">
            <w:pPr>
              <w:widowControl/>
              <w:spacing w:line="240" w:lineRule="exact"/>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财务管理规范</w:t>
            </w:r>
          </w:p>
        </w:tc>
        <w:tc>
          <w:tcPr>
            <w:tcW w:w="938" w:type="dxa"/>
            <w:tcBorders>
              <w:top w:val="single" w:color="000000" w:sz="4" w:space="0"/>
              <w:left w:val="single" w:color="000000" w:sz="4" w:space="0"/>
              <w:bottom w:val="single" w:color="000000" w:sz="4" w:space="0"/>
              <w:right w:val="single" w:color="000000" w:sz="4" w:space="0"/>
            </w:tcBorders>
            <w:noWrap/>
            <w:vAlign w:val="center"/>
          </w:tcPr>
          <w:p w14:paraId="3B4AD124">
            <w:pPr>
              <w:widowControl/>
              <w:spacing w:line="240" w:lineRule="exact"/>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优</w:t>
            </w:r>
          </w:p>
        </w:tc>
        <w:tc>
          <w:tcPr>
            <w:tcW w:w="3816" w:type="dxa"/>
            <w:gridSpan w:val="4"/>
            <w:tcBorders>
              <w:top w:val="single" w:color="000000" w:sz="4" w:space="0"/>
              <w:left w:val="single" w:color="000000" w:sz="4" w:space="0"/>
              <w:bottom w:val="single" w:color="000000" w:sz="4" w:space="0"/>
              <w:right w:val="single" w:color="000000" w:sz="4" w:space="0"/>
            </w:tcBorders>
            <w:noWrap/>
            <w:vAlign w:val="center"/>
          </w:tcPr>
          <w:p w14:paraId="509FD110">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x</w:t>
            </w:r>
            <w:r>
              <w:rPr>
                <w:rFonts w:ascii="宋体" w:hAnsi="宋体" w:eastAsia="宋体" w:cs="宋体"/>
                <w:color w:val="000000"/>
                <w:kern w:val="0"/>
                <w:sz w:val="24"/>
              </w:rPr>
              <w:t>为“优”“良”“中”或“差”</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4001AD8C">
            <w:pPr>
              <w:widowControl/>
              <w:spacing w:line="240" w:lineRule="exact"/>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优</w:t>
            </w:r>
          </w:p>
        </w:tc>
      </w:tr>
      <w:tr w14:paraId="592E98AA">
        <w:tblPrEx>
          <w:tblCellMar>
            <w:top w:w="0" w:type="dxa"/>
            <w:left w:w="108" w:type="dxa"/>
            <w:bottom w:w="0" w:type="dxa"/>
            <w:right w:w="108" w:type="dxa"/>
          </w:tblCellMar>
        </w:tblPrEx>
        <w:trPr>
          <w:trHeight w:val="90" w:hRule="atLeast"/>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272DE69D">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12D4B526">
            <w:pPr>
              <w:widowControl/>
              <w:spacing w:line="240" w:lineRule="exact"/>
              <w:jc w:val="center"/>
              <w:textAlignment w:val="center"/>
              <w:rPr>
                <w:rFonts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6D0D9B13">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资产管理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60BE70ED">
            <w:pPr>
              <w:widowControl/>
              <w:spacing w:line="240" w:lineRule="exact"/>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资产配置预算偏离度</w:t>
            </w:r>
          </w:p>
        </w:tc>
        <w:tc>
          <w:tcPr>
            <w:tcW w:w="938" w:type="dxa"/>
            <w:tcBorders>
              <w:top w:val="single" w:color="000000" w:sz="4" w:space="0"/>
              <w:left w:val="single" w:color="000000" w:sz="4" w:space="0"/>
              <w:bottom w:val="single" w:color="000000" w:sz="4" w:space="0"/>
              <w:right w:val="single" w:color="000000" w:sz="4" w:space="0"/>
            </w:tcBorders>
            <w:noWrap/>
            <w:vAlign w:val="center"/>
          </w:tcPr>
          <w:p w14:paraId="04D56C7C">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w:t>
            </w:r>
            <w:r>
              <w:rPr>
                <w:rFonts w:hint="eastAsia" w:ascii="宋体" w:hAnsi="宋体" w:eastAsia="宋体" w:cs="宋体"/>
                <w:color w:val="000000"/>
                <w:kern w:val="0"/>
                <w:sz w:val="24"/>
                <w:lang w:val="en-US" w:eastAsia="zh-CN"/>
              </w:rPr>
              <w:t>0</w:t>
            </w:r>
            <w:r>
              <w:rPr>
                <w:rFonts w:ascii="宋体" w:hAnsi="宋体" w:eastAsia="宋体" w:cs="宋体"/>
                <w:color w:val="000000"/>
                <w:kern w:val="0"/>
                <w:sz w:val="24"/>
              </w:rPr>
              <w:t>%</w:t>
            </w:r>
          </w:p>
        </w:tc>
        <w:tc>
          <w:tcPr>
            <w:tcW w:w="642" w:type="dxa"/>
            <w:tcBorders>
              <w:top w:val="single" w:color="000000" w:sz="4" w:space="0"/>
              <w:left w:val="single" w:color="000000" w:sz="4" w:space="0"/>
              <w:bottom w:val="single" w:color="000000" w:sz="4" w:space="0"/>
              <w:right w:val="single" w:color="000000" w:sz="4" w:space="0"/>
            </w:tcBorders>
            <w:noWrap/>
            <w:vAlign w:val="center"/>
          </w:tcPr>
          <w:p w14:paraId="260CC940">
            <w:pPr>
              <w:widowControl/>
              <w:spacing w:line="240" w:lineRule="exact"/>
              <w:jc w:val="center"/>
              <w:textAlignment w:val="center"/>
              <w:rPr>
                <w:rFonts w:ascii="宋体" w:hAnsi="宋体" w:eastAsia="宋体" w:cs="宋体"/>
                <w:color w:val="000000"/>
                <w:kern w:val="0"/>
                <w:sz w:val="24"/>
              </w:rPr>
            </w:pP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6F707DFE">
            <w:pPr>
              <w:widowControl/>
              <w:spacing w:line="240" w:lineRule="exact"/>
              <w:jc w:val="center"/>
              <w:textAlignment w:val="center"/>
              <w:rPr>
                <w:rFonts w:ascii="宋体" w:hAnsi="宋体" w:eastAsia="宋体" w:cs="宋体"/>
                <w:color w:val="000000"/>
                <w:kern w:val="0"/>
                <w:sz w:val="24"/>
              </w:rPr>
            </w:pP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3CD1CDBC">
            <w:pPr>
              <w:widowControl/>
              <w:spacing w:line="240" w:lineRule="exact"/>
              <w:jc w:val="center"/>
              <w:textAlignment w:val="center"/>
              <w:rPr>
                <w:rFonts w:ascii="宋体" w:hAnsi="宋体" w:eastAsia="宋体" w:cs="宋体"/>
                <w:color w:val="000000"/>
                <w:kern w:val="0"/>
                <w:sz w:val="24"/>
              </w:rPr>
            </w:pP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210FBF99">
            <w:pPr>
              <w:widowControl/>
              <w:spacing w:line="240" w:lineRule="exact"/>
              <w:jc w:val="center"/>
              <w:textAlignment w:val="center"/>
              <w:rPr>
                <w:rFonts w:ascii="宋体" w:hAnsi="宋体" w:eastAsia="宋体" w:cs="宋体"/>
                <w:color w:val="000000"/>
                <w:kern w:val="0"/>
                <w:sz w:val="24"/>
              </w:rPr>
            </w:pP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68441FD4">
            <w:pPr>
              <w:widowControl/>
              <w:spacing w:line="240" w:lineRule="exact"/>
              <w:jc w:val="center"/>
              <w:textAlignment w:val="center"/>
              <w:rPr>
                <w:rFonts w:ascii="宋体" w:hAnsi="宋体" w:eastAsia="宋体" w:cs="宋体"/>
                <w:color w:val="000000"/>
                <w:kern w:val="0"/>
                <w:sz w:val="24"/>
              </w:rPr>
            </w:pPr>
          </w:p>
        </w:tc>
      </w:tr>
      <w:tr w14:paraId="00AD23EE">
        <w:tblPrEx>
          <w:tblCellMar>
            <w:top w:w="0" w:type="dxa"/>
            <w:left w:w="108" w:type="dxa"/>
            <w:bottom w:w="0" w:type="dxa"/>
            <w:right w:w="108" w:type="dxa"/>
          </w:tblCellMar>
        </w:tblPrEx>
        <w:trPr>
          <w:trHeight w:val="90" w:hRule="atLeast"/>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360C4A50">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75DD521A">
            <w:pPr>
              <w:widowControl/>
              <w:spacing w:line="240" w:lineRule="exact"/>
              <w:jc w:val="center"/>
              <w:textAlignment w:val="center"/>
              <w:rPr>
                <w:rFonts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2AD42EF5">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采购管理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3F2E2B08">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采购执行率</w:t>
            </w:r>
          </w:p>
        </w:tc>
        <w:tc>
          <w:tcPr>
            <w:tcW w:w="938" w:type="dxa"/>
            <w:tcBorders>
              <w:top w:val="single" w:color="000000" w:sz="4" w:space="0"/>
              <w:left w:val="single" w:color="000000" w:sz="4" w:space="0"/>
              <w:bottom w:val="single" w:color="000000" w:sz="4" w:space="0"/>
              <w:right w:val="single" w:color="000000" w:sz="4" w:space="0"/>
            </w:tcBorders>
            <w:noWrap/>
            <w:vAlign w:val="center"/>
          </w:tcPr>
          <w:p w14:paraId="14AD3BF7">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w:t>
            </w:r>
            <w:r>
              <w:rPr>
                <w:rFonts w:hint="eastAsia" w:ascii="宋体" w:hAnsi="宋体" w:eastAsia="宋体" w:cs="宋体"/>
                <w:color w:val="000000"/>
                <w:kern w:val="0"/>
                <w:sz w:val="24"/>
                <w:lang w:val="en-US" w:eastAsia="zh-CN"/>
              </w:rPr>
              <w:t>100</w:t>
            </w:r>
            <w:r>
              <w:rPr>
                <w:rFonts w:hint="eastAsia" w:ascii="宋体" w:hAnsi="宋体" w:eastAsia="宋体" w:cs="宋体"/>
                <w:color w:val="000000"/>
                <w:kern w:val="0"/>
                <w:sz w:val="24"/>
              </w:rPr>
              <w:t>%</w:t>
            </w:r>
          </w:p>
        </w:tc>
        <w:tc>
          <w:tcPr>
            <w:tcW w:w="642" w:type="dxa"/>
            <w:tcBorders>
              <w:top w:val="single" w:color="000000" w:sz="4" w:space="0"/>
              <w:left w:val="single" w:color="000000" w:sz="4" w:space="0"/>
              <w:bottom w:val="single" w:color="000000" w:sz="4" w:space="0"/>
              <w:right w:val="single" w:color="000000" w:sz="4" w:space="0"/>
            </w:tcBorders>
            <w:noWrap/>
            <w:vAlign w:val="center"/>
          </w:tcPr>
          <w:p w14:paraId="316C7D15">
            <w:pPr>
              <w:widowControl/>
              <w:spacing w:line="240" w:lineRule="exact"/>
              <w:jc w:val="center"/>
              <w:textAlignment w:val="center"/>
              <w:rPr>
                <w:rFonts w:ascii="宋体" w:hAnsi="宋体" w:eastAsia="宋体" w:cs="宋体"/>
                <w:color w:val="000000"/>
                <w:kern w:val="0"/>
                <w:sz w:val="24"/>
              </w:rPr>
            </w:pP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39DA8F70">
            <w:pPr>
              <w:widowControl/>
              <w:spacing w:line="240" w:lineRule="exact"/>
              <w:jc w:val="center"/>
              <w:textAlignment w:val="center"/>
              <w:rPr>
                <w:rFonts w:ascii="宋体" w:hAnsi="宋体" w:eastAsia="宋体" w:cs="宋体"/>
                <w:color w:val="000000"/>
                <w:kern w:val="0"/>
                <w:sz w:val="24"/>
              </w:rPr>
            </w:pP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6679F414">
            <w:pPr>
              <w:widowControl/>
              <w:spacing w:line="240" w:lineRule="exact"/>
              <w:jc w:val="center"/>
              <w:textAlignment w:val="center"/>
              <w:rPr>
                <w:rFonts w:ascii="宋体" w:hAnsi="宋体" w:eastAsia="宋体" w:cs="宋体"/>
                <w:color w:val="000000"/>
                <w:kern w:val="0"/>
                <w:sz w:val="24"/>
              </w:rPr>
            </w:pP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0A053F3B">
            <w:pPr>
              <w:widowControl/>
              <w:spacing w:line="240" w:lineRule="exact"/>
              <w:jc w:val="center"/>
              <w:textAlignment w:val="center"/>
              <w:rPr>
                <w:rFonts w:ascii="宋体" w:hAnsi="宋体" w:eastAsia="宋体" w:cs="宋体"/>
                <w:color w:val="000000"/>
                <w:kern w:val="0"/>
                <w:sz w:val="24"/>
              </w:rPr>
            </w:pP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165DCD3E">
            <w:pPr>
              <w:widowControl/>
              <w:spacing w:line="240" w:lineRule="exact"/>
              <w:jc w:val="center"/>
              <w:textAlignment w:val="center"/>
              <w:rPr>
                <w:rFonts w:ascii="宋体" w:hAnsi="宋体" w:eastAsia="宋体" w:cs="宋体"/>
                <w:color w:val="000000"/>
                <w:kern w:val="0"/>
                <w:sz w:val="24"/>
              </w:rPr>
            </w:pPr>
          </w:p>
        </w:tc>
      </w:tr>
      <w:tr w14:paraId="78FB178A">
        <w:tblPrEx>
          <w:tblCellMar>
            <w:top w:w="0" w:type="dxa"/>
            <w:left w:w="108" w:type="dxa"/>
            <w:bottom w:w="0" w:type="dxa"/>
            <w:right w:w="108" w:type="dxa"/>
          </w:tblCellMar>
        </w:tblPrEx>
        <w:trPr>
          <w:trHeight w:val="468" w:hRule="atLeast"/>
        </w:trPr>
        <w:tc>
          <w:tcPr>
            <w:tcW w:w="331" w:type="dxa"/>
            <w:vMerge w:val="restart"/>
            <w:tcBorders>
              <w:top w:val="single" w:color="000000" w:sz="4" w:space="0"/>
              <w:left w:val="single" w:color="000000" w:sz="4" w:space="0"/>
              <w:bottom w:val="single" w:color="000000" w:sz="4" w:space="0"/>
              <w:right w:val="single" w:color="000000" w:sz="4" w:space="0"/>
            </w:tcBorders>
            <w:noWrap/>
            <w:vAlign w:val="center"/>
          </w:tcPr>
          <w:p w14:paraId="2096CEAF">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履职效能</w:t>
            </w: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5B39676D">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一级指标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16F5FE94">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二级指标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5A186726">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三级指标</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6E6E73D2">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指标值（包含数字及文字描述）</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766966FE">
            <w:pPr>
              <w:widowControl/>
              <w:spacing w:line="240" w:lineRule="exact"/>
              <w:jc w:val="center"/>
              <w:textAlignment w:val="center"/>
              <w:rPr>
                <w:rFonts w:ascii="宋体" w:hAnsi="宋体" w:eastAsia="宋体" w:cs="宋体"/>
                <w:color w:val="000000"/>
                <w:kern w:val="0"/>
                <w:sz w:val="24"/>
              </w:rPr>
            </w:pPr>
          </w:p>
        </w:tc>
      </w:tr>
      <w:tr w14:paraId="32246045">
        <w:tblPrEx>
          <w:tblCellMar>
            <w:top w:w="0" w:type="dxa"/>
            <w:left w:w="108" w:type="dxa"/>
            <w:bottom w:w="0" w:type="dxa"/>
            <w:right w:w="108" w:type="dxa"/>
          </w:tblCellMar>
        </w:tblPrEx>
        <w:trPr>
          <w:trHeight w:val="296" w:hRule="atLeast"/>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76026793">
            <w:pPr>
              <w:widowControl/>
              <w:spacing w:line="240" w:lineRule="exact"/>
              <w:jc w:val="center"/>
              <w:textAlignment w:val="center"/>
              <w:rPr>
                <w:rFonts w:ascii="宋体" w:hAnsi="宋体" w:eastAsia="宋体" w:cs="宋体"/>
                <w:color w:val="000000"/>
                <w:kern w:val="0"/>
                <w:sz w:val="24"/>
              </w:rPr>
            </w:pPr>
          </w:p>
        </w:tc>
        <w:tc>
          <w:tcPr>
            <w:tcW w:w="593" w:type="dxa"/>
            <w:vMerge w:val="restart"/>
            <w:tcBorders>
              <w:top w:val="single" w:color="000000" w:sz="4" w:space="0"/>
              <w:left w:val="single" w:color="000000" w:sz="4" w:space="0"/>
              <w:bottom w:val="single" w:color="000000" w:sz="4" w:space="0"/>
              <w:right w:val="single" w:color="000000" w:sz="4" w:space="0"/>
            </w:tcBorders>
            <w:noWrap/>
            <w:vAlign w:val="center"/>
          </w:tcPr>
          <w:p w14:paraId="68604242">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产出指标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5BC8D3E1">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时效指标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0F75735F">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2025年度资金支付率</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53DDCA8B">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≥90%</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1A9426ED">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99.66%</w:t>
            </w:r>
          </w:p>
        </w:tc>
      </w:tr>
      <w:tr w14:paraId="3CFE1CAE">
        <w:tblPrEx>
          <w:tblCellMar>
            <w:top w:w="0" w:type="dxa"/>
            <w:left w:w="108" w:type="dxa"/>
            <w:bottom w:w="0" w:type="dxa"/>
            <w:right w:w="108" w:type="dxa"/>
          </w:tblCellMar>
        </w:tblPrEx>
        <w:trPr>
          <w:trHeight w:val="296" w:hRule="atLeast"/>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04DE33E4">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2C0DF745">
            <w:pPr>
              <w:widowControl/>
              <w:spacing w:line="240" w:lineRule="exact"/>
              <w:jc w:val="center"/>
              <w:textAlignment w:val="center"/>
              <w:rPr>
                <w:rFonts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61D22405">
            <w:pPr>
              <w:widowControl/>
              <w:spacing w:line="240" w:lineRule="exact"/>
              <w:jc w:val="center"/>
              <w:textAlignment w:val="center"/>
              <w:rPr>
                <w:rFonts w:ascii="宋体" w:hAnsi="宋体" w:eastAsia="宋体" w:cs="宋体"/>
                <w:color w:val="000000"/>
                <w:kern w:val="0"/>
                <w:sz w:val="24"/>
              </w:rPr>
            </w:pPr>
            <w:r>
              <w:rPr>
                <w:rFonts w:hint="eastAsia"/>
                <w:sz w:val="24"/>
                <w:szCs w:val="24"/>
              </w:rPr>
              <w:t>数量指标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010C48A0">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2025年度督查督办次数</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0286A92C">
            <w:pPr>
              <w:widowControl/>
              <w:spacing w:line="240" w:lineRule="exact"/>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完成年度政务督查督办次数</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336DD699">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4次</w:t>
            </w:r>
          </w:p>
        </w:tc>
      </w:tr>
      <w:tr w14:paraId="77D4E573">
        <w:tblPrEx>
          <w:tblCellMar>
            <w:top w:w="0" w:type="dxa"/>
            <w:left w:w="108" w:type="dxa"/>
            <w:bottom w:w="0" w:type="dxa"/>
            <w:right w:w="108" w:type="dxa"/>
          </w:tblCellMar>
        </w:tblPrEx>
        <w:trPr>
          <w:trHeight w:val="296" w:hRule="atLeast"/>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7A30F027">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7EAB2825">
            <w:pPr>
              <w:widowControl/>
              <w:spacing w:line="240" w:lineRule="exact"/>
              <w:jc w:val="center"/>
              <w:textAlignment w:val="center"/>
              <w:rPr>
                <w:rFonts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7EE0BA8F">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54920BB4">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34539B2D">
            <w:pPr>
              <w:widowControl/>
              <w:spacing w:line="240" w:lineRule="exact"/>
              <w:jc w:val="center"/>
              <w:textAlignment w:val="center"/>
              <w:rPr>
                <w:rFonts w:ascii="宋体" w:hAnsi="宋体" w:eastAsia="宋体" w:cs="宋体"/>
                <w:color w:val="000000"/>
                <w:kern w:val="0"/>
                <w:sz w:val="24"/>
              </w:rPr>
            </w:pP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5F05FF9E">
            <w:pPr>
              <w:widowControl/>
              <w:spacing w:line="240" w:lineRule="exact"/>
              <w:jc w:val="center"/>
              <w:textAlignment w:val="center"/>
              <w:rPr>
                <w:rFonts w:ascii="宋体" w:hAnsi="宋体" w:eastAsia="宋体" w:cs="宋体"/>
                <w:color w:val="000000"/>
                <w:kern w:val="0"/>
                <w:sz w:val="24"/>
              </w:rPr>
            </w:pPr>
          </w:p>
        </w:tc>
      </w:tr>
      <w:tr w14:paraId="0A3B455A">
        <w:tblPrEx>
          <w:tblCellMar>
            <w:top w:w="0" w:type="dxa"/>
            <w:left w:w="108" w:type="dxa"/>
            <w:bottom w:w="0" w:type="dxa"/>
            <w:right w:w="108" w:type="dxa"/>
          </w:tblCellMar>
        </w:tblPrEx>
        <w:trPr>
          <w:trHeight w:val="296" w:hRule="atLeast"/>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48B75446">
            <w:pPr>
              <w:widowControl/>
              <w:spacing w:line="240" w:lineRule="exact"/>
              <w:jc w:val="center"/>
              <w:textAlignment w:val="center"/>
              <w:rPr>
                <w:rFonts w:ascii="宋体" w:hAnsi="宋体" w:eastAsia="宋体" w:cs="宋体"/>
                <w:color w:val="000000"/>
                <w:kern w:val="0"/>
                <w:sz w:val="24"/>
              </w:rPr>
            </w:pP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5B4F2936">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效益指标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17698D7C">
            <w:pPr>
              <w:keepNext w:val="0"/>
              <w:keepLines w:val="0"/>
              <w:widowControl/>
              <w:suppressLineNumbers w:val="0"/>
              <w:jc w:val="left"/>
              <w:textAlignment w:val="center"/>
              <w:rPr>
                <w:rFonts w:ascii="宋体" w:hAnsi="宋体" w:eastAsia="宋体" w:cs="宋体"/>
                <w:color w:val="000000"/>
                <w:kern w:val="0"/>
                <w:sz w:val="24"/>
              </w:rPr>
            </w:pPr>
            <w:r>
              <w:rPr>
                <w:rFonts w:hint="eastAsia" w:ascii="宋体" w:hAnsi="宋体" w:eastAsia="宋体" w:cs="宋体"/>
                <w:i w:val="0"/>
                <w:iCs w:val="0"/>
                <w:color w:val="000000"/>
                <w:kern w:val="0"/>
                <w:sz w:val="18"/>
                <w:szCs w:val="18"/>
                <w:u w:val="none"/>
                <w:lang w:val="en-US" w:eastAsia="zh-CN" w:bidi="ar"/>
              </w:rPr>
              <w:t>社会效益指标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72ADAACF">
            <w:pPr>
              <w:keepNext w:val="0"/>
              <w:keepLines w:val="0"/>
              <w:widowControl/>
              <w:suppressLineNumbers w:val="0"/>
              <w:jc w:val="left"/>
              <w:textAlignment w:val="center"/>
              <w:rPr>
                <w:rFonts w:ascii="宋体" w:hAnsi="宋体" w:eastAsia="宋体" w:cs="宋体"/>
                <w:color w:val="000000"/>
                <w:kern w:val="0"/>
                <w:sz w:val="24"/>
              </w:rPr>
            </w:pPr>
            <w:r>
              <w:rPr>
                <w:rFonts w:hint="eastAsia" w:ascii="宋体" w:hAnsi="宋体" w:eastAsia="宋体" w:cs="宋体"/>
                <w:i w:val="0"/>
                <w:iCs w:val="0"/>
                <w:color w:val="000000"/>
                <w:kern w:val="0"/>
                <w:sz w:val="18"/>
                <w:szCs w:val="18"/>
                <w:u w:val="none"/>
                <w:lang w:val="en-US" w:eastAsia="zh-CN" w:bidi="ar"/>
              </w:rPr>
              <w:t>提高履职和服务效能</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0A9B227C">
            <w:pPr>
              <w:widowControl/>
              <w:spacing w:line="240" w:lineRule="exact"/>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对标县委、县政府要求，提高履职服务效能</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7F97F0D7">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逐步提高。</w:t>
            </w:r>
          </w:p>
        </w:tc>
      </w:tr>
    </w:tbl>
    <w:p w14:paraId="519B4221">
      <w:pPr>
        <w:rPr>
          <w:rFonts w:eastAsia="黑体"/>
          <w:sz w:val="24"/>
        </w:rPr>
      </w:pPr>
    </w:p>
    <w:p w14:paraId="4DDE41C2">
      <w:pPr>
        <w:rPr>
          <w:rFonts w:eastAsia="黑体"/>
        </w:rPr>
      </w:pPr>
      <w:r>
        <w:rPr>
          <w:rFonts w:eastAsia="黑体"/>
        </w:rPr>
        <w:br w:type="page"/>
      </w:r>
    </w:p>
    <w:p w14:paraId="2E58134A">
      <w:pPr>
        <w:pStyle w:val="14"/>
        <w:spacing w:after="0" w:line="578" w:lineRule="exact"/>
        <w:ind w:left="0" w:leftChars="0" w:firstLine="0" w:firstLineChars="0"/>
        <w:rPr>
          <w:rFonts w:ascii="Times New Roman" w:eastAsia="黑体"/>
          <w:szCs w:val="24"/>
        </w:rPr>
      </w:pPr>
      <w:r>
        <w:rPr>
          <w:rFonts w:ascii="Times New Roman" w:eastAsia="黑体"/>
          <w:szCs w:val="24"/>
        </w:rPr>
        <w:t>附表</w:t>
      </w:r>
      <w:r>
        <w:rPr>
          <w:rFonts w:hint="eastAsia" w:ascii="Times New Roman" w:eastAsia="黑体"/>
          <w:szCs w:val="24"/>
        </w:rPr>
        <w:t>3</w:t>
      </w:r>
    </w:p>
    <w:p w14:paraId="4EE5EB84">
      <w:pPr>
        <w:widowControl/>
        <w:spacing w:line="578" w:lineRule="exact"/>
        <w:jc w:val="center"/>
        <w:textAlignment w:val="center"/>
        <w:rPr>
          <w:rFonts w:eastAsia="方正小标宋简体"/>
          <w:color w:val="000000"/>
          <w:kern w:val="0"/>
          <w:sz w:val="44"/>
          <w:szCs w:val="44"/>
        </w:rPr>
      </w:pPr>
    </w:p>
    <w:p w14:paraId="56318060">
      <w:pPr>
        <w:widowControl/>
        <w:spacing w:line="578" w:lineRule="exact"/>
        <w:jc w:val="center"/>
        <w:textAlignment w:val="center"/>
        <w:rPr>
          <w:rFonts w:eastAsia="方正小标宋简体"/>
          <w:color w:val="000000"/>
          <w:kern w:val="0"/>
          <w:sz w:val="44"/>
          <w:szCs w:val="44"/>
        </w:rPr>
      </w:pPr>
      <w:r>
        <w:rPr>
          <w:rFonts w:eastAsia="方正小标宋简体"/>
          <w:color w:val="000000"/>
          <w:kern w:val="0"/>
          <w:sz w:val="44"/>
          <w:szCs w:val="44"/>
        </w:rPr>
        <w:t>部门预算项目支出绩效评价表</w:t>
      </w:r>
    </w:p>
    <w:p w14:paraId="6F27E408">
      <w:pPr>
        <w:widowControl/>
        <w:spacing w:line="578" w:lineRule="exact"/>
        <w:jc w:val="center"/>
        <w:textAlignment w:val="center"/>
        <w:rPr>
          <w:rFonts w:eastAsia="方正小标宋简体"/>
          <w:color w:val="000000"/>
          <w:kern w:val="0"/>
          <w:szCs w:val="32"/>
        </w:rPr>
      </w:pPr>
      <w:r>
        <w:rPr>
          <w:rFonts w:eastAsia="方正小标宋简体"/>
          <w:color w:val="000000"/>
          <w:kern w:val="0"/>
          <w:szCs w:val="32"/>
        </w:rPr>
        <w:t>（202</w:t>
      </w:r>
      <w:r>
        <w:rPr>
          <w:rFonts w:hint="eastAsia" w:eastAsia="方正小标宋简体"/>
          <w:color w:val="000000"/>
          <w:kern w:val="0"/>
          <w:szCs w:val="32"/>
        </w:rPr>
        <w:t>5</w:t>
      </w:r>
      <w:r>
        <w:rPr>
          <w:rFonts w:eastAsia="方正小标宋简体"/>
          <w:color w:val="000000"/>
          <w:kern w:val="0"/>
          <w:szCs w:val="32"/>
        </w:rPr>
        <w:t>年度）</w:t>
      </w:r>
    </w:p>
    <w:p w14:paraId="74FAF793">
      <w:pPr>
        <w:pStyle w:val="2"/>
        <w:spacing w:before="0" w:after="0" w:line="578" w:lineRule="exact"/>
        <w:ind w:firstLine="640" w:firstLineChars="200"/>
        <w:rPr>
          <w:rFonts w:ascii="Times New Roman" w:hAnsi="Times New Roman" w:eastAsia="仿宋_GB2312"/>
          <w:b w:val="0"/>
          <w:color w:val="000000"/>
          <w:kern w:val="0"/>
          <w:sz w:val="32"/>
          <w:szCs w:val="32"/>
          <w:shd w:val="clear" w:color="auto" w:fill="FFFFFF"/>
        </w:rPr>
      </w:pPr>
    </w:p>
    <w:tbl>
      <w:tblPr>
        <w:tblStyle w:val="17"/>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60"/>
        <w:gridCol w:w="797"/>
        <w:gridCol w:w="738"/>
        <w:gridCol w:w="1281"/>
        <w:gridCol w:w="470"/>
        <w:gridCol w:w="854"/>
        <w:gridCol w:w="634"/>
        <w:gridCol w:w="1196"/>
        <w:gridCol w:w="576"/>
        <w:gridCol w:w="496"/>
        <w:gridCol w:w="717"/>
      </w:tblGrid>
      <w:tr w14:paraId="076170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099" w:type="pct"/>
            <w:gridSpan w:val="4"/>
            <w:tcBorders>
              <w:top w:val="nil"/>
              <w:left w:val="nil"/>
              <w:bottom w:val="nil"/>
              <w:right w:val="nil"/>
            </w:tcBorders>
            <w:shd w:val="clear" w:color="auto" w:fill="auto"/>
            <w:vAlign w:val="center"/>
          </w:tcPr>
          <w:p w14:paraId="7783C79A">
            <w:pPr>
              <w:keepNext w:val="0"/>
              <w:keepLines w:val="0"/>
              <w:widowControl/>
              <w:suppressLineNumbers w:val="0"/>
              <w:jc w:val="left"/>
              <w:textAlignment w:val="center"/>
              <w:rPr>
                <w:rFonts w:ascii="宋体" w:hAnsi="宋体" w:eastAsia="宋体" w:cs="宋体"/>
                <w:i w:val="0"/>
                <w:iCs w:val="0"/>
                <w:color w:val="C0C0C0"/>
                <w:sz w:val="20"/>
                <w:szCs w:val="20"/>
                <w:u w:val="none"/>
              </w:rPr>
            </w:pPr>
            <w:r>
              <w:rPr>
                <w:rFonts w:ascii="宋体" w:hAnsi="宋体" w:eastAsia="宋体" w:cs="宋体"/>
                <w:i w:val="0"/>
                <w:iCs w:val="0"/>
                <w:color w:val="C0C0C0"/>
                <w:kern w:val="0"/>
                <w:sz w:val="20"/>
                <w:szCs w:val="20"/>
                <w:u w:val="none"/>
                <w:lang w:val="en-US" w:eastAsia="zh-CN" w:bidi="ar"/>
              </w:rPr>
              <w:t>报表编号：510000_0013zp</w:t>
            </w:r>
          </w:p>
        </w:tc>
        <w:tc>
          <w:tcPr>
            <w:tcW w:w="275" w:type="pct"/>
            <w:tcBorders>
              <w:top w:val="nil"/>
              <w:left w:val="nil"/>
              <w:bottom w:val="nil"/>
              <w:right w:val="nil"/>
            </w:tcBorders>
            <w:shd w:val="clear" w:color="auto" w:fill="auto"/>
            <w:noWrap/>
            <w:vAlign w:val="center"/>
          </w:tcPr>
          <w:p w14:paraId="6160848A">
            <w:pPr>
              <w:rPr>
                <w:rFonts w:hint="eastAsia" w:ascii="宋体" w:hAnsi="宋体" w:eastAsia="宋体" w:cs="宋体"/>
                <w:i w:val="0"/>
                <w:iCs w:val="0"/>
                <w:color w:val="000000"/>
                <w:sz w:val="22"/>
                <w:szCs w:val="22"/>
                <w:u w:val="none"/>
              </w:rPr>
            </w:pPr>
          </w:p>
        </w:tc>
        <w:tc>
          <w:tcPr>
            <w:tcW w:w="1575" w:type="pct"/>
            <w:gridSpan w:val="3"/>
            <w:tcBorders>
              <w:top w:val="nil"/>
              <w:left w:val="nil"/>
              <w:bottom w:val="nil"/>
              <w:right w:val="nil"/>
            </w:tcBorders>
            <w:shd w:val="clear" w:color="auto" w:fill="auto"/>
            <w:vAlign w:val="center"/>
          </w:tcPr>
          <w:p w14:paraId="2CEA7783">
            <w:pPr>
              <w:rPr>
                <w:rFonts w:hint="eastAsia" w:ascii="宋体" w:hAnsi="宋体" w:eastAsia="宋体" w:cs="宋体"/>
                <w:i w:val="0"/>
                <w:iCs w:val="0"/>
                <w:color w:val="000000"/>
                <w:sz w:val="20"/>
                <w:szCs w:val="20"/>
                <w:u w:val="none"/>
              </w:rPr>
            </w:pPr>
          </w:p>
        </w:tc>
        <w:tc>
          <w:tcPr>
            <w:tcW w:w="338" w:type="pct"/>
            <w:tcBorders>
              <w:top w:val="nil"/>
              <w:left w:val="nil"/>
              <w:bottom w:val="nil"/>
              <w:right w:val="nil"/>
            </w:tcBorders>
            <w:shd w:val="clear" w:color="auto" w:fill="auto"/>
            <w:noWrap/>
            <w:vAlign w:val="center"/>
          </w:tcPr>
          <w:p w14:paraId="68E46D27">
            <w:pPr>
              <w:rPr>
                <w:rFonts w:hint="eastAsia" w:ascii="宋体" w:hAnsi="宋体" w:eastAsia="宋体" w:cs="宋体"/>
                <w:i w:val="0"/>
                <w:iCs w:val="0"/>
                <w:color w:val="000000"/>
                <w:sz w:val="22"/>
                <w:szCs w:val="22"/>
                <w:u w:val="none"/>
              </w:rPr>
            </w:pPr>
          </w:p>
        </w:tc>
        <w:tc>
          <w:tcPr>
            <w:tcW w:w="291" w:type="pct"/>
            <w:tcBorders>
              <w:top w:val="nil"/>
              <w:left w:val="nil"/>
              <w:bottom w:val="nil"/>
              <w:right w:val="nil"/>
            </w:tcBorders>
            <w:shd w:val="clear" w:color="auto" w:fill="auto"/>
            <w:noWrap/>
            <w:vAlign w:val="center"/>
          </w:tcPr>
          <w:p w14:paraId="60A8C559">
            <w:pPr>
              <w:rPr>
                <w:rFonts w:hint="eastAsia" w:ascii="宋体" w:hAnsi="宋体" w:eastAsia="宋体" w:cs="宋体"/>
                <w:i w:val="0"/>
                <w:iCs w:val="0"/>
                <w:color w:val="000000"/>
                <w:sz w:val="22"/>
                <w:szCs w:val="22"/>
                <w:u w:val="none"/>
              </w:rPr>
            </w:pPr>
          </w:p>
        </w:tc>
        <w:tc>
          <w:tcPr>
            <w:tcW w:w="420" w:type="pct"/>
            <w:tcBorders>
              <w:top w:val="nil"/>
              <w:left w:val="nil"/>
              <w:bottom w:val="nil"/>
              <w:right w:val="nil"/>
            </w:tcBorders>
            <w:shd w:val="clear" w:color="auto" w:fill="auto"/>
            <w:noWrap/>
            <w:vAlign w:val="center"/>
          </w:tcPr>
          <w:p w14:paraId="2949DBE3">
            <w:pPr>
              <w:rPr>
                <w:rFonts w:hint="eastAsia" w:ascii="宋体" w:hAnsi="宋体" w:eastAsia="宋体" w:cs="宋体"/>
                <w:i w:val="0"/>
                <w:iCs w:val="0"/>
                <w:color w:val="000000"/>
                <w:sz w:val="22"/>
                <w:szCs w:val="22"/>
                <w:u w:val="none"/>
              </w:rPr>
            </w:pPr>
          </w:p>
        </w:tc>
      </w:tr>
      <w:tr w14:paraId="069CF5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3EE2EB4">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7115F3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1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72A9D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85"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092CAD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51322325T000013067356-全县电子政务外网运行维护服务费</w:t>
            </w:r>
          </w:p>
        </w:tc>
      </w:tr>
      <w:tr w14:paraId="5C7EEC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1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4610D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33"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10A5AE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茂县人民政府办公室</w:t>
            </w:r>
          </w:p>
        </w:tc>
        <w:tc>
          <w:tcPr>
            <w:tcW w:w="701" w:type="pct"/>
            <w:tcBorders>
              <w:top w:val="nil"/>
              <w:left w:val="nil"/>
              <w:bottom w:val="nil"/>
              <w:right w:val="nil"/>
            </w:tcBorders>
            <w:shd w:val="clear" w:color="auto" w:fill="auto"/>
            <w:vAlign w:val="center"/>
          </w:tcPr>
          <w:p w14:paraId="21B33DEF">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04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3DE4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茂县人民政府办公室（行政）</w:t>
            </w:r>
          </w:p>
        </w:tc>
      </w:tr>
      <w:tr w14:paraId="48E3EF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4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6AE7F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46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1DB01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33"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99A3B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75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AC3C34C">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497778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4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805521">
            <w:pPr>
              <w:rPr>
                <w:rFonts w:hint="eastAsia" w:ascii="宋体" w:hAnsi="宋体" w:eastAsia="宋体" w:cs="宋体"/>
                <w:i w:val="0"/>
                <w:iCs w:val="0"/>
                <w:color w:val="000000"/>
                <w:sz w:val="18"/>
                <w:szCs w:val="18"/>
                <w:u w:val="none"/>
              </w:rPr>
            </w:pPr>
          </w:p>
        </w:tc>
        <w:tc>
          <w:tcPr>
            <w:tcW w:w="4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728323">
            <w:pPr>
              <w:rPr>
                <w:rFonts w:hint="eastAsia" w:ascii="宋体" w:hAnsi="宋体" w:eastAsia="宋体" w:cs="宋体"/>
                <w:i w:val="0"/>
                <w:iCs w:val="0"/>
                <w:color w:val="000000"/>
                <w:sz w:val="18"/>
                <w:szCs w:val="18"/>
                <w:u w:val="none"/>
              </w:rPr>
            </w:pPr>
          </w:p>
        </w:tc>
        <w:tc>
          <w:tcPr>
            <w:tcW w:w="2333"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504A7E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为全县政务部门提供便捷、高效的政务服务，推动政府信息化建设，提升政府治理能力，实现办公软件正版化。</w:t>
            </w:r>
          </w:p>
        </w:tc>
        <w:tc>
          <w:tcPr>
            <w:tcW w:w="175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1E69C9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为全县政务部门提供便捷、高效的政务服务，推动政府信息化建设，提升政府治理能力，实现办公软件正版化。</w:t>
            </w:r>
          </w:p>
        </w:tc>
      </w:tr>
      <w:tr w14:paraId="452498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4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45FB50">
            <w:pPr>
              <w:rPr>
                <w:rFonts w:hint="eastAsia" w:ascii="宋体" w:hAnsi="宋体" w:eastAsia="宋体" w:cs="宋体"/>
                <w:i w:val="0"/>
                <w:iCs w:val="0"/>
                <w:color w:val="000000"/>
                <w:sz w:val="18"/>
                <w:szCs w:val="18"/>
                <w:u w:val="none"/>
              </w:rPr>
            </w:pPr>
          </w:p>
        </w:tc>
        <w:tc>
          <w:tcPr>
            <w:tcW w:w="4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8B253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85"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665BB60">
            <w:pPr>
              <w:rPr>
                <w:rFonts w:hint="eastAsia" w:ascii="宋体" w:hAnsi="宋体" w:eastAsia="宋体" w:cs="宋体"/>
                <w:i w:val="0"/>
                <w:iCs w:val="0"/>
                <w:color w:val="000000"/>
                <w:sz w:val="18"/>
                <w:szCs w:val="18"/>
                <w:u w:val="none"/>
              </w:rPr>
            </w:pPr>
          </w:p>
        </w:tc>
      </w:tr>
      <w:tr w14:paraId="00B1A6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44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0B9F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4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7029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B47E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0A92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14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97B7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5322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710C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E152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D561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D0674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4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B1C6BF">
            <w:pPr>
              <w:jc w:val="center"/>
              <w:rPr>
                <w:rFonts w:hint="eastAsia" w:ascii="宋体" w:hAnsi="宋体" w:eastAsia="宋体" w:cs="宋体"/>
                <w:i w:val="0"/>
                <w:iCs w:val="0"/>
                <w:color w:val="000000"/>
                <w:sz w:val="18"/>
                <w:szCs w:val="18"/>
                <w:u w:val="none"/>
              </w:rPr>
            </w:pPr>
          </w:p>
        </w:tc>
        <w:tc>
          <w:tcPr>
            <w:tcW w:w="4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E809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FCE7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2A2B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143.36</w:t>
            </w:r>
          </w:p>
        </w:tc>
        <w:tc>
          <w:tcPr>
            <w:tcW w:w="114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AC57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143.36</w:t>
            </w:r>
          </w:p>
        </w:tc>
        <w:tc>
          <w:tcPr>
            <w:tcW w:w="7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5C76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31D4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23B0F1">
            <w:pPr>
              <w:jc w:val="center"/>
              <w:rPr>
                <w:rFonts w:hint="eastAsia" w:ascii="宋体" w:hAnsi="宋体" w:eastAsia="宋体" w:cs="宋体"/>
                <w:i w:val="0"/>
                <w:iCs w:val="0"/>
                <w:color w:val="000000"/>
                <w:sz w:val="18"/>
                <w:szCs w:val="18"/>
                <w:u w:val="none"/>
              </w:rPr>
            </w:pPr>
          </w:p>
        </w:tc>
        <w:tc>
          <w:tcPr>
            <w:tcW w:w="42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0CE9FD">
            <w:pPr>
              <w:rPr>
                <w:rFonts w:hint="eastAsia" w:ascii="黑体" w:hAnsi="黑体" w:eastAsia="黑体" w:cs="黑体"/>
                <w:i/>
                <w:iCs/>
                <w:color w:val="000000"/>
                <w:sz w:val="18"/>
                <w:szCs w:val="18"/>
                <w:u w:val="none"/>
              </w:rPr>
            </w:pPr>
          </w:p>
        </w:tc>
      </w:tr>
      <w:tr w14:paraId="0CA3BB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4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2F4913">
            <w:pPr>
              <w:jc w:val="center"/>
              <w:rPr>
                <w:rFonts w:hint="eastAsia" w:ascii="宋体" w:hAnsi="宋体" w:eastAsia="宋体" w:cs="宋体"/>
                <w:i w:val="0"/>
                <w:iCs w:val="0"/>
                <w:color w:val="000000"/>
                <w:sz w:val="18"/>
                <w:szCs w:val="18"/>
                <w:u w:val="none"/>
              </w:rPr>
            </w:pPr>
          </w:p>
        </w:tc>
        <w:tc>
          <w:tcPr>
            <w:tcW w:w="4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A5CE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3C0D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90E9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143.36</w:t>
            </w:r>
          </w:p>
        </w:tc>
        <w:tc>
          <w:tcPr>
            <w:tcW w:w="114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E3CC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143.36</w:t>
            </w:r>
          </w:p>
        </w:tc>
        <w:tc>
          <w:tcPr>
            <w:tcW w:w="7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EABB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C18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ECDB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44B29B">
            <w:pPr>
              <w:rPr>
                <w:rFonts w:hint="eastAsia" w:ascii="黑体" w:hAnsi="黑体" w:eastAsia="黑体" w:cs="黑体"/>
                <w:i/>
                <w:iCs/>
                <w:color w:val="000000"/>
                <w:sz w:val="18"/>
                <w:szCs w:val="18"/>
                <w:u w:val="none"/>
              </w:rPr>
            </w:pPr>
          </w:p>
        </w:tc>
      </w:tr>
      <w:tr w14:paraId="4DA8E9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4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C24E60">
            <w:pPr>
              <w:jc w:val="center"/>
              <w:rPr>
                <w:rFonts w:hint="eastAsia" w:ascii="宋体" w:hAnsi="宋体" w:eastAsia="宋体" w:cs="宋体"/>
                <w:i w:val="0"/>
                <w:iCs w:val="0"/>
                <w:color w:val="000000"/>
                <w:sz w:val="18"/>
                <w:szCs w:val="18"/>
                <w:u w:val="none"/>
              </w:rPr>
            </w:pPr>
          </w:p>
        </w:tc>
        <w:tc>
          <w:tcPr>
            <w:tcW w:w="4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19FE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8EE3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A5E2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4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24FA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72FA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9F85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6E72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F7DA27">
            <w:pPr>
              <w:rPr>
                <w:rFonts w:hint="eastAsia" w:ascii="黑体" w:hAnsi="黑体" w:eastAsia="黑体" w:cs="黑体"/>
                <w:i/>
                <w:iCs/>
                <w:color w:val="000000"/>
                <w:sz w:val="18"/>
                <w:szCs w:val="18"/>
                <w:u w:val="none"/>
              </w:rPr>
            </w:pPr>
          </w:p>
        </w:tc>
      </w:tr>
      <w:tr w14:paraId="2DE31A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4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E6ED1E">
            <w:pPr>
              <w:jc w:val="center"/>
              <w:rPr>
                <w:rFonts w:hint="eastAsia" w:ascii="宋体" w:hAnsi="宋体" w:eastAsia="宋体" w:cs="宋体"/>
                <w:i w:val="0"/>
                <w:iCs w:val="0"/>
                <w:color w:val="000000"/>
                <w:sz w:val="18"/>
                <w:szCs w:val="18"/>
                <w:u w:val="none"/>
              </w:rPr>
            </w:pPr>
          </w:p>
        </w:tc>
        <w:tc>
          <w:tcPr>
            <w:tcW w:w="4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0CA0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F03C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192C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4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A734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AB54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B059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03B3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883F84">
            <w:pPr>
              <w:rPr>
                <w:rFonts w:hint="eastAsia" w:ascii="黑体" w:hAnsi="黑体" w:eastAsia="黑体" w:cs="黑体"/>
                <w:i/>
                <w:iCs/>
                <w:color w:val="000000"/>
                <w:sz w:val="18"/>
                <w:szCs w:val="18"/>
                <w:u w:val="none"/>
              </w:rPr>
            </w:pPr>
          </w:p>
        </w:tc>
      </w:tr>
      <w:tr w14:paraId="5593BB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4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8482E5">
            <w:pPr>
              <w:jc w:val="center"/>
              <w:rPr>
                <w:rFonts w:hint="eastAsia" w:ascii="宋体" w:hAnsi="宋体" w:eastAsia="宋体" w:cs="宋体"/>
                <w:i w:val="0"/>
                <w:iCs w:val="0"/>
                <w:color w:val="000000"/>
                <w:sz w:val="18"/>
                <w:szCs w:val="18"/>
                <w:u w:val="none"/>
              </w:rPr>
            </w:pPr>
          </w:p>
        </w:tc>
        <w:tc>
          <w:tcPr>
            <w:tcW w:w="4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97EB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FADF2E">
            <w:pPr>
              <w:jc w:val="center"/>
              <w:rPr>
                <w:rFonts w:hint="eastAsia" w:ascii="微软雅黑" w:hAnsi="微软雅黑" w:eastAsia="微软雅黑" w:cs="微软雅黑"/>
                <w:i/>
                <w:iCs/>
                <w:color w:val="000000"/>
                <w:sz w:val="16"/>
                <w:szCs w:val="16"/>
                <w:u w:val="none"/>
              </w:rPr>
            </w:pP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D93BC1">
            <w:pPr>
              <w:jc w:val="center"/>
              <w:rPr>
                <w:rFonts w:hint="eastAsia" w:ascii="微软雅黑" w:hAnsi="微软雅黑" w:eastAsia="微软雅黑" w:cs="微软雅黑"/>
                <w:i/>
                <w:iCs/>
                <w:color w:val="000000"/>
                <w:sz w:val="16"/>
                <w:szCs w:val="16"/>
                <w:u w:val="none"/>
              </w:rPr>
            </w:pPr>
          </w:p>
        </w:tc>
        <w:tc>
          <w:tcPr>
            <w:tcW w:w="114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A52F34">
            <w:pPr>
              <w:jc w:val="center"/>
              <w:rPr>
                <w:rFonts w:hint="eastAsia" w:ascii="微软雅黑" w:hAnsi="微软雅黑" w:eastAsia="微软雅黑" w:cs="微软雅黑"/>
                <w:i/>
                <w:iCs/>
                <w:color w:val="000000"/>
                <w:sz w:val="16"/>
                <w:szCs w:val="16"/>
                <w:u w:val="none"/>
              </w:rPr>
            </w:pPr>
          </w:p>
        </w:tc>
        <w:tc>
          <w:tcPr>
            <w:tcW w:w="7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327624">
            <w:pPr>
              <w:jc w:val="center"/>
              <w:rPr>
                <w:rFonts w:hint="eastAsia" w:ascii="微软雅黑" w:hAnsi="微软雅黑" w:eastAsia="微软雅黑" w:cs="微软雅黑"/>
                <w:i/>
                <w:iCs/>
                <w:color w:val="000000"/>
                <w:sz w:val="16"/>
                <w:szCs w:val="16"/>
                <w:u w:val="none"/>
              </w:rPr>
            </w:pP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DF90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FBCC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D2CBD4">
            <w:pPr>
              <w:rPr>
                <w:rFonts w:hint="eastAsia" w:ascii="黑体" w:hAnsi="黑体" w:eastAsia="黑体" w:cs="黑体"/>
                <w:i/>
                <w:iCs/>
                <w:color w:val="000000"/>
                <w:sz w:val="18"/>
                <w:szCs w:val="18"/>
                <w:u w:val="none"/>
              </w:rPr>
            </w:pPr>
          </w:p>
        </w:tc>
      </w:tr>
      <w:tr w14:paraId="0420E9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44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B32A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4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3E03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1BAC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0F9F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DC19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B61E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0175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BBEB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5689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F36D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B86A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A92F1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4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C55CD4">
            <w:pPr>
              <w:jc w:val="center"/>
              <w:rPr>
                <w:rFonts w:hint="eastAsia" w:ascii="宋体" w:hAnsi="宋体" w:eastAsia="宋体" w:cs="宋体"/>
                <w:i w:val="0"/>
                <w:iCs w:val="0"/>
                <w:color w:val="000000"/>
                <w:sz w:val="18"/>
                <w:szCs w:val="18"/>
                <w:u w:val="none"/>
              </w:rPr>
            </w:pPr>
          </w:p>
        </w:tc>
        <w:tc>
          <w:tcPr>
            <w:tcW w:w="46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9133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3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08E3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77C8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升级终端管理及双网切换系统</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AEEA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6421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800</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5985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7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C8CA8D">
            <w:pPr>
              <w:jc w:val="center"/>
              <w:rPr>
                <w:rFonts w:hint="eastAsia" w:ascii="微软雅黑" w:hAnsi="微软雅黑" w:eastAsia="微软雅黑" w:cs="微软雅黑"/>
                <w:i/>
                <w:iCs/>
                <w:color w:val="000000"/>
                <w:sz w:val="16"/>
                <w:szCs w:val="16"/>
                <w:u w:val="none"/>
              </w:rPr>
            </w:pP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79DB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5F9928">
            <w:pPr>
              <w:jc w:val="center"/>
              <w:rPr>
                <w:rFonts w:hint="eastAsia" w:ascii="宋体" w:hAnsi="宋体" w:eastAsia="宋体" w:cs="宋体"/>
                <w:i w:val="0"/>
                <w:iCs w:val="0"/>
                <w:color w:val="000000"/>
                <w:sz w:val="18"/>
                <w:szCs w:val="18"/>
                <w:u w:val="none"/>
              </w:rPr>
            </w:pP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B05CE3">
            <w:pPr>
              <w:jc w:val="center"/>
              <w:rPr>
                <w:rFonts w:hint="eastAsia" w:ascii="微软雅黑" w:hAnsi="微软雅黑" w:eastAsia="微软雅黑" w:cs="微软雅黑"/>
                <w:i/>
                <w:iCs/>
                <w:color w:val="000000"/>
                <w:sz w:val="16"/>
                <w:szCs w:val="16"/>
                <w:u w:val="none"/>
              </w:rPr>
            </w:pPr>
          </w:p>
        </w:tc>
      </w:tr>
      <w:tr w14:paraId="4404C0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4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52812A">
            <w:pPr>
              <w:jc w:val="center"/>
              <w:rPr>
                <w:rFonts w:hint="eastAsia" w:ascii="宋体" w:hAnsi="宋体" w:eastAsia="宋体" w:cs="宋体"/>
                <w:i w:val="0"/>
                <w:iCs w:val="0"/>
                <w:color w:val="000000"/>
                <w:sz w:val="18"/>
                <w:szCs w:val="18"/>
                <w:u w:val="none"/>
              </w:rPr>
            </w:pPr>
          </w:p>
        </w:tc>
        <w:tc>
          <w:tcPr>
            <w:tcW w:w="4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63F304">
            <w:pPr>
              <w:jc w:val="center"/>
              <w:rPr>
                <w:rFonts w:hint="eastAsia" w:ascii="宋体" w:hAnsi="宋体" w:eastAsia="宋体" w:cs="宋体"/>
                <w:i w:val="0"/>
                <w:iCs w:val="0"/>
                <w:color w:val="000000"/>
                <w:sz w:val="18"/>
                <w:szCs w:val="18"/>
                <w:u w:val="none"/>
              </w:rPr>
            </w:pPr>
          </w:p>
        </w:tc>
        <w:tc>
          <w:tcPr>
            <w:tcW w:w="43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AFE0A5">
            <w:pPr>
              <w:jc w:val="center"/>
              <w:rPr>
                <w:rFonts w:hint="eastAsia" w:ascii="宋体" w:hAnsi="宋体" w:eastAsia="宋体" w:cs="宋体"/>
                <w:i w:val="0"/>
                <w:iCs w:val="0"/>
                <w:color w:val="000000"/>
                <w:sz w:val="18"/>
                <w:szCs w:val="18"/>
                <w:u w:val="none"/>
              </w:rPr>
            </w:pP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E826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电子政务外网使用数量</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56AC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1124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800</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A85D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条</w:t>
            </w:r>
          </w:p>
        </w:tc>
        <w:tc>
          <w:tcPr>
            <w:tcW w:w="7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B12DBD">
            <w:pPr>
              <w:jc w:val="center"/>
              <w:rPr>
                <w:rFonts w:hint="eastAsia" w:ascii="微软雅黑" w:hAnsi="微软雅黑" w:eastAsia="微软雅黑" w:cs="微软雅黑"/>
                <w:i/>
                <w:iCs/>
                <w:color w:val="000000"/>
                <w:sz w:val="16"/>
                <w:szCs w:val="16"/>
                <w:u w:val="none"/>
              </w:rPr>
            </w:pP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E3E4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ED2366">
            <w:pPr>
              <w:jc w:val="center"/>
              <w:rPr>
                <w:rFonts w:hint="eastAsia" w:ascii="宋体" w:hAnsi="宋体" w:eastAsia="宋体" w:cs="宋体"/>
                <w:i w:val="0"/>
                <w:iCs w:val="0"/>
                <w:color w:val="000000"/>
                <w:sz w:val="18"/>
                <w:szCs w:val="18"/>
                <w:u w:val="none"/>
              </w:rPr>
            </w:pP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960A69">
            <w:pPr>
              <w:jc w:val="center"/>
              <w:rPr>
                <w:rFonts w:hint="eastAsia" w:ascii="微软雅黑" w:hAnsi="微软雅黑" w:eastAsia="微软雅黑" w:cs="微软雅黑"/>
                <w:i/>
                <w:iCs/>
                <w:color w:val="000000"/>
                <w:sz w:val="16"/>
                <w:szCs w:val="16"/>
                <w:u w:val="none"/>
              </w:rPr>
            </w:pPr>
          </w:p>
        </w:tc>
      </w:tr>
      <w:tr w14:paraId="2692BB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4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89D1EE">
            <w:pPr>
              <w:jc w:val="center"/>
              <w:rPr>
                <w:rFonts w:hint="eastAsia" w:ascii="宋体" w:hAnsi="宋体" w:eastAsia="宋体" w:cs="宋体"/>
                <w:i w:val="0"/>
                <w:iCs w:val="0"/>
                <w:color w:val="000000"/>
                <w:sz w:val="18"/>
                <w:szCs w:val="18"/>
                <w:u w:val="none"/>
              </w:rPr>
            </w:pPr>
          </w:p>
        </w:tc>
        <w:tc>
          <w:tcPr>
            <w:tcW w:w="4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C7CA77">
            <w:pPr>
              <w:jc w:val="center"/>
              <w:rPr>
                <w:rFonts w:hint="eastAsia" w:ascii="宋体" w:hAnsi="宋体" w:eastAsia="宋体" w:cs="宋体"/>
                <w:i w:val="0"/>
                <w:iCs w:val="0"/>
                <w:color w:val="000000"/>
                <w:sz w:val="18"/>
                <w:szCs w:val="18"/>
                <w:u w:val="none"/>
              </w:rPr>
            </w:pP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1B3C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525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服务合格率</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3B6B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85CC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2A5C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D4F7ED">
            <w:pPr>
              <w:jc w:val="center"/>
              <w:rPr>
                <w:rFonts w:hint="eastAsia" w:ascii="微软雅黑" w:hAnsi="微软雅黑" w:eastAsia="微软雅黑" w:cs="微软雅黑"/>
                <w:i/>
                <w:iCs/>
                <w:color w:val="000000"/>
                <w:sz w:val="16"/>
                <w:szCs w:val="16"/>
                <w:u w:val="none"/>
              </w:rPr>
            </w:pP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FD5D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E5E3C0">
            <w:pPr>
              <w:jc w:val="center"/>
              <w:rPr>
                <w:rFonts w:hint="eastAsia" w:ascii="宋体" w:hAnsi="宋体" w:eastAsia="宋体" w:cs="宋体"/>
                <w:i w:val="0"/>
                <w:iCs w:val="0"/>
                <w:color w:val="000000"/>
                <w:sz w:val="18"/>
                <w:szCs w:val="18"/>
                <w:u w:val="none"/>
              </w:rPr>
            </w:pP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052076">
            <w:pPr>
              <w:jc w:val="center"/>
              <w:rPr>
                <w:rFonts w:hint="eastAsia" w:ascii="微软雅黑" w:hAnsi="微软雅黑" w:eastAsia="微软雅黑" w:cs="微软雅黑"/>
                <w:i/>
                <w:iCs/>
                <w:color w:val="000000"/>
                <w:sz w:val="16"/>
                <w:szCs w:val="16"/>
                <w:u w:val="none"/>
              </w:rPr>
            </w:pPr>
          </w:p>
        </w:tc>
      </w:tr>
      <w:tr w14:paraId="747F2C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4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EA17A7">
            <w:pPr>
              <w:jc w:val="center"/>
              <w:rPr>
                <w:rFonts w:hint="eastAsia" w:ascii="宋体" w:hAnsi="宋体" w:eastAsia="宋体" w:cs="宋体"/>
                <w:i w:val="0"/>
                <w:iCs w:val="0"/>
                <w:color w:val="000000"/>
                <w:sz w:val="18"/>
                <w:szCs w:val="18"/>
                <w:u w:val="none"/>
              </w:rPr>
            </w:pPr>
          </w:p>
        </w:tc>
        <w:tc>
          <w:tcPr>
            <w:tcW w:w="4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AD3612">
            <w:pPr>
              <w:jc w:val="center"/>
              <w:rPr>
                <w:rFonts w:hint="eastAsia" w:ascii="宋体" w:hAnsi="宋体" w:eastAsia="宋体" w:cs="宋体"/>
                <w:i w:val="0"/>
                <w:iCs w:val="0"/>
                <w:color w:val="000000"/>
                <w:sz w:val="18"/>
                <w:szCs w:val="18"/>
                <w:u w:val="none"/>
              </w:rPr>
            </w:pP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1848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4685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完成年限</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EA28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B497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A166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7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44C398">
            <w:pPr>
              <w:jc w:val="center"/>
              <w:rPr>
                <w:rFonts w:hint="eastAsia" w:ascii="微软雅黑" w:hAnsi="微软雅黑" w:eastAsia="微软雅黑" w:cs="微软雅黑"/>
                <w:i/>
                <w:iCs/>
                <w:color w:val="000000"/>
                <w:sz w:val="16"/>
                <w:szCs w:val="16"/>
                <w:u w:val="none"/>
              </w:rPr>
            </w:pP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04AE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910AF1">
            <w:pPr>
              <w:jc w:val="center"/>
              <w:rPr>
                <w:rFonts w:hint="eastAsia" w:ascii="宋体" w:hAnsi="宋体" w:eastAsia="宋体" w:cs="宋体"/>
                <w:i w:val="0"/>
                <w:iCs w:val="0"/>
                <w:color w:val="000000"/>
                <w:sz w:val="18"/>
                <w:szCs w:val="18"/>
                <w:u w:val="none"/>
              </w:rPr>
            </w:pP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320179">
            <w:pPr>
              <w:jc w:val="center"/>
              <w:rPr>
                <w:rFonts w:hint="eastAsia" w:ascii="微软雅黑" w:hAnsi="微软雅黑" w:eastAsia="微软雅黑" w:cs="微软雅黑"/>
                <w:i/>
                <w:iCs/>
                <w:color w:val="000000"/>
                <w:sz w:val="16"/>
                <w:szCs w:val="16"/>
                <w:u w:val="none"/>
              </w:rPr>
            </w:pPr>
          </w:p>
        </w:tc>
      </w:tr>
      <w:tr w14:paraId="66BB3A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4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FDF828">
            <w:pPr>
              <w:jc w:val="center"/>
              <w:rPr>
                <w:rFonts w:hint="eastAsia" w:ascii="宋体" w:hAnsi="宋体" w:eastAsia="宋体" w:cs="宋体"/>
                <w:i w:val="0"/>
                <w:iCs w:val="0"/>
                <w:color w:val="000000"/>
                <w:sz w:val="18"/>
                <w:szCs w:val="18"/>
                <w:u w:val="none"/>
              </w:rPr>
            </w:pPr>
          </w:p>
        </w:tc>
        <w:tc>
          <w:tcPr>
            <w:tcW w:w="4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6253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084D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AC87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提高镇、村网络覆盖面</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D76B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719B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6743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10FEAC">
            <w:pPr>
              <w:jc w:val="center"/>
              <w:rPr>
                <w:rFonts w:hint="eastAsia" w:ascii="微软雅黑" w:hAnsi="微软雅黑" w:eastAsia="微软雅黑" w:cs="微软雅黑"/>
                <w:i/>
                <w:iCs/>
                <w:color w:val="000000"/>
                <w:sz w:val="16"/>
                <w:szCs w:val="16"/>
                <w:u w:val="none"/>
              </w:rPr>
            </w:pP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D5FC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29EA78">
            <w:pPr>
              <w:jc w:val="center"/>
              <w:rPr>
                <w:rFonts w:hint="eastAsia" w:ascii="宋体" w:hAnsi="宋体" w:eastAsia="宋体" w:cs="宋体"/>
                <w:i w:val="0"/>
                <w:iCs w:val="0"/>
                <w:color w:val="000000"/>
                <w:sz w:val="18"/>
                <w:szCs w:val="18"/>
                <w:u w:val="none"/>
              </w:rPr>
            </w:pP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AA5613">
            <w:pPr>
              <w:jc w:val="center"/>
              <w:rPr>
                <w:rFonts w:hint="eastAsia" w:ascii="微软雅黑" w:hAnsi="微软雅黑" w:eastAsia="微软雅黑" w:cs="微软雅黑"/>
                <w:i/>
                <w:iCs/>
                <w:color w:val="000000"/>
                <w:sz w:val="16"/>
                <w:szCs w:val="16"/>
                <w:u w:val="none"/>
              </w:rPr>
            </w:pPr>
          </w:p>
        </w:tc>
      </w:tr>
      <w:tr w14:paraId="445D86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4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29968B">
            <w:pPr>
              <w:jc w:val="center"/>
              <w:rPr>
                <w:rFonts w:hint="eastAsia" w:ascii="宋体" w:hAnsi="宋体" w:eastAsia="宋体" w:cs="宋体"/>
                <w:i w:val="0"/>
                <w:iCs w:val="0"/>
                <w:color w:val="000000"/>
                <w:sz w:val="18"/>
                <w:szCs w:val="18"/>
                <w:u w:val="none"/>
              </w:rPr>
            </w:pPr>
          </w:p>
        </w:tc>
        <w:tc>
          <w:tcPr>
            <w:tcW w:w="4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3D1D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4619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BE28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电子政务外网使用对象满意度</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0AF0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E9C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DC9E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55AB49">
            <w:pPr>
              <w:jc w:val="center"/>
              <w:rPr>
                <w:rFonts w:hint="eastAsia" w:ascii="微软雅黑" w:hAnsi="微软雅黑" w:eastAsia="微软雅黑" w:cs="微软雅黑"/>
                <w:i/>
                <w:iCs/>
                <w:color w:val="000000"/>
                <w:sz w:val="16"/>
                <w:szCs w:val="16"/>
                <w:u w:val="none"/>
              </w:rPr>
            </w:pP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DBB4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324FE8">
            <w:pPr>
              <w:jc w:val="center"/>
              <w:rPr>
                <w:rFonts w:hint="eastAsia" w:ascii="宋体" w:hAnsi="宋体" w:eastAsia="宋体" w:cs="宋体"/>
                <w:i w:val="0"/>
                <w:iCs w:val="0"/>
                <w:color w:val="000000"/>
                <w:sz w:val="18"/>
                <w:szCs w:val="18"/>
                <w:u w:val="none"/>
              </w:rPr>
            </w:pP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7A6783">
            <w:pPr>
              <w:jc w:val="center"/>
              <w:rPr>
                <w:rFonts w:hint="eastAsia" w:ascii="微软雅黑" w:hAnsi="微软雅黑" w:eastAsia="微软雅黑" w:cs="微软雅黑"/>
                <w:i/>
                <w:iCs/>
                <w:color w:val="000000"/>
                <w:sz w:val="16"/>
                <w:szCs w:val="16"/>
                <w:u w:val="none"/>
              </w:rPr>
            </w:pPr>
          </w:p>
        </w:tc>
      </w:tr>
      <w:tr w14:paraId="769E23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4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E6267D">
            <w:pPr>
              <w:jc w:val="center"/>
              <w:rPr>
                <w:rFonts w:hint="eastAsia" w:ascii="宋体" w:hAnsi="宋体" w:eastAsia="宋体" w:cs="宋体"/>
                <w:i w:val="0"/>
                <w:iCs w:val="0"/>
                <w:color w:val="000000"/>
                <w:sz w:val="18"/>
                <w:szCs w:val="18"/>
                <w:u w:val="none"/>
              </w:rPr>
            </w:pPr>
          </w:p>
        </w:tc>
        <w:tc>
          <w:tcPr>
            <w:tcW w:w="4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FC38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B69F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DEC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控制成本</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3E73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B2DA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1433600</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FF8C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7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1E049A">
            <w:pPr>
              <w:jc w:val="center"/>
              <w:rPr>
                <w:rFonts w:hint="eastAsia" w:ascii="微软雅黑" w:hAnsi="微软雅黑" w:eastAsia="微软雅黑" w:cs="微软雅黑"/>
                <w:i/>
                <w:iCs/>
                <w:color w:val="000000"/>
                <w:sz w:val="16"/>
                <w:szCs w:val="16"/>
                <w:u w:val="none"/>
              </w:rPr>
            </w:pP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32BD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AF4201">
            <w:pPr>
              <w:jc w:val="center"/>
              <w:rPr>
                <w:rFonts w:hint="eastAsia" w:ascii="宋体" w:hAnsi="宋体" w:eastAsia="宋体" w:cs="宋体"/>
                <w:i w:val="0"/>
                <w:iCs w:val="0"/>
                <w:color w:val="000000"/>
                <w:sz w:val="18"/>
                <w:szCs w:val="18"/>
                <w:u w:val="none"/>
              </w:rPr>
            </w:pP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E5DD9B">
            <w:pPr>
              <w:jc w:val="center"/>
              <w:rPr>
                <w:rFonts w:hint="eastAsia" w:ascii="微软雅黑" w:hAnsi="微软雅黑" w:eastAsia="微软雅黑" w:cs="微软雅黑"/>
                <w:i/>
                <w:iCs/>
                <w:color w:val="000000"/>
                <w:sz w:val="16"/>
                <w:szCs w:val="16"/>
                <w:u w:val="none"/>
              </w:rPr>
            </w:pPr>
          </w:p>
        </w:tc>
      </w:tr>
      <w:tr w14:paraId="4E8FDE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95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86385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344E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62331C">
            <w:pPr>
              <w:rPr>
                <w:rFonts w:hint="eastAsia" w:ascii="宋体" w:hAnsi="宋体" w:eastAsia="宋体" w:cs="宋体"/>
                <w:i w:val="0"/>
                <w:iCs w:val="0"/>
                <w:color w:val="000000"/>
                <w:sz w:val="18"/>
                <w:szCs w:val="18"/>
                <w:u w:val="none"/>
              </w:rPr>
            </w:pP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84384F">
            <w:pPr>
              <w:rPr>
                <w:rFonts w:hint="eastAsia" w:ascii="宋体" w:hAnsi="宋体" w:eastAsia="宋体" w:cs="宋体"/>
                <w:i w:val="0"/>
                <w:iCs w:val="0"/>
                <w:color w:val="000000"/>
                <w:sz w:val="18"/>
                <w:szCs w:val="18"/>
                <w:u w:val="none"/>
              </w:rPr>
            </w:pPr>
          </w:p>
        </w:tc>
      </w:tr>
      <w:tr w14:paraId="5D04BC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4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212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553"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B329AD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本项目资金管理及财务信息符合相关规定，项目实施过程管理有效，通过该项目的实施取得了相应的社会效益及其他相关效益，使资金发挥了应有作用，通过有限的财政资金取得了重大成效，对社会的稳定和发展起到了推动作用。绩效评价综合得分为95分。</w:t>
            </w:r>
          </w:p>
        </w:tc>
      </w:tr>
      <w:tr w14:paraId="279CD4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4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7BF7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553"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883E45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075863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4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6019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553"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058D79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074BCC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37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F52BDB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项目负责人：王睿林</w:t>
            </w:r>
          </w:p>
        </w:tc>
        <w:tc>
          <w:tcPr>
            <w:tcW w:w="2625"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981B91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财务负责人：杨国涛</w:t>
            </w:r>
          </w:p>
        </w:tc>
      </w:tr>
      <w:tr w14:paraId="3FAB03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46" w:type="pct"/>
            <w:tcBorders>
              <w:top w:val="nil"/>
              <w:left w:val="nil"/>
              <w:bottom w:val="nil"/>
              <w:right w:val="nil"/>
            </w:tcBorders>
            <w:shd w:val="clear" w:color="auto" w:fill="auto"/>
            <w:vAlign w:val="center"/>
          </w:tcPr>
          <w:p w14:paraId="5FE1ADC1">
            <w:pPr>
              <w:rPr>
                <w:rFonts w:hint="eastAsia" w:ascii="宋体" w:hAnsi="宋体" w:eastAsia="宋体" w:cs="宋体"/>
                <w:i w:val="0"/>
                <w:iCs w:val="0"/>
                <w:color w:val="000000"/>
                <w:sz w:val="18"/>
                <w:szCs w:val="18"/>
                <w:u w:val="none"/>
              </w:rPr>
            </w:pPr>
          </w:p>
        </w:tc>
        <w:tc>
          <w:tcPr>
            <w:tcW w:w="468" w:type="pct"/>
            <w:tcBorders>
              <w:top w:val="nil"/>
              <w:left w:val="nil"/>
              <w:bottom w:val="nil"/>
              <w:right w:val="nil"/>
            </w:tcBorders>
            <w:shd w:val="clear" w:color="auto" w:fill="auto"/>
            <w:vAlign w:val="center"/>
          </w:tcPr>
          <w:p w14:paraId="3D7DA56E">
            <w:pPr>
              <w:rPr>
                <w:rFonts w:hint="eastAsia" w:ascii="宋体" w:hAnsi="宋体" w:eastAsia="宋体" w:cs="宋体"/>
                <w:i w:val="0"/>
                <w:iCs w:val="0"/>
                <w:color w:val="000000"/>
                <w:sz w:val="18"/>
                <w:szCs w:val="18"/>
                <w:u w:val="none"/>
              </w:rPr>
            </w:pPr>
          </w:p>
        </w:tc>
        <w:tc>
          <w:tcPr>
            <w:tcW w:w="433" w:type="pct"/>
            <w:tcBorders>
              <w:top w:val="nil"/>
              <w:left w:val="nil"/>
              <w:bottom w:val="nil"/>
              <w:right w:val="nil"/>
            </w:tcBorders>
            <w:shd w:val="clear" w:color="auto" w:fill="auto"/>
            <w:vAlign w:val="center"/>
          </w:tcPr>
          <w:p w14:paraId="7624B11E">
            <w:pPr>
              <w:rPr>
                <w:rFonts w:hint="eastAsia" w:ascii="宋体" w:hAnsi="宋体" w:eastAsia="宋体" w:cs="宋体"/>
                <w:i w:val="0"/>
                <w:iCs w:val="0"/>
                <w:color w:val="000000"/>
                <w:sz w:val="18"/>
                <w:szCs w:val="18"/>
                <w:u w:val="none"/>
              </w:rPr>
            </w:pPr>
          </w:p>
        </w:tc>
        <w:tc>
          <w:tcPr>
            <w:tcW w:w="751" w:type="pct"/>
            <w:tcBorders>
              <w:top w:val="nil"/>
              <w:left w:val="nil"/>
              <w:bottom w:val="nil"/>
              <w:right w:val="nil"/>
            </w:tcBorders>
            <w:shd w:val="clear" w:color="auto" w:fill="auto"/>
            <w:vAlign w:val="center"/>
          </w:tcPr>
          <w:p w14:paraId="16785D71">
            <w:pPr>
              <w:rPr>
                <w:rFonts w:hint="eastAsia" w:ascii="宋体" w:hAnsi="宋体" w:eastAsia="宋体" w:cs="宋体"/>
                <w:i w:val="0"/>
                <w:iCs w:val="0"/>
                <w:color w:val="000000"/>
                <w:sz w:val="18"/>
                <w:szCs w:val="18"/>
                <w:u w:val="none"/>
              </w:rPr>
            </w:pPr>
          </w:p>
        </w:tc>
        <w:tc>
          <w:tcPr>
            <w:tcW w:w="275" w:type="pct"/>
            <w:tcBorders>
              <w:top w:val="nil"/>
              <w:left w:val="nil"/>
              <w:bottom w:val="nil"/>
              <w:right w:val="nil"/>
            </w:tcBorders>
            <w:shd w:val="clear" w:color="auto" w:fill="auto"/>
            <w:vAlign w:val="center"/>
          </w:tcPr>
          <w:p w14:paraId="34A66F04">
            <w:pPr>
              <w:rPr>
                <w:rFonts w:hint="eastAsia" w:ascii="宋体" w:hAnsi="宋体" w:eastAsia="宋体" w:cs="宋体"/>
                <w:i w:val="0"/>
                <w:iCs w:val="0"/>
                <w:color w:val="000000"/>
                <w:sz w:val="18"/>
                <w:szCs w:val="18"/>
                <w:u w:val="none"/>
              </w:rPr>
            </w:pPr>
          </w:p>
        </w:tc>
        <w:tc>
          <w:tcPr>
            <w:tcW w:w="501" w:type="pct"/>
            <w:tcBorders>
              <w:top w:val="nil"/>
              <w:left w:val="nil"/>
              <w:bottom w:val="nil"/>
              <w:right w:val="nil"/>
            </w:tcBorders>
            <w:shd w:val="clear" w:color="auto" w:fill="auto"/>
            <w:vAlign w:val="center"/>
          </w:tcPr>
          <w:p w14:paraId="38AA7837">
            <w:pPr>
              <w:rPr>
                <w:rFonts w:hint="eastAsia" w:ascii="宋体" w:hAnsi="宋体" w:eastAsia="宋体" w:cs="宋体"/>
                <w:i w:val="0"/>
                <w:iCs w:val="0"/>
                <w:color w:val="000000"/>
                <w:sz w:val="18"/>
                <w:szCs w:val="18"/>
                <w:u w:val="none"/>
              </w:rPr>
            </w:pPr>
          </w:p>
        </w:tc>
        <w:tc>
          <w:tcPr>
            <w:tcW w:w="372" w:type="pct"/>
            <w:tcBorders>
              <w:top w:val="nil"/>
              <w:left w:val="nil"/>
              <w:bottom w:val="nil"/>
              <w:right w:val="nil"/>
            </w:tcBorders>
            <w:shd w:val="clear" w:color="auto" w:fill="auto"/>
            <w:vAlign w:val="center"/>
          </w:tcPr>
          <w:p w14:paraId="79C4E99B">
            <w:pPr>
              <w:rPr>
                <w:rFonts w:hint="eastAsia" w:ascii="宋体" w:hAnsi="宋体" w:eastAsia="宋体" w:cs="宋体"/>
                <w:i w:val="0"/>
                <w:iCs w:val="0"/>
                <w:color w:val="000000"/>
                <w:sz w:val="18"/>
                <w:szCs w:val="18"/>
                <w:u w:val="none"/>
              </w:rPr>
            </w:pPr>
          </w:p>
        </w:tc>
        <w:tc>
          <w:tcPr>
            <w:tcW w:w="701" w:type="pct"/>
            <w:tcBorders>
              <w:top w:val="nil"/>
              <w:left w:val="nil"/>
              <w:bottom w:val="nil"/>
              <w:right w:val="nil"/>
            </w:tcBorders>
            <w:shd w:val="clear" w:color="auto" w:fill="auto"/>
            <w:vAlign w:val="center"/>
          </w:tcPr>
          <w:p w14:paraId="75A8DFFB">
            <w:pPr>
              <w:rPr>
                <w:rFonts w:hint="eastAsia" w:ascii="宋体" w:hAnsi="宋体" w:eastAsia="宋体" w:cs="宋体"/>
                <w:i w:val="0"/>
                <w:iCs w:val="0"/>
                <w:color w:val="000000"/>
                <w:sz w:val="18"/>
                <w:szCs w:val="18"/>
                <w:u w:val="none"/>
              </w:rPr>
            </w:pPr>
          </w:p>
        </w:tc>
        <w:tc>
          <w:tcPr>
            <w:tcW w:w="338" w:type="pct"/>
            <w:tcBorders>
              <w:top w:val="nil"/>
              <w:left w:val="nil"/>
              <w:bottom w:val="nil"/>
              <w:right w:val="nil"/>
            </w:tcBorders>
            <w:shd w:val="clear" w:color="auto" w:fill="auto"/>
            <w:vAlign w:val="center"/>
          </w:tcPr>
          <w:p w14:paraId="178BBC6D">
            <w:pPr>
              <w:rPr>
                <w:rFonts w:hint="eastAsia" w:ascii="宋体" w:hAnsi="宋体" w:eastAsia="宋体" w:cs="宋体"/>
                <w:i w:val="0"/>
                <w:iCs w:val="0"/>
                <w:color w:val="000000"/>
                <w:sz w:val="18"/>
                <w:szCs w:val="18"/>
                <w:u w:val="none"/>
              </w:rPr>
            </w:pPr>
          </w:p>
        </w:tc>
        <w:tc>
          <w:tcPr>
            <w:tcW w:w="291" w:type="pct"/>
            <w:tcBorders>
              <w:top w:val="nil"/>
              <w:left w:val="nil"/>
              <w:bottom w:val="nil"/>
              <w:right w:val="nil"/>
            </w:tcBorders>
            <w:shd w:val="clear" w:color="auto" w:fill="auto"/>
            <w:vAlign w:val="center"/>
          </w:tcPr>
          <w:p w14:paraId="107B9686">
            <w:pPr>
              <w:rPr>
                <w:rFonts w:hint="eastAsia" w:ascii="宋体" w:hAnsi="宋体" w:eastAsia="宋体" w:cs="宋体"/>
                <w:i w:val="0"/>
                <w:iCs w:val="0"/>
                <w:color w:val="000000"/>
                <w:sz w:val="18"/>
                <w:szCs w:val="18"/>
                <w:u w:val="none"/>
              </w:rPr>
            </w:pPr>
          </w:p>
        </w:tc>
        <w:tc>
          <w:tcPr>
            <w:tcW w:w="420" w:type="pct"/>
            <w:tcBorders>
              <w:top w:val="nil"/>
              <w:left w:val="nil"/>
              <w:bottom w:val="nil"/>
              <w:right w:val="nil"/>
            </w:tcBorders>
            <w:shd w:val="clear" w:color="auto" w:fill="auto"/>
            <w:vAlign w:val="center"/>
          </w:tcPr>
          <w:p w14:paraId="3344D875">
            <w:pPr>
              <w:rPr>
                <w:rFonts w:hint="eastAsia" w:ascii="宋体" w:hAnsi="宋体" w:eastAsia="宋体" w:cs="宋体"/>
                <w:i w:val="0"/>
                <w:iCs w:val="0"/>
                <w:color w:val="000000"/>
                <w:sz w:val="18"/>
                <w:szCs w:val="18"/>
                <w:u w:val="none"/>
              </w:rPr>
            </w:pPr>
          </w:p>
        </w:tc>
      </w:tr>
      <w:tr w14:paraId="5B2060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269BD20">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3A7139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1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A9619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85"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FF5C20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51322325T000013103921-2024年重点工作保障经费</w:t>
            </w:r>
          </w:p>
        </w:tc>
      </w:tr>
      <w:tr w14:paraId="6ACC52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1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4EBB8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33"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B2CA04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茂县人民政府办公室</w:t>
            </w:r>
          </w:p>
        </w:tc>
        <w:tc>
          <w:tcPr>
            <w:tcW w:w="701" w:type="pct"/>
            <w:tcBorders>
              <w:top w:val="nil"/>
              <w:left w:val="nil"/>
              <w:bottom w:val="nil"/>
              <w:right w:val="nil"/>
            </w:tcBorders>
            <w:shd w:val="clear" w:color="auto" w:fill="auto"/>
            <w:vAlign w:val="center"/>
          </w:tcPr>
          <w:p w14:paraId="00DF5F1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04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D102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茂县人民政府办公室（行政）</w:t>
            </w:r>
          </w:p>
        </w:tc>
      </w:tr>
      <w:tr w14:paraId="7A2202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4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3FBA3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46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C19C0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33"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F60C8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75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88F8BED">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021FC6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4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B00431">
            <w:pPr>
              <w:rPr>
                <w:rFonts w:hint="eastAsia" w:ascii="宋体" w:hAnsi="宋体" w:eastAsia="宋体" w:cs="宋体"/>
                <w:i w:val="0"/>
                <w:iCs w:val="0"/>
                <w:color w:val="000000"/>
                <w:sz w:val="18"/>
                <w:szCs w:val="18"/>
                <w:u w:val="none"/>
              </w:rPr>
            </w:pPr>
          </w:p>
        </w:tc>
        <w:tc>
          <w:tcPr>
            <w:tcW w:w="4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D75AC3">
            <w:pPr>
              <w:rPr>
                <w:rFonts w:hint="eastAsia" w:ascii="宋体" w:hAnsi="宋体" w:eastAsia="宋体" w:cs="宋体"/>
                <w:i w:val="0"/>
                <w:iCs w:val="0"/>
                <w:color w:val="000000"/>
                <w:sz w:val="18"/>
                <w:szCs w:val="18"/>
                <w:u w:val="none"/>
              </w:rPr>
            </w:pPr>
          </w:p>
        </w:tc>
        <w:tc>
          <w:tcPr>
            <w:tcW w:w="2333"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45DBE2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推进县人民政府重点工作，提高县人民政府办公室工作实效</w:t>
            </w:r>
          </w:p>
        </w:tc>
        <w:tc>
          <w:tcPr>
            <w:tcW w:w="175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A44A27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切实推进县人民政府重点工作，提高县人民政府办公室工作质效。</w:t>
            </w:r>
          </w:p>
        </w:tc>
      </w:tr>
      <w:tr w14:paraId="4AEA37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4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F3FFC9">
            <w:pPr>
              <w:rPr>
                <w:rFonts w:hint="eastAsia" w:ascii="宋体" w:hAnsi="宋体" w:eastAsia="宋体" w:cs="宋体"/>
                <w:i w:val="0"/>
                <w:iCs w:val="0"/>
                <w:color w:val="000000"/>
                <w:sz w:val="18"/>
                <w:szCs w:val="18"/>
                <w:u w:val="none"/>
              </w:rPr>
            </w:pPr>
          </w:p>
        </w:tc>
        <w:tc>
          <w:tcPr>
            <w:tcW w:w="4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DE6FD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85"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3EFBE3A">
            <w:pPr>
              <w:rPr>
                <w:rFonts w:hint="eastAsia" w:ascii="宋体" w:hAnsi="宋体" w:eastAsia="宋体" w:cs="宋体"/>
                <w:i w:val="0"/>
                <w:iCs w:val="0"/>
                <w:color w:val="000000"/>
                <w:sz w:val="18"/>
                <w:szCs w:val="18"/>
                <w:u w:val="none"/>
              </w:rPr>
            </w:pPr>
          </w:p>
        </w:tc>
      </w:tr>
      <w:tr w14:paraId="346A65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44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CEDE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4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45FE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EDE6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EE20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14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97DF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DE73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7745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C09E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6998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775A6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4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442AEA">
            <w:pPr>
              <w:jc w:val="center"/>
              <w:rPr>
                <w:rFonts w:hint="eastAsia" w:ascii="宋体" w:hAnsi="宋体" w:eastAsia="宋体" w:cs="宋体"/>
                <w:i w:val="0"/>
                <w:iCs w:val="0"/>
                <w:color w:val="000000"/>
                <w:sz w:val="18"/>
                <w:szCs w:val="18"/>
                <w:u w:val="none"/>
              </w:rPr>
            </w:pPr>
          </w:p>
        </w:tc>
        <w:tc>
          <w:tcPr>
            <w:tcW w:w="4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F3BE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C491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D879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74.86</w:t>
            </w:r>
          </w:p>
        </w:tc>
        <w:tc>
          <w:tcPr>
            <w:tcW w:w="114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63F2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74.86</w:t>
            </w:r>
          </w:p>
        </w:tc>
        <w:tc>
          <w:tcPr>
            <w:tcW w:w="7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0268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E825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E248D3">
            <w:pPr>
              <w:jc w:val="center"/>
              <w:rPr>
                <w:rFonts w:hint="eastAsia" w:ascii="宋体" w:hAnsi="宋体" w:eastAsia="宋体" w:cs="宋体"/>
                <w:i w:val="0"/>
                <w:iCs w:val="0"/>
                <w:color w:val="000000"/>
                <w:sz w:val="18"/>
                <w:szCs w:val="18"/>
                <w:u w:val="none"/>
              </w:rPr>
            </w:pPr>
          </w:p>
        </w:tc>
        <w:tc>
          <w:tcPr>
            <w:tcW w:w="42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3E8470">
            <w:pPr>
              <w:rPr>
                <w:rFonts w:hint="eastAsia" w:ascii="黑体" w:hAnsi="黑体" w:eastAsia="黑体" w:cs="黑体"/>
                <w:i/>
                <w:iCs/>
                <w:color w:val="000000"/>
                <w:sz w:val="18"/>
                <w:szCs w:val="18"/>
                <w:u w:val="none"/>
              </w:rPr>
            </w:pPr>
          </w:p>
        </w:tc>
      </w:tr>
      <w:tr w14:paraId="45B6A9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4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FC27EB">
            <w:pPr>
              <w:jc w:val="center"/>
              <w:rPr>
                <w:rFonts w:hint="eastAsia" w:ascii="宋体" w:hAnsi="宋体" w:eastAsia="宋体" w:cs="宋体"/>
                <w:i w:val="0"/>
                <w:iCs w:val="0"/>
                <w:color w:val="000000"/>
                <w:sz w:val="18"/>
                <w:szCs w:val="18"/>
                <w:u w:val="none"/>
              </w:rPr>
            </w:pPr>
          </w:p>
        </w:tc>
        <w:tc>
          <w:tcPr>
            <w:tcW w:w="4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E4F7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DEDA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8BEF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74.86</w:t>
            </w:r>
          </w:p>
        </w:tc>
        <w:tc>
          <w:tcPr>
            <w:tcW w:w="114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3ACF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74.86</w:t>
            </w:r>
          </w:p>
        </w:tc>
        <w:tc>
          <w:tcPr>
            <w:tcW w:w="7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1E32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156C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DD39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A7CD44">
            <w:pPr>
              <w:rPr>
                <w:rFonts w:hint="eastAsia" w:ascii="黑体" w:hAnsi="黑体" w:eastAsia="黑体" w:cs="黑体"/>
                <w:i/>
                <w:iCs/>
                <w:color w:val="000000"/>
                <w:sz w:val="18"/>
                <w:szCs w:val="18"/>
                <w:u w:val="none"/>
              </w:rPr>
            </w:pPr>
          </w:p>
        </w:tc>
      </w:tr>
      <w:tr w14:paraId="4D5DE6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4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718B41">
            <w:pPr>
              <w:jc w:val="center"/>
              <w:rPr>
                <w:rFonts w:hint="eastAsia" w:ascii="宋体" w:hAnsi="宋体" w:eastAsia="宋体" w:cs="宋体"/>
                <w:i w:val="0"/>
                <w:iCs w:val="0"/>
                <w:color w:val="000000"/>
                <w:sz w:val="18"/>
                <w:szCs w:val="18"/>
                <w:u w:val="none"/>
              </w:rPr>
            </w:pPr>
          </w:p>
        </w:tc>
        <w:tc>
          <w:tcPr>
            <w:tcW w:w="4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D1EC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68C3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D007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4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279E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D594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468C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61F8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B71EB4">
            <w:pPr>
              <w:rPr>
                <w:rFonts w:hint="eastAsia" w:ascii="黑体" w:hAnsi="黑体" w:eastAsia="黑体" w:cs="黑体"/>
                <w:i/>
                <w:iCs/>
                <w:color w:val="000000"/>
                <w:sz w:val="18"/>
                <w:szCs w:val="18"/>
                <w:u w:val="none"/>
              </w:rPr>
            </w:pPr>
          </w:p>
        </w:tc>
      </w:tr>
      <w:tr w14:paraId="69CEAD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4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676426">
            <w:pPr>
              <w:jc w:val="center"/>
              <w:rPr>
                <w:rFonts w:hint="eastAsia" w:ascii="宋体" w:hAnsi="宋体" w:eastAsia="宋体" w:cs="宋体"/>
                <w:i w:val="0"/>
                <w:iCs w:val="0"/>
                <w:color w:val="000000"/>
                <w:sz w:val="18"/>
                <w:szCs w:val="18"/>
                <w:u w:val="none"/>
              </w:rPr>
            </w:pPr>
          </w:p>
        </w:tc>
        <w:tc>
          <w:tcPr>
            <w:tcW w:w="4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899A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A7FA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FED3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4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5626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0F06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FF05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0118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EBC81F">
            <w:pPr>
              <w:rPr>
                <w:rFonts w:hint="eastAsia" w:ascii="黑体" w:hAnsi="黑体" w:eastAsia="黑体" w:cs="黑体"/>
                <w:i/>
                <w:iCs/>
                <w:color w:val="000000"/>
                <w:sz w:val="18"/>
                <w:szCs w:val="18"/>
                <w:u w:val="none"/>
              </w:rPr>
            </w:pPr>
          </w:p>
        </w:tc>
      </w:tr>
      <w:tr w14:paraId="70B6AF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4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867A1B">
            <w:pPr>
              <w:jc w:val="center"/>
              <w:rPr>
                <w:rFonts w:hint="eastAsia" w:ascii="宋体" w:hAnsi="宋体" w:eastAsia="宋体" w:cs="宋体"/>
                <w:i w:val="0"/>
                <w:iCs w:val="0"/>
                <w:color w:val="000000"/>
                <w:sz w:val="18"/>
                <w:szCs w:val="18"/>
                <w:u w:val="none"/>
              </w:rPr>
            </w:pPr>
          </w:p>
        </w:tc>
        <w:tc>
          <w:tcPr>
            <w:tcW w:w="4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6000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E3B6E0">
            <w:pPr>
              <w:jc w:val="center"/>
              <w:rPr>
                <w:rFonts w:hint="eastAsia" w:ascii="微软雅黑" w:hAnsi="微软雅黑" w:eastAsia="微软雅黑" w:cs="微软雅黑"/>
                <w:i/>
                <w:iCs/>
                <w:color w:val="000000"/>
                <w:sz w:val="16"/>
                <w:szCs w:val="16"/>
                <w:u w:val="none"/>
              </w:rPr>
            </w:pP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994F84">
            <w:pPr>
              <w:jc w:val="center"/>
              <w:rPr>
                <w:rFonts w:hint="eastAsia" w:ascii="微软雅黑" w:hAnsi="微软雅黑" w:eastAsia="微软雅黑" w:cs="微软雅黑"/>
                <w:i/>
                <w:iCs/>
                <w:color w:val="000000"/>
                <w:sz w:val="16"/>
                <w:szCs w:val="16"/>
                <w:u w:val="none"/>
              </w:rPr>
            </w:pPr>
          </w:p>
        </w:tc>
        <w:tc>
          <w:tcPr>
            <w:tcW w:w="114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15F834">
            <w:pPr>
              <w:jc w:val="center"/>
              <w:rPr>
                <w:rFonts w:hint="eastAsia" w:ascii="微软雅黑" w:hAnsi="微软雅黑" w:eastAsia="微软雅黑" w:cs="微软雅黑"/>
                <w:i/>
                <w:iCs/>
                <w:color w:val="000000"/>
                <w:sz w:val="16"/>
                <w:szCs w:val="16"/>
                <w:u w:val="none"/>
              </w:rPr>
            </w:pPr>
          </w:p>
        </w:tc>
        <w:tc>
          <w:tcPr>
            <w:tcW w:w="7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2E27EA">
            <w:pPr>
              <w:jc w:val="center"/>
              <w:rPr>
                <w:rFonts w:hint="eastAsia" w:ascii="微软雅黑" w:hAnsi="微软雅黑" w:eastAsia="微软雅黑" w:cs="微软雅黑"/>
                <w:i/>
                <w:iCs/>
                <w:color w:val="000000"/>
                <w:sz w:val="16"/>
                <w:szCs w:val="16"/>
                <w:u w:val="none"/>
              </w:rPr>
            </w:pP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6317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117B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97C11C">
            <w:pPr>
              <w:rPr>
                <w:rFonts w:hint="eastAsia" w:ascii="黑体" w:hAnsi="黑体" w:eastAsia="黑体" w:cs="黑体"/>
                <w:i/>
                <w:iCs/>
                <w:color w:val="000000"/>
                <w:sz w:val="18"/>
                <w:szCs w:val="18"/>
                <w:u w:val="none"/>
              </w:rPr>
            </w:pPr>
          </w:p>
        </w:tc>
      </w:tr>
      <w:tr w14:paraId="791D14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44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3545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4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3987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6733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6274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0788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A0CA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7A07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1DE7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CD04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1D6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3F8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7138A8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4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6C97C2">
            <w:pPr>
              <w:jc w:val="center"/>
              <w:rPr>
                <w:rFonts w:hint="eastAsia" w:ascii="宋体" w:hAnsi="宋体" w:eastAsia="宋体" w:cs="宋体"/>
                <w:i w:val="0"/>
                <w:iCs w:val="0"/>
                <w:color w:val="000000"/>
                <w:sz w:val="18"/>
                <w:szCs w:val="18"/>
                <w:u w:val="none"/>
              </w:rPr>
            </w:pPr>
          </w:p>
        </w:tc>
        <w:tc>
          <w:tcPr>
            <w:tcW w:w="46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249A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3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D3DA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9C5A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政务督查次数</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199D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A9F0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B9D0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人/次</w:t>
            </w:r>
          </w:p>
        </w:tc>
        <w:tc>
          <w:tcPr>
            <w:tcW w:w="7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2E27D9">
            <w:pPr>
              <w:jc w:val="center"/>
              <w:rPr>
                <w:rFonts w:hint="eastAsia" w:ascii="微软雅黑" w:hAnsi="微软雅黑" w:eastAsia="微软雅黑" w:cs="微软雅黑"/>
                <w:i/>
                <w:iCs/>
                <w:color w:val="000000"/>
                <w:sz w:val="16"/>
                <w:szCs w:val="16"/>
                <w:u w:val="none"/>
              </w:rPr>
            </w:pP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B03E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0DD476">
            <w:pPr>
              <w:jc w:val="center"/>
              <w:rPr>
                <w:rFonts w:hint="eastAsia" w:ascii="宋体" w:hAnsi="宋体" w:eastAsia="宋体" w:cs="宋体"/>
                <w:i w:val="0"/>
                <w:iCs w:val="0"/>
                <w:color w:val="000000"/>
                <w:sz w:val="18"/>
                <w:szCs w:val="18"/>
                <w:u w:val="none"/>
              </w:rPr>
            </w:pP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A92B22">
            <w:pPr>
              <w:jc w:val="center"/>
              <w:rPr>
                <w:rFonts w:hint="eastAsia" w:ascii="微软雅黑" w:hAnsi="微软雅黑" w:eastAsia="微软雅黑" w:cs="微软雅黑"/>
                <w:i/>
                <w:iCs/>
                <w:color w:val="000000"/>
                <w:sz w:val="16"/>
                <w:szCs w:val="16"/>
                <w:u w:val="none"/>
              </w:rPr>
            </w:pPr>
          </w:p>
        </w:tc>
      </w:tr>
      <w:tr w14:paraId="0C6516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4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1F16B5">
            <w:pPr>
              <w:jc w:val="center"/>
              <w:rPr>
                <w:rFonts w:hint="eastAsia" w:ascii="宋体" w:hAnsi="宋体" w:eastAsia="宋体" w:cs="宋体"/>
                <w:i w:val="0"/>
                <w:iCs w:val="0"/>
                <w:color w:val="000000"/>
                <w:sz w:val="18"/>
                <w:szCs w:val="18"/>
                <w:u w:val="none"/>
              </w:rPr>
            </w:pPr>
          </w:p>
        </w:tc>
        <w:tc>
          <w:tcPr>
            <w:tcW w:w="4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5B8944">
            <w:pPr>
              <w:jc w:val="center"/>
              <w:rPr>
                <w:rFonts w:hint="eastAsia" w:ascii="宋体" w:hAnsi="宋体" w:eastAsia="宋体" w:cs="宋体"/>
                <w:i w:val="0"/>
                <w:iCs w:val="0"/>
                <w:color w:val="000000"/>
                <w:sz w:val="18"/>
                <w:szCs w:val="18"/>
                <w:u w:val="none"/>
              </w:rPr>
            </w:pPr>
          </w:p>
        </w:tc>
        <w:tc>
          <w:tcPr>
            <w:tcW w:w="43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9C4108">
            <w:pPr>
              <w:jc w:val="center"/>
              <w:rPr>
                <w:rFonts w:hint="eastAsia" w:ascii="宋体" w:hAnsi="宋体" w:eastAsia="宋体" w:cs="宋体"/>
                <w:i w:val="0"/>
                <w:iCs w:val="0"/>
                <w:color w:val="000000"/>
                <w:sz w:val="18"/>
                <w:szCs w:val="18"/>
                <w:u w:val="none"/>
              </w:rPr>
            </w:pP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254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现场办公人次</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4E84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6BD2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800E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人次</w:t>
            </w:r>
          </w:p>
        </w:tc>
        <w:tc>
          <w:tcPr>
            <w:tcW w:w="7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456296">
            <w:pPr>
              <w:jc w:val="center"/>
              <w:rPr>
                <w:rFonts w:hint="eastAsia" w:ascii="微软雅黑" w:hAnsi="微软雅黑" w:eastAsia="微软雅黑" w:cs="微软雅黑"/>
                <w:i/>
                <w:iCs/>
                <w:color w:val="000000"/>
                <w:sz w:val="16"/>
                <w:szCs w:val="16"/>
                <w:u w:val="none"/>
              </w:rPr>
            </w:pP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F098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DCEB04">
            <w:pPr>
              <w:jc w:val="center"/>
              <w:rPr>
                <w:rFonts w:hint="eastAsia" w:ascii="宋体" w:hAnsi="宋体" w:eastAsia="宋体" w:cs="宋体"/>
                <w:i w:val="0"/>
                <w:iCs w:val="0"/>
                <w:color w:val="000000"/>
                <w:sz w:val="18"/>
                <w:szCs w:val="18"/>
                <w:u w:val="none"/>
              </w:rPr>
            </w:pP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2A1782">
            <w:pPr>
              <w:jc w:val="center"/>
              <w:rPr>
                <w:rFonts w:hint="eastAsia" w:ascii="微软雅黑" w:hAnsi="微软雅黑" w:eastAsia="微软雅黑" w:cs="微软雅黑"/>
                <w:i/>
                <w:iCs/>
                <w:color w:val="000000"/>
                <w:sz w:val="16"/>
                <w:szCs w:val="16"/>
                <w:u w:val="none"/>
              </w:rPr>
            </w:pPr>
          </w:p>
        </w:tc>
      </w:tr>
      <w:tr w14:paraId="0F4102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4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F5A3E5">
            <w:pPr>
              <w:jc w:val="center"/>
              <w:rPr>
                <w:rFonts w:hint="eastAsia" w:ascii="宋体" w:hAnsi="宋体" w:eastAsia="宋体" w:cs="宋体"/>
                <w:i w:val="0"/>
                <w:iCs w:val="0"/>
                <w:color w:val="000000"/>
                <w:sz w:val="18"/>
                <w:szCs w:val="18"/>
                <w:u w:val="none"/>
              </w:rPr>
            </w:pPr>
          </w:p>
        </w:tc>
        <w:tc>
          <w:tcPr>
            <w:tcW w:w="4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C2ECB6">
            <w:pPr>
              <w:jc w:val="center"/>
              <w:rPr>
                <w:rFonts w:hint="eastAsia" w:ascii="宋体" w:hAnsi="宋体" w:eastAsia="宋体" w:cs="宋体"/>
                <w:i w:val="0"/>
                <w:iCs w:val="0"/>
                <w:color w:val="000000"/>
                <w:sz w:val="18"/>
                <w:szCs w:val="18"/>
                <w:u w:val="none"/>
              </w:rPr>
            </w:pPr>
          </w:p>
        </w:tc>
        <w:tc>
          <w:tcPr>
            <w:tcW w:w="43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5122A4">
            <w:pPr>
              <w:jc w:val="center"/>
              <w:rPr>
                <w:rFonts w:hint="eastAsia" w:ascii="宋体" w:hAnsi="宋体" w:eastAsia="宋体" w:cs="宋体"/>
                <w:i w:val="0"/>
                <w:iCs w:val="0"/>
                <w:color w:val="000000"/>
                <w:sz w:val="18"/>
                <w:szCs w:val="18"/>
                <w:u w:val="none"/>
              </w:rPr>
            </w:pP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C842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车辆维修维护</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60EF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FF60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111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7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65DF66">
            <w:pPr>
              <w:jc w:val="center"/>
              <w:rPr>
                <w:rFonts w:hint="eastAsia" w:ascii="微软雅黑" w:hAnsi="微软雅黑" w:eastAsia="微软雅黑" w:cs="微软雅黑"/>
                <w:i/>
                <w:iCs/>
                <w:color w:val="000000"/>
                <w:sz w:val="16"/>
                <w:szCs w:val="16"/>
                <w:u w:val="none"/>
              </w:rPr>
            </w:pP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CC23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93A6BD">
            <w:pPr>
              <w:jc w:val="center"/>
              <w:rPr>
                <w:rFonts w:hint="eastAsia" w:ascii="宋体" w:hAnsi="宋体" w:eastAsia="宋体" w:cs="宋体"/>
                <w:i w:val="0"/>
                <w:iCs w:val="0"/>
                <w:color w:val="000000"/>
                <w:sz w:val="18"/>
                <w:szCs w:val="18"/>
                <w:u w:val="none"/>
              </w:rPr>
            </w:pP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C525C6">
            <w:pPr>
              <w:jc w:val="center"/>
              <w:rPr>
                <w:rFonts w:hint="eastAsia" w:ascii="微软雅黑" w:hAnsi="微软雅黑" w:eastAsia="微软雅黑" w:cs="微软雅黑"/>
                <w:i/>
                <w:iCs/>
                <w:color w:val="000000"/>
                <w:sz w:val="16"/>
                <w:szCs w:val="16"/>
                <w:u w:val="none"/>
              </w:rPr>
            </w:pPr>
          </w:p>
        </w:tc>
      </w:tr>
      <w:tr w14:paraId="69E1AB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4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A132BA">
            <w:pPr>
              <w:jc w:val="center"/>
              <w:rPr>
                <w:rFonts w:hint="eastAsia" w:ascii="宋体" w:hAnsi="宋体" w:eastAsia="宋体" w:cs="宋体"/>
                <w:i w:val="0"/>
                <w:iCs w:val="0"/>
                <w:color w:val="000000"/>
                <w:sz w:val="18"/>
                <w:szCs w:val="18"/>
                <w:u w:val="none"/>
              </w:rPr>
            </w:pPr>
          </w:p>
        </w:tc>
        <w:tc>
          <w:tcPr>
            <w:tcW w:w="4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2FEB25">
            <w:pPr>
              <w:jc w:val="center"/>
              <w:rPr>
                <w:rFonts w:hint="eastAsia" w:ascii="宋体" w:hAnsi="宋体" w:eastAsia="宋体" w:cs="宋体"/>
                <w:i w:val="0"/>
                <w:iCs w:val="0"/>
                <w:color w:val="000000"/>
                <w:sz w:val="18"/>
                <w:szCs w:val="18"/>
                <w:u w:val="none"/>
              </w:rPr>
            </w:pPr>
          </w:p>
        </w:tc>
        <w:tc>
          <w:tcPr>
            <w:tcW w:w="43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1A18E6">
            <w:pPr>
              <w:jc w:val="center"/>
              <w:rPr>
                <w:rFonts w:hint="eastAsia" w:ascii="宋体" w:hAnsi="宋体" w:eastAsia="宋体" w:cs="宋体"/>
                <w:i w:val="0"/>
                <w:iCs w:val="0"/>
                <w:color w:val="000000"/>
                <w:sz w:val="18"/>
                <w:szCs w:val="18"/>
                <w:u w:val="none"/>
              </w:rPr>
            </w:pP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ED9E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参加会议</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92F7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89F7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6A93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人次</w:t>
            </w:r>
          </w:p>
        </w:tc>
        <w:tc>
          <w:tcPr>
            <w:tcW w:w="7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4EA3C3">
            <w:pPr>
              <w:jc w:val="center"/>
              <w:rPr>
                <w:rFonts w:hint="eastAsia" w:ascii="微软雅黑" w:hAnsi="微软雅黑" w:eastAsia="微软雅黑" w:cs="微软雅黑"/>
                <w:i/>
                <w:iCs/>
                <w:color w:val="000000"/>
                <w:sz w:val="16"/>
                <w:szCs w:val="16"/>
                <w:u w:val="none"/>
              </w:rPr>
            </w:pP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28CA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2B3AE9">
            <w:pPr>
              <w:jc w:val="center"/>
              <w:rPr>
                <w:rFonts w:hint="eastAsia" w:ascii="宋体" w:hAnsi="宋体" w:eastAsia="宋体" w:cs="宋体"/>
                <w:i w:val="0"/>
                <w:iCs w:val="0"/>
                <w:color w:val="000000"/>
                <w:sz w:val="18"/>
                <w:szCs w:val="18"/>
                <w:u w:val="none"/>
              </w:rPr>
            </w:pP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CE3553">
            <w:pPr>
              <w:jc w:val="center"/>
              <w:rPr>
                <w:rFonts w:hint="eastAsia" w:ascii="微软雅黑" w:hAnsi="微软雅黑" w:eastAsia="微软雅黑" w:cs="微软雅黑"/>
                <w:i/>
                <w:iCs/>
                <w:color w:val="000000"/>
                <w:sz w:val="16"/>
                <w:szCs w:val="16"/>
                <w:u w:val="none"/>
              </w:rPr>
            </w:pPr>
          </w:p>
        </w:tc>
      </w:tr>
      <w:tr w14:paraId="313459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4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3B8BE0">
            <w:pPr>
              <w:jc w:val="center"/>
              <w:rPr>
                <w:rFonts w:hint="eastAsia" w:ascii="宋体" w:hAnsi="宋体" w:eastAsia="宋体" w:cs="宋体"/>
                <w:i w:val="0"/>
                <w:iCs w:val="0"/>
                <w:color w:val="000000"/>
                <w:sz w:val="18"/>
                <w:szCs w:val="18"/>
                <w:u w:val="none"/>
              </w:rPr>
            </w:pPr>
          </w:p>
        </w:tc>
        <w:tc>
          <w:tcPr>
            <w:tcW w:w="4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8A60B0">
            <w:pPr>
              <w:jc w:val="center"/>
              <w:rPr>
                <w:rFonts w:hint="eastAsia" w:ascii="宋体" w:hAnsi="宋体" w:eastAsia="宋体" w:cs="宋体"/>
                <w:i w:val="0"/>
                <w:iCs w:val="0"/>
                <w:color w:val="000000"/>
                <w:sz w:val="18"/>
                <w:szCs w:val="18"/>
                <w:u w:val="none"/>
              </w:rPr>
            </w:pPr>
          </w:p>
        </w:tc>
        <w:tc>
          <w:tcPr>
            <w:tcW w:w="43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2C5B5D">
            <w:pPr>
              <w:jc w:val="center"/>
              <w:rPr>
                <w:rFonts w:hint="eastAsia" w:ascii="宋体" w:hAnsi="宋体" w:eastAsia="宋体" w:cs="宋体"/>
                <w:i w:val="0"/>
                <w:iCs w:val="0"/>
                <w:color w:val="000000"/>
                <w:sz w:val="18"/>
                <w:szCs w:val="18"/>
                <w:u w:val="none"/>
              </w:rPr>
            </w:pP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B541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基层调研</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0A1F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9B5C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792E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人次</w:t>
            </w:r>
          </w:p>
        </w:tc>
        <w:tc>
          <w:tcPr>
            <w:tcW w:w="7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FBFB8C">
            <w:pPr>
              <w:jc w:val="center"/>
              <w:rPr>
                <w:rFonts w:hint="eastAsia" w:ascii="微软雅黑" w:hAnsi="微软雅黑" w:eastAsia="微软雅黑" w:cs="微软雅黑"/>
                <w:i/>
                <w:iCs/>
                <w:color w:val="000000"/>
                <w:sz w:val="16"/>
                <w:szCs w:val="16"/>
                <w:u w:val="none"/>
              </w:rPr>
            </w:pP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B663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01B3D3">
            <w:pPr>
              <w:jc w:val="center"/>
              <w:rPr>
                <w:rFonts w:hint="eastAsia" w:ascii="宋体" w:hAnsi="宋体" w:eastAsia="宋体" w:cs="宋体"/>
                <w:i w:val="0"/>
                <w:iCs w:val="0"/>
                <w:color w:val="000000"/>
                <w:sz w:val="18"/>
                <w:szCs w:val="18"/>
                <w:u w:val="none"/>
              </w:rPr>
            </w:pP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5E1F2A">
            <w:pPr>
              <w:jc w:val="center"/>
              <w:rPr>
                <w:rFonts w:hint="eastAsia" w:ascii="微软雅黑" w:hAnsi="微软雅黑" w:eastAsia="微软雅黑" w:cs="微软雅黑"/>
                <w:i/>
                <w:iCs/>
                <w:color w:val="000000"/>
                <w:sz w:val="16"/>
                <w:szCs w:val="16"/>
                <w:u w:val="none"/>
              </w:rPr>
            </w:pPr>
          </w:p>
        </w:tc>
      </w:tr>
      <w:tr w14:paraId="6EB6E0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4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3E3001">
            <w:pPr>
              <w:jc w:val="center"/>
              <w:rPr>
                <w:rFonts w:hint="eastAsia" w:ascii="宋体" w:hAnsi="宋体" w:eastAsia="宋体" w:cs="宋体"/>
                <w:i w:val="0"/>
                <w:iCs w:val="0"/>
                <w:color w:val="000000"/>
                <w:sz w:val="18"/>
                <w:szCs w:val="18"/>
                <w:u w:val="none"/>
              </w:rPr>
            </w:pPr>
          </w:p>
        </w:tc>
        <w:tc>
          <w:tcPr>
            <w:tcW w:w="4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EAD5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B75A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12E9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政府、政府办日常工作保障，提高履职和服务效能</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457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8686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0A2C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w:t>
            </w:r>
          </w:p>
        </w:tc>
        <w:tc>
          <w:tcPr>
            <w:tcW w:w="7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EA0CC2">
            <w:pPr>
              <w:jc w:val="center"/>
              <w:rPr>
                <w:rFonts w:hint="eastAsia" w:ascii="微软雅黑" w:hAnsi="微软雅黑" w:eastAsia="微软雅黑" w:cs="微软雅黑"/>
                <w:i/>
                <w:iCs/>
                <w:color w:val="000000"/>
                <w:sz w:val="16"/>
                <w:szCs w:val="16"/>
                <w:u w:val="none"/>
              </w:rPr>
            </w:pP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2BFF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6A0630">
            <w:pPr>
              <w:jc w:val="center"/>
              <w:rPr>
                <w:rFonts w:hint="eastAsia" w:ascii="宋体" w:hAnsi="宋体" w:eastAsia="宋体" w:cs="宋体"/>
                <w:i w:val="0"/>
                <w:iCs w:val="0"/>
                <w:color w:val="000000"/>
                <w:sz w:val="18"/>
                <w:szCs w:val="18"/>
                <w:u w:val="none"/>
              </w:rPr>
            </w:pP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A74DB0">
            <w:pPr>
              <w:jc w:val="center"/>
              <w:rPr>
                <w:rFonts w:hint="eastAsia" w:ascii="微软雅黑" w:hAnsi="微软雅黑" w:eastAsia="微软雅黑" w:cs="微软雅黑"/>
                <w:i/>
                <w:iCs/>
                <w:color w:val="000000"/>
                <w:sz w:val="16"/>
                <w:szCs w:val="16"/>
                <w:u w:val="none"/>
              </w:rPr>
            </w:pPr>
          </w:p>
        </w:tc>
      </w:tr>
      <w:tr w14:paraId="589E06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4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7A4D98">
            <w:pPr>
              <w:jc w:val="center"/>
              <w:rPr>
                <w:rFonts w:hint="eastAsia" w:ascii="宋体" w:hAnsi="宋体" w:eastAsia="宋体" w:cs="宋体"/>
                <w:i w:val="0"/>
                <w:iCs w:val="0"/>
                <w:color w:val="000000"/>
                <w:sz w:val="18"/>
                <w:szCs w:val="18"/>
                <w:u w:val="none"/>
              </w:rPr>
            </w:pPr>
          </w:p>
        </w:tc>
        <w:tc>
          <w:tcPr>
            <w:tcW w:w="4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B421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9E88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DE08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投入资金1550000</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10E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2025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750000</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7F23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7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75C693">
            <w:pPr>
              <w:jc w:val="center"/>
              <w:rPr>
                <w:rFonts w:hint="eastAsia" w:ascii="微软雅黑" w:hAnsi="微软雅黑" w:eastAsia="微软雅黑" w:cs="微软雅黑"/>
                <w:i/>
                <w:iCs/>
                <w:color w:val="000000"/>
                <w:sz w:val="16"/>
                <w:szCs w:val="16"/>
                <w:u w:val="none"/>
              </w:rPr>
            </w:pP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EF6A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5D4BAB">
            <w:pPr>
              <w:jc w:val="center"/>
              <w:rPr>
                <w:rFonts w:hint="eastAsia" w:ascii="宋体" w:hAnsi="宋体" w:eastAsia="宋体" w:cs="宋体"/>
                <w:i w:val="0"/>
                <w:iCs w:val="0"/>
                <w:color w:val="000000"/>
                <w:sz w:val="18"/>
                <w:szCs w:val="18"/>
                <w:u w:val="none"/>
              </w:rPr>
            </w:pP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BCAC50">
            <w:pPr>
              <w:jc w:val="center"/>
              <w:rPr>
                <w:rFonts w:hint="eastAsia" w:ascii="微软雅黑" w:hAnsi="微软雅黑" w:eastAsia="微软雅黑" w:cs="微软雅黑"/>
                <w:i/>
                <w:iCs/>
                <w:color w:val="000000"/>
                <w:sz w:val="16"/>
                <w:szCs w:val="16"/>
                <w:u w:val="none"/>
              </w:rPr>
            </w:pPr>
          </w:p>
        </w:tc>
      </w:tr>
      <w:tr w14:paraId="4CF2D6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95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8E1B0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E325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86B1B2">
            <w:pPr>
              <w:rPr>
                <w:rFonts w:hint="eastAsia" w:ascii="宋体" w:hAnsi="宋体" w:eastAsia="宋体" w:cs="宋体"/>
                <w:i w:val="0"/>
                <w:iCs w:val="0"/>
                <w:color w:val="000000"/>
                <w:sz w:val="18"/>
                <w:szCs w:val="18"/>
                <w:u w:val="none"/>
              </w:rPr>
            </w:pP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759F68">
            <w:pPr>
              <w:rPr>
                <w:rFonts w:hint="eastAsia" w:ascii="宋体" w:hAnsi="宋体" w:eastAsia="宋体" w:cs="宋体"/>
                <w:i w:val="0"/>
                <w:iCs w:val="0"/>
                <w:color w:val="000000"/>
                <w:sz w:val="18"/>
                <w:szCs w:val="18"/>
                <w:u w:val="none"/>
              </w:rPr>
            </w:pPr>
          </w:p>
        </w:tc>
      </w:tr>
      <w:tr w14:paraId="2C41D3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4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2BDE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553"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8D29FA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本项目资金管理及财务信息符合相关规定，项目实施过程管理有效，通过该项目的实施取得了相应的社会效益及其他相关效益，使资金发挥了应有作用，通过有限的财政资金取得了重大成效，对社会的稳定和发展起到了推动作用。绩效评价综合得分为95分。</w:t>
            </w:r>
          </w:p>
        </w:tc>
      </w:tr>
      <w:tr w14:paraId="723C27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4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BEEE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553"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B121D1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2772BB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4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9593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553"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0F9579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2122BE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37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942CD0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项目负责人：杨国涛</w:t>
            </w:r>
          </w:p>
        </w:tc>
        <w:tc>
          <w:tcPr>
            <w:tcW w:w="2625"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E17EC9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财务负责人：赵明</w:t>
            </w:r>
          </w:p>
        </w:tc>
      </w:tr>
      <w:tr w14:paraId="74AA67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46" w:type="pct"/>
            <w:tcBorders>
              <w:top w:val="nil"/>
              <w:left w:val="nil"/>
              <w:bottom w:val="nil"/>
              <w:right w:val="nil"/>
            </w:tcBorders>
            <w:shd w:val="clear" w:color="auto" w:fill="auto"/>
            <w:vAlign w:val="center"/>
          </w:tcPr>
          <w:p w14:paraId="24773F3B">
            <w:pPr>
              <w:rPr>
                <w:rFonts w:hint="eastAsia" w:ascii="宋体" w:hAnsi="宋体" w:eastAsia="宋体" w:cs="宋体"/>
                <w:i w:val="0"/>
                <w:iCs w:val="0"/>
                <w:color w:val="000000"/>
                <w:sz w:val="18"/>
                <w:szCs w:val="18"/>
                <w:u w:val="none"/>
              </w:rPr>
            </w:pPr>
          </w:p>
        </w:tc>
        <w:tc>
          <w:tcPr>
            <w:tcW w:w="468" w:type="pct"/>
            <w:tcBorders>
              <w:top w:val="nil"/>
              <w:left w:val="nil"/>
              <w:bottom w:val="nil"/>
              <w:right w:val="nil"/>
            </w:tcBorders>
            <w:shd w:val="clear" w:color="auto" w:fill="auto"/>
            <w:vAlign w:val="center"/>
          </w:tcPr>
          <w:p w14:paraId="7731411A">
            <w:pPr>
              <w:rPr>
                <w:rFonts w:hint="eastAsia" w:ascii="宋体" w:hAnsi="宋体" w:eastAsia="宋体" w:cs="宋体"/>
                <w:i w:val="0"/>
                <w:iCs w:val="0"/>
                <w:color w:val="000000"/>
                <w:sz w:val="18"/>
                <w:szCs w:val="18"/>
                <w:u w:val="none"/>
              </w:rPr>
            </w:pPr>
          </w:p>
        </w:tc>
        <w:tc>
          <w:tcPr>
            <w:tcW w:w="433" w:type="pct"/>
            <w:tcBorders>
              <w:top w:val="nil"/>
              <w:left w:val="nil"/>
              <w:bottom w:val="nil"/>
              <w:right w:val="nil"/>
            </w:tcBorders>
            <w:shd w:val="clear" w:color="auto" w:fill="auto"/>
            <w:vAlign w:val="center"/>
          </w:tcPr>
          <w:p w14:paraId="2037FE8D">
            <w:pPr>
              <w:rPr>
                <w:rFonts w:hint="eastAsia" w:ascii="宋体" w:hAnsi="宋体" w:eastAsia="宋体" w:cs="宋体"/>
                <w:i w:val="0"/>
                <w:iCs w:val="0"/>
                <w:color w:val="000000"/>
                <w:sz w:val="18"/>
                <w:szCs w:val="18"/>
                <w:u w:val="none"/>
              </w:rPr>
            </w:pPr>
          </w:p>
        </w:tc>
        <w:tc>
          <w:tcPr>
            <w:tcW w:w="751" w:type="pct"/>
            <w:tcBorders>
              <w:top w:val="nil"/>
              <w:left w:val="nil"/>
              <w:bottom w:val="nil"/>
              <w:right w:val="nil"/>
            </w:tcBorders>
            <w:shd w:val="clear" w:color="auto" w:fill="auto"/>
            <w:vAlign w:val="center"/>
          </w:tcPr>
          <w:p w14:paraId="3627FC59">
            <w:pPr>
              <w:rPr>
                <w:rFonts w:hint="eastAsia" w:ascii="宋体" w:hAnsi="宋体" w:eastAsia="宋体" w:cs="宋体"/>
                <w:i w:val="0"/>
                <w:iCs w:val="0"/>
                <w:color w:val="000000"/>
                <w:sz w:val="18"/>
                <w:szCs w:val="18"/>
                <w:u w:val="none"/>
              </w:rPr>
            </w:pPr>
          </w:p>
        </w:tc>
        <w:tc>
          <w:tcPr>
            <w:tcW w:w="275" w:type="pct"/>
            <w:tcBorders>
              <w:top w:val="nil"/>
              <w:left w:val="nil"/>
              <w:bottom w:val="nil"/>
              <w:right w:val="nil"/>
            </w:tcBorders>
            <w:shd w:val="clear" w:color="auto" w:fill="auto"/>
            <w:vAlign w:val="center"/>
          </w:tcPr>
          <w:p w14:paraId="6B3BE911">
            <w:pPr>
              <w:rPr>
                <w:rFonts w:hint="eastAsia" w:ascii="宋体" w:hAnsi="宋体" w:eastAsia="宋体" w:cs="宋体"/>
                <w:i w:val="0"/>
                <w:iCs w:val="0"/>
                <w:color w:val="000000"/>
                <w:sz w:val="18"/>
                <w:szCs w:val="18"/>
                <w:u w:val="none"/>
              </w:rPr>
            </w:pPr>
          </w:p>
        </w:tc>
        <w:tc>
          <w:tcPr>
            <w:tcW w:w="501" w:type="pct"/>
            <w:tcBorders>
              <w:top w:val="nil"/>
              <w:left w:val="nil"/>
              <w:bottom w:val="nil"/>
              <w:right w:val="nil"/>
            </w:tcBorders>
            <w:shd w:val="clear" w:color="auto" w:fill="auto"/>
            <w:vAlign w:val="center"/>
          </w:tcPr>
          <w:p w14:paraId="0E3D203D">
            <w:pPr>
              <w:rPr>
                <w:rFonts w:hint="eastAsia" w:ascii="宋体" w:hAnsi="宋体" w:eastAsia="宋体" w:cs="宋体"/>
                <w:i w:val="0"/>
                <w:iCs w:val="0"/>
                <w:color w:val="000000"/>
                <w:sz w:val="18"/>
                <w:szCs w:val="18"/>
                <w:u w:val="none"/>
              </w:rPr>
            </w:pPr>
          </w:p>
        </w:tc>
        <w:tc>
          <w:tcPr>
            <w:tcW w:w="372" w:type="pct"/>
            <w:tcBorders>
              <w:top w:val="nil"/>
              <w:left w:val="nil"/>
              <w:bottom w:val="nil"/>
              <w:right w:val="nil"/>
            </w:tcBorders>
            <w:shd w:val="clear" w:color="auto" w:fill="auto"/>
            <w:vAlign w:val="center"/>
          </w:tcPr>
          <w:p w14:paraId="573DC25B">
            <w:pPr>
              <w:rPr>
                <w:rFonts w:hint="eastAsia" w:ascii="宋体" w:hAnsi="宋体" w:eastAsia="宋体" w:cs="宋体"/>
                <w:i w:val="0"/>
                <w:iCs w:val="0"/>
                <w:color w:val="000000"/>
                <w:sz w:val="18"/>
                <w:szCs w:val="18"/>
                <w:u w:val="none"/>
              </w:rPr>
            </w:pPr>
          </w:p>
        </w:tc>
        <w:tc>
          <w:tcPr>
            <w:tcW w:w="701" w:type="pct"/>
            <w:tcBorders>
              <w:top w:val="nil"/>
              <w:left w:val="nil"/>
              <w:bottom w:val="nil"/>
              <w:right w:val="nil"/>
            </w:tcBorders>
            <w:shd w:val="clear" w:color="auto" w:fill="auto"/>
            <w:vAlign w:val="center"/>
          </w:tcPr>
          <w:p w14:paraId="24EFF1D4">
            <w:pPr>
              <w:rPr>
                <w:rFonts w:hint="eastAsia" w:ascii="宋体" w:hAnsi="宋体" w:eastAsia="宋体" w:cs="宋体"/>
                <w:i w:val="0"/>
                <w:iCs w:val="0"/>
                <w:color w:val="000000"/>
                <w:sz w:val="18"/>
                <w:szCs w:val="18"/>
                <w:u w:val="none"/>
              </w:rPr>
            </w:pPr>
          </w:p>
        </w:tc>
        <w:tc>
          <w:tcPr>
            <w:tcW w:w="338" w:type="pct"/>
            <w:tcBorders>
              <w:top w:val="nil"/>
              <w:left w:val="nil"/>
              <w:bottom w:val="nil"/>
              <w:right w:val="nil"/>
            </w:tcBorders>
            <w:shd w:val="clear" w:color="auto" w:fill="auto"/>
            <w:vAlign w:val="center"/>
          </w:tcPr>
          <w:p w14:paraId="4EA6FF21">
            <w:pPr>
              <w:rPr>
                <w:rFonts w:hint="eastAsia" w:ascii="宋体" w:hAnsi="宋体" w:eastAsia="宋体" w:cs="宋体"/>
                <w:i w:val="0"/>
                <w:iCs w:val="0"/>
                <w:color w:val="000000"/>
                <w:sz w:val="18"/>
                <w:szCs w:val="18"/>
                <w:u w:val="none"/>
              </w:rPr>
            </w:pPr>
          </w:p>
        </w:tc>
        <w:tc>
          <w:tcPr>
            <w:tcW w:w="291" w:type="pct"/>
            <w:tcBorders>
              <w:top w:val="nil"/>
              <w:left w:val="nil"/>
              <w:bottom w:val="nil"/>
              <w:right w:val="nil"/>
            </w:tcBorders>
            <w:shd w:val="clear" w:color="auto" w:fill="auto"/>
            <w:vAlign w:val="center"/>
          </w:tcPr>
          <w:p w14:paraId="76776DF2">
            <w:pPr>
              <w:rPr>
                <w:rFonts w:hint="eastAsia" w:ascii="宋体" w:hAnsi="宋体" w:eastAsia="宋体" w:cs="宋体"/>
                <w:i w:val="0"/>
                <w:iCs w:val="0"/>
                <w:color w:val="000000"/>
                <w:sz w:val="18"/>
                <w:szCs w:val="18"/>
                <w:u w:val="none"/>
              </w:rPr>
            </w:pPr>
          </w:p>
        </w:tc>
        <w:tc>
          <w:tcPr>
            <w:tcW w:w="420" w:type="pct"/>
            <w:tcBorders>
              <w:top w:val="nil"/>
              <w:left w:val="nil"/>
              <w:bottom w:val="nil"/>
              <w:right w:val="nil"/>
            </w:tcBorders>
            <w:shd w:val="clear" w:color="auto" w:fill="auto"/>
            <w:vAlign w:val="center"/>
          </w:tcPr>
          <w:p w14:paraId="7411F27E">
            <w:pPr>
              <w:rPr>
                <w:rFonts w:hint="eastAsia" w:ascii="宋体" w:hAnsi="宋体" w:eastAsia="宋体" w:cs="宋体"/>
                <w:i w:val="0"/>
                <w:iCs w:val="0"/>
                <w:color w:val="000000"/>
                <w:sz w:val="18"/>
                <w:szCs w:val="18"/>
                <w:u w:val="none"/>
              </w:rPr>
            </w:pPr>
          </w:p>
        </w:tc>
      </w:tr>
      <w:tr w14:paraId="798111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921B7FE">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56DA50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1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06ED4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85"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D7F9EC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51322325T000013196349-无纸化会议系统服务费</w:t>
            </w:r>
          </w:p>
        </w:tc>
      </w:tr>
      <w:tr w14:paraId="02DC78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1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3D329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33"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AC1EDE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茂县人民政府办公室</w:t>
            </w:r>
          </w:p>
        </w:tc>
        <w:tc>
          <w:tcPr>
            <w:tcW w:w="701" w:type="pct"/>
            <w:tcBorders>
              <w:top w:val="nil"/>
              <w:left w:val="nil"/>
              <w:bottom w:val="nil"/>
              <w:right w:val="nil"/>
            </w:tcBorders>
            <w:shd w:val="clear" w:color="auto" w:fill="auto"/>
            <w:vAlign w:val="center"/>
          </w:tcPr>
          <w:p w14:paraId="2436744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04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A721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茂县人民政府办公室（行政）</w:t>
            </w:r>
          </w:p>
        </w:tc>
      </w:tr>
      <w:tr w14:paraId="3E112F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4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DD56B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46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575E1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33"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4BCB5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75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30B87B6">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3B320D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4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BBD177">
            <w:pPr>
              <w:rPr>
                <w:rFonts w:hint="eastAsia" w:ascii="宋体" w:hAnsi="宋体" w:eastAsia="宋体" w:cs="宋体"/>
                <w:i w:val="0"/>
                <w:iCs w:val="0"/>
                <w:color w:val="000000"/>
                <w:sz w:val="18"/>
                <w:szCs w:val="18"/>
                <w:u w:val="none"/>
              </w:rPr>
            </w:pPr>
          </w:p>
        </w:tc>
        <w:tc>
          <w:tcPr>
            <w:tcW w:w="4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939C73">
            <w:pPr>
              <w:rPr>
                <w:rFonts w:hint="eastAsia" w:ascii="宋体" w:hAnsi="宋体" w:eastAsia="宋体" w:cs="宋体"/>
                <w:i w:val="0"/>
                <w:iCs w:val="0"/>
                <w:color w:val="000000"/>
                <w:sz w:val="18"/>
                <w:szCs w:val="18"/>
                <w:u w:val="none"/>
              </w:rPr>
            </w:pPr>
          </w:p>
        </w:tc>
        <w:tc>
          <w:tcPr>
            <w:tcW w:w="2333"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95EB68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进一步提高政府常务会议的效率与保密性，减少纸张使用，实现会议资料数字化管理</w:t>
            </w:r>
          </w:p>
        </w:tc>
        <w:tc>
          <w:tcPr>
            <w:tcW w:w="175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BB3A3A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75AE54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4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5E5881">
            <w:pPr>
              <w:rPr>
                <w:rFonts w:hint="eastAsia" w:ascii="宋体" w:hAnsi="宋体" w:eastAsia="宋体" w:cs="宋体"/>
                <w:i w:val="0"/>
                <w:iCs w:val="0"/>
                <w:color w:val="000000"/>
                <w:sz w:val="18"/>
                <w:szCs w:val="18"/>
                <w:u w:val="none"/>
              </w:rPr>
            </w:pPr>
          </w:p>
        </w:tc>
        <w:tc>
          <w:tcPr>
            <w:tcW w:w="4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7AC32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85"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BA40921">
            <w:pPr>
              <w:rPr>
                <w:rFonts w:hint="eastAsia" w:ascii="宋体" w:hAnsi="宋体" w:eastAsia="宋体" w:cs="宋体"/>
                <w:i w:val="0"/>
                <w:iCs w:val="0"/>
                <w:color w:val="000000"/>
                <w:sz w:val="18"/>
                <w:szCs w:val="18"/>
                <w:u w:val="none"/>
              </w:rPr>
            </w:pPr>
          </w:p>
        </w:tc>
      </w:tr>
      <w:tr w14:paraId="2E4F3E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44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6D07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4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2FA9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5FB5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39D9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14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3D90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C345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8691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B76E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95B7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93382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4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2BFAB5">
            <w:pPr>
              <w:jc w:val="center"/>
              <w:rPr>
                <w:rFonts w:hint="eastAsia" w:ascii="宋体" w:hAnsi="宋体" w:eastAsia="宋体" w:cs="宋体"/>
                <w:i w:val="0"/>
                <w:iCs w:val="0"/>
                <w:color w:val="000000"/>
                <w:sz w:val="18"/>
                <w:szCs w:val="18"/>
                <w:u w:val="none"/>
              </w:rPr>
            </w:pPr>
          </w:p>
        </w:tc>
        <w:tc>
          <w:tcPr>
            <w:tcW w:w="4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6756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D84C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2A9F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29.80</w:t>
            </w:r>
          </w:p>
        </w:tc>
        <w:tc>
          <w:tcPr>
            <w:tcW w:w="114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E45A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29.80</w:t>
            </w:r>
          </w:p>
        </w:tc>
        <w:tc>
          <w:tcPr>
            <w:tcW w:w="7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111A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7432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D41D2D">
            <w:pPr>
              <w:jc w:val="center"/>
              <w:rPr>
                <w:rFonts w:hint="eastAsia" w:ascii="宋体" w:hAnsi="宋体" w:eastAsia="宋体" w:cs="宋体"/>
                <w:i w:val="0"/>
                <w:iCs w:val="0"/>
                <w:color w:val="000000"/>
                <w:sz w:val="18"/>
                <w:szCs w:val="18"/>
                <w:u w:val="none"/>
              </w:rPr>
            </w:pPr>
          </w:p>
        </w:tc>
        <w:tc>
          <w:tcPr>
            <w:tcW w:w="42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C39765">
            <w:pPr>
              <w:rPr>
                <w:rFonts w:hint="eastAsia" w:ascii="黑体" w:hAnsi="黑体" w:eastAsia="黑体" w:cs="黑体"/>
                <w:i/>
                <w:iCs/>
                <w:color w:val="000000"/>
                <w:sz w:val="18"/>
                <w:szCs w:val="18"/>
                <w:u w:val="none"/>
              </w:rPr>
            </w:pPr>
          </w:p>
        </w:tc>
      </w:tr>
      <w:tr w14:paraId="0F489F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4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030D42">
            <w:pPr>
              <w:jc w:val="center"/>
              <w:rPr>
                <w:rFonts w:hint="eastAsia" w:ascii="宋体" w:hAnsi="宋体" w:eastAsia="宋体" w:cs="宋体"/>
                <w:i w:val="0"/>
                <w:iCs w:val="0"/>
                <w:color w:val="000000"/>
                <w:sz w:val="18"/>
                <w:szCs w:val="18"/>
                <w:u w:val="none"/>
              </w:rPr>
            </w:pPr>
          </w:p>
        </w:tc>
        <w:tc>
          <w:tcPr>
            <w:tcW w:w="4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F11E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3083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6305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29.80</w:t>
            </w:r>
          </w:p>
        </w:tc>
        <w:tc>
          <w:tcPr>
            <w:tcW w:w="114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E071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29.80</w:t>
            </w:r>
          </w:p>
        </w:tc>
        <w:tc>
          <w:tcPr>
            <w:tcW w:w="7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1DB2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7AC7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B1BA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944F9D">
            <w:pPr>
              <w:rPr>
                <w:rFonts w:hint="eastAsia" w:ascii="黑体" w:hAnsi="黑体" w:eastAsia="黑体" w:cs="黑体"/>
                <w:i/>
                <w:iCs/>
                <w:color w:val="000000"/>
                <w:sz w:val="18"/>
                <w:szCs w:val="18"/>
                <w:u w:val="none"/>
              </w:rPr>
            </w:pPr>
          </w:p>
        </w:tc>
      </w:tr>
      <w:tr w14:paraId="3717B6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4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B16542">
            <w:pPr>
              <w:jc w:val="center"/>
              <w:rPr>
                <w:rFonts w:hint="eastAsia" w:ascii="宋体" w:hAnsi="宋体" w:eastAsia="宋体" w:cs="宋体"/>
                <w:i w:val="0"/>
                <w:iCs w:val="0"/>
                <w:color w:val="000000"/>
                <w:sz w:val="18"/>
                <w:szCs w:val="18"/>
                <w:u w:val="none"/>
              </w:rPr>
            </w:pPr>
          </w:p>
        </w:tc>
        <w:tc>
          <w:tcPr>
            <w:tcW w:w="4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2E25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CD3A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15A2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4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CF44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EC3C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2C31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8CCC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FC1CFC">
            <w:pPr>
              <w:rPr>
                <w:rFonts w:hint="eastAsia" w:ascii="黑体" w:hAnsi="黑体" w:eastAsia="黑体" w:cs="黑体"/>
                <w:i/>
                <w:iCs/>
                <w:color w:val="000000"/>
                <w:sz w:val="18"/>
                <w:szCs w:val="18"/>
                <w:u w:val="none"/>
              </w:rPr>
            </w:pPr>
          </w:p>
        </w:tc>
      </w:tr>
      <w:tr w14:paraId="4BC44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4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1A836C">
            <w:pPr>
              <w:jc w:val="center"/>
              <w:rPr>
                <w:rFonts w:hint="eastAsia" w:ascii="宋体" w:hAnsi="宋体" w:eastAsia="宋体" w:cs="宋体"/>
                <w:i w:val="0"/>
                <w:iCs w:val="0"/>
                <w:color w:val="000000"/>
                <w:sz w:val="18"/>
                <w:szCs w:val="18"/>
                <w:u w:val="none"/>
              </w:rPr>
            </w:pPr>
          </w:p>
        </w:tc>
        <w:tc>
          <w:tcPr>
            <w:tcW w:w="4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A8C3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3833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66FF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4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23FD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51E1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A528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7F83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83DDDF">
            <w:pPr>
              <w:rPr>
                <w:rFonts w:hint="eastAsia" w:ascii="黑体" w:hAnsi="黑体" w:eastAsia="黑体" w:cs="黑体"/>
                <w:i/>
                <w:iCs/>
                <w:color w:val="000000"/>
                <w:sz w:val="18"/>
                <w:szCs w:val="18"/>
                <w:u w:val="none"/>
              </w:rPr>
            </w:pPr>
          </w:p>
        </w:tc>
      </w:tr>
      <w:tr w14:paraId="20ADAD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4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49A9BC">
            <w:pPr>
              <w:jc w:val="center"/>
              <w:rPr>
                <w:rFonts w:hint="eastAsia" w:ascii="宋体" w:hAnsi="宋体" w:eastAsia="宋体" w:cs="宋体"/>
                <w:i w:val="0"/>
                <w:iCs w:val="0"/>
                <w:color w:val="000000"/>
                <w:sz w:val="18"/>
                <w:szCs w:val="18"/>
                <w:u w:val="none"/>
              </w:rPr>
            </w:pPr>
          </w:p>
        </w:tc>
        <w:tc>
          <w:tcPr>
            <w:tcW w:w="4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6324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DE768">
            <w:pPr>
              <w:jc w:val="center"/>
              <w:rPr>
                <w:rFonts w:hint="eastAsia" w:ascii="微软雅黑" w:hAnsi="微软雅黑" w:eastAsia="微软雅黑" w:cs="微软雅黑"/>
                <w:i/>
                <w:iCs/>
                <w:color w:val="000000"/>
                <w:sz w:val="16"/>
                <w:szCs w:val="16"/>
                <w:u w:val="none"/>
              </w:rPr>
            </w:pP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6161EA">
            <w:pPr>
              <w:jc w:val="center"/>
              <w:rPr>
                <w:rFonts w:hint="eastAsia" w:ascii="微软雅黑" w:hAnsi="微软雅黑" w:eastAsia="微软雅黑" w:cs="微软雅黑"/>
                <w:i/>
                <w:iCs/>
                <w:color w:val="000000"/>
                <w:sz w:val="16"/>
                <w:szCs w:val="16"/>
                <w:u w:val="none"/>
              </w:rPr>
            </w:pPr>
          </w:p>
        </w:tc>
        <w:tc>
          <w:tcPr>
            <w:tcW w:w="114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772AA6">
            <w:pPr>
              <w:jc w:val="center"/>
              <w:rPr>
                <w:rFonts w:hint="eastAsia" w:ascii="微软雅黑" w:hAnsi="微软雅黑" w:eastAsia="微软雅黑" w:cs="微软雅黑"/>
                <w:i/>
                <w:iCs/>
                <w:color w:val="000000"/>
                <w:sz w:val="16"/>
                <w:szCs w:val="16"/>
                <w:u w:val="none"/>
              </w:rPr>
            </w:pPr>
          </w:p>
        </w:tc>
        <w:tc>
          <w:tcPr>
            <w:tcW w:w="7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CB3D4B">
            <w:pPr>
              <w:jc w:val="center"/>
              <w:rPr>
                <w:rFonts w:hint="eastAsia" w:ascii="微软雅黑" w:hAnsi="微软雅黑" w:eastAsia="微软雅黑" w:cs="微软雅黑"/>
                <w:i/>
                <w:iCs/>
                <w:color w:val="000000"/>
                <w:sz w:val="16"/>
                <w:szCs w:val="16"/>
                <w:u w:val="none"/>
              </w:rPr>
            </w:pP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1AC8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84AB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BF4364">
            <w:pPr>
              <w:rPr>
                <w:rFonts w:hint="eastAsia" w:ascii="黑体" w:hAnsi="黑体" w:eastAsia="黑体" w:cs="黑体"/>
                <w:i/>
                <w:iCs/>
                <w:color w:val="000000"/>
                <w:sz w:val="18"/>
                <w:szCs w:val="18"/>
                <w:u w:val="none"/>
              </w:rPr>
            </w:pPr>
          </w:p>
        </w:tc>
      </w:tr>
      <w:tr w14:paraId="29C070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44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B094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4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8877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87F5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CF5E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CE64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1B4A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747C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4363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C40D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3DFA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4BAA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3ED76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4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67E673">
            <w:pPr>
              <w:jc w:val="center"/>
              <w:rPr>
                <w:rFonts w:hint="eastAsia" w:ascii="宋体" w:hAnsi="宋体" w:eastAsia="宋体" w:cs="宋体"/>
                <w:i w:val="0"/>
                <w:iCs w:val="0"/>
                <w:color w:val="000000"/>
                <w:sz w:val="18"/>
                <w:szCs w:val="18"/>
                <w:u w:val="none"/>
              </w:rPr>
            </w:pPr>
          </w:p>
        </w:tc>
        <w:tc>
          <w:tcPr>
            <w:tcW w:w="46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CF56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3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7DA2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06A7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会议无线网络宽带</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7FF9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E46E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323F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Mbps</w:t>
            </w:r>
          </w:p>
        </w:tc>
        <w:tc>
          <w:tcPr>
            <w:tcW w:w="7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6B778C">
            <w:pPr>
              <w:jc w:val="center"/>
              <w:rPr>
                <w:rFonts w:hint="eastAsia" w:ascii="微软雅黑" w:hAnsi="微软雅黑" w:eastAsia="微软雅黑" w:cs="微软雅黑"/>
                <w:i/>
                <w:iCs/>
                <w:color w:val="000000"/>
                <w:sz w:val="16"/>
                <w:szCs w:val="16"/>
                <w:u w:val="none"/>
              </w:rPr>
            </w:pP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F2CB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25D639">
            <w:pPr>
              <w:jc w:val="center"/>
              <w:rPr>
                <w:rFonts w:hint="eastAsia" w:ascii="宋体" w:hAnsi="宋体" w:eastAsia="宋体" w:cs="宋体"/>
                <w:i w:val="0"/>
                <w:iCs w:val="0"/>
                <w:color w:val="000000"/>
                <w:sz w:val="18"/>
                <w:szCs w:val="18"/>
                <w:u w:val="none"/>
              </w:rPr>
            </w:pP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BC3E09">
            <w:pPr>
              <w:jc w:val="center"/>
              <w:rPr>
                <w:rFonts w:hint="eastAsia" w:ascii="微软雅黑" w:hAnsi="微软雅黑" w:eastAsia="微软雅黑" w:cs="微软雅黑"/>
                <w:i/>
                <w:iCs/>
                <w:color w:val="000000"/>
                <w:sz w:val="16"/>
                <w:szCs w:val="16"/>
                <w:u w:val="none"/>
              </w:rPr>
            </w:pPr>
          </w:p>
        </w:tc>
      </w:tr>
      <w:tr w14:paraId="569D4C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4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5510A1">
            <w:pPr>
              <w:jc w:val="center"/>
              <w:rPr>
                <w:rFonts w:hint="eastAsia" w:ascii="宋体" w:hAnsi="宋体" w:eastAsia="宋体" w:cs="宋体"/>
                <w:i w:val="0"/>
                <w:iCs w:val="0"/>
                <w:color w:val="000000"/>
                <w:sz w:val="18"/>
                <w:szCs w:val="18"/>
                <w:u w:val="none"/>
              </w:rPr>
            </w:pPr>
          </w:p>
        </w:tc>
        <w:tc>
          <w:tcPr>
            <w:tcW w:w="4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ADDFED">
            <w:pPr>
              <w:jc w:val="center"/>
              <w:rPr>
                <w:rFonts w:hint="eastAsia" w:ascii="宋体" w:hAnsi="宋体" w:eastAsia="宋体" w:cs="宋体"/>
                <w:i w:val="0"/>
                <w:iCs w:val="0"/>
                <w:color w:val="000000"/>
                <w:sz w:val="18"/>
                <w:szCs w:val="18"/>
                <w:u w:val="none"/>
              </w:rPr>
            </w:pPr>
          </w:p>
        </w:tc>
        <w:tc>
          <w:tcPr>
            <w:tcW w:w="43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0526DF">
            <w:pPr>
              <w:jc w:val="center"/>
              <w:rPr>
                <w:rFonts w:hint="eastAsia" w:ascii="宋体" w:hAnsi="宋体" w:eastAsia="宋体" w:cs="宋体"/>
                <w:i w:val="0"/>
                <w:iCs w:val="0"/>
                <w:color w:val="000000"/>
                <w:sz w:val="18"/>
                <w:szCs w:val="18"/>
                <w:u w:val="none"/>
              </w:rPr>
            </w:pP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68DC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会议接入数量</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5C02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842D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45</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8F8F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7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B81722">
            <w:pPr>
              <w:jc w:val="center"/>
              <w:rPr>
                <w:rFonts w:hint="eastAsia" w:ascii="微软雅黑" w:hAnsi="微软雅黑" w:eastAsia="微软雅黑" w:cs="微软雅黑"/>
                <w:i/>
                <w:iCs/>
                <w:color w:val="000000"/>
                <w:sz w:val="16"/>
                <w:szCs w:val="16"/>
                <w:u w:val="none"/>
              </w:rPr>
            </w:pP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7FC9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30B8A8">
            <w:pPr>
              <w:jc w:val="center"/>
              <w:rPr>
                <w:rFonts w:hint="eastAsia" w:ascii="宋体" w:hAnsi="宋体" w:eastAsia="宋体" w:cs="宋体"/>
                <w:i w:val="0"/>
                <w:iCs w:val="0"/>
                <w:color w:val="000000"/>
                <w:sz w:val="18"/>
                <w:szCs w:val="18"/>
                <w:u w:val="none"/>
              </w:rPr>
            </w:pP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14D01D">
            <w:pPr>
              <w:jc w:val="center"/>
              <w:rPr>
                <w:rFonts w:hint="eastAsia" w:ascii="微软雅黑" w:hAnsi="微软雅黑" w:eastAsia="微软雅黑" w:cs="微软雅黑"/>
                <w:i/>
                <w:iCs/>
                <w:color w:val="000000"/>
                <w:sz w:val="16"/>
                <w:szCs w:val="16"/>
                <w:u w:val="none"/>
              </w:rPr>
            </w:pPr>
          </w:p>
        </w:tc>
      </w:tr>
      <w:tr w14:paraId="784898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4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A731FA">
            <w:pPr>
              <w:jc w:val="center"/>
              <w:rPr>
                <w:rFonts w:hint="eastAsia" w:ascii="宋体" w:hAnsi="宋体" w:eastAsia="宋体" w:cs="宋体"/>
                <w:i w:val="0"/>
                <w:iCs w:val="0"/>
                <w:color w:val="000000"/>
                <w:sz w:val="18"/>
                <w:szCs w:val="18"/>
                <w:u w:val="none"/>
              </w:rPr>
            </w:pPr>
          </w:p>
        </w:tc>
        <w:tc>
          <w:tcPr>
            <w:tcW w:w="4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34539D">
            <w:pPr>
              <w:jc w:val="center"/>
              <w:rPr>
                <w:rFonts w:hint="eastAsia" w:ascii="宋体" w:hAnsi="宋体" w:eastAsia="宋体" w:cs="宋体"/>
                <w:i w:val="0"/>
                <w:iCs w:val="0"/>
                <w:color w:val="000000"/>
                <w:sz w:val="18"/>
                <w:szCs w:val="18"/>
                <w:u w:val="none"/>
              </w:rPr>
            </w:pPr>
          </w:p>
        </w:tc>
        <w:tc>
          <w:tcPr>
            <w:tcW w:w="43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EB2370">
            <w:pPr>
              <w:jc w:val="center"/>
              <w:rPr>
                <w:rFonts w:hint="eastAsia" w:ascii="宋体" w:hAnsi="宋体" w:eastAsia="宋体" w:cs="宋体"/>
                <w:i w:val="0"/>
                <w:iCs w:val="0"/>
                <w:color w:val="000000"/>
                <w:sz w:val="18"/>
                <w:szCs w:val="18"/>
                <w:u w:val="none"/>
              </w:rPr>
            </w:pP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8CB4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会议终端数量</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5C3B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18B6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45</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ED23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套</w:t>
            </w:r>
          </w:p>
        </w:tc>
        <w:tc>
          <w:tcPr>
            <w:tcW w:w="7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A037FC">
            <w:pPr>
              <w:jc w:val="center"/>
              <w:rPr>
                <w:rFonts w:hint="eastAsia" w:ascii="微软雅黑" w:hAnsi="微软雅黑" w:eastAsia="微软雅黑" w:cs="微软雅黑"/>
                <w:i/>
                <w:iCs/>
                <w:color w:val="000000"/>
                <w:sz w:val="16"/>
                <w:szCs w:val="16"/>
                <w:u w:val="none"/>
              </w:rPr>
            </w:pP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F316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FC8AB6">
            <w:pPr>
              <w:jc w:val="center"/>
              <w:rPr>
                <w:rFonts w:hint="eastAsia" w:ascii="宋体" w:hAnsi="宋体" w:eastAsia="宋体" w:cs="宋体"/>
                <w:i w:val="0"/>
                <w:iCs w:val="0"/>
                <w:color w:val="000000"/>
                <w:sz w:val="18"/>
                <w:szCs w:val="18"/>
                <w:u w:val="none"/>
              </w:rPr>
            </w:pP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772896">
            <w:pPr>
              <w:jc w:val="center"/>
              <w:rPr>
                <w:rFonts w:hint="eastAsia" w:ascii="微软雅黑" w:hAnsi="微软雅黑" w:eastAsia="微软雅黑" w:cs="微软雅黑"/>
                <w:i/>
                <w:iCs/>
                <w:color w:val="000000"/>
                <w:sz w:val="16"/>
                <w:szCs w:val="16"/>
                <w:u w:val="none"/>
              </w:rPr>
            </w:pPr>
          </w:p>
        </w:tc>
      </w:tr>
      <w:tr w14:paraId="714E7C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4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830104">
            <w:pPr>
              <w:jc w:val="center"/>
              <w:rPr>
                <w:rFonts w:hint="eastAsia" w:ascii="宋体" w:hAnsi="宋体" w:eastAsia="宋体" w:cs="宋体"/>
                <w:i w:val="0"/>
                <w:iCs w:val="0"/>
                <w:color w:val="000000"/>
                <w:sz w:val="18"/>
                <w:szCs w:val="18"/>
                <w:u w:val="none"/>
              </w:rPr>
            </w:pPr>
          </w:p>
        </w:tc>
        <w:tc>
          <w:tcPr>
            <w:tcW w:w="4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2ACAE7">
            <w:pPr>
              <w:jc w:val="center"/>
              <w:rPr>
                <w:rFonts w:hint="eastAsia" w:ascii="宋体" w:hAnsi="宋体" w:eastAsia="宋体" w:cs="宋体"/>
                <w:i w:val="0"/>
                <w:iCs w:val="0"/>
                <w:color w:val="000000"/>
                <w:sz w:val="18"/>
                <w:szCs w:val="18"/>
                <w:u w:val="none"/>
              </w:rPr>
            </w:pP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38B1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6026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服务合格率</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0586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3D0B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FBE9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ACB65F">
            <w:pPr>
              <w:jc w:val="center"/>
              <w:rPr>
                <w:rFonts w:hint="eastAsia" w:ascii="微软雅黑" w:hAnsi="微软雅黑" w:eastAsia="微软雅黑" w:cs="微软雅黑"/>
                <w:i/>
                <w:iCs/>
                <w:color w:val="000000"/>
                <w:sz w:val="16"/>
                <w:szCs w:val="16"/>
                <w:u w:val="none"/>
              </w:rPr>
            </w:pP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4B72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BE31D7">
            <w:pPr>
              <w:jc w:val="center"/>
              <w:rPr>
                <w:rFonts w:hint="eastAsia" w:ascii="宋体" w:hAnsi="宋体" w:eastAsia="宋体" w:cs="宋体"/>
                <w:i w:val="0"/>
                <w:iCs w:val="0"/>
                <w:color w:val="000000"/>
                <w:sz w:val="18"/>
                <w:szCs w:val="18"/>
                <w:u w:val="none"/>
              </w:rPr>
            </w:pP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E663C3">
            <w:pPr>
              <w:jc w:val="center"/>
              <w:rPr>
                <w:rFonts w:hint="eastAsia" w:ascii="微软雅黑" w:hAnsi="微软雅黑" w:eastAsia="微软雅黑" w:cs="微软雅黑"/>
                <w:i/>
                <w:iCs/>
                <w:color w:val="000000"/>
                <w:sz w:val="16"/>
                <w:szCs w:val="16"/>
                <w:u w:val="none"/>
              </w:rPr>
            </w:pPr>
          </w:p>
        </w:tc>
      </w:tr>
      <w:tr w14:paraId="3543A0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4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56DFA8">
            <w:pPr>
              <w:jc w:val="center"/>
              <w:rPr>
                <w:rFonts w:hint="eastAsia" w:ascii="宋体" w:hAnsi="宋体" w:eastAsia="宋体" w:cs="宋体"/>
                <w:i w:val="0"/>
                <w:iCs w:val="0"/>
                <w:color w:val="000000"/>
                <w:sz w:val="18"/>
                <w:szCs w:val="18"/>
                <w:u w:val="none"/>
              </w:rPr>
            </w:pPr>
          </w:p>
        </w:tc>
        <w:tc>
          <w:tcPr>
            <w:tcW w:w="4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92C1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55DA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F8EB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提高会议质量、减少纸质打印数量</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AC0F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11C7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EE49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7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71AAC3">
            <w:pPr>
              <w:jc w:val="center"/>
              <w:rPr>
                <w:rFonts w:hint="eastAsia" w:ascii="微软雅黑" w:hAnsi="微软雅黑" w:eastAsia="微软雅黑" w:cs="微软雅黑"/>
                <w:i/>
                <w:iCs/>
                <w:color w:val="000000"/>
                <w:sz w:val="16"/>
                <w:szCs w:val="16"/>
                <w:u w:val="none"/>
              </w:rPr>
            </w:pP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F4DD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AAA1E">
            <w:pPr>
              <w:jc w:val="center"/>
              <w:rPr>
                <w:rFonts w:hint="eastAsia" w:ascii="宋体" w:hAnsi="宋体" w:eastAsia="宋体" w:cs="宋体"/>
                <w:i w:val="0"/>
                <w:iCs w:val="0"/>
                <w:color w:val="000000"/>
                <w:sz w:val="18"/>
                <w:szCs w:val="18"/>
                <w:u w:val="none"/>
              </w:rPr>
            </w:pP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30534B">
            <w:pPr>
              <w:jc w:val="center"/>
              <w:rPr>
                <w:rFonts w:hint="eastAsia" w:ascii="微软雅黑" w:hAnsi="微软雅黑" w:eastAsia="微软雅黑" w:cs="微软雅黑"/>
                <w:i/>
                <w:iCs/>
                <w:color w:val="000000"/>
                <w:sz w:val="16"/>
                <w:szCs w:val="16"/>
                <w:u w:val="none"/>
              </w:rPr>
            </w:pPr>
          </w:p>
        </w:tc>
      </w:tr>
      <w:tr w14:paraId="764BA2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4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8DF188">
            <w:pPr>
              <w:jc w:val="center"/>
              <w:rPr>
                <w:rFonts w:hint="eastAsia" w:ascii="宋体" w:hAnsi="宋体" w:eastAsia="宋体" w:cs="宋体"/>
                <w:i w:val="0"/>
                <w:iCs w:val="0"/>
                <w:color w:val="000000"/>
                <w:sz w:val="18"/>
                <w:szCs w:val="18"/>
                <w:u w:val="none"/>
              </w:rPr>
            </w:pPr>
          </w:p>
        </w:tc>
        <w:tc>
          <w:tcPr>
            <w:tcW w:w="4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97A4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B79F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F06A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会议使用人员满意度</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5262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6340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022E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AC29AF">
            <w:pPr>
              <w:jc w:val="center"/>
              <w:rPr>
                <w:rFonts w:hint="eastAsia" w:ascii="微软雅黑" w:hAnsi="微软雅黑" w:eastAsia="微软雅黑" w:cs="微软雅黑"/>
                <w:i/>
                <w:iCs/>
                <w:color w:val="000000"/>
                <w:sz w:val="16"/>
                <w:szCs w:val="16"/>
                <w:u w:val="none"/>
              </w:rPr>
            </w:pP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F203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016945">
            <w:pPr>
              <w:jc w:val="center"/>
              <w:rPr>
                <w:rFonts w:hint="eastAsia" w:ascii="宋体" w:hAnsi="宋体" w:eastAsia="宋体" w:cs="宋体"/>
                <w:i w:val="0"/>
                <w:iCs w:val="0"/>
                <w:color w:val="000000"/>
                <w:sz w:val="18"/>
                <w:szCs w:val="18"/>
                <w:u w:val="none"/>
              </w:rPr>
            </w:pP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0CD2D0">
            <w:pPr>
              <w:jc w:val="center"/>
              <w:rPr>
                <w:rFonts w:hint="eastAsia" w:ascii="微软雅黑" w:hAnsi="微软雅黑" w:eastAsia="微软雅黑" w:cs="微软雅黑"/>
                <w:i/>
                <w:iCs/>
                <w:color w:val="000000"/>
                <w:sz w:val="16"/>
                <w:szCs w:val="16"/>
                <w:u w:val="none"/>
              </w:rPr>
            </w:pPr>
          </w:p>
        </w:tc>
      </w:tr>
      <w:tr w14:paraId="005047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4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311860">
            <w:pPr>
              <w:jc w:val="center"/>
              <w:rPr>
                <w:rFonts w:hint="eastAsia" w:ascii="宋体" w:hAnsi="宋体" w:eastAsia="宋体" w:cs="宋体"/>
                <w:i w:val="0"/>
                <w:iCs w:val="0"/>
                <w:color w:val="000000"/>
                <w:sz w:val="18"/>
                <w:szCs w:val="18"/>
                <w:u w:val="none"/>
              </w:rPr>
            </w:pPr>
          </w:p>
        </w:tc>
        <w:tc>
          <w:tcPr>
            <w:tcW w:w="4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D72D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B708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9982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成本控制</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1293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7D89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298000</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B4A8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元/年</w:t>
            </w:r>
          </w:p>
        </w:tc>
        <w:tc>
          <w:tcPr>
            <w:tcW w:w="7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D82AB3">
            <w:pPr>
              <w:jc w:val="center"/>
              <w:rPr>
                <w:rFonts w:hint="eastAsia" w:ascii="微软雅黑" w:hAnsi="微软雅黑" w:eastAsia="微软雅黑" w:cs="微软雅黑"/>
                <w:i/>
                <w:iCs/>
                <w:color w:val="000000"/>
                <w:sz w:val="16"/>
                <w:szCs w:val="16"/>
                <w:u w:val="none"/>
              </w:rPr>
            </w:pP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E8E1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11F588">
            <w:pPr>
              <w:jc w:val="center"/>
              <w:rPr>
                <w:rFonts w:hint="eastAsia" w:ascii="宋体" w:hAnsi="宋体" w:eastAsia="宋体" w:cs="宋体"/>
                <w:i w:val="0"/>
                <w:iCs w:val="0"/>
                <w:color w:val="000000"/>
                <w:sz w:val="18"/>
                <w:szCs w:val="18"/>
                <w:u w:val="none"/>
              </w:rPr>
            </w:pP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82462D">
            <w:pPr>
              <w:jc w:val="center"/>
              <w:rPr>
                <w:rFonts w:hint="eastAsia" w:ascii="微软雅黑" w:hAnsi="微软雅黑" w:eastAsia="微软雅黑" w:cs="微软雅黑"/>
                <w:i/>
                <w:iCs/>
                <w:color w:val="000000"/>
                <w:sz w:val="16"/>
                <w:szCs w:val="16"/>
                <w:u w:val="none"/>
              </w:rPr>
            </w:pPr>
          </w:p>
        </w:tc>
      </w:tr>
      <w:tr w14:paraId="75FC3D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95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88857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E62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99B459">
            <w:pPr>
              <w:rPr>
                <w:rFonts w:hint="eastAsia" w:ascii="宋体" w:hAnsi="宋体" w:eastAsia="宋体" w:cs="宋体"/>
                <w:i w:val="0"/>
                <w:iCs w:val="0"/>
                <w:color w:val="000000"/>
                <w:sz w:val="18"/>
                <w:szCs w:val="18"/>
                <w:u w:val="none"/>
              </w:rPr>
            </w:pP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F03460">
            <w:pPr>
              <w:rPr>
                <w:rFonts w:hint="eastAsia" w:ascii="宋体" w:hAnsi="宋体" w:eastAsia="宋体" w:cs="宋体"/>
                <w:i w:val="0"/>
                <w:iCs w:val="0"/>
                <w:color w:val="000000"/>
                <w:sz w:val="18"/>
                <w:szCs w:val="18"/>
                <w:u w:val="none"/>
              </w:rPr>
            </w:pPr>
          </w:p>
        </w:tc>
      </w:tr>
      <w:tr w14:paraId="2E8366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4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0E19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553"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FB57B1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本项目资金管理及财务信息符合相关规定，项目实施过程管理有效，通过该项目的实施取得了相应的社会效益及其他相关效益，使资金发挥了应有作用，通过有限的财政资金取得了重大成效，对社会的稳定和发展起到了推动作用。绩效评价综合得分为95分。</w:t>
            </w:r>
          </w:p>
        </w:tc>
      </w:tr>
      <w:tr w14:paraId="4F78C6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4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A1FA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553"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3AD78A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651FF4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4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BD4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553"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7ADEE0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32A2B9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37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A1972A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项目负责人：杨国涛</w:t>
            </w:r>
          </w:p>
        </w:tc>
        <w:tc>
          <w:tcPr>
            <w:tcW w:w="2625"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196419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财务负责人：赵明</w:t>
            </w:r>
          </w:p>
        </w:tc>
      </w:tr>
      <w:tr w14:paraId="3B8A6D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46" w:type="pct"/>
            <w:tcBorders>
              <w:top w:val="nil"/>
              <w:left w:val="nil"/>
              <w:bottom w:val="nil"/>
              <w:right w:val="nil"/>
            </w:tcBorders>
            <w:shd w:val="clear" w:color="auto" w:fill="auto"/>
            <w:vAlign w:val="center"/>
          </w:tcPr>
          <w:p w14:paraId="702F44F0">
            <w:pPr>
              <w:rPr>
                <w:rFonts w:hint="eastAsia" w:ascii="宋体" w:hAnsi="宋体" w:eastAsia="宋体" w:cs="宋体"/>
                <w:i w:val="0"/>
                <w:iCs w:val="0"/>
                <w:color w:val="000000"/>
                <w:sz w:val="18"/>
                <w:szCs w:val="18"/>
                <w:u w:val="none"/>
              </w:rPr>
            </w:pPr>
          </w:p>
        </w:tc>
        <w:tc>
          <w:tcPr>
            <w:tcW w:w="468" w:type="pct"/>
            <w:tcBorders>
              <w:top w:val="nil"/>
              <w:left w:val="nil"/>
              <w:bottom w:val="nil"/>
              <w:right w:val="nil"/>
            </w:tcBorders>
            <w:shd w:val="clear" w:color="auto" w:fill="auto"/>
            <w:vAlign w:val="center"/>
          </w:tcPr>
          <w:p w14:paraId="43B6A303">
            <w:pPr>
              <w:rPr>
                <w:rFonts w:hint="eastAsia" w:ascii="宋体" w:hAnsi="宋体" w:eastAsia="宋体" w:cs="宋体"/>
                <w:i w:val="0"/>
                <w:iCs w:val="0"/>
                <w:color w:val="000000"/>
                <w:sz w:val="18"/>
                <w:szCs w:val="18"/>
                <w:u w:val="none"/>
              </w:rPr>
            </w:pPr>
          </w:p>
        </w:tc>
        <w:tc>
          <w:tcPr>
            <w:tcW w:w="433" w:type="pct"/>
            <w:tcBorders>
              <w:top w:val="nil"/>
              <w:left w:val="nil"/>
              <w:bottom w:val="nil"/>
              <w:right w:val="nil"/>
            </w:tcBorders>
            <w:shd w:val="clear" w:color="auto" w:fill="auto"/>
            <w:vAlign w:val="center"/>
          </w:tcPr>
          <w:p w14:paraId="773B917E">
            <w:pPr>
              <w:rPr>
                <w:rFonts w:hint="eastAsia" w:ascii="宋体" w:hAnsi="宋体" w:eastAsia="宋体" w:cs="宋体"/>
                <w:i w:val="0"/>
                <w:iCs w:val="0"/>
                <w:color w:val="000000"/>
                <w:sz w:val="18"/>
                <w:szCs w:val="18"/>
                <w:u w:val="none"/>
              </w:rPr>
            </w:pPr>
          </w:p>
        </w:tc>
        <w:tc>
          <w:tcPr>
            <w:tcW w:w="751" w:type="pct"/>
            <w:tcBorders>
              <w:top w:val="nil"/>
              <w:left w:val="nil"/>
              <w:bottom w:val="nil"/>
              <w:right w:val="nil"/>
            </w:tcBorders>
            <w:shd w:val="clear" w:color="auto" w:fill="auto"/>
            <w:vAlign w:val="center"/>
          </w:tcPr>
          <w:p w14:paraId="1932816C">
            <w:pPr>
              <w:rPr>
                <w:rFonts w:hint="eastAsia" w:ascii="宋体" w:hAnsi="宋体" w:eastAsia="宋体" w:cs="宋体"/>
                <w:i w:val="0"/>
                <w:iCs w:val="0"/>
                <w:color w:val="000000"/>
                <w:sz w:val="18"/>
                <w:szCs w:val="18"/>
                <w:u w:val="none"/>
              </w:rPr>
            </w:pPr>
          </w:p>
        </w:tc>
        <w:tc>
          <w:tcPr>
            <w:tcW w:w="275" w:type="pct"/>
            <w:tcBorders>
              <w:top w:val="nil"/>
              <w:left w:val="nil"/>
              <w:bottom w:val="nil"/>
              <w:right w:val="nil"/>
            </w:tcBorders>
            <w:shd w:val="clear" w:color="auto" w:fill="auto"/>
            <w:vAlign w:val="center"/>
          </w:tcPr>
          <w:p w14:paraId="35B55F82">
            <w:pPr>
              <w:rPr>
                <w:rFonts w:hint="eastAsia" w:ascii="宋体" w:hAnsi="宋体" w:eastAsia="宋体" w:cs="宋体"/>
                <w:i w:val="0"/>
                <w:iCs w:val="0"/>
                <w:color w:val="000000"/>
                <w:sz w:val="18"/>
                <w:szCs w:val="18"/>
                <w:u w:val="none"/>
              </w:rPr>
            </w:pPr>
          </w:p>
        </w:tc>
        <w:tc>
          <w:tcPr>
            <w:tcW w:w="501" w:type="pct"/>
            <w:tcBorders>
              <w:top w:val="nil"/>
              <w:left w:val="nil"/>
              <w:bottom w:val="nil"/>
              <w:right w:val="nil"/>
            </w:tcBorders>
            <w:shd w:val="clear" w:color="auto" w:fill="auto"/>
            <w:vAlign w:val="center"/>
          </w:tcPr>
          <w:p w14:paraId="2ECA8B95">
            <w:pPr>
              <w:rPr>
                <w:rFonts w:hint="eastAsia" w:ascii="宋体" w:hAnsi="宋体" w:eastAsia="宋体" w:cs="宋体"/>
                <w:i w:val="0"/>
                <w:iCs w:val="0"/>
                <w:color w:val="000000"/>
                <w:sz w:val="18"/>
                <w:szCs w:val="18"/>
                <w:u w:val="none"/>
              </w:rPr>
            </w:pPr>
          </w:p>
        </w:tc>
        <w:tc>
          <w:tcPr>
            <w:tcW w:w="372" w:type="pct"/>
            <w:tcBorders>
              <w:top w:val="nil"/>
              <w:left w:val="nil"/>
              <w:bottom w:val="nil"/>
              <w:right w:val="nil"/>
            </w:tcBorders>
            <w:shd w:val="clear" w:color="auto" w:fill="auto"/>
            <w:vAlign w:val="center"/>
          </w:tcPr>
          <w:p w14:paraId="7B2AC68B">
            <w:pPr>
              <w:rPr>
                <w:rFonts w:hint="eastAsia" w:ascii="宋体" w:hAnsi="宋体" w:eastAsia="宋体" w:cs="宋体"/>
                <w:i w:val="0"/>
                <w:iCs w:val="0"/>
                <w:color w:val="000000"/>
                <w:sz w:val="18"/>
                <w:szCs w:val="18"/>
                <w:u w:val="none"/>
              </w:rPr>
            </w:pPr>
          </w:p>
        </w:tc>
        <w:tc>
          <w:tcPr>
            <w:tcW w:w="701" w:type="pct"/>
            <w:tcBorders>
              <w:top w:val="nil"/>
              <w:left w:val="nil"/>
              <w:bottom w:val="nil"/>
              <w:right w:val="nil"/>
            </w:tcBorders>
            <w:shd w:val="clear" w:color="auto" w:fill="auto"/>
            <w:vAlign w:val="center"/>
          </w:tcPr>
          <w:p w14:paraId="1F76F12B">
            <w:pPr>
              <w:rPr>
                <w:rFonts w:hint="eastAsia" w:ascii="宋体" w:hAnsi="宋体" w:eastAsia="宋体" w:cs="宋体"/>
                <w:i w:val="0"/>
                <w:iCs w:val="0"/>
                <w:color w:val="000000"/>
                <w:sz w:val="18"/>
                <w:szCs w:val="18"/>
                <w:u w:val="none"/>
              </w:rPr>
            </w:pPr>
          </w:p>
        </w:tc>
        <w:tc>
          <w:tcPr>
            <w:tcW w:w="338" w:type="pct"/>
            <w:tcBorders>
              <w:top w:val="nil"/>
              <w:left w:val="nil"/>
              <w:bottom w:val="nil"/>
              <w:right w:val="nil"/>
            </w:tcBorders>
            <w:shd w:val="clear" w:color="auto" w:fill="auto"/>
            <w:vAlign w:val="center"/>
          </w:tcPr>
          <w:p w14:paraId="59703537">
            <w:pPr>
              <w:rPr>
                <w:rFonts w:hint="eastAsia" w:ascii="宋体" w:hAnsi="宋体" w:eastAsia="宋体" w:cs="宋体"/>
                <w:i w:val="0"/>
                <w:iCs w:val="0"/>
                <w:color w:val="000000"/>
                <w:sz w:val="18"/>
                <w:szCs w:val="18"/>
                <w:u w:val="none"/>
              </w:rPr>
            </w:pPr>
          </w:p>
        </w:tc>
        <w:tc>
          <w:tcPr>
            <w:tcW w:w="291" w:type="pct"/>
            <w:tcBorders>
              <w:top w:val="nil"/>
              <w:left w:val="nil"/>
              <w:bottom w:val="nil"/>
              <w:right w:val="nil"/>
            </w:tcBorders>
            <w:shd w:val="clear" w:color="auto" w:fill="auto"/>
            <w:vAlign w:val="center"/>
          </w:tcPr>
          <w:p w14:paraId="79DC6B4B">
            <w:pPr>
              <w:rPr>
                <w:rFonts w:hint="eastAsia" w:ascii="宋体" w:hAnsi="宋体" w:eastAsia="宋体" w:cs="宋体"/>
                <w:i w:val="0"/>
                <w:iCs w:val="0"/>
                <w:color w:val="000000"/>
                <w:sz w:val="18"/>
                <w:szCs w:val="18"/>
                <w:u w:val="none"/>
              </w:rPr>
            </w:pPr>
          </w:p>
        </w:tc>
        <w:tc>
          <w:tcPr>
            <w:tcW w:w="420" w:type="pct"/>
            <w:tcBorders>
              <w:top w:val="nil"/>
              <w:left w:val="nil"/>
              <w:bottom w:val="nil"/>
              <w:right w:val="nil"/>
            </w:tcBorders>
            <w:shd w:val="clear" w:color="auto" w:fill="auto"/>
            <w:vAlign w:val="center"/>
          </w:tcPr>
          <w:p w14:paraId="282EBE7F">
            <w:pPr>
              <w:rPr>
                <w:rFonts w:hint="eastAsia" w:ascii="宋体" w:hAnsi="宋体" w:eastAsia="宋体" w:cs="宋体"/>
                <w:i w:val="0"/>
                <w:iCs w:val="0"/>
                <w:color w:val="000000"/>
                <w:sz w:val="18"/>
                <w:szCs w:val="18"/>
                <w:u w:val="none"/>
              </w:rPr>
            </w:pPr>
          </w:p>
        </w:tc>
      </w:tr>
      <w:tr w14:paraId="084669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0DA14A5">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35DF6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1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57FE4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85"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CEA4AA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51322325T000013900764-2025年重点工作经费</w:t>
            </w:r>
          </w:p>
        </w:tc>
      </w:tr>
      <w:tr w14:paraId="29950C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1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C0E38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33"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2D309F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茂县人民政府办公室</w:t>
            </w:r>
          </w:p>
        </w:tc>
        <w:tc>
          <w:tcPr>
            <w:tcW w:w="701" w:type="pct"/>
            <w:tcBorders>
              <w:top w:val="nil"/>
              <w:left w:val="nil"/>
              <w:bottom w:val="nil"/>
              <w:right w:val="nil"/>
            </w:tcBorders>
            <w:shd w:val="clear" w:color="auto" w:fill="auto"/>
            <w:vAlign w:val="center"/>
          </w:tcPr>
          <w:p w14:paraId="66F6F29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04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48B6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茂县人民政府办公室（行政）</w:t>
            </w:r>
          </w:p>
        </w:tc>
      </w:tr>
      <w:tr w14:paraId="44A858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46" w:type="pct"/>
            <w:vMerge w:val="restart"/>
            <w:tcBorders>
              <w:top w:val="single" w:color="000000" w:sz="4" w:space="0"/>
              <w:left w:val="single" w:color="000000" w:sz="4" w:space="0"/>
              <w:right w:val="single" w:color="000000" w:sz="4" w:space="0"/>
            </w:tcBorders>
            <w:shd w:val="clear" w:color="auto" w:fill="auto"/>
            <w:vAlign w:val="center"/>
          </w:tcPr>
          <w:p w14:paraId="23BB242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468" w:type="pct"/>
            <w:vMerge w:val="restart"/>
            <w:tcBorders>
              <w:top w:val="single" w:color="000000" w:sz="4" w:space="0"/>
              <w:left w:val="single" w:color="000000" w:sz="4" w:space="0"/>
              <w:right w:val="single" w:color="000000" w:sz="4" w:space="0"/>
            </w:tcBorders>
            <w:shd w:val="clear" w:color="auto" w:fill="auto"/>
            <w:vAlign w:val="center"/>
          </w:tcPr>
          <w:p w14:paraId="18F26D0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33"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58A01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75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4A202CE">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3CCF64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446" w:type="pct"/>
            <w:vMerge w:val="continue"/>
            <w:tcBorders>
              <w:left w:val="single" w:color="000000" w:sz="4" w:space="0"/>
              <w:right w:val="single" w:color="000000" w:sz="4" w:space="0"/>
            </w:tcBorders>
            <w:shd w:val="clear" w:color="auto" w:fill="auto"/>
            <w:vAlign w:val="center"/>
          </w:tcPr>
          <w:p w14:paraId="6E7472D7">
            <w:pPr>
              <w:rPr>
                <w:rFonts w:hint="eastAsia" w:ascii="宋体" w:hAnsi="宋体" w:eastAsia="宋体" w:cs="宋体"/>
                <w:i w:val="0"/>
                <w:iCs w:val="0"/>
                <w:color w:val="000000"/>
                <w:sz w:val="18"/>
                <w:szCs w:val="18"/>
                <w:u w:val="none"/>
              </w:rPr>
            </w:pPr>
          </w:p>
        </w:tc>
        <w:tc>
          <w:tcPr>
            <w:tcW w:w="468" w:type="pct"/>
            <w:vMerge w:val="continue"/>
            <w:tcBorders>
              <w:left w:val="single" w:color="000000" w:sz="4" w:space="0"/>
              <w:right w:val="single" w:color="000000" w:sz="4" w:space="0"/>
            </w:tcBorders>
            <w:shd w:val="clear" w:color="auto" w:fill="auto"/>
            <w:vAlign w:val="center"/>
          </w:tcPr>
          <w:p w14:paraId="56A8E97B">
            <w:pPr>
              <w:rPr>
                <w:rFonts w:hint="eastAsia" w:ascii="宋体" w:hAnsi="宋体" w:eastAsia="宋体" w:cs="宋体"/>
                <w:i w:val="0"/>
                <w:iCs w:val="0"/>
                <w:color w:val="000000"/>
                <w:sz w:val="18"/>
                <w:szCs w:val="18"/>
                <w:u w:val="none"/>
              </w:rPr>
            </w:pPr>
          </w:p>
        </w:tc>
        <w:tc>
          <w:tcPr>
            <w:tcW w:w="2333"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3C0021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为切实推进县人民政府2025年重点工作，提高县政府办公室工作质效何后勤保障力度</w:t>
            </w:r>
          </w:p>
        </w:tc>
        <w:tc>
          <w:tcPr>
            <w:tcW w:w="175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543027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切实推进县人民政府重点工作，提高县人民政府办公室工作质效。</w:t>
            </w:r>
          </w:p>
        </w:tc>
      </w:tr>
      <w:tr w14:paraId="17F881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446" w:type="pct"/>
            <w:vMerge w:val="continue"/>
            <w:tcBorders>
              <w:left w:val="single" w:color="000000" w:sz="4" w:space="0"/>
              <w:right w:val="single" w:color="000000" w:sz="4" w:space="0"/>
            </w:tcBorders>
            <w:shd w:val="clear" w:color="auto" w:fill="auto"/>
            <w:vAlign w:val="center"/>
          </w:tcPr>
          <w:p w14:paraId="7080D8C1">
            <w:pPr>
              <w:rPr>
                <w:rFonts w:hint="eastAsia" w:ascii="宋体" w:hAnsi="宋体" w:eastAsia="宋体" w:cs="宋体"/>
                <w:i w:val="0"/>
                <w:iCs w:val="0"/>
                <w:color w:val="000000"/>
                <w:sz w:val="18"/>
                <w:szCs w:val="18"/>
                <w:u w:val="none"/>
              </w:rPr>
            </w:pPr>
          </w:p>
        </w:tc>
        <w:tc>
          <w:tcPr>
            <w:tcW w:w="4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BD95E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85"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5FB1BC2">
            <w:pPr>
              <w:rPr>
                <w:rFonts w:hint="eastAsia" w:ascii="宋体" w:hAnsi="宋体" w:eastAsia="宋体" w:cs="宋体"/>
                <w:i w:val="0"/>
                <w:iCs w:val="0"/>
                <w:color w:val="000000"/>
                <w:sz w:val="18"/>
                <w:szCs w:val="18"/>
                <w:u w:val="none"/>
              </w:rPr>
            </w:pPr>
          </w:p>
        </w:tc>
      </w:tr>
      <w:tr w14:paraId="7C64F6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446" w:type="pct"/>
            <w:vMerge w:val="restart"/>
            <w:tcBorders>
              <w:top w:val="single" w:color="000000" w:sz="4" w:space="0"/>
              <w:left w:val="single" w:color="000000" w:sz="4" w:space="0"/>
              <w:right w:val="single" w:color="000000" w:sz="4" w:space="0"/>
            </w:tcBorders>
            <w:shd w:val="clear" w:color="auto" w:fill="auto"/>
            <w:vAlign w:val="center"/>
          </w:tcPr>
          <w:p w14:paraId="3F6B15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4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EF9D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5CDC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58CD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14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4ACB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1EE7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AEA5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317A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1512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7C442E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446" w:type="pct"/>
            <w:vMerge w:val="continue"/>
            <w:tcBorders>
              <w:left w:val="single" w:color="000000" w:sz="4" w:space="0"/>
              <w:right w:val="single" w:color="000000" w:sz="4" w:space="0"/>
            </w:tcBorders>
            <w:shd w:val="clear" w:color="auto" w:fill="auto"/>
            <w:vAlign w:val="center"/>
          </w:tcPr>
          <w:p w14:paraId="36A8B40E">
            <w:pPr>
              <w:jc w:val="center"/>
              <w:rPr>
                <w:rFonts w:hint="eastAsia" w:ascii="宋体" w:hAnsi="宋体" w:eastAsia="宋体" w:cs="宋体"/>
                <w:i w:val="0"/>
                <w:iCs w:val="0"/>
                <w:color w:val="000000"/>
                <w:sz w:val="18"/>
                <w:szCs w:val="18"/>
                <w:u w:val="none"/>
              </w:rPr>
            </w:pPr>
          </w:p>
        </w:tc>
        <w:tc>
          <w:tcPr>
            <w:tcW w:w="4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B414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1174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454D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192.44</w:t>
            </w:r>
          </w:p>
        </w:tc>
        <w:tc>
          <w:tcPr>
            <w:tcW w:w="114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90669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192.44</w:t>
            </w:r>
          </w:p>
        </w:tc>
        <w:tc>
          <w:tcPr>
            <w:tcW w:w="7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CED7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F400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2DF767">
            <w:pPr>
              <w:jc w:val="center"/>
              <w:rPr>
                <w:rFonts w:hint="eastAsia" w:ascii="宋体" w:hAnsi="宋体" w:eastAsia="宋体" w:cs="宋体"/>
                <w:i w:val="0"/>
                <w:iCs w:val="0"/>
                <w:color w:val="000000"/>
                <w:sz w:val="18"/>
                <w:szCs w:val="18"/>
                <w:u w:val="none"/>
              </w:rPr>
            </w:pPr>
          </w:p>
        </w:tc>
        <w:tc>
          <w:tcPr>
            <w:tcW w:w="420" w:type="pct"/>
            <w:vMerge w:val="restart"/>
            <w:tcBorders>
              <w:top w:val="single" w:color="000000" w:sz="4" w:space="0"/>
              <w:left w:val="single" w:color="000000" w:sz="4" w:space="0"/>
              <w:right w:val="single" w:color="000000" w:sz="4" w:space="0"/>
            </w:tcBorders>
            <w:shd w:val="clear" w:color="auto" w:fill="auto"/>
            <w:vAlign w:val="center"/>
          </w:tcPr>
          <w:p w14:paraId="468EFE55">
            <w:pPr>
              <w:rPr>
                <w:rFonts w:hint="eastAsia" w:ascii="黑体" w:hAnsi="黑体" w:eastAsia="黑体" w:cs="黑体"/>
                <w:i/>
                <w:iCs/>
                <w:color w:val="000000"/>
                <w:sz w:val="18"/>
                <w:szCs w:val="18"/>
                <w:u w:val="none"/>
              </w:rPr>
            </w:pPr>
          </w:p>
        </w:tc>
      </w:tr>
      <w:tr w14:paraId="644414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446" w:type="pct"/>
            <w:vMerge w:val="continue"/>
            <w:tcBorders>
              <w:left w:val="single" w:color="000000" w:sz="4" w:space="0"/>
              <w:right w:val="single" w:color="000000" w:sz="4" w:space="0"/>
            </w:tcBorders>
            <w:shd w:val="clear" w:color="auto" w:fill="auto"/>
            <w:vAlign w:val="center"/>
          </w:tcPr>
          <w:p w14:paraId="1CC416F1">
            <w:pPr>
              <w:jc w:val="center"/>
              <w:rPr>
                <w:rFonts w:hint="eastAsia" w:ascii="宋体" w:hAnsi="宋体" w:eastAsia="宋体" w:cs="宋体"/>
                <w:i w:val="0"/>
                <w:iCs w:val="0"/>
                <w:color w:val="000000"/>
                <w:sz w:val="18"/>
                <w:szCs w:val="18"/>
                <w:u w:val="none"/>
              </w:rPr>
            </w:pPr>
          </w:p>
        </w:tc>
        <w:tc>
          <w:tcPr>
            <w:tcW w:w="4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1C57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66B8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FDF2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192.44</w:t>
            </w:r>
          </w:p>
        </w:tc>
        <w:tc>
          <w:tcPr>
            <w:tcW w:w="114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9DB9C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192.44</w:t>
            </w:r>
          </w:p>
        </w:tc>
        <w:tc>
          <w:tcPr>
            <w:tcW w:w="7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BE6D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ACB0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449F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20" w:type="pct"/>
            <w:vMerge w:val="continue"/>
            <w:tcBorders>
              <w:left w:val="single" w:color="000000" w:sz="4" w:space="0"/>
              <w:right w:val="single" w:color="000000" w:sz="4" w:space="0"/>
            </w:tcBorders>
            <w:shd w:val="clear" w:color="auto" w:fill="auto"/>
            <w:vAlign w:val="center"/>
          </w:tcPr>
          <w:p w14:paraId="7D980D0F">
            <w:pPr>
              <w:rPr>
                <w:rFonts w:hint="eastAsia" w:ascii="黑体" w:hAnsi="黑体" w:eastAsia="黑体" w:cs="黑体"/>
                <w:i/>
                <w:iCs/>
                <w:color w:val="000000"/>
                <w:sz w:val="18"/>
                <w:szCs w:val="18"/>
                <w:u w:val="none"/>
              </w:rPr>
            </w:pPr>
          </w:p>
        </w:tc>
      </w:tr>
      <w:tr w14:paraId="62D0DF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446" w:type="pct"/>
            <w:vMerge w:val="continue"/>
            <w:tcBorders>
              <w:left w:val="single" w:color="000000" w:sz="4" w:space="0"/>
              <w:right w:val="single" w:color="000000" w:sz="4" w:space="0"/>
            </w:tcBorders>
            <w:shd w:val="clear" w:color="auto" w:fill="auto"/>
            <w:vAlign w:val="center"/>
          </w:tcPr>
          <w:p w14:paraId="531C77B0">
            <w:pPr>
              <w:jc w:val="center"/>
              <w:rPr>
                <w:rFonts w:hint="eastAsia" w:ascii="宋体" w:hAnsi="宋体" w:eastAsia="宋体" w:cs="宋体"/>
                <w:i w:val="0"/>
                <w:iCs w:val="0"/>
                <w:color w:val="000000"/>
                <w:sz w:val="18"/>
                <w:szCs w:val="18"/>
                <w:u w:val="none"/>
              </w:rPr>
            </w:pPr>
          </w:p>
        </w:tc>
        <w:tc>
          <w:tcPr>
            <w:tcW w:w="4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EC26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4858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3EA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4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964A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1A7D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288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69EE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20" w:type="pct"/>
            <w:vMerge w:val="continue"/>
            <w:tcBorders>
              <w:left w:val="single" w:color="000000" w:sz="4" w:space="0"/>
              <w:right w:val="single" w:color="000000" w:sz="4" w:space="0"/>
            </w:tcBorders>
            <w:shd w:val="clear" w:color="auto" w:fill="auto"/>
            <w:vAlign w:val="center"/>
          </w:tcPr>
          <w:p w14:paraId="76FD7247">
            <w:pPr>
              <w:rPr>
                <w:rFonts w:hint="eastAsia" w:ascii="黑体" w:hAnsi="黑体" w:eastAsia="黑体" w:cs="黑体"/>
                <w:i/>
                <w:iCs/>
                <w:color w:val="000000"/>
                <w:sz w:val="18"/>
                <w:szCs w:val="18"/>
                <w:u w:val="none"/>
              </w:rPr>
            </w:pPr>
          </w:p>
        </w:tc>
      </w:tr>
      <w:tr w14:paraId="5E11D5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446" w:type="pct"/>
            <w:vMerge w:val="continue"/>
            <w:tcBorders>
              <w:left w:val="single" w:color="000000" w:sz="4" w:space="0"/>
              <w:right w:val="single" w:color="000000" w:sz="4" w:space="0"/>
            </w:tcBorders>
            <w:shd w:val="clear" w:color="auto" w:fill="auto"/>
            <w:vAlign w:val="center"/>
          </w:tcPr>
          <w:p w14:paraId="000E25BD">
            <w:pPr>
              <w:jc w:val="center"/>
              <w:rPr>
                <w:rFonts w:hint="eastAsia" w:ascii="宋体" w:hAnsi="宋体" w:eastAsia="宋体" w:cs="宋体"/>
                <w:i w:val="0"/>
                <w:iCs w:val="0"/>
                <w:color w:val="000000"/>
                <w:sz w:val="18"/>
                <w:szCs w:val="18"/>
                <w:u w:val="none"/>
              </w:rPr>
            </w:pPr>
          </w:p>
        </w:tc>
        <w:tc>
          <w:tcPr>
            <w:tcW w:w="4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5497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4CFF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F1F9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4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C171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877E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2516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47E1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20" w:type="pct"/>
            <w:vMerge w:val="continue"/>
            <w:tcBorders>
              <w:left w:val="single" w:color="000000" w:sz="4" w:space="0"/>
              <w:right w:val="single" w:color="000000" w:sz="4" w:space="0"/>
            </w:tcBorders>
            <w:shd w:val="clear" w:color="auto" w:fill="auto"/>
            <w:vAlign w:val="center"/>
          </w:tcPr>
          <w:p w14:paraId="6DCE897F">
            <w:pPr>
              <w:rPr>
                <w:rFonts w:hint="eastAsia" w:ascii="黑体" w:hAnsi="黑体" w:eastAsia="黑体" w:cs="黑体"/>
                <w:i/>
                <w:iCs/>
                <w:color w:val="000000"/>
                <w:sz w:val="18"/>
                <w:szCs w:val="18"/>
                <w:u w:val="none"/>
              </w:rPr>
            </w:pPr>
          </w:p>
        </w:tc>
      </w:tr>
      <w:tr w14:paraId="0E0AF3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446" w:type="pct"/>
            <w:vMerge w:val="continue"/>
            <w:tcBorders>
              <w:left w:val="single" w:color="000000" w:sz="4" w:space="0"/>
              <w:right w:val="single" w:color="000000" w:sz="4" w:space="0"/>
            </w:tcBorders>
            <w:shd w:val="clear" w:color="auto" w:fill="auto"/>
            <w:vAlign w:val="center"/>
          </w:tcPr>
          <w:p w14:paraId="12ECA943">
            <w:pPr>
              <w:jc w:val="center"/>
              <w:rPr>
                <w:rFonts w:hint="eastAsia" w:ascii="宋体" w:hAnsi="宋体" w:eastAsia="宋体" w:cs="宋体"/>
                <w:i w:val="0"/>
                <w:iCs w:val="0"/>
                <w:color w:val="000000"/>
                <w:sz w:val="18"/>
                <w:szCs w:val="18"/>
                <w:u w:val="none"/>
              </w:rPr>
            </w:pPr>
          </w:p>
        </w:tc>
        <w:tc>
          <w:tcPr>
            <w:tcW w:w="4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C89F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DAE197">
            <w:pPr>
              <w:jc w:val="center"/>
              <w:rPr>
                <w:rFonts w:hint="eastAsia" w:ascii="微软雅黑" w:hAnsi="微软雅黑" w:eastAsia="微软雅黑" w:cs="微软雅黑"/>
                <w:i/>
                <w:iCs/>
                <w:color w:val="000000"/>
                <w:sz w:val="16"/>
                <w:szCs w:val="16"/>
                <w:u w:val="none"/>
              </w:rPr>
            </w:pP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6E6E3F">
            <w:pPr>
              <w:jc w:val="center"/>
              <w:rPr>
                <w:rFonts w:hint="eastAsia" w:ascii="微软雅黑" w:hAnsi="微软雅黑" w:eastAsia="微软雅黑" w:cs="微软雅黑"/>
                <w:i/>
                <w:iCs/>
                <w:color w:val="000000"/>
                <w:sz w:val="16"/>
                <w:szCs w:val="16"/>
                <w:u w:val="none"/>
              </w:rPr>
            </w:pPr>
          </w:p>
        </w:tc>
        <w:tc>
          <w:tcPr>
            <w:tcW w:w="114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46C3B7">
            <w:pPr>
              <w:jc w:val="center"/>
              <w:rPr>
                <w:rFonts w:hint="eastAsia" w:ascii="微软雅黑" w:hAnsi="微软雅黑" w:eastAsia="微软雅黑" w:cs="微软雅黑"/>
                <w:i/>
                <w:iCs/>
                <w:color w:val="000000"/>
                <w:sz w:val="16"/>
                <w:szCs w:val="16"/>
                <w:u w:val="none"/>
              </w:rPr>
            </w:pPr>
          </w:p>
        </w:tc>
        <w:tc>
          <w:tcPr>
            <w:tcW w:w="7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13A6B4">
            <w:pPr>
              <w:jc w:val="center"/>
              <w:rPr>
                <w:rFonts w:hint="eastAsia" w:ascii="微软雅黑" w:hAnsi="微软雅黑" w:eastAsia="微软雅黑" w:cs="微软雅黑"/>
                <w:i/>
                <w:iCs/>
                <w:color w:val="000000"/>
                <w:sz w:val="16"/>
                <w:szCs w:val="16"/>
                <w:u w:val="none"/>
              </w:rPr>
            </w:pP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543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937E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20" w:type="pct"/>
            <w:vMerge w:val="continue"/>
            <w:tcBorders>
              <w:left w:val="single" w:color="000000" w:sz="4" w:space="0"/>
              <w:right w:val="single" w:color="000000" w:sz="4" w:space="0"/>
            </w:tcBorders>
            <w:shd w:val="clear" w:color="auto" w:fill="auto"/>
            <w:vAlign w:val="center"/>
          </w:tcPr>
          <w:p w14:paraId="07202381">
            <w:pPr>
              <w:rPr>
                <w:rFonts w:hint="eastAsia" w:ascii="黑体" w:hAnsi="黑体" w:eastAsia="黑体" w:cs="黑体"/>
                <w:i/>
                <w:iCs/>
                <w:color w:val="000000"/>
                <w:sz w:val="18"/>
                <w:szCs w:val="18"/>
                <w:u w:val="none"/>
              </w:rPr>
            </w:pPr>
          </w:p>
        </w:tc>
      </w:tr>
      <w:tr w14:paraId="0FCB84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446" w:type="pct"/>
            <w:vMerge w:val="restart"/>
            <w:tcBorders>
              <w:top w:val="single" w:color="000000" w:sz="4" w:space="0"/>
              <w:left w:val="single" w:color="000000" w:sz="4" w:space="0"/>
              <w:right w:val="single" w:color="000000" w:sz="4" w:space="0"/>
            </w:tcBorders>
            <w:shd w:val="clear" w:color="auto" w:fill="auto"/>
            <w:vAlign w:val="center"/>
          </w:tcPr>
          <w:p w14:paraId="600B1A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4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A19E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869E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82D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0C92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339E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7918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C448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CC95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C924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C63D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36581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446" w:type="pct"/>
            <w:vMerge w:val="continue"/>
            <w:tcBorders>
              <w:left w:val="single" w:color="000000" w:sz="4" w:space="0"/>
              <w:right w:val="single" w:color="000000" w:sz="4" w:space="0"/>
            </w:tcBorders>
            <w:shd w:val="clear" w:color="auto" w:fill="auto"/>
            <w:vAlign w:val="center"/>
          </w:tcPr>
          <w:p w14:paraId="66C94D8D">
            <w:pPr>
              <w:jc w:val="center"/>
              <w:rPr>
                <w:rFonts w:hint="eastAsia" w:ascii="宋体" w:hAnsi="宋体" w:eastAsia="宋体" w:cs="宋体"/>
                <w:i w:val="0"/>
                <w:iCs w:val="0"/>
                <w:color w:val="000000"/>
                <w:sz w:val="18"/>
                <w:szCs w:val="18"/>
                <w:u w:val="none"/>
              </w:rPr>
            </w:pPr>
          </w:p>
        </w:tc>
        <w:tc>
          <w:tcPr>
            <w:tcW w:w="468" w:type="pct"/>
            <w:vMerge w:val="restart"/>
            <w:tcBorders>
              <w:top w:val="single" w:color="000000" w:sz="4" w:space="0"/>
              <w:left w:val="single" w:color="000000" w:sz="4" w:space="0"/>
              <w:right w:val="single" w:color="000000" w:sz="4" w:space="0"/>
            </w:tcBorders>
            <w:shd w:val="clear" w:color="auto" w:fill="auto"/>
            <w:vAlign w:val="center"/>
          </w:tcPr>
          <w:p w14:paraId="0FEE2B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33" w:type="pct"/>
            <w:vMerge w:val="restart"/>
            <w:tcBorders>
              <w:top w:val="single" w:color="000000" w:sz="4" w:space="0"/>
              <w:left w:val="single" w:color="000000" w:sz="4" w:space="0"/>
              <w:right w:val="single" w:color="000000" w:sz="4" w:space="0"/>
            </w:tcBorders>
            <w:shd w:val="clear" w:color="auto" w:fill="auto"/>
            <w:vAlign w:val="center"/>
          </w:tcPr>
          <w:p w14:paraId="09FA9B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53FF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车辆维修维护</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19EF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6E70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9EFF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7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F7B50E">
            <w:pPr>
              <w:jc w:val="center"/>
              <w:rPr>
                <w:rFonts w:hint="eastAsia" w:ascii="微软雅黑" w:hAnsi="微软雅黑" w:eastAsia="微软雅黑" w:cs="微软雅黑"/>
                <w:i/>
                <w:iCs/>
                <w:color w:val="000000"/>
                <w:sz w:val="16"/>
                <w:szCs w:val="16"/>
                <w:u w:val="none"/>
              </w:rPr>
            </w:pP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B6CD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A131A3">
            <w:pPr>
              <w:jc w:val="center"/>
              <w:rPr>
                <w:rFonts w:hint="eastAsia" w:ascii="宋体" w:hAnsi="宋体" w:eastAsia="宋体" w:cs="宋体"/>
                <w:i w:val="0"/>
                <w:iCs w:val="0"/>
                <w:color w:val="000000"/>
                <w:sz w:val="18"/>
                <w:szCs w:val="18"/>
                <w:u w:val="none"/>
              </w:rPr>
            </w:pP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1C257C">
            <w:pPr>
              <w:jc w:val="center"/>
              <w:rPr>
                <w:rFonts w:hint="eastAsia" w:ascii="微软雅黑" w:hAnsi="微软雅黑" w:eastAsia="微软雅黑" w:cs="微软雅黑"/>
                <w:i/>
                <w:iCs/>
                <w:color w:val="000000"/>
                <w:sz w:val="16"/>
                <w:szCs w:val="16"/>
                <w:u w:val="none"/>
              </w:rPr>
            </w:pPr>
          </w:p>
        </w:tc>
      </w:tr>
      <w:tr w14:paraId="39B13B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446" w:type="pct"/>
            <w:vMerge w:val="continue"/>
            <w:tcBorders>
              <w:left w:val="single" w:color="000000" w:sz="4" w:space="0"/>
              <w:right w:val="single" w:color="000000" w:sz="4" w:space="0"/>
            </w:tcBorders>
            <w:shd w:val="clear" w:color="auto" w:fill="auto"/>
            <w:vAlign w:val="center"/>
          </w:tcPr>
          <w:p w14:paraId="259D8A74">
            <w:pPr>
              <w:jc w:val="center"/>
              <w:rPr>
                <w:rFonts w:hint="eastAsia" w:ascii="宋体" w:hAnsi="宋体" w:eastAsia="宋体" w:cs="宋体"/>
                <w:i w:val="0"/>
                <w:iCs w:val="0"/>
                <w:color w:val="000000"/>
                <w:sz w:val="18"/>
                <w:szCs w:val="18"/>
                <w:u w:val="none"/>
              </w:rPr>
            </w:pPr>
          </w:p>
        </w:tc>
        <w:tc>
          <w:tcPr>
            <w:tcW w:w="468" w:type="pct"/>
            <w:vMerge w:val="continue"/>
            <w:tcBorders>
              <w:left w:val="single" w:color="000000" w:sz="4" w:space="0"/>
              <w:right w:val="single" w:color="000000" w:sz="4" w:space="0"/>
            </w:tcBorders>
            <w:shd w:val="clear" w:color="auto" w:fill="auto"/>
            <w:vAlign w:val="center"/>
          </w:tcPr>
          <w:p w14:paraId="5EF240D3">
            <w:pPr>
              <w:jc w:val="center"/>
              <w:rPr>
                <w:rFonts w:hint="eastAsia" w:ascii="宋体" w:hAnsi="宋体" w:eastAsia="宋体" w:cs="宋体"/>
                <w:i w:val="0"/>
                <w:iCs w:val="0"/>
                <w:color w:val="000000"/>
                <w:sz w:val="18"/>
                <w:szCs w:val="18"/>
                <w:u w:val="none"/>
              </w:rPr>
            </w:pPr>
          </w:p>
        </w:tc>
        <w:tc>
          <w:tcPr>
            <w:tcW w:w="433" w:type="pct"/>
            <w:vMerge w:val="continue"/>
            <w:tcBorders>
              <w:left w:val="single" w:color="000000" w:sz="4" w:space="0"/>
              <w:right w:val="single" w:color="000000" w:sz="4" w:space="0"/>
            </w:tcBorders>
            <w:shd w:val="clear" w:color="auto" w:fill="auto"/>
            <w:vAlign w:val="center"/>
          </w:tcPr>
          <w:p w14:paraId="20CC9551">
            <w:pPr>
              <w:jc w:val="center"/>
              <w:rPr>
                <w:rFonts w:hint="eastAsia" w:ascii="宋体" w:hAnsi="宋体" w:eastAsia="宋体" w:cs="宋体"/>
                <w:i w:val="0"/>
                <w:iCs w:val="0"/>
                <w:color w:val="000000"/>
                <w:sz w:val="18"/>
                <w:szCs w:val="18"/>
                <w:u w:val="none"/>
              </w:rPr>
            </w:pP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61B5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基层调研</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F278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4879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91C4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人次</w:t>
            </w:r>
          </w:p>
        </w:tc>
        <w:tc>
          <w:tcPr>
            <w:tcW w:w="7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966A32">
            <w:pPr>
              <w:jc w:val="center"/>
              <w:rPr>
                <w:rFonts w:hint="eastAsia" w:ascii="微软雅黑" w:hAnsi="微软雅黑" w:eastAsia="微软雅黑" w:cs="微软雅黑"/>
                <w:i/>
                <w:iCs/>
                <w:color w:val="000000"/>
                <w:sz w:val="16"/>
                <w:szCs w:val="16"/>
                <w:u w:val="none"/>
              </w:rPr>
            </w:pP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E592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8511DF">
            <w:pPr>
              <w:jc w:val="center"/>
              <w:rPr>
                <w:rFonts w:hint="eastAsia" w:ascii="宋体" w:hAnsi="宋体" w:eastAsia="宋体" w:cs="宋体"/>
                <w:i w:val="0"/>
                <w:iCs w:val="0"/>
                <w:color w:val="000000"/>
                <w:sz w:val="18"/>
                <w:szCs w:val="18"/>
                <w:u w:val="none"/>
              </w:rPr>
            </w:pP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3F02FE">
            <w:pPr>
              <w:jc w:val="center"/>
              <w:rPr>
                <w:rFonts w:hint="eastAsia" w:ascii="微软雅黑" w:hAnsi="微软雅黑" w:eastAsia="微软雅黑" w:cs="微软雅黑"/>
                <w:i/>
                <w:iCs/>
                <w:color w:val="000000"/>
                <w:sz w:val="16"/>
                <w:szCs w:val="16"/>
                <w:u w:val="none"/>
              </w:rPr>
            </w:pPr>
          </w:p>
        </w:tc>
      </w:tr>
      <w:tr w14:paraId="0408E6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446" w:type="pct"/>
            <w:vMerge w:val="continue"/>
            <w:tcBorders>
              <w:left w:val="single" w:color="000000" w:sz="4" w:space="0"/>
              <w:right w:val="single" w:color="000000" w:sz="4" w:space="0"/>
            </w:tcBorders>
            <w:shd w:val="clear" w:color="auto" w:fill="auto"/>
            <w:vAlign w:val="center"/>
          </w:tcPr>
          <w:p w14:paraId="2583EE77">
            <w:pPr>
              <w:jc w:val="center"/>
              <w:rPr>
                <w:rFonts w:hint="eastAsia" w:ascii="宋体" w:hAnsi="宋体" w:eastAsia="宋体" w:cs="宋体"/>
                <w:i w:val="0"/>
                <w:iCs w:val="0"/>
                <w:color w:val="000000"/>
                <w:sz w:val="18"/>
                <w:szCs w:val="18"/>
                <w:u w:val="none"/>
              </w:rPr>
            </w:pPr>
          </w:p>
        </w:tc>
        <w:tc>
          <w:tcPr>
            <w:tcW w:w="468" w:type="pct"/>
            <w:vMerge w:val="continue"/>
            <w:tcBorders>
              <w:left w:val="single" w:color="000000" w:sz="4" w:space="0"/>
              <w:right w:val="single" w:color="000000" w:sz="4" w:space="0"/>
            </w:tcBorders>
            <w:shd w:val="clear" w:color="auto" w:fill="auto"/>
            <w:vAlign w:val="center"/>
          </w:tcPr>
          <w:p w14:paraId="4C11BEDE">
            <w:pPr>
              <w:jc w:val="center"/>
              <w:rPr>
                <w:rFonts w:hint="eastAsia" w:ascii="宋体" w:hAnsi="宋体" w:eastAsia="宋体" w:cs="宋体"/>
                <w:i w:val="0"/>
                <w:iCs w:val="0"/>
                <w:color w:val="000000"/>
                <w:sz w:val="18"/>
                <w:szCs w:val="18"/>
                <w:u w:val="none"/>
              </w:rPr>
            </w:pPr>
          </w:p>
        </w:tc>
        <w:tc>
          <w:tcPr>
            <w:tcW w:w="433" w:type="pct"/>
            <w:vMerge w:val="continue"/>
            <w:tcBorders>
              <w:left w:val="single" w:color="000000" w:sz="4" w:space="0"/>
              <w:right w:val="single" w:color="000000" w:sz="4" w:space="0"/>
            </w:tcBorders>
            <w:shd w:val="clear" w:color="auto" w:fill="auto"/>
            <w:vAlign w:val="center"/>
          </w:tcPr>
          <w:p w14:paraId="03FA82AE">
            <w:pPr>
              <w:jc w:val="center"/>
              <w:rPr>
                <w:rFonts w:hint="eastAsia" w:ascii="宋体" w:hAnsi="宋体" w:eastAsia="宋体" w:cs="宋体"/>
                <w:i w:val="0"/>
                <w:iCs w:val="0"/>
                <w:color w:val="000000"/>
                <w:sz w:val="18"/>
                <w:szCs w:val="18"/>
                <w:u w:val="none"/>
              </w:rPr>
            </w:pP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F549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现场办公人数</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FDEE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9226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1046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人次</w:t>
            </w:r>
          </w:p>
        </w:tc>
        <w:tc>
          <w:tcPr>
            <w:tcW w:w="7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7EC9AE">
            <w:pPr>
              <w:jc w:val="center"/>
              <w:rPr>
                <w:rFonts w:hint="eastAsia" w:ascii="微软雅黑" w:hAnsi="微软雅黑" w:eastAsia="微软雅黑" w:cs="微软雅黑"/>
                <w:i/>
                <w:iCs/>
                <w:color w:val="000000"/>
                <w:sz w:val="16"/>
                <w:szCs w:val="16"/>
                <w:u w:val="none"/>
              </w:rPr>
            </w:pP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6D5F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1BE5AB">
            <w:pPr>
              <w:jc w:val="center"/>
              <w:rPr>
                <w:rFonts w:hint="eastAsia" w:ascii="宋体" w:hAnsi="宋体" w:eastAsia="宋体" w:cs="宋体"/>
                <w:i w:val="0"/>
                <w:iCs w:val="0"/>
                <w:color w:val="000000"/>
                <w:sz w:val="18"/>
                <w:szCs w:val="18"/>
                <w:u w:val="none"/>
              </w:rPr>
            </w:pP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C839DC">
            <w:pPr>
              <w:jc w:val="center"/>
              <w:rPr>
                <w:rFonts w:hint="eastAsia" w:ascii="微软雅黑" w:hAnsi="微软雅黑" w:eastAsia="微软雅黑" w:cs="微软雅黑"/>
                <w:i/>
                <w:iCs/>
                <w:color w:val="000000"/>
                <w:sz w:val="16"/>
                <w:szCs w:val="16"/>
                <w:u w:val="none"/>
              </w:rPr>
            </w:pPr>
          </w:p>
        </w:tc>
      </w:tr>
      <w:tr w14:paraId="3DDC54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446" w:type="pct"/>
            <w:vMerge w:val="continue"/>
            <w:tcBorders>
              <w:left w:val="single" w:color="000000" w:sz="4" w:space="0"/>
              <w:right w:val="single" w:color="000000" w:sz="4" w:space="0"/>
            </w:tcBorders>
            <w:shd w:val="clear" w:color="auto" w:fill="auto"/>
            <w:vAlign w:val="center"/>
          </w:tcPr>
          <w:p w14:paraId="7492D755">
            <w:pPr>
              <w:jc w:val="center"/>
              <w:rPr>
                <w:rFonts w:hint="eastAsia" w:ascii="宋体" w:hAnsi="宋体" w:eastAsia="宋体" w:cs="宋体"/>
                <w:i w:val="0"/>
                <w:iCs w:val="0"/>
                <w:color w:val="000000"/>
                <w:sz w:val="18"/>
                <w:szCs w:val="18"/>
                <w:u w:val="none"/>
              </w:rPr>
            </w:pPr>
          </w:p>
        </w:tc>
        <w:tc>
          <w:tcPr>
            <w:tcW w:w="468" w:type="pct"/>
            <w:vMerge w:val="continue"/>
            <w:tcBorders>
              <w:left w:val="single" w:color="000000" w:sz="4" w:space="0"/>
              <w:right w:val="single" w:color="000000" w:sz="4" w:space="0"/>
            </w:tcBorders>
            <w:shd w:val="clear" w:color="auto" w:fill="auto"/>
            <w:vAlign w:val="center"/>
          </w:tcPr>
          <w:p w14:paraId="75701457">
            <w:pPr>
              <w:jc w:val="center"/>
              <w:rPr>
                <w:rFonts w:hint="eastAsia" w:ascii="宋体" w:hAnsi="宋体" w:eastAsia="宋体" w:cs="宋体"/>
                <w:i w:val="0"/>
                <w:iCs w:val="0"/>
                <w:color w:val="000000"/>
                <w:sz w:val="18"/>
                <w:szCs w:val="18"/>
                <w:u w:val="none"/>
              </w:rPr>
            </w:pPr>
          </w:p>
        </w:tc>
        <w:tc>
          <w:tcPr>
            <w:tcW w:w="433" w:type="pct"/>
            <w:vMerge w:val="continue"/>
            <w:tcBorders>
              <w:left w:val="single" w:color="000000" w:sz="4" w:space="0"/>
              <w:right w:val="single" w:color="000000" w:sz="4" w:space="0"/>
            </w:tcBorders>
            <w:shd w:val="clear" w:color="auto" w:fill="auto"/>
            <w:vAlign w:val="center"/>
          </w:tcPr>
          <w:p w14:paraId="2334C5F9">
            <w:pPr>
              <w:jc w:val="center"/>
              <w:rPr>
                <w:rFonts w:hint="eastAsia" w:ascii="宋体" w:hAnsi="宋体" w:eastAsia="宋体" w:cs="宋体"/>
                <w:i w:val="0"/>
                <w:iCs w:val="0"/>
                <w:color w:val="000000"/>
                <w:sz w:val="18"/>
                <w:szCs w:val="18"/>
                <w:u w:val="none"/>
              </w:rPr>
            </w:pP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C423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参加会议</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488E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53F8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B008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人次</w:t>
            </w:r>
          </w:p>
        </w:tc>
        <w:tc>
          <w:tcPr>
            <w:tcW w:w="7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06D5B9">
            <w:pPr>
              <w:jc w:val="center"/>
              <w:rPr>
                <w:rFonts w:hint="eastAsia" w:ascii="微软雅黑" w:hAnsi="微软雅黑" w:eastAsia="微软雅黑" w:cs="微软雅黑"/>
                <w:i/>
                <w:iCs/>
                <w:color w:val="000000"/>
                <w:sz w:val="16"/>
                <w:szCs w:val="16"/>
                <w:u w:val="none"/>
              </w:rPr>
            </w:pP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23D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FF16A1">
            <w:pPr>
              <w:jc w:val="center"/>
              <w:rPr>
                <w:rFonts w:hint="eastAsia" w:ascii="宋体" w:hAnsi="宋体" w:eastAsia="宋体" w:cs="宋体"/>
                <w:i w:val="0"/>
                <w:iCs w:val="0"/>
                <w:color w:val="000000"/>
                <w:sz w:val="18"/>
                <w:szCs w:val="18"/>
                <w:u w:val="none"/>
              </w:rPr>
            </w:pP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0C2F9F">
            <w:pPr>
              <w:jc w:val="center"/>
              <w:rPr>
                <w:rFonts w:hint="eastAsia" w:ascii="微软雅黑" w:hAnsi="微软雅黑" w:eastAsia="微软雅黑" w:cs="微软雅黑"/>
                <w:i/>
                <w:iCs/>
                <w:color w:val="000000"/>
                <w:sz w:val="16"/>
                <w:szCs w:val="16"/>
                <w:u w:val="none"/>
              </w:rPr>
            </w:pPr>
          </w:p>
        </w:tc>
      </w:tr>
      <w:tr w14:paraId="704DA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446" w:type="pct"/>
            <w:vMerge w:val="continue"/>
            <w:tcBorders>
              <w:left w:val="single" w:color="000000" w:sz="4" w:space="0"/>
              <w:right w:val="single" w:color="000000" w:sz="4" w:space="0"/>
            </w:tcBorders>
            <w:shd w:val="clear" w:color="auto" w:fill="auto"/>
            <w:vAlign w:val="center"/>
          </w:tcPr>
          <w:p w14:paraId="75FB5CB8">
            <w:pPr>
              <w:jc w:val="center"/>
              <w:rPr>
                <w:rFonts w:hint="eastAsia" w:ascii="宋体" w:hAnsi="宋体" w:eastAsia="宋体" w:cs="宋体"/>
                <w:i w:val="0"/>
                <w:iCs w:val="0"/>
                <w:color w:val="000000"/>
                <w:sz w:val="18"/>
                <w:szCs w:val="18"/>
                <w:u w:val="none"/>
              </w:rPr>
            </w:pPr>
          </w:p>
        </w:tc>
        <w:tc>
          <w:tcPr>
            <w:tcW w:w="468" w:type="pct"/>
            <w:vMerge w:val="continue"/>
            <w:tcBorders>
              <w:left w:val="single" w:color="000000" w:sz="4" w:space="0"/>
              <w:right w:val="single" w:color="000000" w:sz="4" w:space="0"/>
            </w:tcBorders>
            <w:shd w:val="clear" w:color="auto" w:fill="auto"/>
            <w:vAlign w:val="center"/>
          </w:tcPr>
          <w:p w14:paraId="588F22AC">
            <w:pPr>
              <w:jc w:val="center"/>
              <w:rPr>
                <w:rFonts w:hint="eastAsia" w:ascii="宋体" w:hAnsi="宋体" w:eastAsia="宋体" w:cs="宋体"/>
                <w:i w:val="0"/>
                <w:iCs w:val="0"/>
                <w:color w:val="000000"/>
                <w:sz w:val="18"/>
                <w:szCs w:val="18"/>
                <w:u w:val="none"/>
              </w:rPr>
            </w:pP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F7EF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58A9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车辆维修验收合格率</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83FB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3C74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C0C9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9A2485">
            <w:pPr>
              <w:jc w:val="center"/>
              <w:rPr>
                <w:rFonts w:hint="eastAsia" w:ascii="微软雅黑" w:hAnsi="微软雅黑" w:eastAsia="微软雅黑" w:cs="微软雅黑"/>
                <w:i/>
                <w:iCs/>
                <w:color w:val="000000"/>
                <w:sz w:val="16"/>
                <w:szCs w:val="16"/>
                <w:u w:val="none"/>
              </w:rPr>
            </w:pP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EBE2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A4C531">
            <w:pPr>
              <w:jc w:val="center"/>
              <w:rPr>
                <w:rFonts w:hint="eastAsia" w:ascii="宋体" w:hAnsi="宋体" w:eastAsia="宋体" w:cs="宋体"/>
                <w:i w:val="0"/>
                <w:iCs w:val="0"/>
                <w:color w:val="000000"/>
                <w:sz w:val="18"/>
                <w:szCs w:val="18"/>
                <w:u w:val="none"/>
              </w:rPr>
            </w:pP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D079EE">
            <w:pPr>
              <w:jc w:val="center"/>
              <w:rPr>
                <w:rFonts w:hint="eastAsia" w:ascii="微软雅黑" w:hAnsi="微软雅黑" w:eastAsia="微软雅黑" w:cs="微软雅黑"/>
                <w:i/>
                <w:iCs/>
                <w:color w:val="000000"/>
                <w:sz w:val="16"/>
                <w:szCs w:val="16"/>
                <w:u w:val="none"/>
              </w:rPr>
            </w:pPr>
          </w:p>
        </w:tc>
      </w:tr>
      <w:tr w14:paraId="27AF52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446" w:type="pct"/>
            <w:vMerge w:val="continue"/>
            <w:tcBorders>
              <w:left w:val="single" w:color="000000" w:sz="4" w:space="0"/>
              <w:right w:val="single" w:color="000000" w:sz="4" w:space="0"/>
            </w:tcBorders>
            <w:shd w:val="clear" w:color="auto" w:fill="auto"/>
            <w:vAlign w:val="center"/>
          </w:tcPr>
          <w:p w14:paraId="3AF795C6">
            <w:pPr>
              <w:jc w:val="center"/>
              <w:rPr>
                <w:rFonts w:hint="eastAsia" w:ascii="宋体" w:hAnsi="宋体" w:eastAsia="宋体" w:cs="宋体"/>
                <w:i w:val="0"/>
                <w:iCs w:val="0"/>
                <w:color w:val="000000"/>
                <w:sz w:val="18"/>
                <w:szCs w:val="18"/>
                <w:u w:val="none"/>
              </w:rPr>
            </w:pPr>
          </w:p>
        </w:tc>
        <w:tc>
          <w:tcPr>
            <w:tcW w:w="4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77B2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68EC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FB81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文件周转实效（每份）</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01B1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0A81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3425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小时</w:t>
            </w:r>
          </w:p>
        </w:tc>
        <w:tc>
          <w:tcPr>
            <w:tcW w:w="7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5C9267">
            <w:pPr>
              <w:jc w:val="center"/>
              <w:rPr>
                <w:rFonts w:hint="eastAsia" w:ascii="微软雅黑" w:hAnsi="微软雅黑" w:eastAsia="微软雅黑" w:cs="微软雅黑"/>
                <w:i/>
                <w:iCs/>
                <w:color w:val="000000"/>
                <w:sz w:val="16"/>
                <w:szCs w:val="16"/>
                <w:u w:val="none"/>
              </w:rPr>
            </w:pP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8B18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D14E48">
            <w:pPr>
              <w:jc w:val="center"/>
              <w:rPr>
                <w:rFonts w:hint="eastAsia" w:ascii="宋体" w:hAnsi="宋体" w:eastAsia="宋体" w:cs="宋体"/>
                <w:i w:val="0"/>
                <w:iCs w:val="0"/>
                <w:color w:val="000000"/>
                <w:sz w:val="18"/>
                <w:szCs w:val="18"/>
                <w:u w:val="none"/>
              </w:rPr>
            </w:pP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E2022B">
            <w:pPr>
              <w:jc w:val="center"/>
              <w:rPr>
                <w:rFonts w:hint="eastAsia" w:ascii="微软雅黑" w:hAnsi="微软雅黑" w:eastAsia="微软雅黑" w:cs="微软雅黑"/>
                <w:i/>
                <w:iCs/>
                <w:color w:val="000000"/>
                <w:sz w:val="16"/>
                <w:szCs w:val="16"/>
                <w:u w:val="none"/>
              </w:rPr>
            </w:pPr>
          </w:p>
        </w:tc>
      </w:tr>
      <w:tr w14:paraId="5039DE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446" w:type="pct"/>
            <w:vMerge w:val="continue"/>
            <w:tcBorders>
              <w:left w:val="single" w:color="000000" w:sz="4" w:space="0"/>
              <w:right w:val="single" w:color="000000" w:sz="4" w:space="0"/>
            </w:tcBorders>
            <w:shd w:val="clear" w:color="auto" w:fill="auto"/>
            <w:vAlign w:val="center"/>
          </w:tcPr>
          <w:p w14:paraId="7CE08310">
            <w:pPr>
              <w:jc w:val="center"/>
              <w:rPr>
                <w:rFonts w:hint="eastAsia" w:ascii="宋体" w:hAnsi="宋体" w:eastAsia="宋体" w:cs="宋体"/>
                <w:i w:val="0"/>
                <w:iCs w:val="0"/>
                <w:color w:val="000000"/>
                <w:sz w:val="18"/>
                <w:szCs w:val="18"/>
                <w:u w:val="none"/>
              </w:rPr>
            </w:pPr>
          </w:p>
        </w:tc>
        <w:tc>
          <w:tcPr>
            <w:tcW w:w="4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5203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A947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F56C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投入运行资金</w:t>
            </w:r>
          </w:p>
        </w:tc>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5E2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3531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1650000</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7E9E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7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97BDEC">
            <w:pPr>
              <w:jc w:val="center"/>
              <w:rPr>
                <w:rFonts w:hint="eastAsia" w:ascii="微软雅黑" w:hAnsi="微软雅黑" w:eastAsia="微软雅黑" w:cs="微软雅黑"/>
                <w:i/>
                <w:iCs/>
                <w:color w:val="000000"/>
                <w:sz w:val="16"/>
                <w:szCs w:val="16"/>
                <w:u w:val="none"/>
              </w:rPr>
            </w:pP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702A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6095CA">
            <w:pPr>
              <w:jc w:val="center"/>
              <w:rPr>
                <w:rFonts w:hint="eastAsia" w:ascii="宋体" w:hAnsi="宋体" w:eastAsia="宋体" w:cs="宋体"/>
                <w:i w:val="0"/>
                <w:iCs w:val="0"/>
                <w:color w:val="000000"/>
                <w:sz w:val="18"/>
                <w:szCs w:val="18"/>
                <w:u w:val="none"/>
              </w:rPr>
            </w:pP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553AA7">
            <w:pPr>
              <w:jc w:val="center"/>
              <w:rPr>
                <w:rFonts w:hint="eastAsia" w:ascii="微软雅黑" w:hAnsi="微软雅黑" w:eastAsia="微软雅黑" w:cs="微软雅黑"/>
                <w:i/>
                <w:iCs/>
                <w:color w:val="000000"/>
                <w:sz w:val="16"/>
                <w:szCs w:val="16"/>
                <w:u w:val="none"/>
              </w:rPr>
            </w:pPr>
          </w:p>
        </w:tc>
      </w:tr>
      <w:tr w14:paraId="257AE1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95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E38BD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34E7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D45144">
            <w:pPr>
              <w:rPr>
                <w:rFonts w:hint="eastAsia" w:ascii="宋体" w:hAnsi="宋体" w:eastAsia="宋体" w:cs="宋体"/>
                <w:i w:val="0"/>
                <w:iCs w:val="0"/>
                <w:color w:val="000000"/>
                <w:sz w:val="18"/>
                <w:szCs w:val="18"/>
                <w:u w:val="none"/>
              </w:rPr>
            </w:pP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92265A">
            <w:pPr>
              <w:rPr>
                <w:rFonts w:hint="eastAsia" w:ascii="宋体" w:hAnsi="宋体" w:eastAsia="宋体" w:cs="宋体"/>
                <w:i w:val="0"/>
                <w:iCs w:val="0"/>
                <w:color w:val="000000"/>
                <w:sz w:val="18"/>
                <w:szCs w:val="18"/>
                <w:u w:val="none"/>
              </w:rPr>
            </w:pPr>
          </w:p>
        </w:tc>
      </w:tr>
      <w:tr w14:paraId="4F8B99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4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8D86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553"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8E8502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本项目资金管理及财务信息符合相关规定，项目实施过程管理有效，通过该项目的实施取得了相应的社会效益及其他相关效益，使资金发挥了应有作用，通过有限的财政资金取得了重大成效，对社会的稳定和发展起到了推动作用。绩效评价综合得分为95分。</w:t>
            </w:r>
          </w:p>
        </w:tc>
      </w:tr>
      <w:tr w14:paraId="05DE20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4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31A8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553"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6EF0A9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0583D7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4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1EB3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553"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EED117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2499C7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37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F13508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项目负责人：泽永吉</w:t>
            </w:r>
          </w:p>
        </w:tc>
        <w:tc>
          <w:tcPr>
            <w:tcW w:w="2625"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940D97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财务负责人：杨国涛</w:t>
            </w:r>
          </w:p>
        </w:tc>
      </w:tr>
      <w:tr w14:paraId="5C1EC6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46" w:type="pct"/>
            <w:tcBorders>
              <w:top w:val="nil"/>
              <w:left w:val="nil"/>
              <w:bottom w:val="nil"/>
              <w:right w:val="nil"/>
            </w:tcBorders>
            <w:shd w:val="clear" w:color="auto" w:fill="auto"/>
            <w:vAlign w:val="center"/>
          </w:tcPr>
          <w:p w14:paraId="5FEC7C66">
            <w:pPr>
              <w:rPr>
                <w:rFonts w:hint="eastAsia" w:ascii="宋体" w:hAnsi="宋体" w:eastAsia="宋体" w:cs="宋体"/>
                <w:i w:val="0"/>
                <w:iCs w:val="0"/>
                <w:color w:val="000000"/>
                <w:sz w:val="18"/>
                <w:szCs w:val="18"/>
                <w:u w:val="none"/>
              </w:rPr>
            </w:pPr>
          </w:p>
        </w:tc>
        <w:tc>
          <w:tcPr>
            <w:tcW w:w="468" w:type="pct"/>
            <w:tcBorders>
              <w:top w:val="nil"/>
              <w:left w:val="nil"/>
              <w:bottom w:val="nil"/>
              <w:right w:val="nil"/>
            </w:tcBorders>
            <w:shd w:val="clear" w:color="auto" w:fill="auto"/>
            <w:vAlign w:val="center"/>
          </w:tcPr>
          <w:p w14:paraId="3822E997">
            <w:pPr>
              <w:rPr>
                <w:rFonts w:hint="eastAsia" w:ascii="宋体" w:hAnsi="宋体" w:eastAsia="宋体" w:cs="宋体"/>
                <w:i w:val="0"/>
                <w:iCs w:val="0"/>
                <w:color w:val="000000"/>
                <w:sz w:val="18"/>
                <w:szCs w:val="18"/>
                <w:u w:val="none"/>
              </w:rPr>
            </w:pPr>
          </w:p>
        </w:tc>
        <w:tc>
          <w:tcPr>
            <w:tcW w:w="433" w:type="pct"/>
            <w:tcBorders>
              <w:top w:val="nil"/>
              <w:left w:val="nil"/>
              <w:bottom w:val="nil"/>
              <w:right w:val="nil"/>
            </w:tcBorders>
            <w:shd w:val="clear" w:color="auto" w:fill="auto"/>
            <w:vAlign w:val="center"/>
          </w:tcPr>
          <w:p w14:paraId="3D76249D">
            <w:pPr>
              <w:rPr>
                <w:rFonts w:hint="eastAsia" w:ascii="宋体" w:hAnsi="宋体" w:eastAsia="宋体" w:cs="宋体"/>
                <w:i w:val="0"/>
                <w:iCs w:val="0"/>
                <w:color w:val="000000"/>
                <w:sz w:val="18"/>
                <w:szCs w:val="18"/>
                <w:u w:val="none"/>
              </w:rPr>
            </w:pPr>
          </w:p>
        </w:tc>
        <w:tc>
          <w:tcPr>
            <w:tcW w:w="751" w:type="pct"/>
            <w:tcBorders>
              <w:top w:val="nil"/>
              <w:left w:val="nil"/>
              <w:bottom w:val="nil"/>
              <w:right w:val="nil"/>
            </w:tcBorders>
            <w:shd w:val="clear" w:color="auto" w:fill="auto"/>
            <w:vAlign w:val="center"/>
          </w:tcPr>
          <w:p w14:paraId="18B24AEF">
            <w:pPr>
              <w:rPr>
                <w:rFonts w:hint="eastAsia" w:ascii="宋体" w:hAnsi="宋体" w:eastAsia="宋体" w:cs="宋体"/>
                <w:i w:val="0"/>
                <w:iCs w:val="0"/>
                <w:color w:val="000000"/>
                <w:sz w:val="18"/>
                <w:szCs w:val="18"/>
                <w:u w:val="none"/>
              </w:rPr>
            </w:pPr>
          </w:p>
        </w:tc>
        <w:tc>
          <w:tcPr>
            <w:tcW w:w="275" w:type="pct"/>
            <w:tcBorders>
              <w:top w:val="nil"/>
              <w:left w:val="nil"/>
              <w:bottom w:val="nil"/>
              <w:right w:val="nil"/>
            </w:tcBorders>
            <w:shd w:val="clear" w:color="auto" w:fill="auto"/>
            <w:vAlign w:val="center"/>
          </w:tcPr>
          <w:p w14:paraId="7D245BB6">
            <w:pPr>
              <w:rPr>
                <w:rFonts w:hint="eastAsia" w:ascii="宋体" w:hAnsi="宋体" w:eastAsia="宋体" w:cs="宋体"/>
                <w:i w:val="0"/>
                <w:iCs w:val="0"/>
                <w:color w:val="000000"/>
                <w:sz w:val="18"/>
                <w:szCs w:val="18"/>
                <w:u w:val="none"/>
              </w:rPr>
            </w:pPr>
          </w:p>
        </w:tc>
        <w:tc>
          <w:tcPr>
            <w:tcW w:w="501" w:type="pct"/>
            <w:tcBorders>
              <w:top w:val="nil"/>
              <w:left w:val="nil"/>
              <w:bottom w:val="nil"/>
              <w:right w:val="nil"/>
            </w:tcBorders>
            <w:shd w:val="clear" w:color="auto" w:fill="auto"/>
            <w:vAlign w:val="center"/>
          </w:tcPr>
          <w:p w14:paraId="43E5E59E">
            <w:pPr>
              <w:rPr>
                <w:rFonts w:hint="eastAsia" w:ascii="宋体" w:hAnsi="宋体" w:eastAsia="宋体" w:cs="宋体"/>
                <w:i w:val="0"/>
                <w:iCs w:val="0"/>
                <w:color w:val="000000"/>
                <w:sz w:val="18"/>
                <w:szCs w:val="18"/>
                <w:u w:val="none"/>
              </w:rPr>
            </w:pPr>
          </w:p>
        </w:tc>
        <w:tc>
          <w:tcPr>
            <w:tcW w:w="372" w:type="pct"/>
            <w:tcBorders>
              <w:top w:val="nil"/>
              <w:left w:val="nil"/>
              <w:bottom w:val="nil"/>
              <w:right w:val="nil"/>
            </w:tcBorders>
            <w:shd w:val="clear" w:color="auto" w:fill="auto"/>
            <w:vAlign w:val="center"/>
          </w:tcPr>
          <w:p w14:paraId="3A142C53">
            <w:pPr>
              <w:rPr>
                <w:rFonts w:hint="eastAsia" w:ascii="宋体" w:hAnsi="宋体" w:eastAsia="宋体" w:cs="宋体"/>
                <w:i w:val="0"/>
                <w:iCs w:val="0"/>
                <w:color w:val="000000"/>
                <w:sz w:val="18"/>
                <w:szCs w:val="18"/>
                <w:u w:val="none"/>
              </w:rPr>
            </w:pPr>
          </w:p>
        </w:tc>
        <w:tc>
          <w:tcPr>
            <w:tcW w:w="701" w:type="pct"/>
            <w:tcBorders>
              <w:top w:val="nil"/>
              <w:left w:val="nil"/>
              <w:bottom w:val="nil"/>
              <w:right w:val="nil"/>
            </w:tcBorders>
            <w:shd w:val="clear" w:color="auto" w:fill="auto"/>
            <w:vAlign w:val="center"/>
          </w:tcPr>
          <w:p w14:paraId="368A2F73">
            <w:pPr>
              <w:rPr>
                <w:rFonts w:hint="eastAsia" w:ascii="宋体" w:hAnsi="宋体" w:eastAsia="宋体" w:cs="宋体"/>
                <w:i w:val="0"/>
                <w:iCs w:val="0"/>
                <w:color w:val="000000"/>
                <w:sz w:val="18"/>
                <w:szCs w:val="18"/>
                <w:u w:val="none"/>
              </w:rPr>
            </w:pPr>
          </w:p>
        </w:tc>
        <w:tc>
          <w:tcPr>
            <w:tcW w:w="338" w:type="pct"/>
            <w:tcBorders>
              <w:top w:val="nil"/>
              <w:left w:val="nil"/>
              <w:bottom w:val="nil"/>
              <w:right w:val="nil"/>
            </w:tcBorders>
            <w:shd w:val="clear" w:color="auto" w:fill="auto"/>
            <w:vAlign w:val="center"/>
          </w:tcPr>
          <w:p w14:paraId="61D1E136">
            <w:pPr>
              <w:rPr>
                <w:rFonts w:hint="eastAsia" w:ascii="宋体" w:hAnsi="宋体" w:eastAsia="宋体" w:cs="宋体"/>
                <w:i w:val="0"/>
                <w:iCs w:val="0"/>
                <w:color w:val="000000"/>
                <w:sz w:val="18"/>
                <w:szCs w:val="18"/>
                <w:u w:val="none"/>
              </w:rPr>
            </w:pPr>
          </w:p>
        </w:tc>
        <w:tc>
          <w:tcPr>
            <w:tcW w:w="291" w:type="pct"/>
            <w:tcBorders>
              <w:top w:val="nil"/>
              <w:left w:val="nil"/>
              <w:bottom w:val="nil"/>
              <w:right w:val="nil"/>
            </w:tcBorders>
            <w:shd w:val="clear" w:color="auto" w:fill="auto"/>
            <w:vAlign w:val="center"/>
          </w:tcPr>
          <w:p w14:paraId="147C072C">
            <w:pPr>
              <w:rPr>
                <w:rFonts w:hint="eastAsia" w:ascii="宋体" w:hAnsi="宋体" w:eastAsia="宋体" w:cs="宋体"/>
                <w:i w:val="0"/>
                <w:iCs w:val="0"/>
                <w:color w:val="000000"/>
                <w:sz w:val="18"/>
                <w:szCs w:val="18"/>
                <w:u w:val="none"/>
              </w:rPr>
            </w:pPr>
          </w:p>
        </w:tc>
        <w:tc>
          <w:tcPr>
            <w:tcW w:w="420" w:type="pct"/>
            <w:tcBorders>
              <w:top w:val="nil"/>
              <w:left w:val="nil"/>
              <w:bottom w:val="nil"/>
              <w:right w:val="nil"/>
            </w:tcBorders>
            <w:shd w:val="clear" w:color="auto" w:fill="auto"/>
            <w:vAlign w:val="center"/>
          </w:tcPr>
          <w:p w14:paraId="34E5CC91">
            <w:pPr>
              <w:rPr>
                <w:rFonts w:hint="eastAsia" w:ascii="宋体" w:hAnsi="宋体" w:eastAsia="宋体" w:cs="宋体"/>
                <w:i w:val="0"/>
                <w:iCs w:val="0"/>
                <w:color w:val="000000"/>
                <w:sz w:val="18"/>
                <w:szCs w:val="18"/>
                <w:u w:val="none"/>
              </w:rPr>
            </w:pPr>
          </w:p>
        </w:tc>
      </w:tr>
    </w:tbl>
    <w:p w14:paraId="63688EF5">
      <w:pPr>
        <w:widowControl/>
        <w:jc w:val="center"/>
        <w:rPr>
          <w:rFonts w:hint="eastAsia" w:ascii="Times New Roman" w:hAnsi="Times New Roman" w:eastAsia="黑体"/>
          <w:color w:val="auto"/>
          <w:sz w:val="44"/>
          <w:szCs w:val="44"/>
          <w:highlight w:val="none"/>
        </w:rPr>
      </w:pPr>
    </w:p>
    <w:p w14:paraId="6FA6024D">
      <w:pPr>
        <w:pStyle w:val="5"/>
        <w:rPr>
          <w:rFonts w:hint="eastAsia"/>
        </w:rPr>
      </w:pPr>
    </w:p>
    <w:p w14:paraId="7E2FA6A5">
      <w:pPr>
        <w:widowControl/>
        <w:jc w:val="center"/>
        <w:rPr>
          <w:rFonts w:hint="eastAsia" w:ascii="Times New Roman" w:hAnsi="Times New Roman" w:eastAsia="黑体"/>
          <w:color w:val="auto"/>
          <w:sz w:val="44"/>
          <w:szCs w:val="44"/>
          <w:highlight w:val="none"/>
        </w:rPr>
      </w:pPr>
    </w:p>
    <w:p w14:paraId="758520EA">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93" w:name="_Toc5608"/>
      <w:r>
        <w:rPr>
          <w:rFonts w:hint="eastAsia" w:ascii="Times New Roman" w:hAnsi="Times New Roman" w:eastAsia="黑体"/>
          <w:color w:val="auto"/>
          <w:sz w:val="44"/>
          <w:szCs w:val="44"/>
          <w:highlight w:val="none"/>
        </w:rPr>
        <w:t>第五部分 附表</w:t>
      </w:r>
      <w:bookmarkEnd w:id="89"/>
      <w:bookmarkEnd w:id="92"/>
      <w:bookmarkEnd w:id="93"/>
      <w:bookmarkStart w:id="94" w:name="_Toc15396619"/>
    </w:p>
    <w:p w14:paraId="71C52DC5">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5042E4D9">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94"/>
    </w:p>
    <w:p w14:paraId="2586277F">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5" w:name="_Toc15396620"/>
      <w:r>
        <w:rPr>
          <w:rFonts w:hint="eastAsia" w:ascii="Times New Roman" w:hAnsi="Times New Roman" w:eastAsia="仿宋_GB2312" w:cs="仿宋_GB2312"/>
          <w:color w:val="auto"/>
          <w:sz w:val="32"/>
          <w:szCs w:val="32"/>
          <w:highlight w:val="none"/>
        </w:rPr>
        <w:t>二、收入决算表</w:t>
      </w:r>
      <w:bookmarkEnd w:id="95"/>
    </w:p>
    <w:p w14:paraId="2E32B223">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6" w:name="_Toc15396621"/>
      <w:r>
        <w:rPr>
          <w:rFonts w:hint="eastAsia" w:ascii="Times New Roman" w:hAnsi="Times New Roman" w:eastAsia="仿宋_GB2312" w:cs="仿宋_GB2312"/>
          <w:color w:val="auto"/>
          <w:sz w:val="32"/>
          <w:szCs w:val="32"/>
          <w:highlight w:val="none"/>
        </w:rPr>
        <w:t>三、支出决算表</w:t>
      </w:r>
      <w:bookmarkEnd w:id="96"/>
    </w:p>
    <w:p w14:paraId="1CAEDED5">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7" w:name="_Toc15396622"/>
      <w:r>
        <w:rPr>
          <w:rFonts w:hint="eastAsia" w:ascii="Times New Roman" w:hAnsi="Times New Roman" w:eastAsia="仿宋_GB2312" w:cs="仿宋_GB2312"/>
          <w:color w:val="auto"/>
          <w:sz w:val="32"/>
          <w:szCs w:val="32"/>
          <w:highlight w:val="none"/>
        </w:rPr>
        <w:t>四、财政拨款收入支出决算总表</w:t>
      </w:r>
      <w:bookmarkEnd w:id="97"/>
    </w:p>
    <w:p w14:paraId="22B0BDDB">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8" w:name="_Toc15396623"/>
      <w:r>
        <w:rPr>
          <w:rFonts w:hint="eastAsia" w:ascii="Times New Roman" w:hAnsi="Times New Roman" w:eastAsia="仿宋_GB2312" w:cs="仿宋_GB2312"/>
          <w:color w:val="auto"/>
          <w:sz w:val="32"/>
          <w:szCs w:val="32"/>
          <w:highlight w:val="none"/>
        </w:rPr>
        <w:t>五、财政拨款支出决算明细表</w:t>
      </w:r>
      <w:bookmarkEnd w:id="98"/>
      <w:bookmarkStart w:id="99" w:name="_Toc15396624"/>
    </w:p>
    <w:p w14:paraId="5D76FCDD">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99"/>
    </w:p>
    <w:p w14:paraId="213114AA">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00" w:name="_Toc15396625"/>
      <w:r>
        <w:rPr>
          <w:rFonts w:hint="eastAsia" w:ascii="Times New Roman" w:hAnsi="Times New Roman" w:eastAsia="仿宋_GB2312" w:cs="仿宋_GB2312"/>
          <w:color w:val="auto"/>
          <w:sz w:val="32"/>
          <w:szCs w:val="32"/>
          <w:highlight w:val="none"/>
        </w:rPr>
        <w:t>七、一般公共预算财政拨款支出决算明细表</w:t>
      </w:r>
      <w:bookmarkEnd w:id="100"/>
    </w:p>
    <w:p w14:paraId="63740B4A">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01" w:name="_Toc15396626"/>
      <w:r>
        <w:rPr>
          <w:rFonts w:hint="eastAsia" w:ascii="Times New Roman" w:hAnsi="Times New Roman" w:eastAsia="仿宋_GB2312" w:cs="仿宋_GB2312"/>
          <w:color w:val="auto"/>
          <w:sz w:val="32"/>
          <w:szCs w:val="32"/>
          <w:highlight w:val="none"/>
        </w:rPr>
        <w:t>八、一般公共预算财政拨款基本支出决算表</w:t>
      </w:r>
      <w:bookmarkEnd w:id="101"/>
    </w:p>
    <w:p w14:paraId="18CB8D22">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02" w:name="_Toc15396627"/>
      <w:r>
        <w:rPr>
          <w:rFonts w:hint="eastAsia" w:ascii="Times New Roman" w:hAnsi="Times New Roman" w:eastAsia="仿宋_GB2312" w:cs="仿宋_GB2312"/>
          <w:color w:val="auto"/>
          <w:sz w:val="32"/>
          <w:szCs w:val="32"/>
          <w:highlight w:val="none"/>
        </w:rPr>
        <w:t>九、一般公共预算财政拨款项目支出决算表</w:t>
      </w:r>
      <w:bookmarkEnd w:id="102"/>
    </w:p>
    <w:p w14:paraId="2AE07752">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03" w:name="_Toc15396628"/>
      <w:r>
        <w:rPr>
          <w:rFonts w:hint="eastAsia" w:ascii="Times New Roman" w:hAnsi="Times New Roman" w:eastAsia="仿宋_GB2312" w:cs="仿宋_GB2312"/>
          <w:color w:val="auto"/>
          <w:sz w:val="32"/>
          <w:szCs w:val="32"/>
          <w:highlight w:val="none"/>
        </w:rPr>
        <w:t>十、</w:t>
      </w:r>
      <w:bookmarkEnd w:id="103"/>
      <w:r>
        <w:rPr>
          <w:rFonts w:hint="eastAsia" w:ascii="Times New Roman" w:hAnsi="Times New Roman" w:eastAsia="仿宋_GB2312" w:cs="仿宋_GB2312"/>
          <w:color w:val="auto"/>
          <w:sz w:val="32"/>
          <w:szCs w:val="32"/>
          <w:highlight w:val="none"/>
        </w:rPr>
        <w:t>政府性基金预算财政拨款收入支出决算表</w:t>
      </w:r>
    </w:p>
    <w:p w14:paraId="20DC86E3">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04" w:name="_Toc15396629"/>
      <w:r>
        <w:rPr>
          <w:rFonts w:hint="eastAsia" w:ascii="Times New Roman" w:hAnsi="Times New Roman" w:eastAsia="仿宋_GB2312" w:cs="仿宋_GB2312"/>
          <w:color w:val="auto"/>
          <w:sz w:val="32"/>
          <w:szCs w:val="32"/>
          <w:highlight w:val="none"/>
        </w:rPr>
        <w:t>十一、</w:t>
      </w:r>
      <w:bookmarkEnd w:id="104"/>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77D5BD97">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05" w:name="_Toc15396630"/>
      <w:r>
        <w:rPr>
          <w:rFonts w:hint="eastAsia" w:ascii="Times New Roman" w:hAnsi="Times New Roman" w:eastAsia="仿宋_GB2312" w:cs="仿宋_GB2312"/>
          <w:color w:val="auto"/>
          <w:sz w:val="32"/>
          <w:szCs w:val="32"/>
          <w:highlight w:val="none"/>
        </w:rPr>
        <w:t>十二、</w:t>
      </w:r>
      <w:bookmarkEnd w:id="105"/>
      <w:r>
        <w:rPr>
          <w:rFonts w:hint="eastAsia" w:ascii="Times New Roman" w:hAnsi="Times New Roman" w:eastAsia="仿宋_GB2312" w:cs="仿宋_GB2312"/>
          <w:color w:val="auto"/>
          <w:sz w:val="32"/>
          <w:szCs w:val="32"/>
          <w:highlight w:val="none"/>
          <w:lang w:eastAsia="zh-CN"/>
        </w:rPr>
        <w:t>国有资本经营预算财政拨款支出决算表</w:t>
      </w:r>
    </w:p>
    <w:p w14:paraId="0702CF92">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106" w:name="_Toc15396631"/>
      <w:r>
        <w:rPr>
          <w:rFonts w:hint="eastAsia" w:ascii="Times New Roman" w:hAnsi="Times New Roman" w:eastAsia="仿宋_GB2312" w:cs="仿宋_GB2312"/>
          <w:color w:val="auto"/>
          <w:sz w:val="32"/>
          <w:szCs w:val="32"/>
          <w:highlight w:val="none"/>
        </w:rPr>
        <w:t>十三、</w:t>
      </w:r>
      <w:bookmarkEnd w:id="106"/>
      <w:r>
        <w:rPr>
          <w:rFonts w:hint="eastAsia" w:ascii="Times New Roman" w:hAnsi="Times New Roman" w:eastAsia="仿宋_GB2312" w:cs="仿宋_GB2312"/>
          <w:color w:val="auto"/>
          <w:sz w:val="32"/>
          <w:szCs w:val="32"/>
          <w:highlight w:val="none"/>
          <w:lang w:eastAsia="zh-CN"/>
        </w:rPr>
        <w:t>财政拨款“三公”经费支出决算表</w:t>
      </w:r>
    </w:p>
    <w:p w14:paraId="7E6A26E2">
      <w:pPr>
        <w:rPr>
          <w:rFonts w:hint="eastAsia" w:ascii="Times New Roman" w:hAnsi="Times New Roman"/>
          <w:lang w:eastAsia="zh-CN"/>
        </w:rPr>
      </w:pPr>
    </w:p>
    <w:p w14:paraId="09BECDC6"/>
    <w:sectPr>
      <w:headerReference r:id="rId3" w:type="default"/>
      <w:footerReference r:id="rId4" w:type="default"/>
      <w:pgSz w:w="11906" w:h="16838"/>
      <w:pgMar w:top="1440" w:right="1800" w:bottom="1440" w:left="1800" w:header="720" w:footer="72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Liberation Sans">
    <w:altName w:val="Arial Unicode MS"/>
    <w:panose1 w:val="00000000000000000000"/>
    <w:charset w:val="00"/>
    <w:family w:val="swiss"/>
    <w:pitch w:val="default"/>
    <w:sig w:usb0="00000000" w:usb1="00000000" w:usb2="00000000" w:usb3="00000000" w:csb0="00040001" w:csb1="00000000"/>
  </w:font>
  <w:font w:name="Arial Unicode MS">
    <w:panose1 w:val="020B0604020202020204"/>
    <w:charset w:val="86"/>
    <w:family w:val="auto"/>
    <w:pitch w:val="default"/>
    <w:sig w:usb0="FFFFFFFF" w:usb1="E9FFFFFF" w:usb2="0000003F" w:usb3="00000000" w:csb0="603F01FF" w:csb1="FFFF0000"/>
  </w:font>
  <w:font w:name="Noto Sans CJK SC Regular">
    <w:altName w:val="宋体"/>
    <w:panose1 w:val="020B0500000000000000"/>
    <w:charset w:val="86"/>
    <w:family w:val="auto"/>
    <w:pitch w:val="default"/>
    <w:sig w:usb0="00000000" w:usb1="00000000" w:usb2="00000016" w:usb3="00000000" w:csb0="602E0107" w:csb1="00000000"/>
  </w:font>
  <w:font w:name="方正小标宋简体">
    <w:panose1 w:val="03000509000000000000"/>
    <w:charset w:val="86"/>
    <w:family w:val="script"/>
    <w:pitch w:val="default"/>
    <w:sig w:usb0="00000001" w:usb1="080E0000" w:usb2="00000000" w:usb3="00000000" w:csb0="00040000" w:csb1="00000000"/>
  </w:font>
  <w:font w:name="FZFangSong-Z02S">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80F3C52" w:usb2="00000016" w:usb3="00000000" w:csb0="0004001F"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A5CE96">
    <w:pPr>
      <w:pStyle w:val="9"/>
      <w:jc w:val="center"/>
    </w:pPr>
  </w:p>
  <w:p w14:paraId="32E6C3C3">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E7481C">
    <w:pPr>
      <w:pStyle w:val="10"/>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5AE4690"/>
    <w:multiLevelType w:val="singleLevel"/>
    <w:tmpl w:val="D5AE4690"/>
    <w:lvl w:ilvl="0" w:tentative="0">
      <w:start w:val="2"/>
      <w:numFmt w:val="chineseCounting"/>
      <w:suff w:val="nothing"/>
      <w:lvlText w:val="（%1）"/>
      <w:lvlJc w:val="left"/>
      <w:rPr>
        <w:rFonts w:hint="eastAsia"/>
      </w:rPr>
    </w:lvl>
  </w:abstractNum>
  <w:abstractNum w:abstractNumId="1">
    <w:nsid w:val="62621CDC"/>
    <w:multiLevelType w:val="multilevel"/>
    <w:tmpl w:val="62621CDC"/>
    <w:lvl w:ilvl="0" w:tentative="0">
      <w:start w:val="1"/>
      <w:numFmt w:val="decimal"/>
      <w:lvlText w:val="%1."/>
      <w:lvlJc w:val="left"/>
      <w:pPr>
        <w:ind w:left="1152" w:hanging="480"/>
      </w:pPr>
      <w:rPr>
        <w:rFonts w:hint="default"/>
      </w:rPr>
    </w:lvl>
    <w:lvl w:ilvl="1" w:tentative="0">
      <w:start w:val="1"/>
      <w:numFmt w:val="lowerLetter"/>
      <w:lvlText w:val="%2)"/>
      <w:lvlJc w:val="left"/>
      <w:pPr>
        <w:ind w:left="1512" w:hanging="420"/>
      </w:pPr>
    </w:lvl>
    <w:lvl w:ilvl="2" w:tentative="0">
      <w:start w:val="1"/>
      <w:numFmt w:val="lowerRoman"/>
      <w:lvlText w:val="%3."/>
      <w:lvlJc w:val="right"/>
      <w:pPr>
        <w:ind w:left="1932" w:hanging="420"/>
      </w:pPr>
    </w:lvl>
    <w:lvl w:ilvl="3" w:tentative="0">
      <w:start w:val="1"/>
      <w:numFmt w:val="decimal"/>
      <w:lvlText w:val="%4."/>
      <w:lvlJc w:val="left"/>
      <w:pPr>
        <w:ind w:left="2352" w:hanging="420"/>
      </w:pPr>
    </w:lvl>
    <w:lvl w:ilvl="4" w:tentative="0">
      <w:start w:val="1"/>
      <w:numFmt w:val="lowerLetter"/>
      <w:lvlText w:val="%5)"/>
      <w:lvlJc w:val="left"/>
      <w:pPr>
        <w:ind w:left="2772" w:hanging="420"/>
      </w:pPr>
    </w:lvl>
    <w:lvl w:ilvl="5" w:tentative="0">
      <w:start w:val="1"/>
      <w:numFmt w:val="lowerRoman"/>
      <w:lvlText w:val="%6."/>
      <w:lvlJc w:val="right"/>
      <w:pPr>
        <w:ind w:left="3192" w:hanging="420"/>
      </w:pPr>
    </w:lvl>
    <w:lvl w:ilvl="6" w:tentative="0">
      <w:start w:val="1"/>
      <w:numFmt w:val="decimal"/>
      <w:lvlText w:val="%7."/>
      <w:lvlJc w:val="left"/>
      <w:pPr>
        <w:ind w:left="3612" w:hanging="420"/>
      </w:pPr>
    </w:lvl>
    <w:lvl w:ilvl="7" w:tentative="0">
      <w:start w:val="1"/>
      <w:numFmt w:val="lowerLetter"/>
      <w:lvlText w:val="%8)"/>
      <w:lvlJc w:val="left"/>
      <w:pPr>
        <w:ind w:left="4032" w:hanging="420"/>
      </w:pPr>
    </w:lvl>
    <w:lvl w:ilvl="8" w:tentative="0">
      <w:start w:val="1"/>
      <w:numFmt w:val="lowerRoman"/>
      <w:lvlText w:val="%9."/>
      <w:lvlJc w:val="right"/>
      <w:pPr>
        <w:ind w:left="4452"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
  <w:drawingGridVerticalSpacing w:val="1"/>
  <w:displayHorizontalDrawingGridEvery w:val="1"/>
  <w:displayVerticalDrawingGridEvery w:val="1"/>
  <w:doNotUseMarginsForDrawingGridOrigin w:val="1"/>
  <w:drawingGridHorizontalOrigin w:val="0"/>
  <w:drawingGridVerticalOrigin w:val="0"/>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Y2MDJlYWFjMDUwOThmZTc2OGJmYWExYTI1NWQyZGYifQ=="/>
  </w:docVars>
  <w:rsids>
    <w:rsidRoot w:val="00000000"/>
    <w:rsid w:val="00187F8B"/>
    <w:rsid w:val="003A7F4C"/>
    <w:rsid w:val="025C3910"/>
    <w:rsid w:val="034E157D"/>
    <w:rsid w:val="06A16121"/>
    <w:rsid w:val="06B33611"/>
    <w:rsid w:val="099711B9"/>
    <w:rsid w:val="0B2179B5"/>
    <w:rsid w:val="0CA1788C"/>
    <w:rsid w:val="0D0149C4"/>
    <w:rsid w:val="0EA50285"/>
    <w:rsid w:val="0F056591"/>
    <w:rsid w:val="11786165"/>
    <w:rsid w:val="119333A6"/>
    <w:rsid w:val="1684753A"/>
    <w:rsid w:val="18B613D9"/>
    <w:rsid w:val="1EA07981"/>
    <w:rsid w:val="1F7D41EE"/>
    <w:rsid w:val="1FD46237"/>
    <w:rsid w:val="204C04C4"/>
    <w:rsid w:val="221B2F87"/>
    <w:rsid w:val="251C4F5D"/>
    <w:rsid w:val="25E133B0"/>
    <w:rsid w:val="2A025321"/>
    <w:rsid w:val="2A1439E1"/>
    <w:rsid w:val="2ABA5942"/>
    <w:rsid w:val="33EE550E"/>
    <w:rsid w:val="38365B8F"/>
    <w:rsid w:val="3BD60A72"/>
    <w:rsid w:val="3C8E0F9D"/>
    <w:rsid w:val="3E910E77"/>
    <w:rsid w:val="3FC62645"/>
    <w:rsid w:val="410E206B"/>
    <w:rsid w:val="467F3802"/>
    <w:rsid w:val="493354CD"/>
    <w:rsid w:val="4AFD7D54"/>
    <w:rsid w:val="4DAB40F0"/>
    <w:rsid w:val="4FE81AD8"/>
    <w:rsid w:val="53DC22CC"/>
    <w:rsid w:val="546E61FC"/>
    <w:rsid w:val="549A379E"/>
    <w:rsid w:val="549D7BDE"/>
    <w:rsid w:val="55FB3407"/>
    <w:rsid w:val="582F26AC"/>
    <w:rsid w:val="583A0626"/>
    <w:rsid w:val="58B343D7"/>
    <w:rsid w:val="5F344365"/>
    <w:rsid w:val="60B05D07"/>
    <w:rsid w:val="60E73D51"/>
    <w:rsid w:val="61644F7D"/>
    <w:rsid w:val="68696F3D"/>
    <w:rsid w:val="68C75AC3"/>
    <w:rsid w:val="6C6F3FBB"/>
    <w:rsid w:val="6E6B772C"/>
    <w:rsid w:val="70D514A9"/>
    <w:rsid w:val="7210428E"/>
    <w:rsid w:val="724305BA"/>
    <w:rsid w:val="72B57F69"/>
    <w:rsid w:val="78342BF2"/>
    <w:rsid w:val="7BFFE41D"/>
    <w:rsid w:val="7C894B90"/>
    <w:rsid w:val="7CF60F14"/>
    <w:rsid w:val="7D42535F"/>
    <w:rsid w:val="7D775F53"/>
    <w:rsid w:val="7ECB130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name="footnote text"/>
    <w:lsdException w:unhideWhenUsed="0" w:uiPriority="0" w:semiHidden="0" w:name="annotation text"/>
    <w:lsdException w:qFormat="1" w:unhideWhenUsed="0" w:uiPriority="99"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99"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uppressAutoHyphens/>
      <w:bidi w:val="0"/>
      <w:jc w:val="both"/>
    </w:pPr>
    <w:rPr>
      <w:rFonts w:ascii="Calibri" w:hAnsi="Calibri" w:eastAsia="宋体" w:cs="Times New Roman"/>
      <w:color w:val="auto"/>
      <w:kern w:val="2"/>
      <w:sz w:val="21"/>
      <w:szCs w:val="24"/>
      <w:lang w:val="en-US" w:eastAsia="zh-CN" w:bidi="ar-SA"/>
    </w:rPr>
  </w:style>
  <w:style w:type="paragraph" w:styleId="3">
    <w:name w:val="heading 1"/>
    <w:basedOn w:val="1"/>
    <w:next w:val="1"/>
    <w:link w:val="20"/>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21"/>
    <w:unhideWhenUsed/>
    <w:qFormat/>
    <w:uiPriority w:val="9"/>
    <w:pPr>
      <w:keepNext/>
      <w:keepLines/>
      <w:spacing w:before="260" w:after="260" w:line="416" w:lineRule="auto"/>
      <w:outlineLvl w:val="1"/>
    </w:pPr>
    <w:rPr>
      <w:rFonts w:ascii="Cambria" w:hAnsi="Cambria" w:eastAsia="宋体" w:cs="Times New Roman"/>
      <w:b/>
      <w:bCs/>
      <w:sz w:val="32"/>
      <w:szCs w:val="32"/>
    </w:rPr>
  </w:style>
  <w:style w:type="character" w:default="1" w:styleId="18">
    <w:name w:val="Default Paragraph Font"/>
    <w:qFormat/>
    <w:uiPriority w:val="0"/>
  </w:style>
  <w:style w:type="table" w:default="1" w:styleId="17">
    <w:name w:val="Normal Table"/>
    <w:semiHidden/>
    <w:qFormat/>
    <w:uiPriority w:val="0"/>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paragraph" w:styleId="5">
    <w:name w:val="Normal Indent"/>
    <w:basedOn w:val="1"/>
    <w:qFormat/>
    <w:uiPriority w:val="0"/>
    <w:pPr>
      <w:ind w:firstLine="680"/>
    </w:pPr>
  </w:style>
  <w:style w:type="paragraph" w:styleId="6">
    <w:name w:val="caption"/>
    <w:basedOn w:val="1"/>
    <w:qFormat/>
    <w:uiPriority w:val="0"/>
    <w:pPr>
      <w:widowControl w:val="0"/>
      <w:suppressLineNumbers/>
      <w:suppressAutoHyphens/>
      <w:spacing w:before="120" w:after="120"/>
    </w:pPr>
    <w:rPr>
      <w:i/>
      <w:iCs/>
      <w:sz w:val="24"/>
      <w:szCs w:val="24"/>
    </w:rPr>
  </w:style>
  <w:style w:type="paragraph" w:styleId="7">
    <w:name w:val="Body Text"/>
    <w:basedOn w:val="1"/>
    <w:qFormat/>
    <w:uiPriority w:val="0"/>
    <w:pPr>
      <w:spacing w:before="0" w:after="140" w:line="276" w:lineRule="auto"/>
    </w:pPr>
  </w:style>
  <w:style w:type="paragraph" w:styleId="8">
    <w:name w:val="Body Text Indent"/>
    <w:basedOn w:val="1"/>
    <w:qFormat/>
    <w:uiPriority w:val="0"/>
    <w:pPr>
      <w:spacing w:after="120"/>
      <w:ind w:leftChars="200"/>
    </w:pPr>
    <w:rPr>
      <w:rFonts w:ascii="仿宋_GB2312"/>
      <w:szCs w:val="32"/>
    </w:rPr>
  </w:style>
  <w:style w:type="paragraph" w:styleId="9">
    <w:name w:val="footer"/>
    <w:basedOn w:val="1"/>
    <w:qFormat/>
    <w:uiPriority w:val="99"/>
    <w:pPr>
      <w:tabs>
        <w:tab w:val="center" w:pos="4153"/>
        <w:tab w:val="right" w:pos="8306"/>
      </w:tabs>
      <w:snapToGrid w:val="0"/>
      <w:jc w:val="left"/>
    </w:pPr>
    <w:rPr>
      <w:rFonts w:ascii="Calibri" w:hAnsi="Calibri"/>
      <w:kern w:val="0"/>
      <w:sz w:val="18"/>
      <w:szCs w:val="18"/>
    </w:rPr>
  </w:style>
  <w:style w:type="paragraph" w:styleId="10">
    <w:name w:val="header"/>
    <w:basedOn w:val="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1">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2">
    <w:name w:val="List"/>
    <w:basedOn w:val="7"/>
    <w:qFormat/>
    <w:uiPriority w:val="0"/>
  </w:style>
  <w:style w:type="paragraph" w:styleId="13">
    <w:name w:val="footnote text"/>
    <w:basedOn w:val="1"/>
    <w:next w:val="14"/>
    <w:semiHidden/>
    <w:qFormat/>
    <w:uiPriority w:val="0"/>
    <w:pPr>
      <w:snapToGrid w:val="0"/>
      <w:jc w:val="left"/>
    </w:pPr>
    <w:rPr>
      <w:sz w:val="18"/>
      <w:szCs w:val="18"/>
    </w:rPr>
  </w:style>
  <w:style w:type="paragraph" w:styleId="14">
    <w:name w:val="Body Text First Indent 2"/>
    <w:basedOn w:val="8"/>
    <w:unhideWhenUsed/>
    <w:qFormat/>
    <w:uiPriority w:val="99"/>
    <w:pPr>
      <w:ind w:firstLine="420" w:firstLineChars="200"/>
    </w:pPr>
  </w:style>
  <w:style w:type="paragraph" w:styleId="15">
    <w:name w:val="toc 2"/>
    <w:basedOn w:val="1"/>
    <w:next w:val="1"/>
    <w:unhideWhenUsed/>
    <w:qFormat/>
    <w:uiPriority w:val="39"/>
    <w:pPr>
      <w:tabs>
        <w:tab w:val="right" w:leader="dot" w:pos="8296"/>
      </w:tabs>
      <w:ind w:left="420" w:leftChars="200"/>
    </w:pPr>
  </w:style>
  <w:style w:type="paragraph" w:styleId="16">
    <w:name w:val="Normal (Web)"/>
    <w:basedOn w:val="1"/>
    <w:qFormat/>
    <w:uiPriority w:val="0"/>
    <w:pPr>
      <w:spacing w:beforeAutospacing="1" w:afterAutospacing="1"/>
    </w:pPr>
    <w:rPr>
      <w:rFonts w:cs="Times New Roman"/>
      <w:sz w:val="24"/>
      <w:lang w:eastAsia="zh-CN" w:bidi="ar-SA"/>
    </w:rPr>
  </w:style>
  <w:style w:type="character" w:styleId="19">
    <w:name w:val="Strong"/>
    <w:basedOn w:val="18"/>
    <w:qFormat/>
    <w:uiPriority w:val="99"/>
    <w:rPr>
      <w:b/>
    </w:rPr>
  </w:style>
  <w:style w:type="character" w:customStyle="1" w:styleId="20">
    <w:name w:val="标题 1 Char"/>
    <w:basedOn w:val="18"/>
    <w:link w:val="3"/>
    <w:qFormat/>
    <w:uiPriority w:val="9"/>
    <w:rPr>
      <w:b/>
      <w:bCs/>
      <w:kern w:val="44"/>
      <w:sz w:val="44"/>
      <w:szCs w:val="44"/>
    </w:rPr>
  </w:style>
  <w:style w:type="character" w:customStyle="1" w:styleId="21">
    <w:name w:val="标题 2 Char"/>
    <w:basedOn w:val="18"/>
    <w:link w:val="4"/>
    <w:qFormat/>
    <w:uiPriority w:val="9"/>
    <w:rPr>
      <w:rFonts w:ascii="Cambria" w:hAnsi="Cambria" w:eastAsia="宋体" w:cs="Times New Roman"/>
      <w:b/>
      <w:bCs/>
      <w:sz w:val="32"/>
      <w:szCs w:val="32"/>
    </w:rPr>
  </w:style>
  <w:style w:type="character" w:customStyle="1" w:styleId="22">
    <w:name w:val="默认段落字体1"/>
    <w:qFormat/>
    <w:uiPriority w:val="0"/>
  </w:style>
  <w:style w:type="paragraph" w:customStyle="1" w:styleId="23">
    <w:name w:val="Heading"/>
    <w:basedOn w:val="1"/>
    <w:next w:val="7"/>
    <w:qFormat/>
    <w:uiPriority w:val="0"/>
    <w:pPr>
      <w:keepNext/>
      <w:widowControl w:val="0"/>
      <w:suppressAutoHyphens/>
      <w:spacing w:before="240" w:after="120"/>
    </w:pPr>
    <w:rPr>
      <w:rFonts w:ascii="Liberation Sans" w:hAnsi="Liberation Sans" w:eastAsia="Noto Sans CJK SC Regular" w:cs="Noto Sans CJK SC Regular"/>
      <w:sz w:val="28"/>
      <w:szCs w:val="28"/>
      <w:lang w:bidi="ar-SA"/>
    </w:rPr>
  </w:style>
  <w:style w:type="paragraph" w:customStyle="1" w:styleId="24">
    <w:name w:val="Index"/>
    <w:basedOn w:val="1"/>
    <w:qFormat/>
    <w:uiPriority w:val="0"/>
    <w:pPr>
      <w:widowControl w:val="0"/>
      <w:suppressLineNumbers/>
      <w:suppressAutoHyphens/>
    </w:pPr>
  </w:style>
  <w:style w:type="paragraph" w:styleId="25">
    <w:name w:val="List Paragraph"/>
    <w:basedOn w:val="1"/>
    <w:qFormat/>
    <w:uiPriority w:val="34"/>
    <w:pPr>
      <w:ind w:firstLine="420" w:firstLineChars="200"/>
    </w:p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hart" Target="charts/chart4.xml"/><Relationship Id="rId8" Type="http://schemas.openxmlformats.org/officeDocument/2006/relationships/chart" Target="charts/chart3.xml"/><Relationship Id="rId7" Type="http://schemas.openxmlformats.org/officeDocument/2006/relationships/chart" Target="charts/chart2.xml"/><Relationship Id="rId6" Type="http://schemas.openxmlformats.org/officeDocument/2006/relationships/chart" Target="charts/chart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hart" Target="charts/chart7.xml"/><Relationship Id="rId11" Type="http://schemas.openxmlformats.org/officeDocument/2006/relationships/chart" Target="charts/chart6.xml"/><Relationship Id="rId10" Type="http://schemas.openxmlformats.org/officeDocument/2006/relationships/chart" Target="charts/chart5.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4" Type="http://schemas.microsoft.com/office/2011/relationships/chartColorStyle" Target="colors2.xml"/><Relationship Id="rId3" Type="http://schemas.microsoft.com/office/2011/relationships/chartStyle" Target="style2.xml"/><Relationship Id="rId2" Type="http://schemas.openxmlformats.org/officeDocument/2006/relationships/themeOverride" Target="../theme/themeOverride1.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4" Type="http://schemas.microsoft.com/office/2011/relationships/chartColorStyle" Target="colors4.xml"/><Relationship Id="rId3" Type="http://schemas.microsoft.com/office/2011/relationships/chartStyle" Target="style4.xml"/><Relationship Id="rId2" Type="http://schemas.openxmlformats.org/officeDocument/2006/relationships/themeOverride" Target="../theme/themeOverride2.xml"/><Relationship Id="rId1" Type="http://schemas.openxmlformats.org/officeDocument/2006/relationships/package" Target="../embeddings/Workbook4.xlsx"/></Relationships>
</file>

<file path=word/charts/_rels/chart4.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6.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7.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200" b="1" i="0" u="none" strike="noStrike" kern="1200" baseline="0">
                <a:solidFill>
                  <a:schemeClr val="tx1"/>
                </a:solidFill>
                <a:latin typeface="+mn-lt"/>
                <a:ea typeface="+mn-ea"/>
                <a:cs typeface="+mn-cs"/>
              </a:defRPr>
            </a:pPr>
            <a:r>
              <a:rPr sz="1200">
                <a:solidFill>
                  <a:schemeClr val="tx1"/>
                </a:solidFill>
                <a:latin typeface="+mn-lt"/>
                <a:ea typeface="+mn-ea"/>
                <a:cs typeface="+mn-cs"/>
              </a:rPr>
              <a:t>收入、支出决算总计变动情况图</a:t>
            </a:r>
            <a:endParaRPr sz="1200">
              <a:solidFill>
                <a:schemeClr val="tx1"/>
              </a:solidFill>
              <a:latin typeface="+mn-lt"/>
              <a:ea typeface="+mn-ea"/>
              <a:cs typeface="+mn-cs"/>
            </a:endParaRPr>
          </a:p>
        </c:rich>
      </c:tx>
      <c:layout>
        <c:manualLayout>
          <c:xMode val="edge"/>
          <c:yMode val="edge"/>
          <c:x val="0.234372824725045"/>
          <c:y val="0.00692520775623269"/>
        </c:manualLayout>
      </c:layout>
      <c:overlay val="0"/>
      <c:spPr>
        <a:noFill/>
        <a:ln>
          <a:noFill/>
        </a:ln>
        <a:effectLst/>
      </c:spPr>
    </c:title>
    <c:autoTitleDeleted val="0"/>
    <c:plotArea>
      <c:layout>
        <c:manualLayout>
          <c:layoutTarget val="inner"/>
          <c:xMode val="edge"/>
          <c:yMode val="edge"/>
          <c:x val="0.192868462757528"/>
          <c:y val="0.122686517364286"/>
          <c:w val="0.893906093906094"/>
          <c:h val="0.638631534211645"/>
        </c:manualLayout>
      </c:layout>
      <c:barChart>
        <c:barDir val="col"/>
        <c:grouping val="clustered"/>
        <c:varyColors val="0"/>
        <c:ser>
          <c:idx val="0"/>
          <c:order val="0"/>
          <c:tx>
            <c:strRef>
              <c:f>Sheet1!$B$1</c:f>
              <c:strCache>
                <c:ptCount val="1"/>
                <c:pt idx="0">
                  <c:v>2025年</c:v>
                </c:pt>
              </c:strCache>
            </c:strRef>
          </c:tx>
          <c:spPr>
            <a:solidFill>
              <a:schemeClr val="accent1"/>
            </a:solidFill>
            <a:ln>
              <a:noFill/>
            </a:ln>
            <a:effectLst/>
          </c:spPr>
          <c:invertIfNegative val="0"/>
          <c:dLbls>
            <c:dLbl>
              <c:idx val="0"/>
              <c:layout>
                <c:manualLayout>
                  <c:x val="-0.00990491283676704"/>
                  <c:y val="0.033769954973393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收、支决算总计变动情况</c:v>
                </c:pt>
              </c:strCache>
            </c:strRef>
          </c:cat>
          <c:val>
            <c:numRef>
              <c:f>Sheet1!$B$2</c:f>
              <c:numCache>
                <c:formatCode>General</c:formatCode>
                <c:ptCount val="1"/>
                <c:pt idx="0">
                  <c:v>1377.24</c:v>
                </c:pt>
              </c:numCache>
            </c:numRef>
          </c:val>
        </c:ser>
        <c:ser>
          <c:idx val="1"/>
          <c:order val="1"/>
          <c:tx>
            <c:strRef>
              <c:f>Sheet1!$C$1</c:f>
              <c:strCache>
                <c:ptCount val="1"/>
                <c:pt idx="0">
                  <c:v>2024年</c:v>
                </c:pt>
              </c:strCache>
            </c:strRef>
          </c:tx>
          <c:spPr>
            <a:solidFill>
              <a:schemeClr val="accent2"/>
            </a:solidFill>
            <a:ln>
              <a:noFill/>
            </a:ln>
            <a:effectLst/>
          </c:spPr>
          <c:invertIfNegative val="0"/>
          <c:dLbls>
            <c:dLbl>
              <c:idx val="0"/>
              <c:layout>
                <c:manualLayout>
                  <c:x val="0.0198098256735341"/>
                  <c:y val="0.042979942693409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收、支决算总计变动情况</c:v>
                </c:pt>
              </c:strCache>
            </c:strRef>
          </c:cat>
          <c:val>
            <c:numRef>
              <c:f>Sheet1!$C$2</c:f>
              <c:numCache>
                <c:formatCode>General</c:formatCode>
                <c:ptCount val="1"/>
                <c:pt idx="0">
                  <c:v>1240.01</c:v>
                </c:pt>
              </c:numCache>
            </c:numRef>
          </c:val>
        </c:ser>
        <c:ser>
          <c:idx val="2"/>
          <c:order val="2"/>
          <c:tx>
            <c:strRef>
              <c:f>Sheet1!$D$1</c:f>
              <c:strCache>
                <c:ptCount val="1"/>
                <c:pt idx="0">
                  <c:v>增减变动比例</c:v>
                </c:pt>
              </c:strCache>
            </c:strRef>
          </c:tx>
          <c:spPr>
            <a:solidFill>
              <a:schemeClr val="accent3"/>
            </a:solidFill>
            <a:ln>
              <a:noFill/>
            </a:ln>
            <a:effectLst/>
          </c:spPr>
          <c:invertIfNegative val="0"/>
          <c:dLbls>
            <c:dLbl>
              <c:idx val="0"/>
              <c:layout>
                <c:manualLayout>
                  <c:x val="0.018794375609077"/>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收、支决算总计变动情况</c:v>
                </c:pt>
              </c:strCache>
            </c:strRef>
          </c:cat>
          <c:val>
            <c:numRef>
              <c:f>Sheet1!$D$2</c:f>
              <c:numCache>
                <c:formatCode>0.0%</c:formatCode>
                <c:ptCount val="1"/>
                <c:pt idx="0">
                  <c:v>0.11</c:v>
                </c:pt>
              </c:numCache>
            </c:numRef>
          </c:val>
        </c:ser>
        <c:dLbls>
          <c:showLegendKey val="0"/>
          <c:showVal val="1"/>
          <c:showCatName val="0"/>
          <c:showSerName val="0"/>
          <c:showPercent val="0"/>
          <c:showBubbleSize val="0"/>
        </c:dLbls>
        <c:gapWidth val="246"/>
        <c:overlap val="-28"/>
        <c:axId val="636280889"/>
        <c:axId val="164791364"/>
      </c:barChart>
      <c:catAx>
        <c:axId val="636280889"/>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crossAx val="164791364"/>
        <c:crosses val="autoZero"/>
        <c:auto val="1"/>
        <c:lblAlgn val="ctr"/>
        <c:lblOffset val="100"/>
        <c:noMultiLvlLbl val="0"/>
      </c:catAx>
      <c:valAx>
        <c:axId val="164791364"/>
        <c:scaling>
          <c:orientation val="minMax"/>
        </c:scaling>
        <c:delete val="0"/>
        <c:axPos val="l"/>
        <c:majorGridlines>
          <c:spPr>
            <a:ln w="9525" cap="flat" cmpd="sng" algn="ctr">
              <a:solidFill>
                <a:schemeClr val="lt1">
                  <a:lumMod val="90200"/>
                </a:schemeClr>
              </a:solidFill>
              <a:round/>
            </a:ln>
            <a:effectLst/>
          </c:spPr>
        </c:majorGridlines>
        <c:title>
          <c:tx>
            <c:rich>
              <a:bodyPr rot="-5400000" spcFirstLastPara="0" vertOverflow="ellipsis" vert="horz" wrap="square" anchor="ctr" anchorCtr="1"/>
              <a:lstStyle/>
              <a:p>
                <a:pPr defTabSz="914400">
                  <a:defRPr lang="zh-CN" sz="1000" b="0" i="0" u="none" strike="noStrike" kern="1200" baseline="0">
                    <a:solidFill>
                      <a:schemeClr val="tx1"/>
                    </a:solidFill>
                    <a:latin typeface="+mn-lt"/>
                    <a:ea typeface="+mn-ea"/>
                    <a:cs typeface="+mn-cs"/>
                  </a:defRPr>
                </a:pPr>
                <a:r>
                  <a:t>单位：万元</a:t>
                </a:r>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crossAx val="636280889"/>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dTable>
      <c:spPr>
        <a:noFill/>
        <a:ln>
          <a:noFill/>
        </a:ln>
        <a:effectLst/>
      </c:spPr>
    </c:plotArea>
    <c:legend>
      <c:legendPos val="b"/>
      <c:legendEntry>
        <c:idx val="0"/>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1"/>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2"/>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ayout>
        <c:manualLayout>
          <c:xMode val="edge"/>
          <c:yMode val="edge"/>
          <c:x val="0.607333275485736"/>
          <c:y val="0.0887510837649591"/>
          <c:w val="0.388704759379557"/>
          <c:h val="0.0393700787401575"/>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8fc4d8af-77df-4aa8-bd29-0e1a5f962493}"/>
      </c:ext>
    </c:extLst>
  </c:chart>
  <c:spPr>
    <a:noFill/>
    <a:ln w="25400" cap="flat" cmpd="sng" algn="ctr">
      <a:solidFill>
        <a:schemeClr val="accent1"/>
      </a:solidFill>
      <a:prstDash val="solid"/>
      <a:round/>
    </a:ln>
    <a:effectLst/>
    <a:sp3d>
      <a:extrusionClr>
        <a:srgbClr val="FFFFFF"/>
      </a:extrusionClr>
      <a:contourClr>
        <a:srgbClr val="FFFFFF"/>
      </a:contourClr>
    </a:sp3d>
  </c:spPr>
  <c:txPr>
    <a:bodyPr/>
    <a:lstStyle/>
    <a:p>
      <a:pPr>
        <a:defRPr lang="zh-CN">
          <a:solidFill>
            <a:schemeClr val="tx1"/>
          </a:solidFill>
          <a:latin typeface="+mn-lt"/>
          <a:ea typeface="+mn-ea"/>
          <a:cs typeface="+mn-cs"/>
        </a:defRPr>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defTabSz="914400">
              <a:defRPr lang="zh-CN" sz="14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r>
              <a:t>收入决算结构图</a:t>
            </a:r>
          </a:p>
        </c:rich>
      </c:tx>
      <c:layout/>
      <c:overlay val="0"/>
      <c:spPr>
        <a:noFill/>
        <a:ln>
          <a:noFill/>
        </a:ln>
        <a:effectLst/>
      </c:spPr>
    </c:title>
    <c:autoTitleDeleted val="0"/>
    <c:plotArea>
      <c:layout/>
      <c:pieChart>
        <c:varyColors val="1"/>
        <c:ser>
          <c:idx val="1"/>
          <c:order val="0"/>
          <c:tx>
            <c:strRef>
              <c:f>Sheet1!$B$1</c:f>
              <c:strCache>
                <c:ptCount val="1"/>
                <c:pt idx="0">
                  <c:v>收入决算结构图</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r>
                      <a:t>1337.24万元</a:t>
                    </a:r>
                  </a:p>
                </c:rich>
              </c:tx>
              <c:dLblPos val="inEnd"/>
              <c:showLegendKey val="0"/>
              <c:showVal val="1"/>
              <c:showCatName val="0"/>
              <c:showSerName val="0"/>
              <c:showPercent val="0"/>
              <c:showBubbleSize val="0"/>
              <c:extLst>
                <c:ext xmlns:c15="http://schemas.microsoft.com/office/drawing/2012/chart" uri="{CE6537A1-D6FC-4f65-9D91-7224C49458BB}"/>
              </c:extLst>
            </c:dLbl>
            <c:dLbl>
              <c:idx val="1"/>
              <c:layout>
                <c:manualLayout>
                  <c:x val="0.0304370611333586"/>
                  <c:y val="0.0605720368492717"/>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r>
                      <a:t>40万元</a:t>
                    </a:r>
                  </a:p>
                </c:rich>
              </c:tx>
              <c:dLblPos val="bestFit"/>
              <c:showLegendKey val="0"/>
              <c:showVal val="1"/>
              <c:showCatName val="0"/>
              <c:showSerName val="0"/>
              <c:showPercent val="0"/>
              <c:showBubbleSize val="0"/>
              <c:extLst>
                <c:ext xmlns:c15="http://schemas.microsoft.com/office/drawing/2012/chart" uri="{CE6537A1-D6FC-4f65-9D91-7224C49458BB}">
                  <c15:layout/>
                </c:ext>
              </c:extLst>
            </c:dLbl>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inEnd"/>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一般公共预算财政拨款</c:v>
                </c:pt>
                <c:pt idx="1">
                  <c:v>其他收入</c:v>
                </c:pt>
              </c:strCache>
            </c:strRef>
          </c:cat>
          <c:val>
            <c:numRef>
              <c:f>Sheet1!$B$2:$B$3</c:f>
              <c:numCache>
                <c:formatCode>General</c:formatCode>
                <c:ptCount val="2"/>
                <c:pt idx="0">
                  <c:v>1337.24</c:v>
                </c:pt>
                <c:pt idx="1">
                  <c:v>40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legend>
    <c:plotVisOnly val="0"/>
    <c:dispBlanksAs val="gap"/>
    <c:showDLblsOverMax val="0"/>
    <c:extLst>
      <c:ext uri="{0b15fc19-7d7d-44ad-8c2d-2c3a37ce22c3}">
        <chartProps xmlns="https://web.wps.cn/et/2018/main" chartId="{15b98a98-932a-4b03-8f0d-bc3a1f0df63e}"/>
      </c:ext>
    </c:extLst>
  </c:chart>
  <c:spPr>
    <a:solidFill>
      <a:schemeClr val="bg1"/>
    </a:solidFill>
    <a:ln w="9525" cap="flat" cmpd="sng" algn="ctr">
      <a:solidFill>
        <a:schemeClr val="tx1">
          <a:lumMod val="50000"/>
          <a:lumOff val="50000"/>
          <a:alpha val="25000"/>
        </a:schemeClr>
      </a:solidFill>
      <a:round/>
    </a:ln>
    <a:effectLst/>
  </c:spPr>
  <c:txPr>
    <a:bodyPr/>
    <a:lstStyle/>
    <a:p>
      <a:pPr>
        <a:defRPr lang="zh-CN">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defTabSz="914400">
              <a:defRPr lang="zh-CN" sz="14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r>
              <a:t>支出决算结构图</a:t>
            </a:r>
          </a:p>
        </c:rich>
      </c:tx>
      <c:layout/>
      <c:overlay val="0"/>
      <c:spPr>
        <a:noFill/>
        <a:ln>
          <a:noFill/>
        </a:ln>
        <a:effectLst/>
      </c:spPr>
    </c:title>
    <c:autoTitleDeleted val="0"/>
    <c:plotArea>
      <c:layout/>
      <c:pieChart>
        <c:varyColors val="1"/>
        <c:ser>
          <c:idx val="1"/>
          <c:order val="0"/>
          <c:tx>
            <c:strRef>
              <c:f>Sheet1!$B$1</c:f>
              <c:strCache>
                <c:ptCount val="1"/>
                <c:pt idx="0">
                  <c:v>销售额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dLbl>
              <c:idx val="0"/>
              <c:layout>
                <c:manualLayout>
                  <c:x val="-0.11626447289845"/>
                  <c:y val="-0.0951611324637231"/>
                </c:manualLayout>
              </c:layout>
              <c:tx>
                <c:rich>
                  <a:bodyPr rot="0" spcFirstLastPara="0" vertOverflow="ellipsis" vert="horz" wrap="square" lIns="38100" tIns="19050" rIns="38100" bIns="19050" anchor="ctr" anchorCtr="1" forceAA="0"/>
                  <a:lstStyle/>
                  <a:p>
                    <a:pPr defTabSz="914400">
                      <a:defRPr lang="zh-CN" sz="10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r>
                      <a:t>1179.19万元</a:t>
                    </a:r>
                  </a:p>
                </c:rich>
              </c:tx>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43038571316447"/>
                  <c:y val="0.131842466298202"/>
                </c:manualLayout>
              </c:layout>
              <c:tx>
                <c:rich>
                  <a:bodyPr rot="0" spcFirstLastPara="0" vertOverflow="ellipsis" vert="horz" wrap="square" lIns="38100" tIns="19050" rIns="38100" bIns="19050" anchor="ctr" anchorCtr="1" forceAA="0"/>
                  <a:lstStyle/>
                  <a:p>
                    <a:pPr defTabSz="914400">
                      <a:defRPr lang="zh-CN" sz="10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r>
                      <a:t>192.44万元</a:t>
                    </a:r>
                  </a:p>
                </c:rich>
              </c:tx>
              <c:dLblPos val="bestFit"/>
              <c:showLegendKey val="0"/>
              <c:showVal val="1"/>
              <c:showCatName val="0"/>
              <c:showSerName val="0"/>
              <c:showPercent val="0"/>
              <c:showBubbleSize val="0"/>
              <c:extLst>
                <c:ext xmlns:c15="http://schemas.microsoft.com/office/drawing/2012/chart" uri="{CE6537A1-D6FC-4f65-9D91-7224C49458BB}">
                  <c15:layout/>
                </c:ext>
              </c:extLst>
            </c:dLbl>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inEnd"/>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基本支出</c:v>
                </c:pt>
                <c:pt idx="1">
                  <c:v>项目支出</c:v>
                </c:pt>
              </c:strCache>
            </c:strRef>
          </c:cat>
          <c:val>
            <c:numRef>
              <c:f>Sheet1!$B$2:$B$3</c:f>
              <c:numCache>
                <c:formatCode>General</c:formatCode>
                <c:ptCount val="2"/>
                <c:pt idx="0">
                  <c:v>1179.19</c:v>
                </c:pt>
                <c:pt idx="1">
                  <c:v>192.44</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legend>
    <c:plotVisOnly val="1"/>
    <c:dispBlanksAs val="gap"/>
    <c:showDLblsOverMax val="0"/>
    <c:extLst>
      <c:ext uri="{0b15fc19-7d7d-44ad-8c2d-2c3a37ce22c3}">
        <chartProps xmlns="https://web.wps.cn/et/2018/main" chartId="{4b186c5e-8c28-4955-a615-d779042daab1}"/>
      </c:ext>
    </c:extLst>
  </c:chart>
  <c:spPr>
    <a:solidFill>
      <a:schemeClr val="bg1"/>
    </a:solidFill>
    <a:ln w="9525" cap="flat" cmpd="sng" algn="ctr">
      <a:solidFill>
        <a:schemeClr val="tx1">
          <a:lumMod val="50000"/>
          <a:lumOff val="50000"/>
          <a:alpha val="25000"/>
        </a:schemeClr>
      </a:solidFill>
      <a:round/>
    </a:ln>
    <a:effectLst/>
  </c:spPr>
  <c:txPr>
    <a:bodyPr/>
    <a:lstStyle/>
    <a:p>
      <a:pPr>
        <a:defRPr lang="zh-CN">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财政拨款收、支决算总计变动情况图</a:t>
            </a:r>
          </a:p>
        </c:rich>
      </c:tx>
      <c:layout/>
      <c:overlay val="0"/>
      <c:spPr>
        <a:noFill/>
        <a:ln>
          <a:noFill/>
        </a:ln>
        <a:effectLst/>
      </c:spPr>
    </c:title>
    <c:autoTitleDeleted val="0"/>
    <c:plotArea>
      <c:layout>
        <c:manualLayout>
          <c:layoutTarget val="inner"/>
          <c:xMode val="edge"/>
          <c:yMode val="edge"/>
          <c:x val="0.0346218893452525"/>
          <c:y val="0.155546111347216"/>
          <c:w val="0.930345494080696"/>
          <c:h val="0.638631534211645"/>
        </c:manualLayout>
      </c:layout>
      <c:barChart>
        <c:barDir val="col"/>
        <c:grouping val="clustered"/>
        <c:varyColors val="0"/>
        <c:ser>
          <c:idx val="0"/>
          <c:order val="0"/>
          <c:tx>
            <c:strRef>
              <c:f>Sheet1!$B$1</c:f>
              <c:strCache>
                <c:ptCount val="1"/>
                <c:pt idx="0">
                  <c:v>2025年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errBars>
            <c:errBarType val="both"/>
            <c:errValType val="stdErr"/>
            <c:noEndCap val="0"/>
            <c:spPr>
              <a:noFill/>
              <a:ln w="9525" cap="flat" cmpd="sng" algn="ctr">
                <a:solidFill>
                  <a:schemeClr val="tx1">
                    <a:lumMod val="65000"/>
                    <a:lumOff val="35000"/>
                  </a:schemeClr>
                </a:solidFill>
                <a:round/>
              </a:ln>
              <a:effectLst/>
            </c:spPr>
          </c:errBars>
          <c:cat>
            <c:strRef>
              <c:f>Sheet1!$A$2</c:f>
              <c:strCache>
                <c:ptCount val="1"/>
                <c:pt idx="0">
                  <c:v>单位：万元</c:v>
                </c:pt>
              </c:strCache>
            </c:strRef>
          </c:cat>
          <c:val>
            <c:numRef>
              <c:f>Sheet1!$B$2</c:f>
              <c:numCache>
                <c:formatCode>General</c:formatCode>
                <c:ptCount val="1"/>
                <c:pt idx="0">
                  <c:v>1337.24</c:v>
                </c:pt>
              </c:numCache>
            </c:numRef>
          </c:val>
        </c:ser>
        <c:ser>
          <c:idx val="1"/>
          <c:order val="1"/>
          <c:tx>
            <c:strRef>
              <c:f>Sheet1!$C$1</c:f>
              <c:strCache>
                <c:ptCount val="1"/>
                <c:pt idx="0">
                  <c:v>2024年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errBars>
            <c:errBarType val="both"/>
            <c:errValType val="stdErr"/>
            <c:noEndCap val="0"/>
            <c:spPr>
              <a:noFill/>
              <a:ln w="9525" cap="flat" cmpd="sng" algn="ctr">
                <a:solidFill>
                  <a:schemeClr val="tx1">
                    <a:lumMod val="65000"/>
                    <a:lumOff val="35000"/>
                  </a:schemeClr>
                </a:solidFill>
                <a:round/>
              </a:ln>
              <a:effectLst/>
            </c:spPr>
          </c:errBars>
          <c:cat>
            <c:strRef>
              <c:f>Sheet1!$A$2</c:f>
              <c:strCache>
                <c:ptCount val="1"/>
                <c:pt idx="0">
                  <c:v>单位：万元</c:v>
                </c:pt>
              </c:strCache>
            </c:strRef>
          </c:cat>
          <c:val>
            <c:numRef>
              <c:f>Sheet1!$C$2</c:f>
              <c:numCache>
                <c:formatCode>General</c:formatCode>
                <c:ptCount val="1"/>
                <c:pt idx="0">
                  <c:v>1240.01</c:v>
                </c:pt>
              </c:numCache>
            </c:numRef>
          </c:val>
        </c:ser>
        <c:ser>
          <c:idx val="2"/>
          <c:order val="2"/>
          <c:tx>
            <c:strRef>
              <c:f>Sheet1!$D$1</c:f>
              <c:strCache>
                <c:ptCount val="1"/>
                <c:pt idx="0">
                  <c:v>增减变动比例</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errBars>
            <c:errBarType val="both"/>
            <c:errValType val="stdErr"/>
            <c:noEndCap val="0"/>
            <c:spPr>
              <a:noFill/>
              <a:ln w="9525" cap="flat" cmpd="sng" algn="ctr">
                <a:solidFill>
                  <a:schemeClr val="tx1">
                    <a:lumMod val="65000"/>
                    <a:lumOff val="35000"/>
                  </a:schemeClr>
                </a:solidFill>
                <a:round/>
              </a:ln>
              <a:effectLst/>
            </c:spPr>
          </c:errBars>
          <c:cat>
            <c:strRef>
              <c:f>Sheet1!$A$2</c:f>
              <c:strCache>
                <c:ptCount val="1"/>
                <c:pt idx="0">
                  <c:v>单位：万元</c:v>
                </c:pt>
              </c:strCache>
            </c:strRef>
          </c:cat>
          <c:val>
            <c:numRef>
              <c:f>Sheet1!$D$2</c:f>
              <c:numCache>
                <c:formatCode>0.0%</c:formatCode>
                <c:ptCount val="1"/>
                <c:pt idx="0">
                  <c:v>0.0784106579785647</c:v>
                </c:pt>
              </c:numCache>
            </c:numRef>
          </c:val>
        </c:ser>
        <c:dLbls>
          <c:showLegendKey val="0"/>
          <c:showVal val="1"/>
          <c:showCatName val="0"/>
          <c:showSerName val="0"/>
          <c:showPercent val="0"/>
          <c:showBubbleSize val="0"/>
        </c:dLbls>
        <c:gapWidth val="246"/>
        <c:overlap val="-28"/>
        <c:axId val="24384756"/>
        <c:axId val="711797915"/>
      </c:barChart>
      <c:catAx>
        <c:axId val="24384756"/>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11797915"/>
        <c:crosses val="autoZero"/>
        <c:auto val="1"/>
        <c:lblAlgn val="ctr"/>
        <c:lblOffset val="100"/>
        <c:noMultiLvlLbl val="0"/>
      </c:catAx>
      <c:valAx>
        <c:axId val="711797915"/>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4384756"/>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dTable>
      <c:spPr>
        <a:noFill/>
        <a:ln>
          <a:noFill/>
        </a:ln>
        <a:effectLst/>
      </c:spPr>
    </c:plotArea>
    <c:legend>
      <c:legendPos val="b"/>
      <c:layout>
        <c:manualLayout>
          <c:xMode val="edge"/>
          <c:yMode val="edge"/>
          <c:x val="0.621889345252476"/>
          <c:y val="0.131959201019974"/>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c7c64d50-6a21-4221-abca-695214d28906}"/>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一般公共预算财政拨款支出决算变动情况图</a:t>
            </a: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2025年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类别 1</c:v>
                </c:pt>
              </c:strCache>
            </c:strRef>
          </c:cat>
          <c:val>
            <c:numRef>
              <c:f>Sheet1!$B$2</c:f>
              <c:numCache>
                <c:formatCode>General</c:formatCode>
                <c:ptCount val="1"/>
                <c:pt idx="0">
                  <c:v>1337.24</c:v>
                </c:pt>
              </c:numCache>
            </c:numRef>
          </c:val>
        </c:ser>
        <c:ser>
          <c:idx val="1"/>
          <c:order val="1"/>
          <c:tx>
            <c:strRef>
              <c:f>Sheet1!$C$1</c:f>
              <c:strCache>
                <c:ptCount val="1"/>
                <c:pt idx="0">
                  <c:v>2024年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类别 1</c:v>
                </c:pt>
              </c:strCache>
            </c:strRef>
          </c:cat>
          <c:val>
            <c:numRef>
              <c:f>Sheet1!$C$2</c:f>
              <c:numCache>
                <c:formatCode>General</c:formatCode>
                <c:ptCount val="1"/>
                <c:pt idx="0">
                  <c:v>1240.01</c:v>
                </c:pt>
              </c:numCache>
            </c:numRef>
          </c:val>
        </c:ser>
        <c:ser>
          <c:idx val="2"/>
          <c:order val="2"/>
          <c:tx>
            <c:strRef>
              <c:f>Sheet1!$D$1</c:f>
              <c:strCache>
                <c:ptCount val="1"/>
                <c:pt idx="0">
                  <c:v>增减变动比例</c:v>
                </c:pt>
              </c:strCache>
            </c:strRef>
          </c:tx>
          <c:spPr>
            <a:solidFill>
              <a:schemeClr val="accent3"/>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类别 1</c:v>
                </c:pt>
              </c:strCache>
            </c:strRef>
          </c:cat>
          <c:val>
            <c:numRef>
              <c:f>Sheet1!$D$2</c:f>
              <c:numCache>
                <c:formatCode>0.0%</c:formatCode>
                <c:ptCount val="1"/>
                <c:pt idx="0">
                  <c:v>0.0784106579785647</c:v>
                </c:pt>
              </c:numCache>
            </c:numRef>
          </c:val>
        </c:ser>
        <c:dLbls>
          <c:showLegendKey val="0"/>
          <c:showVal val="1"/>
          <c:showCatName val="0"/>
          <c:showSerName val="0"/>
          <c:showPercent val="0"/>
          <c:showBubbleSize val="0"/>
        </c:dLbls>
        <c:gapWidth val="246"/>
        <c:overlap val="-28"/>
        <c:axId val="578161800"/>
        <c:axId val="791243357"/>
      </c:barChart>
      <c:catAx>
        <c:axId val="578161800"/>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91243357"/>
        <c:crosses val="autoZero"/>
        <c:auto val="1"/>
        <c:lblAlgn val="ctr"/>
        <c:lblOffset val="100"/>
        <c:noMultiLvlLbl val="0"/>
      </c:catAx>
      <c:valAx>
        <c:axId val="791243357"/>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78161800"/>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dTable>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c7a629a-55f1-4e4a-a251-a0da15eed4ba}"/>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一般公共预算财政拨款支出决算结构图</a:t>
            </a:r>
          </a:p>
        </c:rich>
      </c:tx>
      <c:layout/>
      <c:overlay val="0"/>
      <c:spPr>
        <a:noFill/>
        <a:ln>
          <a:noFill/>
        </a:ln>
        <a:effectLst/>
      </c:spPr>
    </c:title>
    <c:autoTitleDeleted val="0"/>
    <c:plotArea>
      <c:layout/>
      <c:pieChart>
        <c:varyColors val="1"/>
        <c:ser>
          <c:idx val="0"/>
          <c:order val="0"/>
          <c:tx>
            <c:strRef>
              <c:f>Sheet1!$B$1</c:f>
              <c:strCache>
                <c:ptCount val="1"/>
                <c:pt idx="0">
                  <c:v>销售额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1067.9</a:t>
                    </a:r>
                    <a:r>
                      <a:rPr lang="en-US" altLang="zh-CN"/>
                      <a:t>5</a:t>
                    </a:r>
                    <a:r>
                      <a:t>万元</a:t>
                    </a:r>
                  </a:p>
                </c:rich>
              </c:tx>
              <c:dLblPos val="bestFit"/>
              <c:showLegendKey val="0"/>
              <c:showVal val="1"/>
              <c:showCatName val="0"/>
              <c:showSerName val="0"/>
              <c:showPercent val="0"/>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136.13万元</a:t>
                    </a:r>
                  </a:p>
                </c:rich>
              </c:tx>
              <c:dLblPos val="bestFit"/>
              <c:showLegendKey val="0"/>
              <c:showVal val="1"/>
              <c:showCatName val="0"/>
              <c:showSerName val="0"/>
              <c:showPercent val="0"/>
              <c:showBubbleSize val="0"/>
              <c:extLst>
                <c:ext xmlns:c15="http://schemas.microsoft.com/office/drawing/2012/chart" uri="{CE6537A1-D6FC-4f65-9D91-7224C49458BB}"/>
              </c:extLst>
            </c:dLbl>
            <c:dLbl>
              <c:idx val="2"/>
              <c:layout>
                <c:manualLayout>
                  <c:x val="-0.00606752380454376"/>
                  <c:y val="0.0205660655506533"/>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55.26万元</a:t>
                    </a:r>
                  </a:p>
                </c:rich>
              </c:tx>
              <c:dLblPos val="bestFit"/>
              <c:showLegendKey val="0"/>
              <c:showVal val="1"/>
              <c:showCatName val="0"/>
              <c:showSerName val="0"/>
              <c:showPercent val="0"/>
              <c:showBubbleSize val="0"/>
              <c:extLst>
                <c:ext xmlns:c15="http://schemas.microsoft.com/office/drawing/2012/chart" uri="{CE6537A1-D6FC-4f65-9D91-7224C49458BB}">
                  <c15:layout/>
                </c:ext>
              </c:extLst>
            </c:dLbl>
            <c:dLbl>
              <c:idx val="3"/>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77.91万元</a:t>
                    </a:r>
                  </a:p>
                </c:rich>
              </c:tx>
              <c:dLblPos val="bestFi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一般公共服务支出</c:v>
                </c:pt>
                <c:pt idx="1">
                  <c:v>社会保障和就业支出</c:v>
                </c:pt>
                <c:pt idx="2">
                  <c:v>卫生健康支出</c:v>
                </c:pt>
                <c:pt idx="3">
                  <c:v>住房保障支出</c:v>
                </c:pt>
              </c:strCache>
            </c:strRef>
          </c:cat>
          <c:val>
            <c:numRef>
              <c:f>Sheet1!$B$2:$B$5</c:f>
              <c:numCache>
                <c:formatCode>General</c:formatCode>
                <c:ptCount val="4"/>
                <c:pt idx="0">
                  <c:v>1067.95</c:v>
                </c:pt>
                <c:pt idx="1">
                  <c:v>136.13</c:v>
                </c:pt>
                <c:pt idx="2">
                  <c:v>55.26</c:v>
                </c:pt>
                <c:pt idx="3">
                  <c:v>77.91</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c2f15b7e-5257-44ff-9170-0054c29f825d}"/>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财政拨款</a:t>
            </a:r>
            <a:r>
              <a:rPr lang="en-US" altLang="zh-CN"/>
              <a:t>“</a:t>
            </a:r>
            <a:r>
              <a:rPr altLang="en-US"/>
              <a:t>三公</a:t>
            </a:r>
            <a:r>
              <a:rPr lang="en-US" altLang="zh-CN"/>
              <a:t>”</a:t>
            </a:r>
            <a:r>
              <a:rPr altLang="en-US"/>
              <a:t>经费支出结构图</a:t>
            </a:r>
            <a:endParaRPr altLang="en-US"/>
          </a:p>
        </c:rich>
      </c:tx>
      <c:layout/>
      <c:overlay val="0"/>
      <c:spPr>
        <a:noFill/>
        <a:ln>
          <a:noFill/>
        </a:ln>
        <a:effectLst/>
      </c:spPr>
    </c:title>
    <c:autoTitleDeleted val="0"/>
    <c:plotArea>
      <c:layout/>
      <c:pieChart>
        <c:varyColors val="1"/>
        <c:ser>
          <c:idx val="0"/>
          <c:order val="0"/>
          <c:tx>
            <c:strRef>
              <c:f>Sheet1!$B$1</c:f>
              <c:strCache>
                <c:ptCount val="1"/>
                <c:pt idx="0">
                  <c:v>销售额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0万元</a:t>
                    </a:r>
                  </a:p>
                </c:rich>
              </c:tx>
              <c:dLblPos val="inEnd"/>
              <c:showLegendKey val="0"/>
              <c:showVal val="0"/>
              <c:showCatName val="0"/>
              <c:showSerName val="0"/>
              <c:showPercent val="1"/>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139.51</a:t>
                    </a:r>
                    <a:r>
                      <a:rPr altLang="zh-CN"/>
                      <a:t>万元</a:t>
                    </a:r>
                    <a:endParaRPr altLang="zh-CN"/>
                  </a:p>
                </c:rich>
              </c:tx>
              <c:dLblPos val="inEnd"/>
              <c:showLegendKey val="0"/>
              <c:showVal val="0"/>
              <c:showCatName val="0"/>
              <c:showSerName val="0"/>
              <c:showPercent val="1"/>
              <c:showBubbleSize val="0"/>
              <c:extLst>
                <c:ext xmlns:c15="http://schemas.microsoft.com/office/drawing/2012/chart" uri="{CE6537A1-D6FC-4f65-9D91-7224C49458BB}"/>
              </c:extLst>
            </c:dLbl>
            <c:dLbl>
              <c:idx val="2"/>
              <c:delete val="1"/>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因公出国（境）经费支出</c:v>
                </c:pt>
                <c:pt idx="1">
                  <c:v>公务用车购置及运行维护费支出</c:v>
                </c:pt>
                <c:pt idx="2">
                  <c:v>公务接待费</c:v>
                </c:pt>
              </c:strCache>
            </c:strRef>
          </c:cat>
          <c:val>
            <c:numRef>
              <c:f>Sheet1!$B$2:$B$4</c:f>
              <c:numCache>
                <c:formatCode>General</c:formatCode>
                <c:ptCount val="3"/>
                <c:pt idx="0">
                  <c:v>0</c:v>
                </c:pt>
                <c:pt idx="1">
                  <c:v>139.51</c:v>
                </c:pt>
                <c:pt idx="2">
                  <c:v>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d4099fa-2d15-4375-ba16-2ed5e46cd972}"/>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word/theme/themeOverride1.xml><?xml version="1.0" encoding="utf-8"?>
<a:themeOverride xmlns:a="http://schemas.openxmlformats.org/drawingml/2006/main">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Pages>34</Pages>
  <Words>9635</Words>
  <Characters>10227</Characters>
  <TotalTime>230</TotalTime>
  <ScaleCrop>false</ScaleCrop>
  <LinksUpToDate>false</LinksUpToDate>
  <CharactersWithSpaces>10305</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2018-11-27T01:47:00Z</dcterms:created>
  <dc:creator>user</dc:creator>
  <cp:lastModifiedBy>蔻蔻</cp:lastModifiedBy>
  <cp:lastPrinted>2026-09-07T03:54:38Z</cp:lastPrinted>
  <dcterms:modified xsi:type="dcterms:W3CDTF">2026-09-07T07:09:08Z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9A0A4DA5CA014223AFC28945102C603F_13</vt:lpwstr>
  </property>
  <property fmtid="{D5CDD505-2E9C-101B-9397-08002B2CF9AE}" pid="4" name="KSOTemplateDocerSaveRecord">
    <vt:lpwstr>eyJoZGlkIjoiMjIxNDI3ODFjYmY4Y2Y5MjgwZGVkYTMyNDBlNWQzOWIiLCJ1c2VySWQiOiI1OTk0MDM5NjkifQ==</vt:lpwstr>
  </property>
</Properties>
</file>