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8AE1D">
      <w:pPr>
        <w:pStyle w:val="6"/>
        <w:jc w:val="center"/>
        <w:rPr>
          <w:rFonts w:hint="eastAsia" w:ascii="方正小标宋简体" w:hAnsi="宋体" w:eastAsia="方正小标宋简体" w:cs="Times New Roman"/>
          <w:color w:val="auto"/>
          <w:kern w:val="2"/>
          <w:sz w:val="44"/>
          <w:szCs w:val="44"/>
          <w:highlight w:val="none"/>
          <w:lang w:val="en-US" w:eastAsia="zh-CN" w:bidi="ar-SA"/>
        </w:rPr>
      </w:pPr>
    </w:p>
    <w:p w14:paraId="2F1F7576">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w:t>
      </w:r>
    </w:p>
    <w:p w14:paraId="2E32E6C0">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茂县国防动员事务中心单位决算</w:t>
      </w:r>
    </w:p>
    <w:p w14:paraId="78D6172F">
      <w:pPr>
        <w:widowControl/>
        <w:jc w:val="center"/>
        <w:rPr>
          <w:rFonts w:ascii="方正小标宋简体" w:hAnsi="宋体" w:eastAsia="方正小标宋简体"/>
          <w:color w:val="auto"/>
          <w:sz w:val="36"/>
          <w:szCs w:val="36"/>
          <w:highlight w:val="none"/>
        </w:rPr>
      </w:pPr>
    </w:p>
    <w:p w14:paraId="446C374E">
      <w:pPr>
        <w:widowControl/>
        <w:jc w:val="center"/>
        <w:rPr>
          <w:rFonts w:ascii="方正小标宋简体" w:hAnsi="宋体" w:eastAsia="方正小标宋简体"/>
          <w:color w:val="auto"/>
          <w:sz w:val="36"/>
          <w:szCs w:val="36"/>
          <w:highlight w:val="none"/>
        </w:rPr>
      </w:pPr>
    </w:p>
    <w:p w14:paraId="10082E36">
      <w:pPr>
        <w:widowControl/>
        <w:jc w:val="center"/>
        <w:rPr>
          <w:rFonts w:ascii="方正小标宋简体" w:hAnsi="宋体" w:eastAsia="方正小标宋简体"/>
          <w:color w:val="auto"/>
          <w:sz w:val="36"/>
          <w:szCs w:val="36"/>
          <w:highlight w:val="none"/>
        </w:rPr>
      </w:pPr>
    </w:p>
    <w:p w14:paraId="515726CF">
      <w:pPr>
        <w:widowControl/>
        <w:jc w:val="center"/>
        <w:rPr>
          <w:rFonts w:ascii="方正小标宋简体" w:hAnsi="宋体" w:eastAsia="方正小标宋简体"/>
          <w:color w:val="auto"/>
          <w:sz w:val="36"/>
          <w:szCs w:val="36"/>
          <w:highlight w:val="none"/>
        </w:rPr>
      </w:pPr>
    </w:p>
    <w:p w14:paraId="494C2C6C">
      <w:pPr>
        <w:widowControl/>
        <w:jc w:val="center"/>
        <w:rPr>
          <w:rFonts w:ascii="方正小标宋简体" w:hAnsi="宋体" w:eastAsia="方正小标宋简体"/>
          <w:color w:val="auto"/>
          <w:sz w:val="36"/>
          <w:szCs w:val="36"/>
          <w:highlight w:val="none"/>
        </w:rPr>
      </w:pPr>
    </w:p>
    <w:p w14:paraId="39745FC7">
      <w:pPr>
        <w:widowControl/>
        <w:jc w:val="center"/>
        <w:rPr>
          <w:rFonts w:ascii="方正小标宋简体" w:hAnsi="宋体" w:eastAsia="方正小标宋简体"/>
          <w:color w:val="auto"/>
          <w:sz w:val="36"/>
          <w:szCs w:val="36"/>
          <w:highlight w:val="none"/>
        </w:rPr>
      </w:pPr>
    </w:p>
    <w:p w14:paraId="12F78733">
      <w:pPr>
        <w:widowControl/>
        <w:jc w:val="center"/>
        <w:rPr>
          <w:rFonts w:ascii="方正小标宋简体" w:hAnsi="宋体" w:eastAsia="方正小标宋简体"/>
          <w:color w:val="auto"/>
          <w:sz w:val="36"/>
          <w:szCs w:val="36"/>
          <w:highlight w:val="none"/>
        </w:rPr>
      </w:pPr>
    </w:p>
    <w:p w14:paraId="69FA9EA9">
      <w:pPr>
        <w:widowControl/>
        <w:jc w:val="center"/>
        <w:rPr>
          <w:rFonts w:ascii="方正小标宋简体" w:hAnsi="宋体" w:eastAsia="方正小标宋简体"/>
          <w:color w:val="auto"/>
          <w:sz w:val="36"/>
          <w:szCs w:val="36"/>
          <w:highlight w:val="none"/>
        </w:rPr>
      </w:pPr>
    </w:p>
    <w:p w14:paraId="17725594">
      <w:pPr>
        <w:widowControl/>
        <w:jc w:val="center"/>
        <w:rPr>
          <w:rFonts w:ascii="方正小标宋简体" w:hAnsi="宋体" w:eastAsia="方正小标宋简体"/>
          <w:color w:val="auto"/>
          <w:sz w:val="36"/>
          <w:szCs w:val="36"/>
          <w:highlight w:val="none"/>
        </w:rPr>
      </w:pPr>
    </w:p>
    <w:p w14:paraId="559FEEB7">
      <w:pPr>
        <w:widowControl/>
        <w:jc w:val="center"/>
        <w:rPr>
          <w:rFonts w:ascii="方正小标宋简体" w:hAnsi="宋体" w:eastAsia="方正小标宋简体"/>
          <w:color w:val="auto"/>
          <w:sz w:val="36"/>
          <w:szCs w:val="36"/>
          <w:highlight w:val="none"/>
        </w:rPr>
      </w:pPr>
    </w:p>
    <w:p w14:paraId="51C75CB7">
      <w:pPr>
        <w:widowControl/>
        <w:jc w:val="center"/>
        <w:rPr>
          <w:rFonts w:ascii="方正小标宋简体" w:hAnsi="宋体" w:eastAsia="方正小标宋简体"/>
          <w:color w:val="auto"/>
          <w:sz w:val="36"/>
          <w:szCs w:val="36"/>
          <w:highlight w:val="none"/>
        </w:rPr>
      </w:pPr>
    </w:p>
    <w:p w14:paraId="081458DD">
      <w:pPr>
        <w:widowControl/>
        <w:jc w:val="center"/>
        <w:rPr>
          <w:rFonts w:ascii="方正小标宋简体" w:hAnsi="宋体" w:eastAsia="方正小标宋简体"/>
          <w:color w:val="auto"/>
          <w:sz w:val="36"/>
          <w:szCs w:val="36"/>
          <w:highlight w:val="none"/>
        </w:rPr>
      </w:pPr>
    </w:p>
    <w:p w14:paraId="7C23DDC0">
      <w:pPr>
        <w:widowControl/>
        <w:jc w:val="center"/>
        <w:rPr>
          <w:rFonts w:ascii="方正小标宋简体" w:hAnsi="宋体" w:eastAsia="方正小标宋简体"/>
          <w:color w:val="auto"/>
          <w:sz w:val="36"/>
          <w:szCs w:val="36"/>
          <w:highlight w:val="none"/>
        </w:rPr>
      </w:pPr>
    </w:p>
    <w:p w14:paraId="322BD603">
      <w:pPr>
        <w:widowControl/>
        <w:jc w:val="center"/>
        <w:rPr>
          <w:rFonts w:ascii="方正小标宋简体" w:hAnsi="宋体" w:eastAsia="方正小标宋简体"/>
          <w:color w:val="auto"/>
          <w:sz w:val="36"/>
          <w:szCs w:val="36"/>
          <w:highlight w:val="none"/>
        </w:rPr>
      </w:pPr>
    </w:p>
    <w:p w14:paraId="7675C054">
      <w:pPr>
        <w:widowControl/>
        <w:jc w:val="center"/>
        <w:rPr>
          <w:rFonts w:ascii="方正小标宋简体" w:hAnsi="宋体" w:eastAsia="方正小标宋简体"/>
          <w:color w:val="auto"/>
          <w:sz w:val="36"/>
          <w:szCs w:val="36"/>
          <w:highlight w:val="none"/>
        </w:rPr>
      </w:pPr>
    </w:p>
    <w:p w14:paraId="45D28CC8">
      <w:pPr>
        <w:widowControl/>
        <w:jc w:val="center"/>
        <w:rPr>
          <w:rFonts w:ascii="方正小标宋简体" w:hAnsi="宋体" w:eastAsia="方正小标宋简体"/>
          <w:color w:val="auto"/>
          <w:sz w:val="36"/>
          <w:szCs w:val="36"/>
          <w:highlight w:val="none"/>
        </w:rPr>
      </w:pPr>
    </w:p>
    <w:p w14:paraId="40231193">
      <w:pPr>
        <w:keepNext w:val="0"/>
        <w:keepLines w:val="0"/>
        <w:widowControl/>
        <w:suppressLineNumbers w:val="0"/>
        <w:jc w:val="left"/>
      </w:pPr>
      <w:r>
        <w:rPr>
          <w:rFonts w:hint="default" w:ascii="Times New Roman" w:hAnsi="Times New Roman" w:eastAsia="宋体" w:cs="Times New Roman"/>
          <w:color w:val="000000"/>
          <w:kern w:val="0"/>
          <w:sz w:val="20"/>
          <w:szCs w:val="20"/>
          <w:lang w:val="en-US" w:eastAsia="zh-CN" w:bidi="ar"/>
        </w:rPr>
        <w:t>(</w:t>
      </w:r>
      <w:r>
        <w:rPr>
          <w:rFonts w:ascii="FZFangSong-Z02S" w:hAnsi="FZFangSong-Z02S" w:eastAsia="FZFangSong-Z02S" w:cs="FZFangSong-Z02S"/>
          <w:color w:val="000000"/>
          <w:kern w:val="0"/>
          <w:sz w:val="20"/>
          <w:szCs w:val="20"/>
          <w:lang w:val="en-US" w:eastAsia="zh-CN" w:bidi="ar"/>
        </w:rPr>
        <w:t>注：决算情况说明按决算公开表取数，以</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万元</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 xml:space="preserve">为金额单位，保留两位小数，报表金额单 </w:t>
      </w:r>
    </w:p>
    <w:p w14:paraId="5CD6E10D">
      <w:pPr>
        <w:keepNext w:val="0"/>
        <w:keepLines w:val="0"/>
        <w:widowControl/>
        <w:suppressLineNumbers w:val="0"/>
        <w:jc w:val="left"/>
      </w:pPr>
      <w:r>
        <w:rPr>
          <w:rFonts w:hint="default" w:ascii="FZFangSong-Z02S" w:hAnsi="FZFangSong-Z02S" w:eastAsia="FZFangSong-Z02S" w:cs="FZFangSong-Z02S"/>
          <w:color w:val="000000"/>
          <w:kern w:val="0"/>
          <w:sz w:val="20"/>
          <w:szCs w:val="20"/>
          <w:lang w:val="en-US" w:eastAsia="zh-CN" w:bidi="ar"/>
        </w:rPr>
        <w:t>位转换时可能存在尾数误差。</w:t>
      </w:r>
      <w:r>
        <w:rPr>
          <w:rFonts w:hint="default" w:ascii="Times New Roman" w:hAnsi="Times New Roman" w:eastAsia="宋体" w:cs="Times New Roman"/>
          <w:color w:val="000000"/>
          <w:kern w:val="0"/>
          <w:sz w:val="20"/>
          <w:szCs w:val="20"/>
          <w:lang w:val="en-US" w:eastAsia="zh-CN" w:bidi="ar"/>
        </w:rPr>
        <w:t>)</w:t>
      </w:r>
    </w:p>
    <w:p w14:paraId="758A11B6">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07095CDD">
      <w:pPr>
        <w:widowControl/>
        <w:jc w:val="center"/>
        <w:rPr>
          <w:rFonts w:ascii="黑体" w:hAnsi="黑体" w:eastAsia="黑体" w:cs="Times New Roman"/>
          <w:color w:val="auto"/>
          <w:sz w:val="28"/>
          <w:szCs w:val="28"/>
          <w:highlight w:val="none"/>
        </w:rPr>
      </w:pPr>
    </w:p>
    <w:p w14:paraId="0E719B38">
      <w:pPr>
        <w:pStyle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p>
    <w:p w14:paraId="19C6682B">
      <w:pPr>
        <w:rPr>
          <w:color w:val="auto"/>
          <w:highlight w:val="none"/>
        </w:rPr>
      </w:pPr>
    </w:p>
    <w:p w14:paraId="52E5D19F">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_Toc14215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 xml:space="preserve">第一部分 </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bCs w:val="0"/>
          <w:sz w:val="32"/>
          <w:szCs w:val="32"/>
          <w:highlight w:val="none"/>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_Toc14215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23DCEA0">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_Toc23654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 xml:space="preserve">一、 </w:t>
      </w:r>
      <w:r>
        <w:rPr>
          <w:rFonts w:hint="eastAsia" w:ascii="仿宋_GB2312" w:hAnsi="仿宋_GB2312" w:eastAsia="仿宋_GB2312" w:cs="仿宋_GB2312"/>
          <w:bCs w:val="0"/>
          <w:sz w:val="32"/>
          <w:szCs w:val="32"/>
          <w:highlight w:val="none"/>
          <w:lang w:eastAsia="zh-CN"/>
        </w:rPr>
        <w:t>主要职责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_Toc23654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18A891">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_Toc8051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val="en-US" w:eastAsia="zh-CN"/>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_Toc8051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D15F991">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_Toc28988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highlight w:val="none"/>
        </w:rPr>
        <w:t xml:space="preserve">第二部分 </w:t>
      </w:r>
      <w:r>
        <w:rPr>
          <w:rFonts w:hint="eastAsia" w:ascii="仿宋_GB2312" w:hAnsi="仿宋_GB2312" w:eastAsia="仿宋_GB2312" w:cs="仿宋_GB2312"/>
          <w:bCs/>
          <w:sz w:val="32"/>
          <w:szCs w:val="32"/>
          <w:highlight w:val="none"/>
          <w:lang w:val="en-US" w:eastAsia="zh-CN"/>
        </w:rPr>
        <w:t>2025年度</w:t>
      </w:r>
      <w:r>
        <w:rPr>
          <w:rFonts w:hint="eastAsia" w:ascii="仿宋_GB2312" w:hAnsi="仿宋_GB2312" w:eastAsia="仿宋_GB2312" w:cs="仿宋_GB2312"/>
          <w:bCs/>
          <w:sz w:val="32"/>
          <w:szCs w:val="32"/>
          <w:highlight w:val="none"/>
          <w:lang w:eastAsia="zh-CN"/>
        </w:rPr>
        <w:t>单位</w:t>
      </w:r>
      <w:r>
        <w:rPr>
          <w:rFonts w:hint="eastAsia" w:ascii="仿宋_GB2312" w:hAnsi="仿宋_GB2312" w:eastAsia="仿宋_GB2312" w:cs="仿宋_GB2312"/>
          <w:bCs/>
          <w:sz w:val="32"/>
          <w:szCs w:val="32"/>
          <w:highlight w:val="none"/>
        </w:rPr>
        <w:t>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_Toc28988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6FDD35F">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_Toc23366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_Toc23366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777D42">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_Toc11880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_Toc11880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3AF2FAC">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81623A">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_Toc10949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5DF32D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D24DF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_Toc17163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_Toc17163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7284FA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3F08FAD">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_Toc26534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857455A">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_Toc13493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_Toc13493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7DB41A4">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_Toc25295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_Toc25295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3629014">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_Toc28513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第三部分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_Toc28513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47F83F">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_Toc16639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_Toc16639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B68F74">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F2A861E">
      <w:pPr>
        <w:rPr>
          <w:rFonts w:ascii="仿宋" w:hAnsi="仿宋" w:eastAsia="仿宋"/>
          <w:bCs/>
          <w:color w:val="auto"/>
          <w:kern w:val="44"/>
          <w:sz w:val="24"/>
          <w:highlight w:val="none"/>
        </w:rPr>
      </w:pPr>
      <w:r>
        <w:rPr>
          <w:rFonts w:hint="eastAsia" w:ascii="仿宋_GB2312" w:hAnsi="仿宋_GB2312" w:eastAsia="仿宋_GB2312" w:cs="仿宋_GB2312"/>
          <w:sz w:val="32"/>
          <w:szCs w:val="32"/>
        </w:rPr>
        <w:fldChar w:fldCharType="end"/>
      </w:r>
    </w:p>
    <w:p w14:paraId="39D349F6">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bookmarkStart w:id="0" w:name="_Toc14215"/>
      <w:r>
        <w:rPr>
          <w:rFonts w:hint="eastAsia" w:ascii="方正小标宋简体" w:hAnsi="方正小标宋简体" w:eastAsia="方正小标宋简体" w:cs="方正小标宋简体"/>
          <w:color w:val="auto"/>
          <w:sz w:val="44"/>
          <w:szCs w:val="44"/>
          <w:highlight w:val="none"/>
        </w:rPr>
        <w:t xml:space="preserve">第一部分 </w:t>
      </w:r>
      <w:r>
        <w:rPr>
          <w:rFonts w:hint="eastAsia" w:ascii="方正小标宋简体" w:hAnsi="方正小标宋简体" w:eastAsia="方正小标宋简体" w:cs="方正小标宋简体"/>
          <w:color w:val="auto"/>
          <w:sz w:val="44"/>
          <w:szCs w:val="44"/>
          <w:highlight w:val="none"/>
          <w:lang w:eastAsia="zh-CN"/>
        </w:rPr>
        <w:t>单位</w:t>
      </w:r>
      <w:r>
        <w:rPr>
          <w:rFonts w:hint="eastAsia" w:ascii="方正小标宋简体" w:hAnsi="方正小标宋简体" w:eastAsia="方正小标宋简体" w:cs="方正小标宋简体"/>
          <w:color w:val="auto"/>
          <w:sz w:val="44"/>
          <w:szCs w:val="44"/>
          <w:highlight w:val="none"/>
        </w:rPr>
        <w:t>概况</w:t>
      </w:r>
      <w:bookmarkEnd w:id="0"/>
    </w:p>
    <w:p w14:paraId="65E5AC35">
      <w:pPr>
        <w:pStyle w:val="2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 w:name="_Toc23654"/>
      <w:r>
        <w:rPr>
          <w:rFonts w:hint="eastAsia" w:ascii="Times New Roman" w:hAnsi="Times New Roman" w:eastAsia="黑体"/>
          <w:color w:val="auto"/>
          <w:sz w:val="32"/>
          <w:szCs w:val="32"/>
          <w:highlight w:val="none"/>
          <w:lang w:eastAsia="zh-CN"/>
        </w:rPr>
        <w:t>一、主要职责</w:t>
      </w:r>
      <w:bookmarkEnd w:id="1"/>
    </w:p>
    <w:p w14:paraId="7D9A7879">
      <w:pPr>
        <w:pageBreakBefore w:val="0"/>
        <w:widowControl w:val="0"/>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bookmarkStart w:id="2" w:name="_Toc8051"/>
      <w:r>
        <w:rPr>
          <w:rFonts w:hint="eastAsia" w:ascii="仿宋_GB2312" w:eastAsia="仿宋_GB2312"/>
          <w:sz w:val="32"/>
          <w:szCs w:val="32"/>
          <w:lang w:val="en-US" w:eastAsia="zh-CN"/>
        </w:rPr>
        <w:t>1.</w:t>
      </w:r>
      <w:r>
        <w:rPr>
          <w:rFonts w:hint="eastAsia" w:ascii="仿宋_GB2312" w:eastAsia="仿宋_GB2312"/>
          <w:sz w:val="32"/>
          <w:szCs w:val="32"/>
        </w:rPr>
        <w:t>贯彻执行人民防空工作的方针、政策；拟定与国家法律法规相配套的与本县人防工作相适应的规范性文件，经批准后组织实施 。</w:t>
      </w:r>
    </w:p>
    <w:p w14:paraId="4FD8AAD1">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根据本县国民经济和社会发展计划以及国防建设需要，编制本县人民防空事业发展规划和年度计划，经批准后组织实</w:t>
      </w:r>
      <w:r>
        <w:rPr>
          <w:rFonts w:hint="eastAsia" w:ascii="仿宋_GB2312" w:eastAsia="仿宋_GB2312"/>
          <w:sz w:val="32"/>
          <w:szCs w:val="32"/>
          <w:lang w:eastAsia="zh-CN"/>
        </w:rPr>
        <w:t>施</w:t>
      </w:r>
      <w:r>
        <w:rPr>
          <w:rFonts w:hint="eastAsia" w:ascii="仿宋_GB2312" w:eastAsia="仿宋_GB2312"/>
          <w:sz w:val="32"/>
          <w:szCs w:val="32"/>
        </w:rPr>
        <w:t xml:space="preserve">。   </w:t>
      </w:r>
    </w:p>
    <w:p w14:paraId="65880B0C">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制定和实施人民防空建设与城市建设相结合的规划，对城市重要经济目标防护措施的落实进行监督检查。</w:t>
      </w:r>
    </w:p>
    <w:p w14:paraId="205A327C">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开展人民防空组织指挥工作，组织制定、修改落实本县《城市防空袭方案》和各种保障计划；组织指导有关部门和单位组建训练各种人防专业队伍并适时实施演练。</w:t>
      </w:r>
    </w:p>
    <w:p w14:paraId="5A4C2F68">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负责制定本县人民防空通信、警报建设规划，组织人民防空通信、警报网的建设和管理；协调有关部门保障人民防空通信和警报建设。</w:t>
      </w:r>
    </w:p>
    <w:p w14:paraId="753CBF37">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cs="仿宋_GB2312"/>
          <w:b w:val="0"/>
          <w:bCs/>
          <w:color w:val="000000"/>
          <w:sz w:val="32"/>
          <w:szCs w:val="32"/>
          <w:lang w:val="en-US" w:eastAsia="zh-CN"/>
        </w:rPr>
        <w:t>6.</w:t>
      </w:r>
      <w:r>
        <w:rPr>
          <w:rFonts w:hint="eastAsia" w:ascii="仿宋_GB2312" w:eastAsia="仿宋_GB2312"/>
          <w:sz w:val="32"/>
          <w:szCs w:val="32"/>
        </w:rPr>
        <w:t>制定本县人民防空工程建设并按照国家要求的防护等级、标准、建设程序修建人民防空指挥工程、公用的人员掩蔽工程和疏散干道工程。负责本县结合民用建筑防空地下室建设项目的图纸审定、建设指导、竣工验收和人防易地建设费收取工作。</w:t>
      </w:r>
    </w:p>
    <w:p w14:paraId="7F21C6E8">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highlight w:val="none"/>
        </w:rPr>
      </w:pPr>
      <w:r>
        <w:rPr>
          <w:rFonts w:hint="eastAsia" w:ascii="仿宋_GB2312" w:eastAsia="仿宋_GB2312" w:cs="仿宋_GB2312"/>
          <w:b w:val="0"/>
          <w:bCs/>
          <w:color w:val="000000"/>
          <w:sz w:val="32"/>
          <w:szCs w:val="32"/>
          <w:lang w:val="en-US" w:eastAsia="zh-CN"/>
        </w:rPr>
        <w:t>7.</w:t>
      </w:r>
      <w:r>
        <w:rPr>
          <w:rFonts w:hint="eastAsia" w:ascii="仿宋_GB2312" w:eastAsia="仿宋_GB2312"/>
          <w:sz w:val="32"/>
          <w:szCs w:val="32"/>
          <w:highlight w:val="none"/>
        </w:rPr>
        <w:t>对公共人民防空工程实施加固、改造和维护管理，对单位人民防空工作维护管理实施监督检查。制定并实施本县人民防空整体平战结合发展规划，努力提高人防建设的战</w:t>
      </w:r>
      <w:r>
        <w:rPr>
          <w:rFonts w:hint="eastAsia" w:ascii="仿宋_GB2312" w:eastAsia="仿宋_GB2312"/>
          <w:sz w:val="32"/>
          <w:szCs w:val="32"/>
          <w:highlight w:val="none"/>
          <w:lang w:eastAsia="zh-CN"/>
        </w:rPr>
        <w:t>备</w:t>
      </w:r>
      <w:r>
        <w:rPr>
          <w:rFonts w:hint="eastAsia" w:ascii="仿宋_GB2312" w:eastAsia="仿宋_GB2312"/>
          <w:sz w:val="32"/>
          <w:szCs w:val="32"/>
          <w:highlight w:val="none"/>
        </w:rPr>
        <w:t>、社会、经济效益。</w:t>
      </w:r>
    </w:p>
    <w:p w14:paraId="13CE3C25">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依法落实国家有关人防建设的政策规定；依法保护人民防空的设备设施；依法禁止和查处违反人民防空法律法规的行为。</w:t>
      </w:r>
    </w:p>
    <w:p w14:paraId="04F8F61A">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cs="仿宋_GB2312"/>
          <w:b w:val="0"/>
          <w:bCs/>
          <w:color w:val="000000"/>
          <w:sz w:val="32"/>
          <w:szCs w:val="32"/>
          <w:lang w:val="en-US" w:eastAsia="zh-CN"/>
        </w:rPr>
        <w:t>9.</w:t>
      </w:r>
      <w:r>
        <w:rPr>
          <w:rFonts w:hint="eastAsia" w:ascii="仿宋_GB2312" w:eastAsia="仿宋_GB2312"/>
          <w:sz w:val="32"/>
          <w:szCs w:val="32"/>
        </w:rPr>
        <w:t>组织开展人民防空宣传教育，制定本县人民防空教育计划，会同有关部门组织人民防空教育计划的实施，普及人民防空基本知识，提高人民防空基本技能；组织人民防空理论和科学研究。</w:t>
      </w:r>
    </w:p>
    <w:p w14:paraId="04DB0A0B">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cs="仿宋_GB2312"/>
          <w:b w:val="0"/>
          <w:bCs/>
          <w:color w:val="000000"/>
          <w:sz w:val="32"/>
          <w:szCs w:val="32"/>
          <w:lang w:val="en-US" w:eastAsia="zh-CN"/>
        </w:rPr>
        <w:t>10.</w:t>
      </w:r>
      <w:r>
        <w:rPr>
          <w:rFonts w:hint="eastAsia" w:ascii="仿宋_GB2312" w:eastAsia="仿宋_GB2312"/>
          <w:sz w:val="32"/>
          <w:szCs w:val="32"/>
        </w:rPr>
        <w:t>负责人民防空经费、物资、资产的计划、安排和管理。</w:t>
      </w:r>
    </w:p>
    <w:p w14:paraId="1E7D7537">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cs="仿宋_GB2312"/>
          <w:b w:val="0"/>
          <w:bCs/>
          <w:color w:val="000000"/>
          <w:sz w:val="32"/>
          <w:szCs w:val="32"/>
          <w:lang w:val="en-US" w:eastAsia="zh-CN"/>
        </w:rPr>
        <w:t>11.</w:t>
      </w:r>
      <w:r>
        <w:rPr>
          <w:rFonts w:hint="eastAsia" w:ascii="仿宋_GB2312" w:eastAsia="仿宋_GB2312"/>
          <w:sz w:val="32"/>
          <w:szCs w:val="32"/>
        </w:rPr>
        <w:t>战时负责发放空袭警服和组织实施灯火管制，组织指挥人民防空疏散和掩蔽，配合要地防空和城市保卫作战，协助有关部门做好生活供应和其它保障工作，组织消除空袭后果，协助有关部门恢复正常的生产和生活秩序。</w:t>
      </w:r>
    </w:p>
    <w:p w14:paraId="2678FE38">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adjustRightInd/>
        <w:snapToGrid/>
        <w:spacing w:line="576" w:lineRule="exact"/>
        <w:ind w:firstLine="640" w:firstLineChars="200"/>
        <w:rPr>
          <w:rFonts w:ascii="仿宋_GB2312" w:eastAsia="仿宋_GB2312"/>
          <w:sz w:val="32"/>
          <w:szCs w:val="32"/>
        </w:rPr>
      </w:pPr>
      <w:r>
        <w:rPr>
          <w:rFonts w:hint="eastAsia" w:ascii="仿宋_GB2312" w:eastAsia="仿宋_GB2312" w:cs="仿宋_GB2312"/>
          <w:b w:val="0"/>
          <w:bCs/>
          <w:color w:val="000000"/>
          <w:sz w:val="32"/>
          <w:szCs w:val="32"/>
          <w:lang w:val="en-US" w:eastAsia="zh-CN"/>
        </w:rPr>
        <w:t>12.</w:t>
      </w:r>
      <w:r>
        <w:rPr>
          <w:rFonts w:hint="eastAsia" w:ascii="仿宋_GB2312" w:eastAsia="仿宋_GB2312"/>
          <w:sz w:val="32"/>
          <w:szCs w:val="32"/>
        </w:rPr>
        <w:t>承办县委、县政府、县国防动员委员会和上级人防部门交办的其它事项。</w:t>
      </w:r>
    </w:p>
    <w:p w14:paraId="3B27464B">
      <w:pPr>
        <w:pStyle w:val="2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二、机构设置</w:t>
      </w:r>
      <w:bookmarkEnd w:id="2"/>
    </w:p>
    <w:p w14:paraId="158930CC">
      <w:pPr>
        <w:pageBreakBefore w:val="0"/>
        <w:widowControl w:val="0"/>
        <w:pBdr>
          <w:top w:val="none" w:color="auto" w:sz="0" w:space="0"/>
          <w:left w:val="none" w:color="auto" w:sz="0" w:space="0"/>
          <w:bottom w:val="none" w:color="auto" w:sz="0" w:space="0"/>
          <w:right w:val="none" w:color="auto" w:sz="0" w:space="0"/>
        </w:pBdr>
        <w:suppressAutoHyphens/>
        <w:kinsoku/>
        <w:wordWrap/>
        <w:overflowPunct/>
        <w:topLinePunct w:val="0"/>
        <w:autoSpaceDE/>
        <w:autoSpaceDN w:val="0"/>
        <w:adjustRightInd/>
        <w:snapToGrid/>
        <w:spacing w:line="576" w:lineRule="exact"/>
        <w:ind w:firstLine="640" w:firstLineChars="200"/>
        <w:rPr>
          <w:rFonts w:ascii="仿宋_GB2312" w:eastAsia="仿宋_GB2312" w:cs="仿宋_GB2312"/>
          <w:b w:val="0"/>
          <w:bCs w:val="0"/>
          <w:color w:val="000000"/>
          <w:sz w:val="32"/>
          <w:szCs w:val="32"/>
          <w:lang w:eastAsia="zh-CN"/>
        </w:rPr>
      </w:pPr>
      <w:bookmarkStart w:id="3" w:name="_Toc28988"/>
      <w:r>
        <w:rPr>
          <w:rFonts w:hint="eastAsia" w:ascii="仿宋_GB2312" w:eastAsia="仿宋_GB2312" w:cs="仿宋_GB2312"/>
          <w:b w:val="0"/>
          <w:bCs w:val="0"/>
          <w:color w:val="000000"/>
          <w:sz w:val="32"/>
          <w:szCs w:val="32"/>
        </w:rPr>
        <w:t>茂县</w:t>
      </w:r>
      <w:r>
        <w:rPr>
          <w:rFonts w:hint="eastAsia" w:ascii="仿宋_GB2312" w:eastAsia="仿宋_GB2312" w:cs="仿宋_GB2312"/>
          <w:b w:val="0"/>
          <w:bCs w:val="0"/>
          <w:color w:val="000000"/>
          <w:sz w:val="32"/>
          <w:szCs w:val="32"/>
          <w:lang w:eastAsia="zh-CN"/>
        </w:rPr>
        <w:t>国防动员事务中心</w:t>
      </w:r>
      <w:r>
        <w:rPr>
          <w:rFonts w:hint="eastAsia" w:ascii="仿宋_GB2312" w:eastAsia="仿宋_GB2312" w:cs="仿宋_GB2312"/>
          <w:b w:val="0"/>
          <w:bCs w:val="0"/>
          <w:color w:val="000000"/>
          <w:sz w:val="32"/>
          <w:szCs w:val="32"/>
        </w:rPr>
        <w:t>其他事业单位1个。纳入</w:t>
      </w:r>
      <w:r>
        <w:rPr>
          <w:rFonts w:hint="eastAsia" w:ascii="仿宋_GB2312" w:eastAsia="仿宋_GB2312" w:cs="仿宋_GB2312"/>
          <w:b w:val="0"/>
          <w:bCs w:val="0"/>
          <w:color w:val="000000"/>
          <w:sz w:val="32"/>
          <w:szCs w:val="32"/>
          <w:lang w:eastAsia="zh-CN"/>
        </w:rPr>
        <w:t>茂县国防动员事务中心202</w:t>
      </w:r>
      <w:r>
        <w:rPr>
          <w:rFonts w:hint="eastAsia" w:ascii="仿宋_GB2312" w:eastAsia="仿宋_GB2312" w:cs="仿宋_GB2312"/>
          <w:b w:val="0"/>
          <w:bCs w:val="0"/>
          <w:color w:val="000000"/>
          <w:sz w:val="32"/>
          <w:szCs w:val="32"/>
          <w:lang w:val="en-US" w:eastAsia="zh-CN"/>
        </w:rPr>
        <w:t>5</w:t>
      </w:r>
      <w:r>
        <w:rPr>
          <w:rFonts w:hint="eastAsia" w:ascii="仿宋_GB2312" w:eastAsia="仿宋_GB2312" w:cs="仿宋_GB2312"/>
          <w:b w:val="0"/>
          <w:bCs w:val="0"/>
          <w:color w:val="000000"/>
          <w:sz w:val="32"/>
          <w:szCs w:val="32"/>
          <w:lang w:eastAsia="zh-CN"/>
        </w:rPr>
        <w:t>年</w:t>
      </w:r>
      <w:r>
        <w:rPr>
          <w:rFonts w:hint="eastAsia" w:ascii="仿宋_GB2312" w:eastAsia="仿宋_GB2312" w:cs="仿宋_GB2312"/>
          <w:b w:val="0"/>
          <w:bCs w:val="0"/>
          <w:color w:val="000000"/>
          <w:sz w:val="32"/>
          <w:szCs w:val="32"/>
        </w:rPr>
        <w:t>度部门决算编制范围的预算单位：</w:t>
      </w:r>
      <w:r>
        <w:rPr>
          <w:rFonts w:hint="eastAsia" w:ascii="仿宋_GB2312" w:eastAsia="仿宋_GB2312" w:cs="仿宋_GB2312"/>
          <w:b w:val="0"/>
          <w:bCs w:val="0"/>
          <w:color w:val="000000"/>
          <w:sz w:val="32"/>
          <w:szCs w:val="32"/>
          <w:lang w:eastAsia="zh-CN"/>
        </w:rPr>
        <w:t>茂县国防动员事务中心。</w:t>
      </w:r>
    </w:p>
    <w:p w14:paraId="5003964B">
      <w:pPr>
        <w:pStyle w:val="2"/>
        <w:pageBreakBefore w:val="0"/>
        <w:widowControl w:val="0"/>
        <w:pBdr>
          <w:top w:val="none" w:color="auto" w:sz="0" w:space="0"/>
          <w:left w:val="none" w:color="auto" w:sz="0" w:space="0"/>
          <w:bottom w:val="none" w:color="auto" w:sz="0" w:space="0"/>
          <w:right w:val="none" w:color="auto" w:sz="0" w:space="0"/>
        </w:pBdr>
        <w:suppressAutoHyphens/>
        <w:ind w:firstLine="680"/>
      </w:pPr>
    </w:p>
    <w:p w14:paraId="78C8E93B"/>
    <w:p w14:paraId="3932D20E">
      <w:pPr>
        <w:pStyle w:val="2"/>
      </w:pPr>
    </w:p>
    <w:p w14:paraId="185F821D"/>
    <w:p w14:paraId="508977FB">
      <w:pPr>
        <w:pStyle w:val="2"/>
      </w:pPr>
    </w:p>
    <w:p w14:paraId="5634ED66"/>
    <w:p w14:paraId="677FFAD0">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 xml:space="preserve">第二部分 </w:t>
      </w:r>
      <w:r>
        <w:rPr>
          <w:rFonts w:hint="eastAsia" w:ascii="方正小标宋简体" w:hAnsi="方正小标宋简体" w:eastAsia="方正小标宋简体" w:cs="方正小标宋简体"/>
          <w:color w:val="auto"/>
          <w:sz w:val="44"/>
          <w:szCs w:val="44"/>
          <w:highlight w:val="none"/>
          <w:lang w:val="en-US" w:eastAsia="zh-CN"/>
        </w:rPr>
        <w:t>2025年度</w:t>
      </w:r>
      <w:r>
        <w:rPr>
          <w:rFonts w:hint="eastAsia" w:ascii="方正小标宋简体" w:hAnsi="方正小标宋简体" w:eastAsia="方正小标宋简体" w:cs="方正小标宋简体"/>
          <w:color w:val="auto"/>
          <w:sz w:val="44"/>
          <w:szCs w:val="44"/>
          <w:highlight w:val="none"/>
          <w:lang w:eastAsia="zh-CN"/>
        </w:rPr>
        <w:t>单位</w:t>
      </w:r>
      <w:r>
        <w:rPr>
          <w:rFonts w:hint="eastAsia" w:ascii="方正小标宋简体" w:hAnsi="方正小标宋简体" w:eastAsia="方正小标宋简体" w:cs="方正小标宋简体"/>
          <w:color w:val="auto"/>
          <w:sz w:val="44"/>
          <w:szCs w:val="44"/>
          <w:highlight w:val="none"/>
        </w:rPr>
        <w:t>决算情况说明</w:t>
      </w:r>
      <w:bookmarkEnd w:id="3"/>
    </w:p>
    <w:p w14:paraId="1BDAD8D7">
      <w:pPr>
        <w:pStyle w:val="21"/>
        <w:numPr>
          <w:ilvl w:val="0"/>
          <w:numId w:val="0"/>
        </w:numPr>
        <w:spacing w:line="600" w:lineRule="exact"/>
        <w:ind w:left="640" w:leftChars="0"/>
        <w:outlineLvl w:val="1"/>
        <w:rPr>
          <w:rStyle w:val="17"/>
          <w:rFonts w:ascii="黑体" w:hAnsi="黑体" w:eastAsia="黑体"/>
          <w:b w:val="0"/>
          <w:color w:val="auto"/>
          <w:highlight w:val="none"/>
        </w:rPr>
      </w:pPr>
      <w:bookmarkStart w:id="4" w:name="_Toc23366"/>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入支出决算总体情况说明</w:t>
      </w:r>
      <w:bookmarkEnd w:id="4"/>
    </w:p>
    <w:p w14:paraId="45DC15CE">
      <w:pPr>
        <w:pageBreakBefore w:val="0"/>
        <w:widowControl w:val="0"/>
        <w:suppressAutoHyphens/>
        <w:kinsoku/>
        <w:wordWrap/>
        <w:topLinePunct w:val="0"/>
        <w:bidi w:val="0"/>
        <w:spacing w:line="576" w:lineRule="exact"/>
        <w:ind w:firstLine="640" w:firstLineChars="200"/>
        <w:textAlignment w:val="auto"/>
        <w:rPr>
          <w:rFonts w:hint="eastAsia" w:ascii="仿宋_GB2312" w:eastAsia="仿宋_GB2312" w:cs="Times New Roman"/>
          <w:sz w:val="32"/>
          <w:szCs w:val="32"/>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ascii="仿宋_GB2312" w:eastAsia="仿宋_GB2312" w:cs="Times New Roman"/>
          <w:sz w:val="32"/>
          <w:szCs w:val="32"/>
          <w:lang w:val="en-US" w:eastAsia="zh-CN"/>
        </w:rPr>
        <w:t>217.24万元</w:t>
      </w:r>
      <w:r>
        <w:rPr>
          <w:rFonts w:hint="eastAsia" w:ascii="仿宋_GB2312" w:eastAsia="仿宋_GB2312" w:cs="Times New Roman"/>
          <w:sz w:val="32"/>
          <w:szCs w:val="32"/>
        </w:rPr>
        <w:t>。与</w:t>
      </w:r>
      <w:r>
        <w:rPr>
          <w:rFonts w:hint="eastAsia" w:ascii="仿宋_GB2312" w:eastAsia="仿宋_GB2312" w:cs="Times New Roman"/>
          <w:sz w:val="32"/>
          <w:szCs w:val="32"/>
          <w:lang w:eastAsia="zh-CN"/>
        </w:rPr>
        <w:t>20</w:t>
      </w:r>
      <w:r>
        <w:rPr>
          <w:rFonts w:hint="eastAsia" w:ascii="仿宋_GB2312" w:eastAsia="仿宋_GB2312" w:cs="Times New Roman"/>
          <w:sz w:val="32"/>
          <w:szCs w:val="32"/>
          <w:lang w:val="en-US" w:eastAsia="zh-CN"/>
        </w:rPr>
        <w:t>24</w:t>
      </w:r>
      <w:r>
        <w:rPr>
          <w:rFonts w:hint="eastAsia" w:ascii="仿宋_GB2312" w:eastAsia="仿宋_GB2312" w:cs="Times New Roman"/>
          <w:sz w:val="32"/>
          <w:szCs w:val="32"/>
          <w:lang w:eastAsia="zh-CN"/>
        </w:rPr>
        <w:t>年度</w:t>
      </w:r>
      <w:r>
        <w:rPr>
          <w:rFonts w:hint="eastAsia" w:ascii="仿宋_GB2312" w:eastAsia="仿宋_GB2312" w:cs="Times New Roman"/>
          <w:sz w:val="32"/>
          <w:szCs w:val="32"/>
        </w:rPr>
        <w:t>相比，收</w:t>
      </w:r>
      <w:r>
        <w:rPr>
          <w:rFonts w:hint="eastAsia" w:ascii="仿宋_GB2312" w:eastAsia="仿宋_GB2312" w:cs="Times New Roman"/>
          <w:sz w:val="32"/>
          <w:szCs w:val="32"/>
          <w:lang w:eastAsia="zh-CN"/>
        </w:rPr>
        <w:t>入增加</w:t>
      </w:r>
      <w:r>
        <w:rPr>
          <w:rFonts w:hint="eastAsia" w:ascii="仿宋_GB2312" w:eastAsia="仿宋_GB2312" w:cs="Times New Roman"/>
          <w:sz w:val="32"/>
          <w:szCs w:val="32"/>
          <w:lang w:val="en-US" w:eastAsia="zh-CN"/>
        </w:rPr>
        <w:t>18.5</w:t>
      </w:r>
      <w:r>
        <w:rPr>
          <w:rFonts w:hint="eastAsia" w:ascii="仿宋_GB2312" w:eastAsia="仿宋_GB2312" w:cs="Times New Roman"/>
          <w:sz w:val="32"/>
          <w:szCs w:val="32"/>
        </w:rPr>
        <w:t>万元，增长</w:t>
      </w:r>
      <w:r>
        <w:rPr>
          <w:rFonts w:hint="eastAsia" w:ascii="仿宋_GB2312" w:eastAsia="仿宋_GB2312" w:cs="Times New Roman"/>
          <w:sz w:val="32"/>
          <w:szCs w:val="32"/>
          <w:lang w:val="en-US" w:eastAsia="zh-CN"/>
        </w:rPr>
        <w:t>9.3</w:t>
      </w:r>
      <w:r>
        <w:rPr>
          <w:rFonts w:hint="eastAsia" w:ascii="仿宋_GB2312" w:eastAsia="仿宋_GB2312" w:cs="Times New Roman"/>
          <w:sz w:val="32"/>
          <w:szCs w:val="32"/>
        </w:rPr>
        <w:t>%。主要变动原因是</w:t>
      </w:r>
      <w:r>
        <w:rPr>
          <w:rFonts w:hint="eastAsia" w:ascii="仿宋_GB2312" w:eastAsia="仿宋_GB2312" w:cs="Times New Roman"/>
          <w:sz w:val="32"/>
          <w:szCs w:val="32"/>
          <w:lang w:eastAsia="zh-CN"/>
        </w:rPr>
        <w:t>：人员较上年增加，人员经费增加。</w:t>
      </w:r>
    </w:p>
    <w:p w14:paraId="1AFC746A">
      <w:pPr>
        <w:spacing w:line="600" w:lineRule="exact"/>
        <w:ind w:firstLine="640" w:firstLineChars="200"/>
        <w:rPr>
          <w:rStyle w:val="17"/>
          <w:rFonts w:ascii="黑体" w:hAnsi="黑体" w:eastAsia="黑体"/>
          <w:b w:val="0"/>
          <w:color w:val="auto"/>
          <w:highlight w:val="none"/>
        </w:rPr>
      </w:pPr>
      <w:bookmarkStart w:id="5" w:name="_Toc11880"/>
      <w:r>
        <w:rPr>
          <w:rFonts w:hint="eastAsia" w:ascii="仿宋_GB2312" w:eastAsia="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-160655</wp:posOffset>
            </wp:positionH>
            <wp:positionV relativeFrom="page">
              <wp:posOffset>2861310</wp:posOffset>
            </wp:positionV>
            <wp:extent cx="4999990" cy="2694305"/>
            <wp:effectExtent l="4445" t="4445" r="62865" b="63500"/>
            <wp:wrapTight wrapText="bothSides">
              <wp:wrapPolygon>
                <wp:start x="-19" y="-36"/>
                <wp:lineTo x="-19" y="21498"/>
                <wp:lineTo x="21542" y="21498"/>
                <wp:lineTo x="21542" y="-36"/>
                <wp:lineTo x="-19" y="-36"/>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入决算情况说明</w:t>
      </w:r>
      <w:bookmarkEnd w:id="5"/>
    </w:p>
    <w:p w14:paraId="45A1033C">
      <w:pPr>
        <w:spacing w:line="600" w:lineRule="exact"/>
        <w:ind w:firstLine="640" w:firstLineChars="200"/>
        <w:outlineLvl w:val="1"/>
        <w:rPr>
          <w:rFonts w:ascii="仿宋" w:hAnsi="仿宋" w:eastAsia="仿宋"/>
          <w:color w:val="auto"/>
          <w:sz w:val="32"/>
          <w:szCs w:val="32"/>
          <w:highlight w:val="none"/>
        </w:rPr>
      </w:pPr>
      <w:bookmarkStart w:id="6" w:name="_Toc13039"/>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占100%</w:t>
      </w:r>
      <w:bookmarkEnd w:id="6"/>
      <w:r>
        <w:rPr>
          <w:rFonts w:hint="eastAsia" w:ascii="仿宋" w:hAnsi="仿宋" w:eastAsia="仿宋"/>
          <w:color w:val="auto"/>
          <w:sz w:val="32"/>
          <w:szCs w:val="32"/>
          <w:highlight w:val="none"/>
          <w:lang w:eastAsia="zh-CN"/>
        </w:rPr>
        <w:t>。</w:t>
      </w:r>
    </w:p>
    <w:p w14:paraId="3A4E696D">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440055</wp:posOffset>
            </wp:positionH>
            <wp:positionV relativeFrom="page">
              <wp:posOffset>7237095</wp:posOffset>
            </wp:positionV>
            <wp:extent cx="4133215" cy="2693035"/>
            <wp:effectExtent l="4445" t="4445" r="15240" b="7620"/>
            <wp:wrapTight wrapText="bothSides">
              <wp:wrapPolygon>
                <wp:start x="-23" y="-36"/>
                <wp:lineTo x="-23" y="21508"/>
                <wp:lineTo x="21481" y="21508"/>
                <wp:lineTo x="21481" y="-36"/>
                <wp:lineTo x="-23" y="-36"/>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1DA7B23F">
      <w:pPr>
        <w:pStyle w:val="2"/>
        <w:rPr>
          <w:rFonts w:hint="eastAsia" w:ascii="仿宋_GB2312" w:eastAsia="仿宋_GB2312"/>
          <w:color w:val="auto"/>
          <w:sz w:val="32"/>
          <w:szCs w:val="32"/>
          <w:highlight w:val="none"/>
          <w:lang w:eastAsia="zh-CN"/>
        </w:rPr>
      </w:pPr>
    </w:p>
    <w:p w14:paraId="08787DD3">
      <w:pPr>
        <w:pStyle w:val="2"/>
        <w:rPr>
          <w:rFonts w:hint="eastAsia" w:ascii="仿宋_GB2312" w:eastAsia="仿宋_GB2312"/>
          <w:color w:val="auto"/>
          <w:sz w:val="32"/>
          <w:szCs w:val="32"/>
          <w:highlight w:val="none"/>
          <w:lang w:eastAsia="zh-CN"/>
        </w:rPr>
      </w:pPr>
    </w:p>
    <w:p w14:paraId="2A44DC97">
      <w:pPr>
        <w:pStyle w:val="2"/>
        <w:rPr>
          <w:rFonts w:hint="eastAsia" w:ascii="仿宋_GB2312" w:eastAsia="仿宋_GB2312"/>
          <w:color w:val="auto"/>
          <w:sz w:val="32"/>
          <w:szCs w:val="32"/>
          <w:highlight w:val="none"/>
          <w:lang w:eastAsia="zh-CN"/>
        </w:rPr>
      </w:pPr>
    </w:p>
    <w:p w14:paraId="54DBA246">
      <w:pPr>
        <w:pStyle w:val="2"/>
        <w:rPr>
          <w:rFonts w:hint="eastAsia" w:ascii="仿宋_GB2312" w:eastAsia="仿宋_GB2312"/>
          <w:color w:val="auto"/>
          <w:sz w:val="32"/>
          <w:szCs w:val="32"/>
          <w:highlight w:val="none"/>
          <w:lang w:eastAsia="zh-CN"/>
        </w:rPr>
      </w:pPr>
    </w:p>
    <w:p w14:paraId="74EF42E4">
      <w:pPr>
        <w:pStyle w:val="2"/>
        <w:rPr>
          <w:rFonts w:hint="eastAsia" w:ascii="仿宋_GB2312" w:eastAsia="仿宋_GB2312"/>
          <w:color w:val="auto"/>
          <w:sz w:val="32"/>
          <w:szCs w:val="32"/>
          <w:highlight w:val="none"/>
          <w:lang w:eastAsia="zh-CN"/>
        </w:rPr>
      </w:pPr>
    </w:p>
    <w:p w14:paraId="60B0426C">
      <w:pPr>
        <w:pStyle w:val="2"/>
        <w:rPr>
          <w:rFonts w:hint="eastAsia" w:ascii="仿宋_GB2312" w:eastAsia="仿宋_GB2312"/>
          <w:color w:val="auto"/>
          <w:sz w:val="32"/>
          <w:szCs w:val="32"/>
          <w:highlight w:val="none"/>
          <w:lang w:eastAsia="zh-CN"/>
        </w:rPr>
      </w:pPr>
    </w:p>
    <w:p w14:paraId="60301B15">
      <w:pPr>
        <w:pStyle w:val="21"/>
        <w:numPr>
          <w:ilvl w:val="0"/>
          <w:numId w:val="0"/>
        </w:numPr>
        <w:spacing w:line="600" w:lineRule="exact"/>
        <w:ind w:left="640" w:leftChars="0"/>
        <w:outlineLvl w:val="1"/>
        <w:rPr>
          <w:rStyle w:val="17"/>
          <w:rFonts w:ascii="黑体" w:hAnsi="黑体" w:eastAsia="黑体"/>
          <w:b w:val="0"/>
          <w:color w:val="auto"/>
          <w:highlight w:val="none"/>
        </w:rPr>
      </w:pPr>
      <w:bookmarkStart w:id="7" w:name="_Toc6028"/>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17"/>
          <w:rFonts w:hint="eastAsia" w:ascii="黑体" w:hAnsi="黑体" w:eastAsia="黑体"/>
          <w:b w:val="0"/>
          <w:color w:val="auto"/>
          <w:highlight w:val="none"/>
        </w:rPr>
        <w:t>出决算情况说明</w:t>
      </w:r>
      <w:bookmarkEnd w:id="7"/>
    </w:p>
    <w:p w14:paraId="38D299CF">
      <w:pPr>
        <w:spacing w:line="600" w:lineRule="exact"/>
        <w:ind w:firstLine="640" w:firstLineChars="200"/>
        <w:outlineLvl w:val="1"/>
        <w:rPr>
          <w:rFonts w:ascii="仿宋" w:hAnsi="仿宋" w:eastAsia="仿宋"/>
          <w:color w:val="auto"/>
          <w:sz w:val="32"/>
          <w:szCs w:val="32"/>
          <w:highlight w:val="none"/>
        </w:rPr>
      </w:pPr>
      <w:bookmarkStart w:id="8" w:name="_Toc21407"/>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8"/>
    </w:p>
    <w:p w14:paraId="22ACAB2F">
      <w:pPr>
        <w:spacing w:line="600" w:lineRule="exact"/>
        <w:ind w:firstLine="640" w:firstLineChars="200"/>
        <w:rPr>
          <w:rStyle w:val="17"/>
          <w:rFonts w:ascii="黑体" w:hAnsi="黑体" w:eastAsia="黑体"/>
          <w:b w:val="0"/>
          <w:color w:val="auto"/>
          <w:highlight w:val="none"/>
        </w:rPr>
      </w:pPr>
      <w:bookmarkStart w:id="9" w:name="_Toc10949"/>
      <w:r>
        <w:rPr>
          <w:rFonts w:hint="eastAsia" w:ascii="仿宋_GB2312" w:eastAsia="仿宋_GB2312"/>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211455</wp:posOffset>
            </wp:positionH>
            <wp:positionV relativeFrom="page">
              <wp:posOffset>2099945</wp:posOffset>
            </wp:positionV>
            <wp:extent cx="5019040" cy="2646045"/>
            <wp:effectExtent l="4445" t="4445" r="62865" b="73660"/>
            <wp:wrapTight wrapText="bothSides">
              <wp:wrapPolygon>
                <wp:start x="-19" y="-36"/>
                <wp:lineTo x="-19" y="21424"/>
                <wp:lineTo x="21543" y="21424"/>
                <wp:lineTo x="21543" y="-36"/>
                <wp:lineTo x="-19" y="-36"/>
              </wp:wrapPolygon>
            </wp:wrapTight>
            <wp:docPr id="4" name="图表 4"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黑体" w:hAnsi="黑体" w:eastAsia="黑体"/>
          <w:color w:val="auto"/>
          <w:sz w:val="32"/>
          <w:szCs w:val="32"/>
          <w:highlight w:val="none"/>
        </w:rPr>
        <w:t>四、财</w:t>
      </w:r>
      <w:r>
        <w:rPr>
          <w:rStyle w:val="17"/>
          <w:rFonts w:hint="eastAsia" w:ascii="黑体" w:hAnsi="黑体" w:eastAsia="黑体"/>
          <w:b w:val="0"/>
          <w:color w:val="auto"/>
          <w:highlight w:val="none"/>
        </w:rPr>
        <w:t>政拨款收入支出决算总体情况说明</w:t>
      </w:r>
      <w:bookmarkEnd w:id="9"/>
    </w:p>
    <w:p w14:paraId="1C96E78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18.5</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9.3</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人员较上年增加，人员经费增加。</w:t>
      </w:r>
      <w:bookmarkStart w:id="10" w:name="_Toc2462"/>
    </w:p>
    <w:p w14:paraId="17D1A717">
      <w:pPr>
        <w:spacing w:line="600" w:lineRule="exact"/>
        <w:ind w:firstLine="640"/>
        <w:rPr>
          <w:rStyle w:val="17"/>
          <w:rFonts w:ascii="黑体" w:hAnsi="黑体" w:eastAsia="黑体"/>
          <w:b w:val="0"/>
          <w:color w:val="auto"/>
          <w:highlight w:val="none"/>
        </w:rPr>
      </w:pPr>
      <w:r>
        <w:rPr>
          <w:rFonts w:hint="eastAsia" w:ascii="仿宋" w:hAnsi="仿宋" w:eastAsia="仿宋"/>
          <w:b/>
          <w:color w:val="auto"/>
          <w:sz w:val="32"/>
          <w:szCs w:val="32"/>
          <w:highlight w:val="none"/>
          <w:lang w:eastAsia="zh-CN"/>
        </w:rPr>
        <w:drawing>
          <wp:anchor distT="0" distB="0" distL="114300" distR="114300" simplePos="0" relativeHeight="251662336" behindDoc="1" locked="0" layoutInCell="1" allowOverlap="1">
            <wp:simplePos x="0" y="0"/>
            <wp:positionH relativeFrom="column">
              <wp:posOffset>459105</wp:posOffset>
            </wp:positionH>
            <wp:positionV relativeFrom="page">
              <wp:posOffset>6553835</wp:posOffset>
            </wp:positionV>
            <wp:extent cx="4675505" cy="2606675"/>
            <wp:effectExtent l="4445" t="4445" r="6350" b="17780"/>
            <wp:wrapTight wrapText="bothSides">
              <wp:wrapPolygon>
                <wp:start x="-21" y="-37"/>
                <wp:lineTo x="-21" y="21432"/>
                <wp:lineTo x="21541" y="21432"/>
                <wp:lineTo x="21541" y="-37"/>
                <wp:lineTo x="-21" y="-37"/>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般公共预算财政拨款支出决算情况说明</w:t>
      </w:r>
      <w:bookmarkEnd w:id="10"/>
    </w:p>
    <w:p w14:paraId="25F7DDAD">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14:paraId="6D929B24">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18.5</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9.3</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p>
    <w:p w14:paraId="47974BC6">
      <w:pPr>
        <w:spacing w:line="600" w:lineRule="exact"/>
        <w:ind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3360" behindDoc="1" locked="0" layoutInCell="1" allowOverlap="1">
            <wp:simplePos x="0" y="0"/>
            <wp:positionH relativeFrom="column">
              <wp:posOffset>382905</wp:posOffset>
            </wp:positionH>
            <wp:positionV relativeFrom="page">
              <wp:posOffset>2579370</wp:posOffset>
            </wp:positionV>
            <wp:extent cx="5256530" cy="2988310"/>
            <wp:effectExtent l="5080" t="4445" r="15240" b="17145"/>
            <wp:wrapTight wrapText="bothSides">
              <wp:wrapPolygon>
                <wp:start x="-21" y="-32"/>
                <wp:lineTo x="-21" y="21449"/>
                <wp:lineTo x="21506" y="21449"/>
                <wp:lineTo x="21506" y="-32"/>
                <wp:lineTo x="-21" y="-32"/>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b/>
          <w:color w:val="auto"/>
          <w:sz w:val="32"/>
          <w:szCs w:val="32"/>
          <w:highlight w:val="none"/>
        </w:rPr>
        <w:t>（二）一般公共预算财政拨款支出决算结构情况</w:t>
      </w:r>
    </w:p>
    <w:p w14:paraId="16E28084">
      <w:pPr>
        <w:spacing w:line="600" w:lineRule="exact"/>
        <w:ind w:firstLine="640"/>
        <w:rPr>
          <w:rFonts w:hint="eastAsia" w:ascii="仿宋" w:hAnsi="仿宋" w:eastAsia="仿宋"/>
          <w:b/>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325755</wp:posOffset>
            </wp:positionH>
            <wp:positionV relativeFrom="paragraph">
              <wp:posOffset>1724025</wp:posOffset>
            </wp:positionV>
            <wp:extent cx="5095240" cy="2684145"/>
            <wp:effectExtent l="4445" t="4445" r="5715" b="16510"/>
            <wp:wrapTight wrapText="bothSides">
              <wp:wrapPolygon>
                <wp:start x="-19" y="-36"/>
                <wp:lineTo x="-19" y="21426"/>
                <wp:lineTo x="21543" y="21426"/>
                <wp:lineTo x="21543" y="-36"/>
                <wp:lineTo x="-19" y="-36"/>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217.24</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161.31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74.3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29.14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13.4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11.31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15.49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7.1</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70160641">
      <w:pPr>
        <w:spacing w:line="600" w:lineRule="exact"/>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14:paraId="5657DFA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lang w:eastAsia="zh-CN"/>
        </w:rPr>
        <w:t>年度一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217.24万元</w:t>
      </w:r>
      <w:r>
        <w:rPr>
          <w:rFonts w:hint="eastAsia" w:ascii="仿宋" w:hAnsi="仿宋" w:eastAsia="仿宋"/>
          <w:color w:val="auto"/>
          <w:sz w:val="32"/>
          <w:szCs w:val="32"/>
          <w:highlight w:val="none"/>
        </w:rPr>
        <w:t>，</w:t>
      </w:r>
      <w:r>
        <w:rPr>
          <w:rStyle w:val="15"/>
          <w:rFonts w:hint="eastAsia" w:ascii="仿宋" w:hAnsi="仿宋" w:eastAsia="仿宋"/>
          <w:bCs/>
          <w:color w:val="auto"/>
          <w:sz w:val="32"/>
          <w:szCs w:val="32"/>
          <w:highlight w:val="none"/>
        </w:rPr>
        <w:t>完成预算</w:t>
      </w:r>
      <w:r>
        <w:rPr>
          <w:rStyle w:val="15"/>
          <w:rFonts w:hint="eastAsia" w:ascii="仿宋" w:hAnsi="仿宋" w:eastAsia="仿宋"/>
          <w:bCs/>
          <w:color w:val="auto"/>
          <w:sz w:val="32"/>
          <w:szCs w:val="32"/>
          <w:highlight w:val="none"/>
          <w:lang w:val="en-US" w:eastAsia="zh-CN"/>
        </w:rPr>
        <w:t>100</w:t>
      </w:r>
      <w:r>
        <w:rPr>
          <w:rStyle w:val="15"/>
          <w:rFonts w:ascii="仿宋" w:hAnsi="仿宋" w:eastAsia="仿宋"/>
          <w:bCs/>
          <w:color w:val="auto"/>
          <w:sz w:val="32"/>
          <w:szCs w:val="32"/>
          <w:highlight w:val="none"/>
        </w:rPr>
        <w:t>%</w:t>
      </w:r>
      <w:r>
        <w:rPr>
          <w:rStyle w:val="15"/>
          <w:rFonts w:hint="eastAsia" w:ascii="仿宋" w:hAnsi="仿宋" w:eastAsia="仿宋"/>
          <w:bCs/>
          <w:color w:val="auto"/>
          <w:sz w:val="32"/>
          <w:szCs w:val="32"/>
          <w:highlight w:val="none"/>
        </w:rPr>
        <w:t>。其中：</w:t>
      </w:r>
    </w:p>
    <w:p w14:paraId="6E73D52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1.一般公共服务支出(类)政府办公厅(室)及相关机构事务（款）事业运行（项）:</w:t>
      </w:r>
      <w:r>
        <w:rPr>
          <w:rFonts w:hint="eastAsia" w:ascii="仿宋_GB2312" w:hAnsi="仿宋_GB2312" w:eastAsia="仿宋_GB2312" w:cs="仿宋_GB2312"/>
          <w:color w:val="auto"/>
          <w:kern w:val="2"/>
          <w:sz w:val="32"/>
          <w:szCs w:val="32"/>
          <w:highlight w:val="none"/>
          <w:lang w:val="en-US" w:eastAsia="zh-CN" w:bidi="ar-SA"/>
        </w:rPr>
        <w:t>支出决算161.31万元，完成预算100%，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7D0B0F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2.社会保障和就业支出(类)行政事业单位养老支出(款)机关事业单位基本养老保险缴费支出(项):</w:t>
      </w:r>
      <w:r>
        <w:rPr>
          <w:rFonts w:hint="eastAsia" w:ascii="仿宋_GB2312" w:hAnsi="仿宋_GB2312" w:eastAsia="仿宋_GB2312" w:cs="仿宋_GB2312"/>
          <w:color w:val="auto"/>
          <w:kern w:val="2"/>
          <w:sz w:val="32"/>
          <w:szCs w:val="32"/>
          <w:highlight w:val="none"/>
          <w:lang w:val="en-US" w:eastAsia="zh-CN" w:bidi="ar-SA"/>
        </w:rPr>
        <w:t>支出决算19.42万元，完成预算100%，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A67FF7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3.社会保障和就业支出(类)行政事业单位养老支出(款)机关事业单位职业年金缴费支出(项):</w:t>
      </w:r>
      <w:r>
        <w:rPr>
          <w:rFonts w:hint="eastAsia" w:ascii="仿宋_GB2312" w:hAnsi="仿宋_GB2312" w:eastAsia="仿宋_GB2312" w:cs="仿宋_GB2312"/>
          <w:color w:val="auto"/>
          <w:kern w:val="2"/>
          <w:sz w:val="32"/>
          <w:szCs w:val="32"/>
          <w:highlight w:val="none"/>
          <w:lang w:val="en-US" w:eastAsia="zh-CN" w:bidi="ar-SA"/>
        </w:rPr>
        <w:t>支出决算9.71万元，完成预算100%，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46B42D4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w:t>
      </w:r>
      <w:r>
        <w:rPr>
          <w:rFonts w:hint="eastAsia" w:ascii="仿宋_GB2312" w:hAnsi="仿宋_GB2312" w:eastAsia="仿宋_GB2312" w:cs="仿宋_GB2312"/>
          <w:b/>
          <w:bCs/>
          <w:color w:val="auto"/>
          <w:sz w:val="32"/>
          <w:szCs w:val="32"/>
          <w:highlight w:val="none"/>
        </w:rPr>
        <w:t>卫生健康</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类</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eastAsia="zh-CN"/>
        </w:rPr>
        <w:t>行政事业单位医疗</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款</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eastAsia="zh-CN"/>
        </w:rPr>
        <w:t>行政单位医疗</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项</w:t>
      </w:r>
      <w:r>
        <w:rPr>
          <w:rStyle w:val="15"/>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:支出决算11.31万元，完成预算100%，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7C41994">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5.住房保障支出(类)住房改革支出(款)住房公积金(项):</w:t>
      </w:r>
      <w:r>
        <w:rPr>
          <w:rFonts w:hint="eastAsia" w:ascii="仿宋_GB2312" w:hAnsi="仿宋_GB2312" w:eastAsia="仿宋_GB2312" w:cs="仿宋_GB2312"/>
          <w:b w:val="0"/>
          <w:bCs w:val="0"/>
          <w:color w:val="auto"/>
          <w:kern w:val="2"/>
          <w:sz w:val="32"/>
          <w:szCs w:val="32"/>
          <w:highlight w:val="none"/>
          <w:lang w:val="en-US" w:eastAsia="zh-CN" w:bidi="ar-SA"/>
        </w:rPr>
        <w:t>支出决算15.49万元，完成预算100%，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7D0E882F">
      <w:pPr>
        <w:tabs>
          <w:tab w:val="right" w:pos="8306"/>
        </w:tabs>
        <w:spacing w:line="600" w:lineRule="exact"/>
        <w:ind w:firstLine="640"/>
        <w:outlineLvl w:val="1"/>
        <w:rPr>
          <w:rStyle w:val="17"/>
          <w:color w:val="auto"/>
          <w:highlight w:val="none"/>
        </w:rPr>
      </w:pPr>
      <w:bookmarkStart w:id="11" w:name="_Toc17163"/>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般公共预算财政拨款基本支出决算情况说明</w:t>
      </w:r>
      <w:bookmarkEnd w:id="11"/>
      <w:r>
        <w:rPr>
          <w:rStyle w:val="17"/>
          <w:rFonts w:ascii="黑体" w:hAnsi="黑体" w:eastAsia="黑体"/>
          <w:b w:val="0"/>
          <w:color w:val="auto"/>
          <w:highlight w:val="none"/>
        </w:rPr>
        <w:tab/>
      </w:r>
    </w:p>
    <w:p w14:paraId="06460127">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2025年度一般公共预算财政拨款基本支出217.24万元，其中：</w:t>
      </w:r>
    </w:p>
    <w:p w14:paraId="0EF306B7">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人员经费203.4万元，主要包括：基本工资、津贴补贴、绩效工资、机关事业单位基本养老保险缴费、职业年金缴费、</w:t>
      </w:r>
      <w:r>
        <w:rPr>
          <w:rFonts w:hint="eastAsia" w:ascii="仿宋_GB2312" w:hAnsi="仿宋_GB2312" w:eastAsia="仿宋_GB2312" w:cs="仿宋_GB2312"/>
          <w:color w:val="auto"/>
          <w:kern w:val="2"/>
          <w:sz w:val="32"/>
          <w:szCs w:val="32"/>
          <w:highlight w:val="none"/>
          <w:lang w:val="en-US" w:eastAsia="zh-CN" w:bidi="ar-SA"/>
        </w:rPr>
        <w:t>职工基本医疗保险缴费、</w:t>
      </w:r>
      <w:r>
        <w:rPr>
          <w:rFonts w:hint="eastAsia" w:ascii="仿宋_GB2312" w:hAnsi="仿宋_GB2312" w:eastAsia="仿宋_GB2312" w:cs="仿宋_GB2312"/>
          <w:b w:val="0"/>
          <w:bCs w:val="0"/>
          <w:color w:val="auto"/>
          <w:kern w:val="2"/>
          <w:sz w:val="32"/>
          <w:szCs w:val="32"/>
          <w:highlight w:val="none"/>
          <w:lang w:val="en-US" w:eastAsia="zh-CN" w:bidi="ar-SA"/>
        </w:rPr>
        <w:t>其他社会保障缴费、医疗费、住房公积金。</w:t>
      </w:r>
      <w:r>
        <w:rPr>
          <w:rFonts w:hint="eastAsia" w:ascii="仿宋_GB2312" w:hAnsi="仿宋_GB2312" w:eastAsia="仿宋_GB2312" w:cs="仿宋_GB2312"/>
          <w:b w:val="0"/>
          <w:bCs w:val="0"/>
          <w:color w:val="auto"/>
          <w:kern w:val="2"/>
          <w:sz w:val="32"/>
          <w:szCs w:val="32"/>
          <w:highlight w:val="none"/>
          <w:lang w:val="en-US" w:eastAsia="zh-CN" w:bidi="ar-SA"/>
        </w:rPr>
        <w:br w:type="textWrapping"/>
      </w:r>
      <w:r>
        <w:rPr>
          <w:rFonts w:hint="eastAsia" w:ascii="仿宋_GB2312" w:hAnsi="仿宋_GB2312" w:eastAsia="仿宋_GB2312" w:cs="仿宋_GB2312"/>
          <w:b w:val="0"/>
          <w:bCs w:val="0"/>
          <w:color w:val="auto"/>
          <w:kern w:val="2"/>
          <w:sz w:val="32"/>
          <w:szCs w:val="32"/>
          <w:highlight w:val="none"/>
          <w:lang w:val="en-US" w:eastAsia="zh-CN" w:bidi="ar-SA"/>
        </w:rPr>
        <w:t>　　公用经费13.84万元，主要包括：办公费、福利费、其他商品和服务支出等。</w:t>
      </w:r>
    </w:p>
    <w:p w14:paraId="14798B43">
      <w:pPr>
        <w:spacing w:line="600" w:lineRule="exact"/>
        <w:ind w:firstLine="640"/>
        <w:outlineLvl w:val="1"/>
        <w:rPr>
          <w:rStyle w:val="17"/>
          <w:rFonts w:ascii="黑体" w:hAnsi="黑体" w:eastAsia="黑体"/>
          <w:b w:val="0"/>
          <w:color w:val="auto"/>
          <w:highlight w:val="none"/>
        </w:rPr>
      </w:pPr>
      <w:bookmarkStart w:id="12" w:name="_Toc1162"/>
      <w:r>
        <w:rPr>
          <w:rFonts w:hint="eastAsia" w:ascii="黑体" w:eastAsia="黑体"/>
          <w:color w:val="auto"/>
          <w:sz w:val="32"/>
          <w:szCs w:val="32"/>
          <w:highlight w:val="none"/>
        </w:rPr>
        <w:t>七、</w:t>
      </w:r>
      <w:r>
        <w:rPr>
          <w:rStyle w:val="17"/>
          <w:rFonts w:hint="eastAsia" w:ascii="黑体" w:hAnsi="黑体" w:eastAsia="黑体"/>
          <w:b w:val="0"/>
          <w:color w:val="auto"/>
          <w:highlight w:val="none"/>
        </w:rPr>
        <w:t>财政拨款</w:t>
      </w:r>
      <w:r>
        <w:rPr>
          <w:rStyle w:val="17"/>
          <w:rFonts w:hint="eastAsia" w:ascii="黑体" w:hAnsi="黑体" w:eastAsia="黑体"/>
          <w:color w:val="auto"/>
          <w:highlight w:val="none"/>
        </w:rPr>
        <w:t>“</w:t>
      </w:r>
      <w:r>
        <w:rPr>
          <w:rStyle w:val="17"/>
          <w:rFonts w:hint="eastAsia" w:ascii="黑体" w:hAnsi="黑体" w:eastAsia="黑体"/>
          <w:b w:val="0"/>
          <w:color w:val="auto"/>
          <w:highlight w:val="none"/>
        </w:rPr>
        <w:t>三公”经费支出决算情况说明</w:t>
      </w:r>
      <w:bookmarkEnd w:id="12"/>
    </w:p>
    <w:p w14:paraId="188545EE">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14:paraId="4D99B994">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eastAsia="仿宋"/>
          <w:color w:val="auto"/>
          <w:sz w:val="32"/>
          <w:szCs w:val="32"/>
          <w:highlight w:val="none"/>
        </w:rPr>
        <w:t>“三公”经费财政拨款支出决算为</w:t>
      </w:r>
      <w:r>
        <w:rPr>
          <w:rFonts w:hint="eastAsia" w:ascii="仿宋" w:eastAsia="仿宋"/>
          <w:color w:val="auto"/>
          <w:sz w:val="32"/>
          <w:szCs w:val="32"/>
          <w:highlight w:val="none"/>
          <w:lang w:val="en-US" w:eastAsia="zh-CN"/>
        </w:rPr>
        <w:t>0</w:t>
      </w:r>
      <w:r>
        <w:rPr>
          <w:rFonts w:hint="eastAsia" w:ascii="仿宋" w:eastAsia="仿宋"/>
          <w:color w:val="auto"/>
          <w:sz w:val="32"/>
          <w:szCs w:val="32"/>
          <w:highlight w:val="none"/>
        </w:rPr>
        <w:t>万元</w:t>
      </w:r>
      <w:r>
        <w:rPr>
          <w:rFonts w:hint="eastAsia" w:ascii="仿宋" w:eastAsia="仿宋"/>
          <w:color w:val="auto"/>
          <w:sz w:val="32"/>
          <w:szCs w:val="32"/>
          <w:highlight w:val="none"/>
          <w:lang w:eastAsia="zh-CN"/>
        </w:rPr>
        <w:t>完成预算</w:t>
      </w:r>
      <w:r>
        <w:rPr>
          <w:rFonts w:hint="eastAsia" w:ascii="仿宋" w:eastAsia="仿宋"/>
          <w:color w:val="auto"/>
          <w:sz w:val="32"/>
          <w:szCs w:val="32"/>
          <w:highlight w:val="none"/>
          <w:lang w:val="en-US" w:eastAsia="zh-CN"/>
        </w:rPr>
        <w:t>100%</w:t>
      </w:r>
      <w:r>
        <w:rPr>
          <w:rFonts w:hint="eastAsia" w:ascii="仿宋" w:hAnsi="仿宋" w:eastAsia="仿宋"/>
          <w:color w:val="auto"/>
          <w:sz w:val="32"/>
          <w:szCs w:val="32"/>
          <w:highlight w:val="none"/>
        </w:rPr>
        <w:t>。</w:t>
      </w:r>
    </w:p>
    <w:p w14:paraId="310F8509">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47E1881A">
      <w:pPr>
        <w:spacing w:line="600" w:lineRule="exact"/>
        <w:ind w:firstLine="640"/>
        <w:rPr>
          <w:rFonts w:hint="eastAsia" w:asci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eastAsia="仿宋"/>
          <w:color w:val="auto"/>
          <w:sz w:val="32"/>
          <w:szCs w:val="32"/>
          <w:highlight w:val="none"/>
          <w:lang w:eastAsia="zh-CN"/>
        </w:rPr>
        <w:t>年度</w:t>
      </w:r>
      <w:r>
        <w:rPr>
          <w:rFonts w:hint="eastAsia" w:ascii="仿宋" w:eastAsia="仿宋"/>
          <w:color w:val="auto"/>
          <w:sz w:val="32"/>
          <w:szCs w:val="32"/>
          <w:highlight w:val="none"/>
        </w:rPr>
        <w:t>“三公”经费财政拨款支出决算</w:t>
      </w:r>
      <w:r>
        <w:rPr>
          <w:rFonts w:hint="eastAsia" w:ascii="仿宋" w:eastAsia="仿宋"/>
          <w:color w:val="auto"/>
          <w:sz w:val="32"/>
          <w:szCs w:val="32"/>
          <w:highlight w:val="none"/>
          <w:lang w:val="en-US" w:eastAsia="zh-CN"/>
        </w:rPr>
        <w:t>0</w:t>
      </w:r>
      <w:r>
        <w:rPr>
          <w:rFonts w:hint="eastAsia" w:ascii="仿宋" w:eastAsia="仿宋"/>
          <w:color w:val="auto"/>
          <w:sz w:val="32"/>
          <w:szCs w:val="32"/>
          <w:highlight w:val="none"/>
        </w:rPr>
        <w:t>万元。</w:t>
      </w:r>
    </w:p>
    <w:p w14:paraId="73DE28ED">
      <w:pPr>
        <w:pageBreakBefore w:val="0"/>
        <w:widowControl w:val="0"/>
        <w:numPr>
          <w:ilvl w:val="0"/>
          <w:numId w:val="0"/>
        </w:numPr>
        <w:suppressAutoHyphens/>
        <w:kinsoku/>
        <w:wordWrap/>
        <w:overflowPunct/>
        <w:topLinePunct w:val="0"/>
        <w:bidi w:val="0"/>
        <w:snapToGrid/>
        <w:spacing w:line="576" w:lineRule="exact"/>
        <w:ind w:firstLine="643" w:firstLineChars="200"/>
        <w:textAlignment w:val="auto"/>
        <w:rPr>
          <w:rStyle w:val="15"/>
          <w:rFonts w:hint="eastAsia" w:ascii="仿宋" w:eastAsia="仿宋"/>
          <w:b w:val="0"/>
          <w:bCs/>
          <w:color w:val="auto"/>
          <w:sz w:val="32"/>
          <w:szCs w:val="32"/>
          <w:highlight w:val="none"/>
        </w:rPr>
      </w:pPr>
      <w:bookmarkStart w:id="13" w:name="_Toc26534"/>
      <w:r>
        <w:rPr>
          <w:rFonts w:hint="eastAsia" w:ascii="仿宋_GB2312" w:eastAsia="仿宋_GB2312"/>
          <w:b/>
          <w:color w:val="auto"/>
          <w:sz w:val="32"/>
          <w:szCs w:val="32"/>
          <w:highlight w:val="none"/>
          <w:lang w:val="en-US" w:eastAsia="zh-CN"/>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5"/>
          <w:rFonts w:hint="eastAsia" w:ascii="仿宋" w:eastAsia="仿宋"/>
          <w:b w:val="0"/>
          <w:bCs/>
          <w:color w:val="auto"/>
          <w:sz w:val="32"/>
          <w:szCs w:val="32"/>
          <w:highlight w:val="none"/>
        </w:rPr>
        <w:t>。</w:t>
      </w:r>
    </w:p>
    <w:p w14:paraId="2942A6FB">
      <w:pPr>
        <w:pageBreakBefore w:val="0"/>
        <w:widowControl w:val="0"/>
        <w:numPr>
          <w:ilvl w:val="0"/>
          <w:numId w:val="0"/>
        </w:numPr>
        <w:suppressAutoHyphens/>
        <w:kinsoku/>
        <w:wordWrap/>
        <w:overflowPunct/>
        <w:topLinePunct w:val="0"/>
        <w:bidi w:val="0"/>
        <w:snapToGrid/>
        <w:spacing w:line="576" w:lineRule="exact"/>
        <w:ind w:firstLine="643" w:firstLineChars="200"/>
        <w:textAlignment w:val="auto"/>
        <w:rPr>
          <w:rFonts w:ascii="仿宋_GB2312" w:eastAsia="仿宋_GB2312"/>
          <w:b/>
          <w:color w:val="auto"/>
          <w:sz w:val="32"/>
          <w:szCs w:val="32"/>
          <w:highlight w:val="none"/>
        </w:rPr>
      </w:pPr>
      <w:r>
        <w:rPr>
          <w:rFonts w:hint="eastAsia" w:ascii="仿宋_GB2312" w:eastAsia="仿宋_GB2312"/>
          <w:b/>
          <w:color w:val="auto"/>
          <w:sz w:val="32"/>
          <w:szCs w:val="32"/>
          <w:highlight w:val="none"/>
          <w:lang w:val="en-US" w:eastAsia="zh-CN"/>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5"/>
          <w:rFonts w:hint="eastAsia" w:ascii="仿宋" w:eastAsia="仿宋"/>
          <w:b w:val="0"/>
          <w:bCs/>
          <w:color w:val="auto"/>
          <w:sz w:val="32"/>
          <w:szCs w:val="32"/>
          <w:highlight w:val="none"/>
        </w:rPr>
        <w:t>。</w:t>
      </w:r>
    </w:p>
    <w:p w14:paraId="01B3A5B6">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47AB26E">
      <w:pPr>
        <w:pageBreakBefore w:val="0"/>
        <w:widowControl w:val="0"/>
        <w:suppressAutoHyphens/>
        <w:kinsoku/>
        <w:wordWrap/>
        <w:overflowPunct/>
        <w:topLinePunct w:val="0"/>
        <w:bidi w:val="0"/>
        <w:snapToGrid/>
        <w:spacing w:line="576" w:lineRule="exact"/>
        <w:ind w:firstLine="640"/>
        <w:textAlignment w:val="auto"/>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3B183352">
      <w:pPr>
        <w:pageBreakBefore w:val="0"/>
        <w:widowControl w:val="0"/>
        <w:numPr>
          <w:ilvl w:val="0"/>
          <w:numId w:val="0"/>
        </w:numPr>
        <w:suppressAutoHyphens/>
        <w:kinsoku/>
        <w:wordWrap/>
        <w:overflowPunct/>
        <w:topLinePunct w:val="0"/>
        <w:bidi w:val="0"/>
        <w:snapToGrid/>
        <w:spacing w:line="576" w:lineRule="exact"/>
        <w:ind w:firstLine="643" w:firstLineChars="200"/>
        <w:textAlignment w:val="auto"/>
        <w:rPr>
          <w:rStyle w:val="15"/>
          <w:rFonts w:hint="eastAsia" w:ascii="仿宋" w:eastAsia="仿宋"/>
          <w:b w:val="0"/>
          <w:bCs/>
          <w:color w:val="auto"/>
          <w:sz w:val="32"/>
          <w:szCs w:val="32"/>
          <w:highlight w:val="none"/>
        </w:rPr>
      </w:pPr>
      <w:r>
        <w:rPr>
          <w:rFonts w:hint="eastAsia" w:ascii="仿宋_GB2312" w:eastAsia="仿宋_GB2312"/>
          <w:b/>
          <w:color w:val="auto"/>
          <w:sz w:val="32"/>
          <w:szCs w:val="32"/>
          <w:highlight w:val="none"/>
          <w:lang w:val="en-US" w:eastAsia="zh-CN"/>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5"/>
          <w:rFonts w:hint="eastAsia" w:ascii="仿宋" w:eastAsia="仿宋"/>
          <w:b w:val="0"/>
          <w:bCs/>
          <w:color w:val="auto"/>
          <w:sz w:val="32"/>
          <w:szCs w:val="32"/>
          <w:highlight w:val="none"/>
        </w:rPr>
        <w:t>。</w:t>
      </w:r>
    </w:p>
    <w:p w14:paraId="50D3A9FE">
      <w:pPr>
        <w:pageBreakBefore w:val="0"/>
        <w:widowControl w:val="0"/>
        <w:numPr>
          <w:ilvl w:val="0"/>
          <w:numId w:val="0"/>
        </w:numPr>
        <w:suppressAutoHyphens/>
        <w:kinsoku/>
        <w:wordWrap/>
        <w:overflowPunct/>
        <w:topLinePunct w:val="0"/>
        <w:bidi w:val="0"/>
        <w:snapToGrid/>
        <w:spacing w:line="576" w:lineRule="exact"/>
        <w:ind w:firstLine="643" w:firstLineChars="200"/>
        <w:textAlignment w:val="auto"/>
        <w:rPr>
          <w:rFonts w:ascii="仿宋_GB2312" w:eastAsia="仿宋_GB2312"/>
          <w:color w:val="auto"/>
          <w:sz w:val="32"/>
          <w:szCs w:val="32"/>
          <w:highlight w:val="none"/>
        </w:rPr>
      </w:pPr>
      <w:r>
        <w:rPr>
          <w:rFonts w:hint="eastAsia" w:ascii="仿宋" w:eastAsia="仿宋"/>
          <w:b/>
          <w:color w:val="auto"/>
          <w:sz w:val="32"/>
          <w:szCs w:val="32"/>
          <w:highlight w:val="none"/>
        </w:rPr>
        <w:t>国内公务接待支出</w:t>
      </w:r>
      <w:r>
        <w:rPr>
          <w:rFonts w:hint="eastAsia" w:asci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4551AD23">
      <w:pPr>
        <w:pageBreakBefore w:val="0"/>
        <w:widowControl w:val="0"/>
        <w:suppressAutoHyphens/>
        <w:kinsoku/>
        <w:wordWrap/>
        <w:overflowPunct/>
        <w:topLinePunct w:val="0"/>
        <w:bidi w:val="0"/>
        <w:snapToGrid/>
        <w:spacing w:line="576" w:lineRule="exact"/>
        <w:ind w:firstLine="643" w:firstLineChars="200"/>
        <w:textAlignment w:val="auto"/>
        <w:rPr>
          <w:rFonts w:ascii="仿宋_GB2312" w:eastAsia="仿宋_GB2312"/>
          <w:color w:val="auto"/>
          <w:sz w:val="32"/>
          <w:szCs w:val="32"/>
          <w:highlight w:val="none"/>
        </w:rPr>
      </w:pPr>
      <w:r>
        <w:rPr>
          <w:rFonts w:hint="eastAsia" w:ascii="仿宋" w:eastAsia="仿宋"/>
          <w:b/>
          <w:color w:val="auto"/>
          <w:sz w:val="32"/>
          <w:szCs w:val="32"/>
          <w:highlight w:val="none"/>
        </w:rPr>
        <w:t>外事接待支出</w:t>
      </w:r>
      <w:r>
        <w:rPr>
          <w:rFonts w:hint="eastAsia" w:asci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5C2B6A01">
      <w:pPr>
        <w:spacing w:line="600" w:lineRule="exact"/>
        <w:ind w:firstLine="640"/>
        <w:outlineLvl w:val="1"/>
        <w:rPr>
          <w:rStyle w:val="17"/>
          <w:rFonts w:ascii="黑体" w:hAnsi="黑体" w:eastAsia="黑体"/>
          <w:color w:val="auto"/>
          <w:highlight w:val="none"/>
        </w:rPr>
      </w:pPr>
      <w:r>
        <w:rPr>
          <w:rFonts w:hint="eastAsia" w:ascii="黑体" w:eastAsia="黑体"/>
          <w:color w:val="auto"/>
          <w:sz w:val="32"/>
          <w:szCs w:val="32"/>
          <w:highlight w:val="none"/>
        </w:rPr>
        <w:t>八、</w:t>
      </w:r>
      <w:r>
        <w:rPr>
          <w:rStyle w:val="17"/>
          <w:rFonts w:hint="eastAsia" w:ascii="黑体" w:hAnsi="黑体" w:eastAsia="黑体"/>
          <w:b w:val="0"/>
          <w:color w:val="auto"/>
          <w:highlight w:val="none"/>
        </w:rPr>
        <w:t>政府性基金预算支出决算情况说明</w:t>
      </w:r>
      <w:bookmarkEnd w:id="13"/>
    </w:p>
    <w:p w14:paraId="40D31E51">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9FCCB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ascii="黑体" w:hAnsi="黑体" w:eastAsia="黑体"/>
          <w:b w:val="0"/>
          <w:color w:val="auto"/>
          <w:highlight w:val="none"/>
        </w:rPr>
      </w:pPr>
      <w:bookmarkStart w:id="14" w:name="_Toc13493"/>
      <w:r>
        <w:rPr>
          <w:rStyle w:val="17"/>
          <w:rFonts w:hint="eastAsia" w:ascii="黑体" w:hAnsi="黑体" w:eastAsia="黑体"/>
          <w:b w:val="0"/>
          <w:color w:val="auto"/>
          <w:highlight w:val="none"/>
          <w:lang w:eastAsia="zh-CN"/>
        </w:rPr>
        <w:t>九、</w:t>
      </w:r>
      <w:r>
        <w:rPr>
          <w:rStyle w:val="17"/>
          <w:rFonts w:hint="eastAsia" w:ascii="黑体" w:hAnsi="黑体" w:eastAsia="黑体"/>
          <w:b w:val="0"/>
          <w:color w:val="auto"/>
          <w:highlight w:val="none"/>
        </w:rPr>
        <w:t>国有资本经营预算支出决算情况说明</w:t>
      </w:r>
      <w:bookmarkEnd w:id="14"/>
    </w:p>
    <w:p w14:paraId="7B988625">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4443F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hint="eastAsia" w:ascii="黑体" w:hAnsi="黑体" w:eastAsia="黑体"/>
          <w:b w:val="0"/>
          <w:color w:val="auto"/>
          <w:highlight w:val="none"/>
        </w:rPr>
      </w:pPr>
      <w:bookmarkStart w:id="15" w:name="_Toc25295"/>
      <w:r>
        <w:rPr>
          <w:rStyle w:val="17"/>
          <w:rFonts w:hint="eastAsia" w:ascii="黑体" w:hAnsi="黑体" w:eastAsia="黑体"/>
          <w:b w:val="0"/>
          <w:color w:val="auto"/>
          <w:highlight w:val="none"/>
          <w:lang w:eastAsia="zh-CN"/>
        </w:rPr>
        <w:t>十、</w:t>
      </w:r>
      <w:r>
        <w:rPr>
          <w:rStyle w:val="17"/>
          <w:rFonts w:hint="eastAsia" w:ascii="黑体" w:hAnsi="黑体" w:eastAsia="黑体"/>
          <w:b w:val="0"/>
          <w:color w:val="auto"/>
          <w:highlight w:val="none"/>
        </w:rPr>
        <w:t>其他重要事项的情况说明</w:t>
      </w:r>
      <w:bookmarkEnd w:id="15"/>
    </w:p>
    <w:p w14:paraId="4083ABD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14:paraId="053620B7">
      <w:pPr>
        <w:spacing w:line="600" w:lineRule="exact"/>
        <w:ind w:firstLine="640" w:firstLineChars="200"/>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仿宋_GB2312" w:eastAsia="仿宋_GB2312"/>
          <w:color w:val="auto"/>
          <w:sz w:val="32"/>
          <w:szCs w:val="32"/>
          <w:highlight w:val="none"/>
          <w:lang w:eastAsia="zh-CN"/>
        </w:rPr>
        <w:t>茂县国防动员事务中心</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w:t>
      </w:r>
    </w:p>
    <w:p w14:paraId="4D6474B1">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14:paraId="3C6EA34D">
      <w:pPr>
        <w:pageBreakBefore w:val="0"/>
        <w:widowControl w:val="0"/>
        <w:suppressAutoHyphens/>
        <w:kinsoku/>
        <w:wordWrap/>
        <w:overflowPunct/>
        <w:topLinePunct w:val="0"/>
        <w:bidi w:val="0"/>
        <w:snapToGrid/>
        <w:spacing w:line="576" w:lineRule="exact"/>
        <w:ind w:firstLine="640" w:firstLineChars="200"/>
        <w:textAlignment w:val="auto"/>
        <w:rPr>
          <w:rFonts w:ascii="仿宋" w:eastAsia="仿宋"/>
          <w:b/>
          <w:color w:val="auto"/>
          <w:sz w:val="32"/>
          <w:szCs w:val="32"/>
          <w:highlight w:val="none"/>
        </w:rPr>
      </w:pPr>
      <w:r>
        <w:rPr>
          <w:rFonts w:hint="eastAsia" w:ascii="仿宋_GB2312" w:eastAsia="仿宋_GB2312"/>
          <w:color w:val="auto"/>
          <w:sz w:val="32"/>
          <w:szCs w:val="32"/>
          <w:highlight w:val="none"/>
          <w:lang w:eastAsia="zh-CN"/>
        </w:rPr>
        <w:t>茂县国防动员事务中心无</w:t>
      </w:r>
      <w:r>
        <w:rPr>
          <w:rFonts w:hint="eastAsia" w:ascii="仿宋_GB2312" w:eastAsia="仿宋_GB2312"/>
          <w:color w:val="auto"/>
          <w:sz w:val="32"/>
          <w:szCs w:val="32"/>
          <w:highlight w:val="none"/>
        </w:rPr>
        <w:t>政府采购支出</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年度持平。</w:t>
      </w:r>
    </w:p>
    <w:p w14:paraId="3EEB4219">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5A7704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b w:val="0"/>
          <w:bCs w:val="0"/>
          <w:color w:val="auto"/>
          <w:kern w:val="2"/>
          <w:sz w:val="32"/>
          <w:szCs w:val="32"/>
          <w:highlight w:val="none"/>
          <w:lang w:val="en-US" w:eastAsia="zh-CN" w:bidi="ar-SA"/>
        </w:rPr>
        <w:t>茂县国防动员事务中心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0F0E0162">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1FD9C881">
      <w:pPr>
        <w:spacing w:line="600" w:lineRule="exact"/>
        <w:ind w:firstLine="640"/>
        <w:rPr>
          <w:rFonts w:hint="eastAsia" w:ascii="仿宋_GB2312" w:hAnsi="Times New Roman" w:eastAsia="仿宋_GB2312" w:cs="Times New Roman"/>
          <w:color w:val="auto"/>
          <w:sz w:val="32"/>
          <w:szCs w:val="32"/>
          <w:highlight w:val="none"/>
          <w:lang w:eastAsia="zh-CN"/>
        </w:rPr>
      </w:pPr>
      <w:r>
        <w:rPr>
          <w:rFonts w:hint="eastAsia" w:ascii="仿宋_GB2312" w:eastAsia="仿宋_GB2312" w:cs="仿宋_GB2312"/>
          <w:color w:val="000000"/>
          <w:sz w:val="32"/>
          <w:szCs w:val="32"/>
        </w:rPr>
        <w:t>我办根据预算绩效管理要求，</w:t>
      </w:r>
      <w:r>
        <w:rPr>
          <w:rFonts w:hint="eastAsia" w:ascii="仿宋_GB2312" w:eastAsia="仿宋_GB2312" w:cs="仿宋_GB2312"/>
          <w:color w:val="000000"/>
          <w:sz w:val="32"/>
          <w:szCs w:val="32"/>
          <w:lang w:eastAsia="zh-CN"/>
        </w:rPr>
        <w:t>结合</w:t>
      </w:r>
      <w:r>
        <w:rPr>
          <w:rFonts w:hint="eastAsia" w:ascii="仿宋_GB2312" w:eastAsia="仿宋_GB2312" w:cs="仿宋_GB2312"/>
          <w:color w:val="000000"/>
          <w:sz w:val="32"/>
          <w:szCs w:val="32"/>
          <w:lang w:val="en-US" w:eastAsia="zh-CN"/>
        </w:rPr>
        <w:t>2024年</w:t>
      </w:r>
      <w:r>
        <w:rPr>
          <w:rFonts w:hint="eastAsia" w:ascii="仿宋_GB2312" w:eastAsia="仿宋_GB2312" w:cs="仿宋_GB2312"/>
          <w:color w:val="000000"/>
          <w:sz w:val="32"/>
          <w:szCs w:val="32"/>
        </w:rPr>
        <w:t>工作规划和重点工作，</w:t>
      </w:r>
      <w:r>
        <w:rPr>
          <w:rFonts w:hint="eastAsia" w:ascii="仿宋_GB2312" w:eastAsia="仿宋_GB2312" w:cs="仿宋_GB2312"/>
          <w:color w:val="000000"/>
          <w:sz w:val="32"/>
          <w:szCs w:val="32"/>
          <w:lang w:eastAsia="zh-CN"/>
        </w:rPr>
        <w:t>本部门在</w:t>
      </w:r>
      <w:r>
        <w:rPr>
          <w:rFonts w:hint="eastAsia" w:ascii="仿宋_GB2312" w:eastAsia="仿宋_GB2312" w:cs="仿宋_GB2312"/>
          <w:color w:val="000000"/>
          <w:sz w:val="32"/>
          <w:szCs w:val="32"/>
          <w:lang w:val="en-US" w:eastAsia="zh-CN"/>
        </w:rPr>
        <w:t>2024年度预算编制阶段，无</w:t>
      </w:r>
      <w:r>
        <w:rPr>
          <w:rFonts w:hint="eastAsia" w:ascii="仿宋_GB2312" w:eastAsia="仿宋_GB2312" w:cs="仿宋"/>
          <w:color w:val="auto"/>
          <w:sz w:val="32"/>
          <w:szCs w:val="32"/>
          <w:highlight w:val="none"/>
          <w:lang w:val="en-US" w:eastAsia="zh-CN" w:bidi="ar-SA"/>
        </w:rPr>
        <w:t>特定目标类部门预算项目</w:t>
      </w:r>
      <w:r>
        <w:rPr>
          <w:rFonts w:hint="eastAsia" w:ascii="仿宋_GB2312" w:eastAsia="仿宋_GB2312" w:cs="仿宋_GB2312"/>
          <w:sz w:val="32"/>
          <w:szCs w:val="32"/>
        </w:rPr>
        <w:t>。</w:t>
      </w:r>
      <w:r>
        <w:rPr>
          <w:rFonts w:hint="eastAsia" w:ascii="仿宋_GB2312" w:eastAsia="仿宋_GB2312" w:cs="Times New Roman"/>
          <w:color w:val="auto"/>
          <w:sz w:val="32"/>
          <w:szCs w:val="32"/>
          <w:highlight w:val="none"/>
          <w:lang w:eastAsia="zh-CN"/>
        </w:rPr>
        <w:br w:type="page"/>
      </w:r>
    </w:p>
    <w:p w14:paraId="622D67CC">
      <w:pPr>
        <w:numPr>
          <w:ilvl w:val="0"/>
          <w:numId w:val="0"/>
        </w:numPr>
        <w:spacing w:line="600" w:lineRule="exact"/>
        <w:jc w:val="center"/>
        <w:outlineLvl w:val="0"/>
        <w:rPr>
          <w:rStyle w:val="16"/>
          <w:rFonts w:hint="eastAsia" w:ascii="方正小标宋简体" w:hAnsi="方正小标宋简体" w:eastAsia="方正小标宋简体" w:cs="方正小标宋简体"/>
          <w:b w:val="0"/>
          <w:color w:val="auto"/>
          <w:highlight w:val="none"/>
        </w:rPr>
      </w:pPr>
      <w:bookmarkStart w:id="16" w:name="_Toc28513"/>
      <w:r>
        <w:rPr>
          <w:rFonts w:hint="eastAsia" w:ascii="方正小标宋简体" w:hAnsi="方正小标宋简体" w:eastAsia="方正小标宋简体" w:cs="方正小标宋简体"/>
          <w:color w:val="auto"/>
          <w:sz w:val="44"/>
          <w:szCs w:val="44"/>
          <w:highlight w:val="none"/>
          <w:lang w:eastAsia="zh-CN"/>
        </w:rPr>
        <w:t>第三部分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名</w:t>
      </w:r>
      <w:r>
        <w:rPr>
          <w:rStyle w:val="16"/>
          <w:rFonts w:hint="eastAsia" w:ascii="方正小标宋简体" w:hAnsi="方正小标宋简体" w:eastAsia="方正小标宋简体" w:cs="方正小标宋简体"/>
          <w:b w:val="0"/>
          <w:color w:val="auto"/>
          <w:highlight w:val="none"/>
        </w:rPr>
        <w:t>词解释</w:t>
      </w:r>
      <w:bookmarkEnd w:id="16"/>
    </w:p>
    <w:p w14:paraId="31ABBF4A">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6FCC0091">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r>
        <w:rPr>
          <w:rFonts w:hint="eastAsia" w:ascii="仿宋_GB2312" w:eastAsia="仿宋_GB2312"/>
          <w:color w:val="auto"/>
          <w:sz w:val="32"/>
          <w:szCs w:val="32"/>
          <w:highlight w:val="none"/>
          <w:lang w:eastAsia="zh-CN"/>
        </w:rPr>
        <w:t>。</w:t>
      </w:r>
    </w:p>
    <w:p w14:paraId="745C3C10">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5E997036">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p>
    <w:p w14:paraId="3F470ACC">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6C7605B2">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62DB993B">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4D29DE5F">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31B1C9AC">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一般公共服务支出（</w:t>
      </w:r>
      <w:r>
        <w:rPr>
          <w:rFonts w:hint="eastAsia" w:ascii="仿宋_GB2312" w:eastAsia="仿宋_GB2312"/>
          <w:color w:val="auto"/>
          <w:sz w:val="32"/>
          <w:szCs w:val="32"/>
          <w:highlight w:val="none"/>
          <w:lang w:eastAsia="zh-CN"/>
        </w:rPr>
        <w:t>类</w:t>
      </w:r>
      <w:r>
        <w:rPr>
          <w:rFonts w:hint="eastAsia" w:ascii="仿宋_GB2312" w:eastAsia="仿宋_GB2312"/>
          <w:color w:val="auto"/>
          <w:sz w:val="32"/>
          <w:szCs w:val="32"/>
          <w:highlight w:val="none"/>
        </w:rPr>
        <w:t>）政府办公厅（室）及相关机构事务（</w:t>
      </w:r>
      <w:r>
        <w:rPr>
          <w:rFonts w:hint="eastAsia" w:ascii="仿宋_GB2312" w:eastAsia="仿宋_GB2312"/>
          <w:color w:val="auto"/>
          <w:sz w:val="32"/>
          <w:szCs w:val="32"/>
          <w:highlight w:val="none"/>
          <w:lang w:eastAsia="zh-CN"/>
        </w:rPr>
        <w:t>款</w:t>
      </w:r>
      <w:r>
        <w:rPr>
          <w:rFonts w:hint="eastAsia" w:ascii="仿宋_GB2312" w:eastAsia="仿宋_GB2312"/>
          <w:color w:val="auto"/>
          <w:sz w:val="32"/>
          <w:szCs w:val="32"/>
          <w:highlight w:val="none"/>
        </w:rPr>
        <w:t>）事业运行（</w:t>
      </w:r>
      <w:r>
        <w:rPr>
          <w:rFonts w:hint="eastAsia" w:ascii="仿宋_GB2312" w:eastAsia="仿宋_GB2312"/>
          <w:color w:val="auto"/>
          <w:sz w:val="32"/>
          <w:szCs w:val="32"/>
          <w:highlight w:val="none"/>
          <w:lang w:eastAsia="zh-CN"/>
        </w:rPr>
        <w:t>项</w:t>
      </w:r>
      <w:r>
        <w:rPr>
          <w:rFonts w:hint="eastAsia" w:ascii="仿宋_GB2312" w:eastAsia="仿宋_GB2312"/>
          <w:color w:val="auto"/>
          <w:sz w:val="32"/>
          <w:szCs w:val="32"/>
          <w:highlight w:val="none"/>
        </w:rPr>
        <w:t>）：反映事业单位的基本支出，不包括行政单位（包括实行公务员管理的事业单位）后勤服务中心、医务室等附属事业单位。</w:t>
      </w:r>
    </w:p>
    <w:p w14:paraId="7EB39B71">
      <w:pPr>
        <w:pageBreakBefore w:val="0"/>
        <w:widowControl w:val="0"/>
        <w:suppressAutoHyphens/>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ascii="仿宋_GB2312" w:eastAsia="仿宋_GB2312"/>
          <w:color w:val="auto"/>
          <w:sz w:val="32"/>
          <w:szCs w:val="32"/>
          <w:highlight w:val="none"/>
        </w:rPr>
        <w:t>10.</w:t>
      </w:r>
      <w:r>
        <w:rPr>
          <w:rFonts w:hint="eastAsia" w:ascii="仿宋_GB2312" w:eastAsia="仿宋_GB2312"/>
          <w:color w:val="auto"/>
          <w:sz w:val="32"/>
          <w:szCs w:val="32"/>
          <w:highlight w:val="none"/>
        </w:rPr>
        <w:t>社会保障和就业支出（</w:t>
      </w:r>
      <w:r>
        <w:rPr>
          <w:rFonts w:hint="eastAsia" w:ascii="仿宋_GB2312" w:eastAsia="仿宋_GB2312"/>
          <w:color w:val="auto"/>
          <w:sz w:val="32"/>
          <w:szCs w:val="32"/>
          <w:highlight w:val="none"/>
          <w:lang w:eastAsia="zh-CN"/>
        </w:rPr>
        <w:t>类</w:t>
      </w:r>
      <w:r>
        <w:rPr>
          <w:rFonts w:hint="eastAsia" w:ascii="仿宋_GB2312" w:eastAsia="仿宋_GB2312"/>
          <w:color w:val="auto"/>
          <w:sz w:val="32"/>
          <w:szCs w:val="32"/>
          <w:highlight w:val="none"/>
        </w:rPr>
        <w:t>）行政事业单位养老支出（</w:t>
      </w:r>
      <w:r>
        <w:rPr>
          <w:rFonts w:hint="eastAsia" w:ascii="仿宋_GB2312" w:eastAsia="仿宋_GB2312"/>
          <w:color w:val="auto"/>
          <w:sz w:val="32"/>
          <w:szCs w:val="32"/>
          <w:highlight w:val="none"/>
          <w:lang w:eastAsia="zh-CN"/>
        </w:rPr>
        <w:t>款</w:t>
      </w:r>
      <w:r>
        <w:rPr>
          <w:rFonts w:hint="eastAsia" w:ascii="仿宋_GB2312" w:eastAsia="仿宋_GB2312"/>
          <w:color w:val="auto"/>
          <w:sz w:val="32"/>
          <w:szCs w:val="32"/>
          <w:highlight w:val="none"/>
        </w:rPr>
        <w:t>）机关事业单位基本养老保险缴费支出（</w:t>
      </w:r>
      <w:r>
        <w:rPr>
          <w:rFonts w:hint="eastAsia" w:ascii="仿宋_GB2312" w:eastAsia="仿宋_GB2312"/>
          <w:color w:val="auto"/>
          <w:sz w:val="32"/>
          <w:szCs w:val="32"/>
          <w:highlight w:val="none"/>
          <w:lang w:eastAsia="zh-CN"/>
        </w:rPr>
        <w:t>项</w:t>
      </w:r>
      <w:r>
        <w:rPr>
          <w:rFonts w:hint="eastAsia" w:ascii="仿宋_GB2312" w:eastAsia="仿宋_GB2312"/>
          <w:color w:val="auto"/>
          <w:sz w:val="32"/>
          <w:szCs w:val="32"/>
          <w:highlight w:val="none"/>
        </w:rPr>
        <w:t>）：反映机关事业单位实施养老保险制度由单位缴纳的基本养老保险费支出。</w:t>
      </w:r>
    </w:p>
    <w:p w14:paraId="5D8B1315">
      <w:pPr>
        <w:pageBreakBefore w:val="0"/>
        <w:widowControl w:val="0"/>
        <w:suppressAutoHyphens/>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ascii="仿宋_GB2312" w:eastAsia="仿宋_GB2312"/>
          <w:color w:val="auto"/>
          <w:sz w:val="32"/>
          <w:szCs w:val="32"/>
          <w:highlight w:val="none"/>
        </w:rPr>
        <w:t>11.</w:t>
      </w:r>
      <w:r>
        <w:rPr>
          <w:rFonts w:hint="eastAsia" w:ascii="仿宋_GB2312" w:eastAsia="仿宋_GB2312"/>
          <w:color w:val="auto"/>
          <w:sz w:val="32"/>
          <w:szCs w:val="32"/>
          <w:highlight w:val="none"/>
        </w:rPr>
        <w:t>社会保障和就业支出（</w:t>
      </w:r>
      <w:r>
        <w:rPr>
          <w:rFonts w:hint="eastAsia" w:ascii="仿宋_GB2312" w:eastAsia="仿宋_GB2312"/>
          <w:color w:val="auto"/>
          <w:sz w:val="32"/>
          <w:szCs w:val="32"/>
          <w:highlight w:val="none"/>
          <w:lang w:eastAsia="zh-CN"/>
        </w:rPr>
        <w:t>类</w:t>
      </w:r>
      <w:r>
        <w:rPr>
          <w:rFonts w:hint="eastAsia" w:ascii="仿宋_GB2312" w:eastAsia="仿宋_GB2312"/>
          <w:color w:val="auto"/>
          <w:sz w:val="32"/>
          <w:szCs w:val="32"/>
          <w:highlight w:val="none"/>
        </w:rPr>
        <w:t>）行政事业单位养老支出（</w:t>
      </w:r>
      <w:r>
        <w:rPr>
          <w:rFonts w:hint="eastAsia" w:ascii="仿宋_GB2312" w:eastAsia="仿宋_GB2312"/>
          <w:color w:val="auto"/>
          <w:sz w:val="32"/>
          <w:szCs w:val="32"/>
          <w:highlight w:val="none"/>
          <w:lang w:eastAsia="zh-CN"/>
        </w:rPr>
        <w:t>款</w:t>
      </w:r>
      <w:r>
        <w:rPr>
          <w:rFonts w:hint="eastAsia" w:ascii="仿宋_GB2312" w:eastAsia="仿宋_GB2312"/>
          <w:color w:val="auto"/>
          <w:sz w:val="32"/>
          <w:szCs w:val="32"/>
          <w:highlight w:val="none"/>
        </w:rPr>
        <w:t>）机关事业单位职业年金缴费支出（</w:t>
      </w:r>
      <w:r>
        <w:rPr>
          <w:rFonts w:hint="eastAsia" w:ascii="仿宋_GB2312" w:eastAsia="仿宋_GB2312"/>
          <w:color w:val="auto"/>
          <w:sz w:val="32"/>
          <w:szCs w:val="32"/>
          <w:highlight w:val="none"/>
          <w:lang w:eastAsia="zh-CN"/>
        </w:rPr>
        <w:t>项</w:t>
      </w:r>
      <w:r>
        <w:rPr>
          <w:rFonts w:hint="eastAsia" w:ascii="仿宋_GB2312" w:eastAsia="仿宋_GB2312"/>
          <w:color w:val="auto"/>
          <w:sz w:val="32"/>
          <w:szCs w:val="32"/>
          <w:highlight w:val="none"/>
        </w:rPr>
        <w:t>）：反映机关事业单位实施养老保险制度由单位实际缴纳的职业年金支出。</w:t>
      </w:r>
    </w:p>
    <w:p w14:paraId="138C5308">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12.</w:t>
      </w:r>
      <w:r>
        <w:rPr>
          <w:rFonts w:hint="eastAsia" w:ascii="仿宋_GB2312" w:eastAsia="仿宋_GB2312"/>
          <w:color w:val="auto"/>
          <w:sz w:val="32"/>
          <w:szCs w:val="32"/>
          <w:highlight w:val="none"/>
        </w:rPr>
        <w:t>卫生健康支出（</w:t>
      </w:r>
      <w:r>
        <w:rPr>
          <w:rFonts w:hint="eastAsia" w:ascii="仿宋_GB2312" w:eastAsia="仿宋_GB2312"/>
          <w:color w:val="auto"/>
          <w:sz w:val="32"/>
          <w:szCs w:val="32"/>
          <w:highlight w:val="none"/>
          <w:lang w:eastAsia="zh-CN"/>
        </w:rPr>
        <w:t>类</w:t>
      </w:r>
      <w:r>
        <w:rPr>
          <w:rFonts w:hint="eastAsia" w:ascii="仿宋_GB2312" w:eastAsia="仿宋_GB2312"/>
          <w:color w:val="auto"/>
          <w:sz w:val="32"/>
          <w:szCs w:val="32"/>
          <w:highlight w:val="none"/>
        </w:rPr>
        <w:t>）行政事业单位医疗（</w:t>
      </w:r>
      <w:r>
        <w:rPr>
          <w:rFonts w:hint="eastAsia" w:ascii="仿宋_GB2312" w:eastAsia="仿宋_GB2312"/>
          <w:color w:val="auto"/>
          <w:sz w:val="32"/>
          <w:szCs w:val="32"/>
          <w:highlight w:val="none"/>
          <w:lang w:eastAsia="zh-CN"/>
        </w:rPr>
        <w:t>款</w:t>
      </w:r>
      <w:r>
        <w:rPr>
          <w:rFonts w:hint="eastAsia" w:ascii="仿宋_GB2312" w:eastAsia="仿宋_GB2312"/>
          <w:color w:val="auto"/>
          <w:sz w:val="32"/>
          <w:szCs w:val="32"/>
          <w:highlight w:val="none"/>
        </w:rPr>
        <w:t>）事业单位医疗（</w:t>
      </w:r>
      <w:r>
        <w:rPr>
          <w:rFonts w:hint="eastAsia" w:ascii="仿宋_GB2312" w:eastAsia="仿宋_GB2312"/>
          <w:color w:val="auto"/>
          <w:sz w:val="32"/>
          <w:szCs w:val="32"/>
          <w:highlight w:val="none"/>
          <w:lang w:eastAsia="zh-CN"/>
        </w:rPr>
        <w:t>项</w:t>
      </w:r>
      <w:r>
        <w:rPr>
          <w:rFonts w:hint="eastAsia" w:ascii="仿宋_GB2312" w:eastAsia="仿宋_GB2312"/>
          <w:color w:val="auto"/>
          <w:sz w:val="32"/>
          <w:szCs w:val="32"/>
          <w:highlight w:val="none"/>
        </w:rPr>
        <w:t>）：反映财政部门安排的事业单位基本医疗保险缴费经费，未参加医疗保险的事业单位的公费医疗经费，按国家规定享受离休人员待遇的医疗经费。</w:t>
      </w:r>
    </w:p>
    <w:p w14:paraId="04F6093E">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13.</w:t>
      </w:r>
      <w:r>
        <w:rPr>
          <w:rFonts w:hint="eastAsia" w:ascii="仿宋_GB2312" w:eastAsia="仿宋_GB2312"/>
          <w:color w:val="auto"/>
          <w:sz w:val="32"/>
          <w:szCs w:val="32"/>
          <w:highlight w:val="none"/>
        </w:rPr>
        <w:t>住房保障支出（</w:t>
      </w:r>
      <w:r>
        <w:rPr>
          <w:rFonts w:hint="eastAsia" w:ascii="仿宋_GB2312" w:eastAsia="仿宋_GB2312"/>
          <w:color w:val="auto"/>
          <w:sz w:val="32"/>
          <w:szCs w:val="32"/>
          <w:highlight w:val="none"/>
          <w:lang w:eastAsia="zh-CN"/>
        </w:rPr>
        <w:t>类</w:t>
      </w:r>
      <w:r>
        <w:rPr>
          <w:rFonts w:hint="eastAsia" w:ascii="仿宋_GB2312" w:eastAsia="仿宋_GB2312"/>
          <w:color w:val="auto"/>
          <w:sz w:val="32"/>
          <w:szCs w:val="32"/>
          <w:highlight w:val="none"/>
        </w:rPr>
        <w:t>）住房改革支出（</w:t>
      </w:r>
      <w:r>
        <w:rPr>
          <w:rFonts w:hint="eastAsia" w:ascii="仿宋_GB2312" w:eastAsia="仿宋_GB2312"/>
          <w:color w:val="auto"/>
          <w:sz w:val="32"/>
          <w:szCs w:val="32"/>
          <w:highlight w:val="none"/>
          <w:lang w:eastAsia="zh-CN"/>
        </w:rPr>
        <w:t>款</w:t>
      </w:r>
      <w:r>
        <w:rPr>
          <w:rFonts w:hint="eastAsia" w:ascii="仿宋_GB2312" w:eastAsia="仿宋_GB2312"/>
          <w:color w:val="auto"/>
          <w:sz w:val="32"/>
          <w:szCs w:val="32"/>
          <w:highlight w:val="none"/>
        </w:rPr>
        <w:t>）住房公积金（</w:t>
      </w:r>
      <w:r>
        <w:rPr>
          <w:rFonts w:hint="eastAsia" w:ascii="仿宋_GB2312" w:eastAsia="仿宋_GB2312"/>
          <w:color w:val="auto"/>
          <w:sz w:val="32"/>
          <w:szCs w:val="32"/>
          <w:highlight w:val="none"/>
          <w:lang w:eastAsia="zh-CN"/>
        </w:rPr>
        <w:t>项</w:t>
      </w:r>
      <w:r>
        <w:rPr>
          <w:rFonts w:hint="eastAsia" w:ascii="仿宋_GB2312" w:eastAsia="仿宋_GB2312"/>
          <w:color w:val="auto"/>
          <w:sz w:val="32"/>
          <w:szCs w:val="32"/>
          <w:highlight w:val="none"/>
        </w:rPr>
        <w:t>）：反映行政事业单位按人力资源和社会保障部、财政部规定的基本工资和津贴补贴以及规定比例为职工缴纳的住房公积金。</w:t>
      </w:r>
    </w:p>
    <w:p w14:paraId="1B1B30AF">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4098E260">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49D120E6">
      <w:pPr>
        <w:pageBreakBefore w:val="0"/>
        <w:widowControl w:val="0"/>
        <w:suppressAutoHyphens/>
        <w:kinsoku/>
        <w:wordWrap/>
        <w:overflowPunct/>
        <w:topLinePunct w:val="0"/>
        <w:bidi w:val="0"/>
        <w:snapToGrid/>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48069224">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5CB815">
      <w:pPr>
        <w:pStyle w:val="22"/>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16116F7">
      <w:pPr>
        <w:ind w:firstLine="640" w:firstLineChars="200"/>
        <w:jc w:val="center"/>
        <w:rPr>
          <w:rStyle w:val="16"/>
          <w:rFonts w:hint="eastAsia" w:ascii="方正小标宋简体" w:hAnsi="方正小标宋简体" w:eastAsia="方正小标宋简体" w:cs="方正小标宋简体"/>
          <w:b w:val="0"/>
          <w:color w:val="auto"/>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17" w:name="_Toc16639"/>
      <w:r>
        <w:rPr>
          <w:rFonts w:hint="eastAsia" w:ascii="方正小标宋简体" w:hAnsi="方正小标宋简体" w:eastAsia="方正小标宋简体" w:cs="方正小标宋简体"/>
          <w:color w:val="auto"/>
          <w:sz w:val="44"/>
          <w:szCs w:val="44"/>
          <w:highlight w:val="none"/>
        </w:rPr>
        <w:t>第</w:t>
      </w:r>
      <w:r>
        <w:rPr>
          <w:rStyle w:val="16"/>
          <w:rFonts w:hint="eastAsia" w:ascii="方正小标宋简体" w:hAnsi="方正小标宋简体" w:eastAsia="方正小标宋简体" w:cs="方正小标宋简体"/>
          <w:b w:val="0"/>
          <w:color w:val="auto"/>
          <w:highlight w:val="none"/>
        </w:rPr>
        <w:t>四部分 附件</w:t>
      </w:r>
      <w:bookmarkEnd w:id="17"/>
    </w:p>
    <w:p w14:paraId="32D88253">
      <w:pPr>
        <w:pageBreakBefore w:val="0"/>
        <w:widowControl w:val="0"/>
        <w:suppressAutoHyphens/>
        <w:kinsoku/>
        <w:wordWrap/>
        <w:overflowPunct/>
        <w:topLinePunct w:val="0"/>
        <w:bidi w:val="0"/>
        <w:snapToGrid/>
        <w:spacing w:line="576" w:lineRule="exact"/>
        <w:ind w:firstLine="640" w:firstLineChars="200"/>
        <w:jc w:val="both"/>
        <w:textAlignment w:val="auto"/>
        <w:outlineLvl w:val="0"/>
        <w:rPr>
          <w:rFonts w:hint="eastAsia" w:ascii="仿宋_GB2312" w:eastAsia="仿宋_GB2312" w:cs="仿宋_GB2312"/>
          <w:color w:val="FF0000"/>
          <w:sz w:val="32"/>
          <w:szCs w:val="32"/>
          <w:highlight w:val="none"/>
        </w:rPr>
      </w:pPr>
      <w:bookmarkStart w:id="18" w:name="_Toc42573706"/>
      <w:r>
        <w:rPr>
          <w:rFonts w:hint="eastAsia" w:ascii="仿宋_GB2312" w:eastAsia="仿宋_GB2312" w:cs="仿宋_GB2312"/>
          <w:sz w:val="32"/>
          <w:szCs w:val="32"/>
          <w:highlight w:val="none"/>
          <w:lang w:val="en-US" w:eastAsia="zh-CN"/>
        </w:rPr>
        <w:t>单位预算项目支出绩效自评表（2025年度）</w:t>
      </w:r>
      <w:bookmarkEnd w:id="18"/>
    </w:p>
    <w:p w14:paraId="6F2614A5">
      <w:pPr>
        <w:pStyle w:val="6"/>
        <w:pageBreakBefore w:val="0"/>
        <w:widowControl w:val="0"/>
        <w:suppressAutoHyphens/>
        <w:kinsoku/>
        <w:wordWrap/>
        <w:overflowPunct/>
        <w:topLinePunct w:val="0"/>
        <w:bidi w:val="0"/>
        <w:snapToGrid/>
        <w:spacing w:line="576" w:lineRule="exact"/>
        <w:ind w:firstLine="640" w:firstLineChars="200"/>
        <w:textAlignment w:val="auto"/>
        <w:rPr>
          <w:rFonts w:hint="eastAsia" w:ascii="仿宋_GB2312" w:eastAsia="仿宋_GB2312" w:cs="仿宋_GB2312"/>
          <w:color w:val="auto"/>
          <w:kern w:val="0"/>
          <w:sz w:val="32"/>
          <w:szCs w:val="32"/>
          <w:highlight w:val="none"/>
          <w:lang w:val="en-US" w:eastAsia="zh-CN" w:bidi="ar-SA"/>
        </w:rPr>
      </w:pPr>
      <w:r>
        <w:rPr>
          <w:rFonts w:hint="eastAsia" w:ascii="仿宋_GB2312" w:eastAsia="仿宋_GB2312" w:cs="仿宋_GB2312"/>
          <w:color w:val="auto"/>
          <w:sz w:val="32"/>
          <w:szCs w:val="32"/>
          <w:highlight w:val="none"/>
          <w:lang w:val="en-US" w:eastAsia="zh-CN" w:bidi="ar-SA"/>
        </w:rPr>
        <w:t>我单位2025年度无特定目标类部门预算项目。</w:t>
      </w:r>
    </w:p>
    <w:p w14:paraId="7AFB8D97">
      <w:pPr>
        <w:pStyle w:val="6"/>
        <w:rPr>
          <w:rFonts w:hint="eastAsia" w:ascii="仿宋_GB2312" w:hAnsi="Calibri" w:eastAsia="仿宋_GB2312" w:cs="仿宋"/>
          <w:color w:val="auto"/>
          <w:kern w:val="0"/>
          <w:sz w:val="32"/>
          <w:szCs w:val="32"/>
          <w:highlight w:val="none"/>
          <w:lang w:val="en-US" w:eastAsia="zh-CN" w:bidi="ar-SA"/>
        </w:rPr>
      </w:pPr>
    </w:p>
    <w:p w14:paraId="6EAA426F">
      <w:pPr>
        <w:pStyle w:val="6"/>
        <w:rPr>
          <w:rFonts w:hint="eastAsia" w:ascii="仿宋_GB2312" w:hAnsi="Calibri" w:eastAsia="仿宋_GB2312" w:cs="仿宋"/>
          <w:color w:val="auto"/>
          <w:kern w:val="0"/>
          <w:sz w:val="32"/>
          <w:szCs w:val="32"/>
          <w:highlight w:val="none"/>
          <w:lang w:val="en-US" w:eastAsia="zh-CN" w:bidi="ar-SA"/>
        </w:rPr>
      </w:pPr>
    </w:p>
    <w:p w14:paraId="4DA2FAA5">
      <w:pPr>
        <w:pStyle w:val="6"/>
        <w:rPr>
          <w:rFonts w:hint="eastAsia" w:ascii="仿宋_GB2312" w:hAnsi="Calibri" w:eastAsia="仿宋_GB2312" w:cs="仿宋"/>
          <w:color w:val="auto"/>
          <w:kern w:val="0"/>
          <w:sz w:val="32"/>
          <w:szCs w:val="32"/>
          <w:highlight w:val="none"/>
          <w:lang w:val="en-US" w:eastAsia="zh-CN" w:bidi="ar-SA"/>
        </w:rPr>
      </w:pPr>
    </w:p>
    <w:p w14:paraId="0A745363">
      <w:pPr>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p>
    <w:p w14:paraId="74448E8C">
      <w:pPr>
        <w:spacing w:line="600" w:lineRule="exact"/>
        <w:jc w:val="center"/>
        <w:outlineLvl w:val="0"/>
        <w:rPr>
          <w:rFonts w:hint="eastAsia" w:ascii="方正小标宋简体" w:hAnsi="方正小标宋简体" w:eastAsia="方正小标宋简体" w:cs="方正小标宋简体"/>
          <w:b w:val="0"/>
          <w:color w:val="auto"/>
          <w:highlight w:val="none"/>
        </w:rPr>
      </w:pPr>
      <w:bookmarkStart w:id="33" w:name="_GoBack"/>
      <w:bookmarkStart w:id="19" w:name="_Toc1844"/>
      <w:r>
        <w:rPr>
          <w:rFonts w:hint="eastAsia" w:ascii="方正小标宋简体" w:hAnsi="方正小标宋简体" w:eastAsia="方正小标宋简体" w:cs="方正小标宋简体"/>
          <w:color w:val="auto"/>
          <w:sz w:val="44"/>
          <w:szCs w:val="44"/>
          <w:highlight w:val="none"/>
        </w:rPr>
        <w:t>第</w:t>
      </w:r>
      <w:r>
        <w:rPr>
          <w:rStyle w:val="16"/>
          <w:rFonts w:hint="eastAsia" w:ascii="方正小标宋简体" w:hAnsi="方正小标宋简体" w:eastAsia="方正小标宋简体" w:cs="方正小标宋简体"/>
          <w:b w:val="0"/>
          <w:color w:val="auto"/>
          <w:highlight w:val="none"/>
        </w:rPr>
        <w:t>五部分 附表</w:t>
      </w:r>
      <w:bookmarkEnd w:id="19"/>
    </w:p>
    <w:bookmarkEnd w:id="33"/>
    <w:p w14:paraId="1C8DD63E">
      <w:pPr>
        <w:pStyle w:val="4"/>
        <w:rPr>
          <w:rFonts w:ascii="仿宋" w:hAnsi="仿宋" w:eastAsia="仿宋"/>
          <w:color w:val="auto"/>
          <w:highlight w:val="none"/>
        </w:rPr>
      </w:pPr>
      <w:bookmarkStart w:id="20" w:name="_Toc15271"/>
      <w:r>
        <w:rPr>
          <w:rFonts w:hint="eastAsia" w:ascii="仿宋" w:hAnsi="仿宋" w:eastAsia="仿宋"/>
          <w:b w:val="0"/>
          <w:color w:val="auto"/>
          <w:highlight w:val="none"/>
        </w:rPr>
        <w:t>一、收</w:t>
      </w:r>
      <w:r>
        <w:rPr>
          <w:rStyle w:val="17"/>
          <w:rFonts w:hint="eastAsia" w:ascii="仿宋" w:hAnsi="仿宋" w:eastAsia="仿宋"/>
          <w:b w:val="0"/>
          <w:bCs w:val="0"/>
          <w:color w:val="auto"/>
          <w:highlight w:val="none"/>
        </w:rPr>
        <w:t>入支出决算总表</w:t>
      </w:r>
      <w:bookmarkEnd w:id="20"/>
    </w:p>
    <w:p w14:paraId="5A414592">
      <w:pPr>
        <w:pStyle w:val="4"/>
        <w:rPr>
          <w:rFonts w:ascii="仿宋" w:hAnsi="仿宋" w:eastAsia="仿宋"/>
          <w:color w:val="auto"/>
          <w:highlight w:val="none"/>
        </w:rPr>
      </w:pPr>
      <w:bookmarkStart w:id="21" w:name="_Toc15370"/>
      <w:r>
        <w:rPr>
          <w:rFonts w:hint="eastAsia" w:ascii="仿宋" w:hAnsi="仿宋" w:eastAsia="仿宋"/>
          <w:b w:val="0"/>
          <w:color w:val="auto"/>
          <w:highlight w:val="none"/>
        </w:rPr>
        <w:t>二、收</w:t>
      </w:r>
      <w:r>
        <w:rPr>
          <w:rStyle w:val="17"/>
          <w:rFonts w:hint="eastAsia" w:ascii="仿宋" w:hAnsi="仿宋" w:eastAsia="仿宋"/>
          <w:b w:val="0"/>
          <w:bCs w:val="0"/>
          <w:color w:val="auto"/>
          <w:highlight w:val="none"/>
        </w:rPr>
        <w:t>入决算表</w:t>
      </w:r>
      <w:bookmarkEnd w:id="21"/>
    </w:p>
    <w:p w14:paraId="2BDD3EC8">
      <w:pPr>
        <w:pStyle w:val="4"/>
        <w:rPr>
          <w:rFonts w:ascii="仿宋" w:hAnsi="仿宋" w:eastAsia="仿宋"/>
          <w:color w:val="auto"/>
          <w:highlight w:val="none"/>
        </w:rPr>
      </w:pPr>
      <w:bookmarkStart w:id="22" w:name="_Toc15578"/>
      <w:r>
        <w:rPr>
          <w:rStyle w:val="17"/>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17"/>
          <w:rFonts w:hint="eastAsia" w:ascii="仿宋" w:hAnsi="仿宋" w:eastAsia="仿宋"/>
          <w:b w:val="0"/>
          <w:bCs w:val="0"/>
          <w:color w:val="auto"/>
          <w:highlight w:val="none"/>
        </w:rPr>
        <w:t>出决算表</w:t>
      </w:r>
      <w:bookmarkEnd w:id="22"/>
    </w:p>
    <w:p w14:paraId="0F914ACC">
      <w:pPr>
        <w:pStyle w:val="4"/>
        <w:rPr>
          <w:rFonts w:ascii="仿宋" w:hAnsi="仿宋" w:eastAsia="仿宋"/>
          <w:b w:val="0"/>
          <w:color w:val="auto"/>
          <w:highlight w:val="none"/>
        </w:rPr>
      </w:pPr>
      <w:bookmarkStart w:id="23" w:name="_Toc25328"/>
      <w:r>
        <w:rPr>
          <w:rStyle w:val="17"/>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17"/>
          <w:rFonts w:hint="eastAsia" w:ascii="仿宋" w:hAnsi="仿宋" w:eastAsia="仿宋"/>
          <w:b w:val="0"/>
          <w:bCs w:val="0"/>
          <w:color w:val="auto"/>
          <w:highlight w:val="none"/>
        </w:rPr>
        <w:t>政拨款收入支出决算总表</w:t>
      </w:r>
      <w:bookmarkEnd w:id="23"/>
    </w:p>
    <w:p w14:paraId="2FCD36CE">
      <w:pPr>
        <w:pStyle w:val="4"/>
        <w:rPr>
          <w:rStyle w:val="17"/>
          <w:rFonts w:ascii="仿宋" w:hAnsi="仿宋" w:eastAsia="仿宋"/>
          <w:b w:val="0"/>
          <w:bCs w:val="0"/>
          <w:color w:val="auto"/>
          <w:highlight w:val="none"/>
        </w:rPr>
      </w:pPr>
      <w:bookmarkStart w:id="24" w:name="_Toc11213"/>
      <w:r>
        <w:rPr>
          <w:rStyle w:val="17"/>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17"/>
          <w:rFonts w:hint="eastAsia" w:ascii="仿宋" w:hAnsi="仿宋" w:eastAsia="仿宋"/>
          <w:b w:val="0"/>
          <w:bCs w:val="0"/>
          <w:color w:val="auto"/>
          <w:highlight w:val="none"/>
        </w:rPr>
        <w:t>政拨款支出决算明细表</w:t>
      </w:r>
      <w:bookmarkEnd w:id="24"/>
    </w:p>
    <w:p w14:paraId="75BBC0D0">
      <w:pPr>
        <w:pStyle w:val="4"/>
        <w:rPr>
          <w:rFonts w:ascii="仿宋" w:hAnsi="仿宋" w:eastAsia="仿宋"/>
          <w:color w:val="auto"/>
          <w:highlight w:val="none"/>
        </w:rPr>
      </w:pPr>
      <w:bookmarkStart w:id="25" w:name="_Toc16840"/>
      <w:r>
        <w:rPr>
          <w:rStyle w:val="17"/>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般公共预算财政拨款支出决算表</w:t>
      </w:r>
      <w:bookmarkEnd w:id="25"/>
    </w:p>
    <w:p w14:paraId="544B032E">
      <w:pPr>
        <w:pStyle w:val="4"/>
        <w:rPr>
          <w:rFonts w:ascii="仿宋" w:hAnsi="仿宋" w:eastAsia="仿宋"/>
          <w:color w:val="auto"/>
          <w:highlight w:val="none"/>
        </w:rPr>
      </w:pPr>
      <w:bookmarkStart w:id="26" w:name="_Toc2132"/>
      <w:r>
        <w:rPr>
          <w:rStyle w:val="17"/>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般公共预算财政拨款支出决算明细表</w:t>
      </w:r>
      <w:bookmarkEnd w:id="26"/>
    </w:p>
    <w:p w14:paraId="3DC52BCE">
      <w:pPr>
        <w:pStyle w:val="4"/>
        <w:rPr>
          <w:rFonts w:ascii="仿宋" w:hAnsi="仿宋" w:eastAsia="仿宋"/>
          <w:color w:val="auto"/>
          <w:highlight w:val="none"/>
        </w:rPr>
      </w:pPr>
      <w:bookmarkStart w:id="27" w:name="_Toc19625"/>
      <w:r>
        <w:rPr>
          <w:rStyle w:val="17"/>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般公共预算财政拨款基本支出决算表</w:t>
      </w:r>
      <w:bookmarkEnd w:id="27"/>
    </w:p>
    <w:p w14:paraId="0D40C308">
      <w:pPr>
        <w:pStyle w:val="4"/>
        <w:rPr>
          <w:rFonts w:ascii="仿宋" w:hAnsi="仿宋" w:eastAsia="仿宋"/>
          <w:color w:val="auto"/>
          <w:highlight w:val="none"/>
        </w:rPr>
      </w:pPr>
      <w:bookmarkStart w:id="28" w:name="_Toc25460"/>
      <w:r>
        <w:rPr>
          <w:rStyle w:val="17"/>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般公共预算财政拨款项目支出决算表</w:t>
      </w:r>
      <w:bookmarkEnd w:id="28"/>
    </w:p>
    <w:p w14:paraId="2A18E0B4">
      <w:pPr>
        <w:pStyle w:val="4"/>
        <w:rPr>
          <w:rFonts w:ascii="仿宋" w:hAnsi="仿宋" w:eastAsia="仿宋"/>
          <w:color w:val="auto"/>
          <w:highlight w:val="none"/>
        </w:rPr>
      </w:pPr>
      <w:bookmarkStart w:id="29" w:name="_Toc12451"/>
      <w:r>
        <w:rPr>
          <w:rStyle w:val="17"/>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17"/>
          <w:rFonts w:hint="eastAsia" w:ascii="仿宋" w:hAnsi="仿宋" w:eastAsia="仿宋"/>
          <w:b w:val="0"/>
          <w:bCs w:val="0"/>
          <w:color w:val="auto"/>
          <w:highlight w:val="none"/>
        </w:rPr>
        <w:t>府性基金预算财政拨款收入支出决算表</w:t>
      </w:r>
      <w:bookmarkEnd w:id="29"/>
    </w:p>
    <w:p w14:paraId="47A7CF92">
      <w:pPr>
        <w:pStyle w:val="4"/>
        <w:rPr>
          <w:rFonts w:ascii="仿宋" w:hAnsi="仿宋" w:eastAsia="仿宋"/>
          <w:color w:val="auto"/>
          <w:highlight w:val="none"/>
        </w:rPr>
      </w:pPr>
      <w:bookmarkStart w:id="30" w:name="_Toc7572"/>
      <w:r>
        <w:rPr>
          <w:rStyle w:val="17"/>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17"/>
          <w:rFonts w:hint="eastAsia" w:ascii="仿宋" w:hAnsi="仿宋" w:eastAsia="仿宋"/>
          <w:b w:val="0"/>
          <w:bCs w:val="0"/>
          <w:color w:val="auto"/>
          <w:highlight w:val="none"/>
        </w:rPr>
        <w:t>有资本经营预算</w:t>
      </w:r>
      <w:r>
        <w:rPr>
          <w:rStyle w:val="17"/>
          <w:rFonts w:hint="eastAsia" w:ascii="仿宋" w:hAnsi="仿宋" w:eastAsia="仿宋"/>
          <w:b w:val="0"/>
          <w:bCs w:val="0"/>
          <w:color w:val="auto"/>
          <w:highlight w:val="none"/>
          <w:lang w:eastAsia="zh-CN"/>
        </w:rPr>
        <w:t>财政拨款收入</w:t>
      </w:r>
      <w:r>
        <w:rPr>
          <w:rStyle w:val="17"/>
          <w:rFonts w:hint="eastAsia" w:ascii="仿宋" w:hAnsi="仿宋" w:eastAsia="仿宋"/>
          <w:b w:val="0"/>
          <w:bCs w:val="0"/>
          <w:color w:val="auto"/>
          <w:highlight w:val="none"/>
        </w:rPr>
        <w:t>支出决算表</w:t>
      </w:r>
      <w:bookmarkEnd w:id="30"/>
    </w:p>
    <w:p w14:paraId="2112DB06">
      <w:pPr>
        <w:pStyle w:val="4"/>
        <w:rPr>
          <w:rFonts w:ascii="仿宋" w:hAnsi="仿宋" w:eastAsia="仿宋"/>
          <w:color w:val="auto"/>
          <w:highlight w:val="none"/>
        </w:rPr>
      </w:pPr>
      <w:bookmarkStart w:id="31" w:name="_Toc32181"/>
      <w:r>
        <w:rPr>
          <w:rStyle w:val="17"/>
          <w:rFonts w:hint="eastAsia" w:ascii="仿宋" w:hAnsi="仿宋" w:eastAsia="仿宋"/>
          <w:b w:val="0"/>
          <w:bCs w:val="0"/>
          <w:color w:val="auto"/>
          <w:highlight w:val="none"/>
        </w:rPr>
        <w:t>十二、</w:t>
      </w:r>
      <w:r>
        <w:rPr>
          <w:rStyle w:val="17"/>
          <w:rFonts w:hint="eastAsia" w:ascii="仿宋" w:hAnsi="仿宋" w:eastAsia="仿宋"/>
          <w:b w:val="0"/>
          <w:bCs w:val="0"/>
          <w:color w:val="auto"/>
          <w:highlight w:val="none"/>
          <w:lang w:eastAsia="zh-CN"/>
        </w:rPr>
        <w:t>国有资本经营预算财政拨款支出决算表</w:t>
      </w:r>
      <w:bookmarkEnd w:id="31"/>
    </w:p>
    <w:p w14:paraId="2EFA73F2">
      <w:pPr>
        <w:pStyle w:val="4"/>
        <w:rPr>
          <w:rFonts w:hint="eastAsia" w:eastAsia="仿宋"/>
          <w:color w:val="auto"/>
          <w:highlight w:val="none"/>
          <w:lang w:eastAsia="zh-CN"/>
        </w:rPr>
      </w:pPr>
      <w:bookmarkStart w:id="32" w:name="_Toc15141"/>
      <w:r>
        <w:rPr>
          <w:rStyle w:val="17"/>
          <w:rFonts w:hint="eastAsia" w:ascii="仿宋" w:hAnsi="仿宋" w:eastAsia="仿宋"/>
          <w:b w:val="0"/>
          <w:bCs w:val="0"/>
          <w:color w:val="auto"/>
          <w:highlight w:val="none"/>
        </w:rPr>
        <w:t>十三、</w:t>
      </w:r>
      <w:r>
        <w:rPr>
          <w:rStyle w:val="17"/>
          <w:rFonts w:hint="eastAsia" w:ascii="仿宋" w:hAnsi="仿宋" w:eastAsia="仿宋"/>
          <w:b w:val="0"/>
          <w:bCs w:val="0"/>
          <w:color w:val="auto"/>
          <w:highlight w:val="none"/>
          <w:lang w:eastAsia="zh-CN"/>
        </w:rPr>
        <w:t>财政拨款“三公”经费支出决算表</w:t>
      </w:r>
      <w:bookmarkEnd w:id="32"/>
    </w:p>
    <w:p w14:paraId="5EAE97A2"/>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
    <w:altName w:val="Arial Unicode MS"/>
    <w:panose1 w:val="00000000000000000000"/>
    <w:charset w:val="00"/>
    <w:family w:val="swiss"/>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panose1 w:val="03000509000000000000"/>
    <w:charset w:val="86"/>
    <w:family w:val="script"/>
    <w:pitch w:val="default"/>
    <w:sig w:usb0="00000001" w:usb1="080E0000" w:usb2="00000000" w:usb3="00000000" w:csb0="00040000" w:csb1="00000000"/>
  </w:font>
  <w:font w:name="FZFangSong-Z02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000000"/>
    <w:rsid w:val="034E157D"/>
    <w:rsid w:val="06A16121"/>
    <w:rsid w:val="06B33611"/>
    <w:rsid w:val="09150B6B"/>
    <w:rsid w:val="099711B9"/>
    <w:rsid w:val="0A4E5D60"/>
    <w:rsid w:val="11786165"/>
    <w:rsid w:val="1588740D"/>
    <w:rsid w:val="1684753A"/>
    <w:rsid w:val="16A47A48"/>
    <w:rsid w:val="18B613D9"/>
    <w:rsid w:val="1C7E388B"/>
    <w:rsid w:val="1E676EF3"/>
    <w:rsid w:val="1EA07981"/>
    <w:rsid w:val="1FD46237"/>
    <w:rsid w:val="25E133B0"/>
    <w:rsid w:val="27694F1D"/>
    <w:rsid w:val="2A1439E1"/>
    <w:rsid w:val="2ABA5942"/>
    <w:rsid w:val="33EE550E"/>
    <w:rsid w:val="3BD60A72"/>
    <w:rsid w:val="3FC62645"/>
    <w:rsid w:val="460136D4"/>
    <w:rsid w:val="467F3802"/>
    <w:rsid w:val="493354CD"/>
    <w:rsid w:val="4AFD7D54"/>
    <w:rsid w:val="4D243AAB"/>
    <w:rsid w:val="4DAB40F0"/>
    <w:rsid w:val="4F5D0DBF"/>
    <w:rsid w:val="504F2680"/>
    <w:rsid w:val="506D7DB0"/>
    <w:rsid w:val="53DC22CC"/>
    <w:rsid w:val="549A379E"/>
    <w:rsid w:val="58B343D7"/>
    <w:rsid w:val="595870FD"/>
    <w:rsid w:val="60B05D07"/>
    <w:rsid w:val="61E06353"/>
    <w:rsid w:val="68696F3D"/>
    <w:rsid w:val="6A510566"/>
    <w:rsid w:val="6B7115E9"/>
    <w:rsid w:val="6E6B772C"/>
    <w:rsid w:val="71D074AE"/>
    <w:rsid w:val="7210428E"/>
    <w:rsid w:val="724305BA"/>
    <w:rsid w:val="79313CA7"/>
    <w:rsid w:val="7BFFE41D"/>
    <w:rsid w:val="7C894B90"/>
    <w:rsid w:val="7CF60F14"/>
    <w:rsid w:val="7D025DD1"/>
    <w:rsid w:val="7DF359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7"/>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680"/>
    </w:pPr>
  </w:style>
  <w:style w:type="paragraph" w:styleId="5">
    <w:name w:val="caption"/>
    <w:basedOn w:val="1"/>
    <w:qFormat/>
    <w:uiPriority w:val="0"/>
    <w:pPr>
      <w:widowControl w:val="0"/>
      <w:suppressLineNumbers/>
      <w:suppressAutoHyphens/>
      <w:spacing w:before="120" w:after="120"/>
    </w:pPr>
    <w:rPr>
      <w:i/>
      <w:iCs/>
      <w:sz w:val="24"/>
      <w:szCs w:val="24"/>
    </w:rPr>
  </w:style>
  <w:style w:type="paragraph" w:styleId="6">
    <w:name w:val="Body Text"/>
    <w:basedOn w:val="1"/>
    <w:qFormat/>
    <w:uiPriority w:val="0"/>
    <w:pPr>
      <w:spacing w:before="0" w:after="140" w:line="276" w:lineRule="auto"/>
    </w:p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List"/>
    <w:basedOn w:val="6"/>
    <w:qFormat/>
    <w:uiPriority w:val="0"/>
  </w:style>
  <w:style w:type="paragraph" w:styleId="11">
    <w:name w:val="footnote text"/>
    <w:basedOn w:val="1"/>
    <w:next w:val="8"/>
    <w:semiHidden/>
    <w:qFormat/>
    <w:uiPriority w:val="0"/>
    <w:pPr>
      <w:snapToGrid w:val="0"/>
      <w:jc w:val="left"/>
    </w:pPr>
    <w:rPr>
      <w:sz w:val="18"/>
      <w:szCs w:val="1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customStyle="1" w:styleId="16">
    <w:name w:val="标题 1 Char"/>
    <w:basedOn w:val="14"/>
    <w:link w:val="3"/>
    <w:qFormat/>
    <w:uiPriority w:val="9"/>
    <w:rPr>
      <w:b/>
      <w:bCs/>
      <w:kern w:val="44"/>
      <w:sz w:val="44"/>
      <w:szCs w:val="44"/>
    </w:rPr>
  </w:style>
  <w:style w:type="character" w:customStyle="1" w:styleId="17">
    <w:name w:val="标题 2 Char"/>
    <w:basedOn w:val="14"/>
    <w:link w:val="4"/>
    <w:qFormat/>
    <w:uiPriority w:val="9"/>
    <w:rPr>
      <w:rFonts w:ascii="Cambria" w:hAnsi="Cambria" w:eastAsia="宋体" w:cs="Times New Roman"/>
      <w:b/>
      <w:bCs/>
      <w:sz w:val="32"/>
      <w:szCs w:val="32"/>
    </w:rPr>
  </w:style>
  <w:style w:type="character" w:customStyle="1" w:styleId="18">
    <w:name w:val="默认段落字体1"/>
    <w:qFormat/>
    <w:uiPriority w:val="0"/>
  </w:style>
  <w:style w:type="paragraph" w:customStyle="1" w:styleId="19">
    <w:name w:val="Heading"/>
    <w:basedOn w:val="1"/>
    <w:next w:val="6"/>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0">
    <w:name w:val="Index"/>
    <w:basedOn w:val="1"/>
    <w:qFormat/>
    <w:uiPriority w:val="0"/>
    <w:pPr>
      <w:widowControl w:val="0"/>
      <w:suppressLineNumbers/>
      <w:suppressAutoHyphens/>
    </w:pPr>
  </w:style>
  <w:style w:type="paragraph" w:styleId="21">
    <w:name w:val="List Paragraph"/>
    <w:basedOn w:val="1"/>
    <w:qFormat/>
    <w:uiPriority w:val="34"/>
    <w:pPr>
      <w:ind w:firstLine="420" w:firstLineChars="200"/>
    </w:p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manualLayout>
          <c:xMode val="edge"/>
          <c:yMode val="edge"/>
          <c:x val="0.278003556007112"/>
          <c:y val="0.0106057035116663"/>
        </c:manualLayout>
      </c:layout>
      <c:overlay val="0"/>
      <c:spPr>
        <a:noFill/>
        <a:ln>
          <a:noFill/>
        </a:ln>
        <a:effectLst/>
      </c:spPr>
    </c:title>
    <c:autoTitleDeleted val="0"/>
    <c:plotArea>
      <c:layout>
        <c:manualLayout>
          <c:layoutTarget val="inner"/>
          <c:xMode val="edge"/>
          <c:yMode val="edge"/>
          <c:x val="0.0201256342111621"/>
          <c:y val="0.276668083297918"/>
          <c:w val="0.930345494080696"/>
          <c:h val="0.638631534211645"/>
        </c:manualLayout>
      </c:layout>
      <c:barChart>
        <c:barDir val="col"/>
        <c:grouping val="clustered"/>
        <c:varyColors val="0"/>
        <c:ser>
          <c:idx val="0"/>
          <c:order val="0"/>
          <c:tx>
            <c:strRef>
              <c:f>Sheet1!$B$1</c:f>
              <c:strCache>
                <c:ptCount val="1"/>
                <c:pt idx="0">
                  <c:v>2025年度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Sheet1!$B$2</c:f>
              <c:numCache>
                <c:formatCode>General</c:formatCode>
                <c:ptCount val="1"/>
                <c:pt idx="0">
                  <c:v>217.24</c:v>
                </c:pt>
              </c:numCache>
            </c:numRef>
          </c:val>
        </c:ser>
        <c:ser>
          <c:idx val="1"/>
          <c:order val="1"/>
          <c:tx>
            <c:strRef>
              <c:f>Sheet1!$C$1</c:f>
              <c:strCache>
                <c:ptCount val="1"/>
                <c:pt idx="0">
                  <c:v>2024年度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Sheet1!$C$2</c:f>
              <c:numCache>
                <c:formatCode>General</c:formatCode>
                <c:ptCount val="1"/>
                <c:pt idx="0">
                  <c:v>198.75</c:v>
                </c:pt>
              </c:numCache>
            </c:numRef>
          </c:val>
        </c:ser>
        <c:ser>
          <c:idx val="2"/>
          <c:order val="2"/>
          <c:tx>
            <c:strRef>
              <c:f>Sheet1!$D$1</c:f>
              <c:strCache>
                <c:ptCount val="1"/>
                <c:pt idx="0">
                  <c:v>增减变动比例</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Sheet1!$D$2</c:f>
              <c:numCache>
                <c:formatCode>0.0%</c:formatCode>
                <c:ptCount val="1"/>
                <c:pt idx="0">
                  <c:v>0.093</c:v>
                </c:pt>
              </c:numCache>
            </c:numRef>
          </c:val>
        </c:ser>
        <c:dLbls>
          <c:showLegendKey val="0"/>
          <c:showVal val="1"/>
          <c:showCatName val="0"/>
          <c:showSerName val="0"/>
          <c:showPercent val="0"/>
          <c:showBubbleSize val="0"/>
        </c:dLbls>
        <c:gapWidth val="246"/>
        <c:overlap val="-28"/>
        <c:axId val="140241923"/>
        <c:axId val="719726186"/>
      </c:barChart>
      <c:catAx>
        <c:axId val="1402419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9726186"/>
        <c:crosses val="autoZero"/>
        <c:auto val="1"/>
        <c:lblAlgn val="ctr"/>
        <c:lblOffset val="100"/>
        <c:noMultiLvlLbl val="0"/>
      </c:catAx>
      <c:valAx>
        <c:axId val="719726186"/>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24192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manualLayout>
          <c:xMode val="edge"/>
          <c:yMode val="edge"/>
          <c:x val="0.578105156210312"/>
          <c:y val="0.09898446269694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0fe951-f6a3-4617-a3dc-4d08d65171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 </a:t>
                    </a:r>
                    <a:r>
                      <a:rPr lang="en-US" altLang="zh-CN"/>
                      <a:t>217.24</a:t>
                    </a:r>
                    <a:r>
                      <a:t>万元</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217.24</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18a54f-2321-48ba-8972-a66edf74a4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支出决算结构图</a:t>
            </a:r>
          </a:p>
        </c:rich>
      </c:tx>
      <c:layout/>
      <c:overlay val="0"/>
      <c:spPr>
        <a:noFill/>
        <a:ln>
          <a:noFill/>
        </a:ln>
        <a:effectLst/>
      </c:spPr>
    </c:title>
    <c:autoTitleDeleted val="0"/>
    <c:plotArea>
      <c:layout>
        <c:manualLayout>
          <c:layoutTarget val="inner"/>
          <c:xMode val="edge"/>
          <c:yMode val="edge"/>
          <c:x val="0.281770959168881"/>
          <c:y val="0.306629834254144"/>
          <c:w val="0.390553273737618"/>
          <c:h val="0.686995325116872"/>
        </c:manualLayout>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Lbl>
              <c:idx val="0"/>
              <c:layout>
                <c:manualLayout>
                  <c:x val="0.0775125064604477"/>
                  <c:y val="-0.147016025322667"/>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217.24</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217.24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a1303f24-9de6-41b4-8ca7-a3c261ae2fe8}"/>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812033138666"/>
          <c:y val="0.201765775123345"/>
          <c:w val="0.828113540676355"/>
          <c:h val="0.558919761101013"/>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Sheet1!$B$2</c:f>
              <c:numCache>
                <c:formatCode>General</c:formatCode>
                <c:ptCount val="1"/>
                <c:pt idx="0">
                  <c:v>217.24</c:v>
                </c:pt>
              </c:numCache>
            </c:numRef>
          </c:val>
        </c:ser>
        <c:ser>
          <c:idx val="1"/>
          <c:order val="1"/>
          <c:tx>
            <c:strRef>
              <c:f>Sheet1!$C$1</c:f>
              <c:strCache>
                <c:ptCount val="1"/>
                <c:pt idx="0">
                  <c:v>2024年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Sheet1!$C$2</c:f>
              <c:numCache>
                <c:formatCode>General</c:formatCode>
                <c:ptCount val="1"/>
                <c:pt idx="0">
                  <c:v>198.75</c:v>
                </c:pt>
              </c:numCache>
            </c:numRef>
          </c:val>
        </c:ser>
        <c:ser>
          <c:idx val="2"/>
          <c:order val="2"/>
          <c:tx>
            <c:strRef>
              <c:f>Sheet1!$D$1</c:f>
              <c:strCache>
                <c:ptCount val="1"/>
                <c:pt idx="0">
                  <c:v>增加变动比例</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Sheet1!$D$2</c:f>
              <c:numCache>
                <c:formatCode>0.0%</c:formatCode>
                <c:ptCount val="1"/>
                <c:pt idx="0">
                  <c:v>0.093</c:v>
                </c:pt>
              </c:numCache>
            </c:numRef>
          </c:val>
        </c:ser>
        <c:dLbls>
          <c:showLegendKey val="0"/>
          <c:showVal val="1"/>
          <c:showCatName val="0"/>
          <c:showSerName val="0"/>
          <c:showPercent val="0"/>
          <c:showBubbleSize val="0"/>
        </c:dLbls>
        <c:gapWidth val="246"/>
        <c:overlap val="-28"/>
        <c:axId val="397084290"/>
        <c:axId val="468281493"/>
      </c:barChart>
      <c:catAx>
        <c:axId val="397084290"/>
        <c:scaling>
          <c:orientation val="minMax"/>
        </c:scaling>
        <c:delete val="0"/>
        <c:axPos val="b"/>
        <c:title>
          <c:tx>
            <c:rich>
              <a:bodyPr rot="0" spcFirstLastPara="0" vertOverflow="ellipsis" vert="horz" wrap="square" anchor="ctr" anchorCtr="1"/>
              <a:lstStyle/>
              <a:p>
                <a:pPr defTabSz="914400">
                  <a:defRPr lang="zh-CN" sz="14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400">
                    <a:latin typeface="微软雅黑" panose="020B0503020204020204" charset="-122"/>
                    <a:ea typeface="微软雅黑" panose="020B0503020204020204" charset="-122"/>
                    <a:cs typeface="微软雅黑" panose="020B0503020204020204" charset="-122"/>
                    <a:sym typeface="微软雅黑" panose="020B0503020204020204" charset="-122"/>
                  </a:rPr>
                  <a:t>财政拨款收、支总计变动情况</a:t>
                </a:r>
                <a:endParaRPr sz="1400">
                  <a:latin typeface="微软雅黑" panose="020B0503020204020204" charset="-122"/>
                  <a:ea typeface="微软雅黑" panose="020B0503020204020204" charset="-122"/>
                  <a:cs typeface="微软雅黑" panose="020B0503020204020204" charset="-122"/>
                  <a:sym typeface="微软雅黑" panose="020B0503020204020204" charset="-122"/>
                </a:endParaRPr>
              </a:p>
            </c:rich>
          </c:tx>
          <c:layout>
            <c:manualLayout>
              <c:xMode val="edge"/>
              <c:yMode val="edge"/>
              <c:x val="0.29549096835529"/>
              <c:y val="0.0311607374707868"/>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281493"/>
        <c:crosses val="autoZero"/>
        <c:auto val="1"/>
        <c:lblAlgn val="ctr"/>
        <c:lblOffset val="100"/>
        <c:noMultiLvlLbl val="0"/>
      </c:catAx>
      <c:valAx>
        <c:axId val="468281493"/>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08429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a9c6cde0-fd68-4d54-85a3-15c46d5c32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manualLayout>
          <c:layoutTarget val="inner"/>
          <c:xMode val="edge"/>
          <c:yMode val="edge"/>
          <c:x val="0.0430780381734719"/>
          <c:y val="0.158733531661708"/>
          <c:w val="0.930345494080696"/>
          <c:h val="0.638631534211645"/>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217.24</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198.75</c:v>
                </c:pt>
              </c:numCache>
            </c:numRef>
          </c:val>
        </c:ser>
        <c:ser>
          <c:idx val="2"/>
          <c:order val="2"/>
          <c:tx>
            <c:strRef>
              <c:f>Sheet1!$D$1</c:f>
              <c:strCache>
                <c:ptCount val="1"/>
                <c:pt idx="0">
                  <c:v>增加变动比例</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Sheet1!$D$2</c:f>
              <c:numCache>
                <c:formatCode>0.0%</c:formatCode>
                <c:ptCount val="1"/>
                <c:pt idx="0">
                  <c:v>0.093</c:v>
                </c:pt>
              </c:numCache>
            </c:numRef>
          </c:val>
        </c:ser>
        <c:dLbls>
          <c:showLegendKey val="0"/>
          <c:showVal val="1"/>
          <c:showCatName val="0"/>
          <c:showSerName val="0"/>
          <c:showPercent val="0"/>
          <c:showBubbleSize val="0"/>
        </c:dLbls>
        <c:gapWidth val="246"/>
        <c:overlap val="-28"/>
        <c:axId val="207911485"/>
        <c:axId val="223119174"/>
      </c:barChart>
      <c:catAx>
        <c:axId val="2079114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119174"/>
        <c:crosses val="autoZero"/>
        <c:auto val="1"/>
        <c:lblAlgn val="ctr"/>
        <c:lblOffset val="100"/>
        <c:noMultiLvlLbl val="0"/>
      </c:catAx>
      <c:valAx>
        <c:axId val="22311917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91148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143661a6-1d93-4297-9cbd-5400344f71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18070933961305"/>
                  <c:y val="-0.1440654336491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161.31</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60756220215741"/>
                  <c:y val="0.094639446951061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29.14</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11.31</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0323996746048153"/>
                  <c:y val="-0.0046675506708875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15.49</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一般公共预算服务支出</c:v>
                </c:pt>
                <c:pt idx="1">
                  <c:v>社会保障和就业支出</c:v>
                </c:pt>
                <c:pt idx="2">
                  <c:v>卫生健康支出</c:v>
                </c:pt>
                <c:pt idx="3">
                  <c:v>住房保障支出</c:v>
                </c:pt>
              </c:strCache>
            </c:strRef>
          </c:cat>
          <c:val>
            <c:numRef>
              <c:f>Sheet1!$B$2:$B$5</c:f>
              <c:numCache>
                <c:formatCode>General</c:formatCode>
                <c:ptCount val="4"/>
                <c:pt idx="0">
                  <c:v>161.31</c:v>
                </c:pt>
                <c:pt idx="1">
                  <c:v>29.14</c:v>
                </c:pt>
                <c:pt idx="2">
                  <c:v>11.34</c:v>
                </c:pt>
                <c:pt idx="3">
                  <c:v>15.49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701b30-ac30-42fd-88fa-5bc27cb41a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Pages>15</Pages>
  <Words>4206</Words>
  <Characters>4593</Characters>
  <TotalTime>92</TotalTime>
  <ScaleCrop>false</ScaleCrop>
  <LinksUpToDate>false</LinksUpToDate>
  <CharactersWithSpaces>4634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2018-11-27T01:47:00Z</dcterms:created>
  <dc:creator>user</dc:creator>
  <cp:lastModifiedBy>蔻蔻</cp:lastModifiedBy>
  <cp:lastPrinted>2026-09-07T02:42:43Z</cp:lastPrinted>
  <dcterms:modified xsi:type="dcterms:W3CDTF">2026-09-07T07:11:22Z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3787A9AFEB9D424D83A14AF3C780B7D2_13</vt:lpwstr>
  </property>
  <property fmtid="{D5CDD505-2E9C-101B-9397-08002B2CF9AE}" pid="4" name="KSOTemplateDocerSaveRecord">
    <vt:lpwstr>eyJoZGlkIjoiMjIxNDI3ODFjYmY4Y2Y5MjgwZGVkYTMyNDBlNWQzOWIiLCJ1c2VySWQiOiI1OTk0MDM5NjkifQ==</vt:lpwstr>
  </property>
</Properties>
</file>