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EE6A0">
      <w:pPr>
        <w:pStyle w:val="5"/>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96475"/>
      <w:bookmarkStart w:id="1" w:name="_Toc15378441"/>
      <w:bookmarkStart w:id="2" w:name="_Toc15306267"/>
      <w:bookmarkStart w:id="3" w:name="_Toc15377425"/>
      <w:bookmarkStart w:id="4" w:name="_Toc15377193"/>
      <w:bookmarkStart w:id="5" w:name="_Toc15396597"/>
    </w:p>
    <w:bookmarkEnd w:id="0"/>
    <w:bookmarkEnd w:id="1"/>
    <w:bookmarkEnd w:id="2"/>
    <w:bookmarkEnd w:id="3"/>
    <w:bookmarkEnd w:id="4"/>
    <w:bookmarkEnd w:id="5"/>
    <w:p w14:paraId="0B6F2B12">
      <w:pPr>
        <w:spacing w:line="576" w:lineRule="exact"/>
        <w:jc w:val="center"/>
        <w:rPr>
          <w:rFonts w:hint="eastAsia" w:ascii="方正小标宋简体" w:hAnsi="方正小标宋简体" w:eastAsia="方正小标宋简体" w:cs="方正小标宋简体"/>
          <w:sz w:val="48"/>
          <w:szCs w:val="48"/>
          <w:lang w:val="en-US" w:eastAsia="zh-CN"/>
        </w:rPr>
      </w:pPr>
      <w:r>
        <w:rPr>
          <w:rFonts w:hint="eastAsia" w:ascii="方正小标宋简体" w:hAnsi="方正小标宋简体" w:eastAsia="方正小标宋简体" w:cs="方正小标宋简体"/>
          <w:sz w:val="48"/>
          <w:szCs w:val="48"/>
          <w:lang w:val="en-US" w:eastAsia="zh-CN"/>
        </w:rPr>
        <w:t>2025年度</w:t>
      </w:r>
    </w:p>
    <w:p w14:paraId="17CEB2CD">
      <w:pPr>
        <w:spacing w:line="576" w:lineRule="exact"/>
        <w:jc w:val="center"/>
        <w:rPr>
          <w:rFonts w:hint="eastAsia" w:ascii="方正小标宋简体" w:hAnsi="方正小标宋简体" w:eastAsia="方正小标宋简体" w:cs="方正小标宋简体"/>
          <w:sz w:val="48"/>
          <w:szCs w:val="48"/>
          <w:lang w:val="en-US" w:eastAsia="zh-CN"/>
        </w:rPr>
      </w:pPr>
      <w:r>
        <w:rPr>
          <w:rFonts w:hint="eastAsia" w:ascii="方正小标宋简体" w:hAnsi="方正小标宋简体" w:eastAsia="方正小标宋简体" w:cs="方正小标宋简体"/>
          <w:sz w:val="48"/>
          <w:szCs w:val="48"/>
          <w:lang w:val="en-US" w:eastAsia="zh-CN"/>
        </w:rPr>
        <w:t>中国共产党茂县纪律检查委员会</w:t>
      </w:r>
    </w:p>
    <w:p w14:paraId="03D4B674">
      <w:pPr>
        <w:spacing w:line="576" w:lineRule="exact"/>
        <w:jc w:val="center"/>
        <w:rPr>
          <w:rFonts w:hint="eastAsia" w:ascii="方正小标宋简体" w:hAnsi="方正小标宋简体" w:eastAsia="方正小标宋简体" w:cs="方正小标宋简体"/>
          <w:sz w:val="48"/>
          <w:szCs w:val="48"/>
          <w:lang w:val="en-US" w:eastAsia="zh-CN"/>
        </w:rPr>
      </w:pPr>
      <w:r>
        <w:rPr>
          <w:rFonts w:hint="eastAsia" w:ascii="方正小标宋简体" w:hAnsi="方正小标宋简体" w:eastAsia="方正小标宋简体" w:cs="方正小标宋简体"/>
          <w:sz w:val="48"/>
          <w:szCs w:val="48"/>
          <w:lang w:val="en-US" w:eastAsia="zh-CN"/>
        </w:rPr>
        <w:t>部门决算</w:t>
      </w:r>
    </w:p>
    <w:p w14:paraId="5E886DD6">
      <w:pPr>
        <w:spacing w:line="576" w:lineRule="exact"/>
        <w:jc w:val="center"/>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(汇总)</w:t>
      </w:r>
    </w:p>
    <w:p w14:paraId="0021315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14:paraId="164FC4AC">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6392214A">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67C8EA8">
      <w:pPr>
        <w:widowControl/>
        <w:jc w:val="center"/>
        <w:rPr>
          <w:rFonts w:ascii="Times New Roman" w:hAnsi="Times New Roman" w:eastAsia="黑体" w:cstheme="minorBidi"/>
          <w:color w:val="auto"/>
          <w:sz w:val="28"/>
          <w:szCs w:val="28"/>
          <w:highlight w:val="none"/>
        </w:rPr>
      </w:pPr>
    </w:p>
    <w:p w14:paraId="3EBD625A">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bookmarkStart w:id="62" w:name="_GoBack"/>
      <w:bookmarkEnd w:id="62"/>
    </w:p>
    <w:p w14:paraId="25C802D4">
      <w:pPr>
        <w:rPr>
          <w:rFonts w:ascii="Times New Roman" w:hAnsi="Times New Roman"/>
          <w:color w:val="auto"/>
          <w:highlight w:val="none"/>
        </w:rPr>
      </w:pPr>
    </w:p>
    <w:p w14:paraId="53E750FE">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...............................................................4</w:t>
      </w:r>
    </w:p>
    <w:p w14:paraId="4E718A9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.................................................................4</w:t>
      </w:r>
    </w:p>
    <w:p w14:paraId="120BCE1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.................................................................5</w:t>
      </w:r>
    </w:p>
    <w:p w14:paraId="579191A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..............................7</w:t>
      </w:r>
    </w:p>
    <w:p w14:paraId="7AE5368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.................................7</w:t>
      </w:r>
    </w:p>
    <w:p w14:paraId="656CEB0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.................................................7</w:t>
      </w:r>
    </w:p>
    <w:p w14:paraId="2918AD9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.................................................8</w:t>
      </w:r>
    </w:p>
    <w:p w14:paraId="0DEB3CE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.................8</w:t>
      </w:r>
    </w:p>
    <w:p w14:paraId="6B09E53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.........8</w:t>
      </w:r>
    </w:p>
    <w:p w14:paraId="2F8EECE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.11</w:t>
      </w:r>
    </w:p>
    <w:p w14:paraId="0926624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.........11</w:t>
      </w:r>
    </w:p>
    <w:p w14:paraId="7AE3B6A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.....................13</w:t>
      </w:r>
    </w:p>
    <w:p w14:paraId="1CAA6C9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.................13</w:t>
      </w:r>
    </w:p>
    <w:p w14:paraId="1BFF7F2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.....................................13</w:t>
      </w:r>
    </w:p>
    <w:p w14:paraId="5F3B5FE2">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...............................................................15</w:t>
      </w:r>
    </w:p>
    <w:p w14:paraId="11F37309">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.......................................................................18</w:t>
      </w:r>
    </w:p>
    <w:p w14:paraId="0E197524">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.......................................................................31</w:t>
      </w:r>
    </w:p>
    <w:p w14:paraId="2990D23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.................................................31</w:t>
      </w:r>
    </w:p>
    <w:p w14:paraId="192C11A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.............................................................31</w:t>
      </w:r>
    </w:p>
    <w:p w14:paraId="5920103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.............................................................31</w:t>
      </w:r>
    </w:p>
    <w:p w14:paraId="47EFEE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....................................31</w:t>
      </w:r>
    </w:p>
    <w:p w14:paraId="7DB1B4A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........................................31</w:t>
      </w:r>
    </w:p>
    <w:p w14:paraId="477E7C8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........................31</w:t>
      </w:r>
    </w:p>
    <w:p w14:paraId="5835565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.................31</w:t>
      </w:r>
    </w:p>
    <w:p w14:paraId="76D8121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........31</w:t>
      </w:r>
    </w:p>
    <w:p w14:paraId="078F480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.................31</w:t>
      </w:r>
    </w:p>
    <w:p w14:paraId="5B3A824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............31</w:t>
      </w:r>
    </w:p>
    <w:p w14:paraId="14E94EF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....31</w:t>
      </w:r>
    </w:p>
    <w:p w14:paraId="776CC79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............31</w:t>
      </w:r>
    </w:p>
    <w:p w14:paraId="1BFDAD4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....................31</w:t>
      </w:r>
    </w:p>
    <w:p w14:paraId="197C0CD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p>
    <w:p w14:paraId="46B5A72D">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2036BFD8">
      <w:pPr>
        <w:pStyle w:val="2"/>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14:paraId="379B8053">
      <w:pPr>
        <w:pStyle w:val="3"/>
        <w:pageBreakBefore w:val="0"/>
        <w:widowControl w:val="0"/>
        <w:numPr>
          <w:numId w:val="0"/>
        </w:numPr>
        <w:kinsoku/>
        <w:wordWrap/>
        <w:overflowPunct/>
        <w:topLinePunct w:val="0"/>
        <w:autoSpaceDE/>
        <w:autoSpaceDN/>
        <w:bidi w:val="0"/>
        <w:adjustRightInd/>
        <w:snapToGrid/>
        <w:spacing w:before="0" w:after="0" w:line="576" w:lineRule="exact"/>
        <w:ind w:firstLine="640" w:firstLineChars="200"/>
        <w:textAlignment w:val="auto"/>
        <w:rPr>
          <w:rFonts w:ascii="仿宋" w:hAnsi="仿宋" w:eastAsia="仿宋"/>
          <w:bCs/>
          <w:color w:val="000000"/>
          <w:sz w:val="32"/>
          <w:szCs w:val="32"/>
        </w:rPr>
      </w:pPr>
      <w:r>
        <w:rPr>
          <w:rFonts w:hint="eastAsia" w:ascii="Times New Roman" w:hAnsi="Times New Roman" w:eastAsia="黑体"/>
          <w:b w:val="0"/>
          <w:color w:val="auto"/>
          <w:highlight w:val="none"/>
          <w:lang w:eastAsia="zh-CN"/>
        </w:rPr>
        <w:t>一、部门职责</w:t>
      </w:r>
    </w:p>
    <w:p w14:paraId="1F9B7387">
      <w:pPr>
        <w:pStyle w:val="3"/>
        <w:pageBreakBefore w:val="0"/>
        <w:widowControl w:val="0"/>
        <w:numPr>
          <w:numId w:val="0"/>
        </w:numPr>
        <w:kinsoku/>
        <w:wordWrap/>
        <w:overflowPunct/>
        <w:topLinePunct w:val="0"/>
        <w:autoSpaceDE/>
        <w:autoSpaceDN/>
        <w:bidi w:val="0"/>
        <w:adjustRightInd/>
        <w:snapToGrid/>
        <w:spacing w:before="0" w:after="0" w:line="576" w:lineRule="exact"/>
        <w:ind w:firstLine="640" w:firstLineChars="200"/>
        <w:textAlignment w:val="auto"/>
        <w:rPr>
          <w:rFonts w:hint="eastAsia" w:ascii="仿宋" w:hAnsi="仿宋" w:eastAsia="仿宋" w:cs="Times New Roman"/>
          <w:b w:val="0"/>
          <w:bCs/>
          <w:color w:val="000000"/>
          <w:kern w:val="0"/>
          <w:sz w:val="32"/>
          <w:szCs w:val="32"/>
          <w:lang w:val="en-US" w:eastAsia="zh-CN" w:bidi="ar-SA"/>
        </w:rPr>
      </w:pPr>
      <w:r>
        <w:rPr>
          <w:rFonts w:hint="eastAsia" w:ascii="仿宋" w:hAnsi="仿宋" w:eastAsia="仿宋" w:cs="Times New Roman"/>
          <w:b w:val="0"/>
          <w:bCs/>
          <w:color w:val="000000"/>
          <w:kern w:val="0"/>
          <w:sz w:val="32"/>
          <w:szCs w:val="32"/>
          <w:lang w:val="en-US" w:eastAsia="zh-CN" w:bidi="ar-SA"/>
        </w:rPr>
        <w:t>（一）负责全县党的纪律检查工作。贯彻落实党中央、省委、州委、县委关于纪律检查工作的决定，维护党的章程和其他党内法规，检查党的路线方针政策和决议的执行情况，协助县委推进全面从严治党、加强党风廉政建设和组织协调反腐败工作。</w:t>
      </w:r>
    </w:p>
    <w:p w14:paraId="2307F2B1">
      <w:pPr>
        <w:pStyle w:val="5"/>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ascii="仿宋" w:hAnsi="仿宋" w:eastAsia="仿宋"/>
          <w:bCs/>
          <w:color w:val="000000"/>
          <w:sz w:val="32"/>
          <w:szCs w:val="32"/>
        </w:rPr>
      </w:pPr>
      <w:r>
        <w:rPr>
          <w:rFonts w:hint="eastAsia" w:ascii="仿宋" w:hAnsi="仿宋" w:eastAsia="仿宋"/>
          <w:bCs/>
          <w:color w:val="000000"/>
          <w:sz w:val="32"/>
          <w:szCs w:val="32"/>
          <w:lang w:eastAsia="zh-CN"/>
        </w:rPr>
        <w:t>（</w:t>
      </w:r>
      <w:r>
        <w:rPr>
          <w:rFonts w:hint="eastAsia" w:ascii="仿宋" w:hAnsi="仿宋" w:eastAsia="仿宋"/>
          <w:bCs/>
          <w:color w:val="000000"/>
          <w:sz w:val="32"/>
          <w:szCs w:val="32"/>
          <w:lang w:val="en-US" w:eastAsia="zh-CN"/>
        </w:rPr>
        <w:t>二</w:t>
      </w:r>
      <w:r>
        <w:rPr>
          <w:rFonts w:hint="eastAsia" w:ascii="仿宋" w:hAnsi="仿宋" w:eastAsia="仿宋"/>
          <w:bCs/>
          <w:color w:val="000000"/>
          <w:sz w:val="32"/>
          <w:szCs w:val="32"/>
          <w:lang w:eastAsia="zh-CN"/>
        </w:rPr>
        <w:t>）</w:t>
      </w:r>
      <w:r>
        <w:rPr>
          <w:rFonts w:hint="eastAsia" w:ascii="仿宋" w:hAnsi="仿宋" w:eastAsia="仿宋"/>
          <w:bCs/>
          <w:color w:val="000000"/>
          <w:sz w:val="32"/>
          <w:szCs w:val="32"/>
        </w:rPr>
        <w:t>依照党的章程和其他党内法规履行监督、执纪、问责职责。负责经常对党员进行遵守纪律的教育，作出关于维护党纪的决定。对县委工作部门、县委批准设立的党组织(党委)，各乡(镇)党委、纪委等党的组织和县委管理的党员领导干部履行职责、行使权力进行监督，受理处置党员群众检举举报，开展谈话提醒、约谈函询。检查和处理上述党的组织和党员违反党的章程和其他党内法规的比较重要或者复杂的案件，决定或者取消对这些案件中的党员的处分。进行问责或者提出责任追究的建议。受理党员的控告和申诉。保障党员的权利。</w:t>
      </w:r>
    </w:p>
    <w:p w14:paraId="39DBA114">
      <w:pPr>
        <w:pStyle w:val="5"/>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ascii="仿宋" w:hAnsi="仿宋" w:eastAsia="仿宋"/>
          <w:bCs/>
          <w:color w:val="000000"/>
          <w:sz w:val="32"/>
          <w:szCs w:val="32"/>
        </w:rPr>
      </w:pPr>
      <w:r>
        <w:rPr>
          <w:rFonts w:hint="eastAsia" w:ascii="仿宋" w:hAnsi="仿宋" w:eastAsia="仿宋"/>
          <w:bCs/>
          <w:color w:val="000000"/>
          <w:sz w:val="32"/>
          <w:szCs w:val="32"/>
          <w:lang w:eastAsia="zh-CN"/>
        </w:rPr>
        <w:t>（</w:t>
      </w:r>
      <w:r>
        <w:rPr>
          <w:rFonts w:hint="eastAsia" w:ascii="仿宋" w:hAnsi="仿宋" w:eastAsia="仿宋"/>
          <w:bCs/>
          <w:color w:val="000000"/>
          <w:sz w:val="32"/>
          <w:szCs w:val="32"/>
          <w:lang w:val="en-US" w:eastAsia="zh-CN"/>
        </w:rPr>
        <w:t>三</w:t>
      </w:r>
      <w:r>
        <w:rPr>
          <w:rFonts w:hint="eastAsia" w:ascii="仿宋" w:hAnsi="仿宋" w:eastAsia="仿宋"/>
          <w:bCs/>
          <w:color w:val="000000"/>
          <w:sz w:val="32"/>
          <w:szCs w:val="32"/>
          <w:lang w:eastAsia="zh-CN"/>
        </w:rPr>
        <w:t>）</w:t>
      </w:r>
      <w:r>
        <w:rPr>
          <w:rFonts w:hint="eastAsia" w:ascii="仿宋" w:hAnsi="仿宋" w:eastAsia="仿宋"/>
          <w:bCs/>
          <w:color w:val="000000"/>
          <w:sz w:val="32"/>
          <w:szCs w:val="32"/>
        </w:rPr>
        <w:t>负责全县监察工作。贯彻落实党中央、省委、州委、县委关于监察工作的决定，维护宪法法律，依法对县委管理的行使公权力的公职人员进行监察，调查职务违法和职务犯罪，开展廉政建设和反腐败工作。</w:t>
      </w:r>
    </w:p>
    <w:p w14:paraId="7C4B31F7">
      <w:pPr>
        <w:pStyle w:val="5"/>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ascii="仿宋" w:hAnsi="仿宋" w:eastAsia="仿宋"/>
          <w:bCs/>
          <w:color w:val="000000"/>
          <w:sz w:val="32"/>
          <w:szCs w:val="32"/>
        </w:rPr>
      </w:pPr>
      <w:r>
        <w:rPr>
          <w:rFonts w:hint="eastAsia" w:ascii="仿宋" w:hAnsi="仿宋" w:eastAsia="仿宋"/>
          <w:bCs/>
          <w:color w:val="000000"/>
          <w:sz w:val="32"/>
          <w:szCs w:val="32"/>
          <w:lang w:eastAsia="zh-CN"/>
        </w:rPr>
        <w:t>（</w:t>
      </w:r>
      <w:r>
        <w:rPr>
          <w:rFonts w:hint="eastAsia" w:ascii="仿宋" w:hAnsi="仿宋" w:eastAsia="仿宋"/>
          <w:bCs/>
          <w:color w:val="000000"/>
          <w:sz w:val="32"/>
          <w:szCs w:val="32"/>
          <w:lang w:val="en-US" w:eastAsia="zh-CN"/>
        </w:rPr>
        <w:t>四</w:t>
      </w:r>
      <w:r>
        <w:rPr>
          <w:rFonts w:hint="eastAsia" w:ascii="仿宋" w:hAnsi="仿宋" w:eastAsia="仿宋"/>
          <w:bCs/>
          <w:color w:val="000000"/>
          <w:sz w:val="32"/>
          <w:szCs w:val="32"/>
          <w:lang w:eastAsia="zh-CN"/>
        </w:rPr>
        <w:t>）</w:t>
      </w:r>
      <w:r>
        <w:rPr>
          <w:rFonts w:hint="eastAsia" w:ascii="仿宋" w:hAnsi="仿宋" w:eastAsia="仿宋"/>
          <w:bCs/>
          <w:color w:val="000000"/>
          <w:sz w:val="32"/>
          <w:szCs w:val="32"/>
        </w:rPr>
        <w:t>依照法律规定履行监督、调查、处置职责。推动开展廉政教育，对县委管理的行使公权力的公职人员依法履职、秉公用权、廉洁从政从业以及道德操守情况进行监督检查。对涉嫌贪污贿赂、滥用职权、玩忽职守、权力寻租、利益输送、徇私舞弊以及浪费国家资财等职务违法和职务犯罪进行调查。对违法的公职人员依法作出政务处分决定。对履行职责不力、失职失责的领导人员进行问责。对涉嫌职务犯罪的，将调查结果移送人民检察院依法审查、提起公诉。向监察对象所在单位提出监察建议。</w:t>
      </w:r>
    </w:p>
    <w:p w14:paraId="4A07D264">
      <w:pPr>
        <w:pStyle w:val="5"/>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ascii="仿宋" w:hAnsi="仿宋" w:eastAsia="仿宋"/>
          <w:bCs/>
          <w:color w:val="000000"/>
          <w:sz w:val="32"/>
          <w:szCs w:val="32"/>
        </w:rPr>
      </w:pPr>
      <w:r>
        <w:rPr>
          <w:rFonts w:hint="eastAsia" w:ascii="仿宋" w:hAnsi="仿宋" w:eastAsia="仿宋"/>
          <w:bCs/>
          <w:color w:val="000000"/>
          <w:sz w:val="32"/>
          <w:szCs w:val="32"/>
          <w:lang w:eastAsia="zh-CN"/>
        </w:rPr>
        <w:t>（</w:t>
      </w:r>
      <w:r>
        <w:rPr>
          <w:rFonts w:hint="eastAsia" w:ascii="仿宋" w:hAnsi="仿宋" w:eastAsia="仿宋"/>
          <w:bCs/>
          <w:color w:val="000000"/>
          <w:sz w:val="32"/>
          <w:szCs w:val="32"/>
          <w:lang w:val="en-US" w:eastAsia="zh-CN"/>
        </w:rPr>
        <w:t>五</w:t>
      </w:r>
      <w:r>
        <w:rPr>
          <w:rFonts w:hint="eastAsia" w:ascii="仿宋" w:hAnsi="仿宋" w:eastAsia="仿宋"/>
          <w:bCs/>
          <w:color w:val="000000"/>
          <w:sz w:val="32"/>
          <w:szCs w:val="32"/>
          <w:lang w:eastAsia="zh-CN"/>
        </w:rPr>
        <w:t>）</w:t>
      </w:r>
      <w:r>
        <w:rPr>
          <w:rFonts w:hint="eastAsia" w:ascii="仿宋" w:hAnsi="仿宋" w:eastAsia="仿宋"/>
          <w:bCs/>
          <w:color w:val="000000"/>
          <w:sz w:val="32"/>
          <w:szCs w:val="32"/>
        </w:rPr>
        <w:t>负责组织协调全面从严治党、党风廉政建设和反腐败宣传教育工作。</w:t>
      </w:r>
    </w:p>
    <w:p w14:paraId="35E5074B">
      <w:pPr>
        <w:pStyle w:val="5"/>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ascii="仿宋" w:hAnsi="仿宋" w:eastAsia="仿宋"/>
          <w:bCs/>
          <w:color w:val="000000"/>
          <w:sz w:val="32"/>
          <w:szCs w:val="32"/>
        </w:rPr>
      </w:pPr>
      <w:r>
        <w:rPr>
          <w:rFonts w:hint="eastAsia" w:ascii="仿宋" w:hAnsi="仿宋" w:eastAsia="仿宋"/>
          <w:bCs/>
          <w:color w:val="000000"/>
          <w:sz w:val="32"/>
          <w:szCs w:val="32"/>
          <w:lang w:eastAsia="zh-CN"/>
        </w:rPr>
        <w:t>（</w:t>
      </w:r>
      <w:r>
        <w:rPr>
          <w:rFonts w:hint="eastAsia" w:ascii="仿宋" w:hAnsi="仿宋" w:eastAsia="仿宋"/>
          <w:bCs/>
          <w:color w:val="000000"/>
          <w:sz w:val="32"/>
          <w:szCs w:val="32"/>
          <w:lang w:val="en-US" w:eastAsia="zh-CN"/>
        </w:rPr>
        <w:t>六</w:t>
      </w:r>
      <w:r>
        <w:rPr>
          <w:rFonts w:hint="eastAsia" w:ascii="仿宋" w:hAnsi="仿宋" w:eastAsia="仿宋"/>
          <w:bCs/>
          <w:color w:val="000000"/>
          <w:sz w:val="32"/>
          <w:szCs w:val="32"/>
          <w:lang w:eastAsia="zh-CN"/>
        </w:rPr>
        <w:t>）</w:t>
      </w:r>
      <w:r>
        <w:rPr>
          <w:rFonts w:hint="eastAsia" w:ascii="仿宋" w:hAnsi="仿宋" w:eastAsia="仿宋"/>
          <w:bCs/>
          <w:color w:val="000000"/>
          <w:sz w:val="32"/>
          <w:szCs w:val="32"/>
        </w:rPr>
        <w:t>负责综合分析全面从严治党、党风廉政建设和反腐败工作情况，对纪检监察工作重要理论及实践问题进行调查研究。参与起草我县规范性文件。</w:t>
      </w:r>
    </w:p>
    <w:p w14:paraId="6182B9C9">
      <w:pPr>
        <w:pStyle w:val="5"/>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ascii="仿宋" w:hAnsi="仿宋" w:eastAsia="仿宋"/>
          <w:bCs/>
          <w:color w:val="000000"/>
          <w:sz w:val="32"/>
          <w:szCs w:val="32"/>
        </w:rPr>
      </w:pPr>
      <w:r>
        <w:rPr>
          <w:rFonts w:hint="eastAsia" w:ascii="仿宋" w:hAnsi="仿宋" w:eastAsia="仿宋"/>
          <w:bCs/>
          <w:color w:val="000000"/>
          <w:sz w:val="32"/>
          <w:szCs w:val="32"/>
          <w:lang w:eastAsia="zh-CN"/>
        </w:rPr>
        <w:t>（</w:t>
      </w:r>
      <w:r>
        <w:rPr>
          <w:rFonts w:hint="eastAsia" w:ascii="仿宋" w:hAnsi="仿宋" w:eastAsia="仿宋"/>
          <w:bCs/>
          <w:color w:val="000000"/>
          <w:sz w:val="32"/>
          <w:szCs w:val="32"/>
          <w:lang w:val="en-US" w:eastAsia="zh-CN"/>
        </w:rPr>
        <w:t>七</w:t>
      </w:r>
      <w:r>
        <w:rPr>
          <w:rFonts w:hint="eastAsia" w:ascii="仿宋" w:hAnsi="仿宋" w:eastAsia="仿宋"/>
          <w:bCs/>
          <w:color w:val="000000"/>
          <w:sz w:val="32"/>
          <w:szCs w:val="32"/>
          <w:lang w:eastAsia="zh-CN"/>
        </w:rPr>
        <w:t>）</w:t>
      </w:r>
      <w:r>
        <w:rPr>
          <w:rFonts w:hint="eastAsia" w:ascii="仿宋" w:hAnsi="仿宋" w:eastAsia="仿宋"/>
          <w:bCs/>
          <w:color w:val="000000"/>
          <w:sz w:val="32"/>
          <w:szCs w:val="32"/>
        </w:rPr>
        <w:t>在州纪委监委的领导下，加强对反腐败国际追逃追赃和防逃工作的组织协调，督促有关部门做好相关工作。</w:t>
      </w:r>
    </w:p>
    <w:p w14:paraId="542E1BF5">
      <w:pPr>
        <w:pStyle w:val="5"/>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hint="eastAsia" w:ascii="仿宋" w:hAnsi="仿宋" w:eastAsia="仿宋"/>
          <w:bCs/>
          <w:color w:val="000000"/>
          <w:sz w:val="32"/>
          <w:szCs w:val="32"/>
        </w:rPr>
      </w:pPr>
      <w:r>
        <w:rPr>
          <w:rFonts w:hint="eastAsia" w:ascii="仿宋" w:hAnsi="仿宋" w:eastAsia="仿宋"/>
          <w:bCs/>
          <w:color w:val="000000"/>
          <w:sz w:val="32"/>
          <w:szCs w:val="32"/>
          <w:lang w:eastAsia="zh-CN"/>
        </w:rPr>
        <w:t>（</w:t>
      </w:r>
      <w:r>
        <w:rPr>
          <w:rFonts w:hint="eastAsia" w:ascii="仿宋" w:hAnsi="仿宋" w:eastAsia="仿宋"/>
          <w:bCs/>
          <w:color w:val="000000"/>
          <w:sz w:val="32"/>
          <w:szCs w:val="32"/>
          <w:lang w:val="en-US" w:eastAsia="zh-CN"/>
        </w:rPr>
        <w:t>八</w:t>
      </w:r>
      <w:r>
        <w:rPr>
          <w:rFonts w:hint="eastAsia" w:ascii="仿宋" w:hAnsi="仿宋" w:eastAsia="仿宋"/>
          <w:bCs/>
          <w:color w:val="000000"/>
          <w:sz w:val="32"/>
          <w:szCs w:val="32"/>
          <w:lang w:eastAsia="zh-CN"/>
        </w:rPr>
        <w:t>）</w:t>
      </w:r>
      <w:r>
        <w:rPr>
          <w:rFonts w:hint="eastAsia" w:ascii="仿宋" w:hAnsi="仿宋" w:eastAsia="仿宋"/>
          <w:bCs/>
          <w:color w:val="000000"/>
          <w:sz w:val="32"/>
          <w:szCs w:val="32"/>
        </w:rPr>
        <w:t>根据干部管理权限，负责纪检监察系统领导班子建设、干部队伍建设和组织建设的综合规划、政策研究、制度建设和业务指导。会同有关方面做好县纪委监委派驻(出)机构人员配备有关工作。组织纪检监察系统干部教育培训工作等。</w:t>
      </w:r>
    </w:p>
    <w:p w14:paraId="6D550189">
      <w:pPr>
        <w:pageBreakBefore w:val="0"/>
        <w:numPr>
          <w:ilvl w:val="0"/>
          <w:numId w:val="0"/>
        </w:numPr>
        <w:kinsoku/>
        <w:wordWrap/>
        <w:overflowPunct/>
        <w:topLinePunct w:val="0"/>
        <w:autoSpaceDE/>
        <w:autoSpaceDN/>
        <w:bidi w:val="0"/>
        <w:spacing w:line="576" w:lineRule="exact"/>
        <w:ind w:firstLine="640" w:firstLineChars="200"/>
        <w:textAlignment w:val="auto"/>
        <w:rPr>
          <w:rFonts w:hint="eastAsia"/>
          <w:lang w:eastAsia="zh-CN"/>
        </w:rPr>
      </w:pPr>
      <w:r>
        <w:rPr>
          <w:rFonts w:hint="eastAsia" w:ascii="仿宋" w:hAnsi="仿宋" w:eastAsia="仿宋"/>
          <w:bCs/>
          <w:color w:val="000000"/>
          <w:sz w:val="32"/>
          <w:szCs w:val="32"/>
          <w:lang w:eastAsia="zh-CN"/>
        </w:rPr>
        <w:t>（</w:t>
      </w:r>
      <w:r>
        <w:rPr>
          <w:rFonts w:hint="eastAsia" w:ascii="仿宋" w:hAnsi="仿宋" w:eastAsia="仿宋"/>
          <w:bCs/>
          <w:color w:val="000000"/>
          <w:sz w:val="32"/>
          <w:szCs w:val="32"/>
          <w:lang w:val="en-US" w:eastAsia="zh-CN"/>
        </w:rPr>
        <w:t>九</w:t>
      </w:r>
      <w:r>
        <w:rPr>
          <w:rFonts w:hint="eastAsia" w:ascii="仿宋" w:hAnsi="仿宋" w:eastAsia="仿宋"/>
          <w:bCs/>
          <w:color w:val="000000"/>
          <w:sz w:val="32"/>
          <w:szCs w:val="32"/>
          <w:lang w:eastAsia="zh-CN"/>
        </w:rPr>
        <w:t>）</w:t>
      </w:r>
      <w:r>
        <w:rPr>
          <w:rFonts w:hint="eastAsia" w:ascii="仿宋" w:hAnsi="仿宋" w:eastAsia="仿宋"/>
          <w:bCs/>
          <w:color w:val="000000"/>
          <w:sz w:val="32"/>
          <w:szCs w:val="32"/>
        </w:rPr>
        <w:t>完成县委和州纪委监委交办的其他任务。</w:t>
      </w:r>
    </w:p>
    <w:p w14:paraId="2AD85BDA">
      <w:pPr>
        <w:pStyle w:val="3"/>
        <w:pageBreakBefore w:val="0"/>
        <w:kinsoku/>
        <w:wordWrap/>
        <w:overflowPunct/>
        <w:topLinePunct w:val="0"/>
        <w:autoSpaceDE/>
        <w:autoSpaceDN/>
        <w:bidi w:val="0"/>
        <w:spacing w:before="0" w:after="0" w:line="576" w:lineRule="exact"/>
        <w:ind w:firstLine="640" w:firstLineChars="200"/>
        <w:textAlignment w:val="auto"/>
        <w:rPr>
          <w:rStyle w:val="29"/>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14:paraId="6A6A7EAF">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茂县纪委</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default"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default"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74C9E051">
      <w:pPr>
        <w:pStyle w:val="5"/>
        <w:pageBreakBefore w:val="0"/>
        <w:kinsoku/>
        <w:wordWrap/>
        <w:overflowPunct/>
        <w:topLinePunct w:val="0"/>
        <w:autoSpaceDE/>
        <w:autoSpaceDN/>
        <w:bidi w:val="0"/>
        <w:adjustRightInd w:val="0"/>
        <w:snapToGrid w:val="0"/>
        <w:spacing w:beforeLines="0" w:line="576" w:lineRule="exact"/>
        <w:ind w:firstLine="640" w:firstLineChars="200"/>
        <w:textAlignment w:val="auto"/>
        <w:rPr>
          <w:rFonts w:hint="eastAsia" w:ascii="仿宋" w:eastAsia="仿宋"/>
          <w:color w:val="000000"/>
          <w:sz w:val="32"/>
          <w:szCs w:val="32"/>
          <w:lang w:val="en-US" w:eastAsia="zh-CN"/>
        </w:rPr>
      </w:pPr>
      <w:r>
        <w:rPr>
          <w:rFonts w:hint="eastAsia" w:ascii="仿宋" w:eastAsia="仿宋"/>
          <w:color w:val="000000"/>
          <w:sz w:val="32"/>
          <w:szCs w:val="32"/>
          <w:lang w:val="en-US" w:eastAsia="zh-CN"/>
        </w:rPr>
        <w:t>纳入茂县纪委2025年度部门决算编制范围的二级预算单位包括：</w:t>
      </w:r>
    </w:p>
    <w:p w14:paraId="5C99691E">
      <w:pPr>
        <w:pStyle w:val="5"/>
        <w:pageBreakBefore w:val="0"/>
        <w:kinsoku/>
        <w:wordWrap/>
        <w:overflowPunct/>
        <w:topLinePunct w:val="0"/>
        <w:autoSpaceDE/>
        <w:autoSpaceDN/>
        <w:bidi w:val="0"/>
        <w:adjustRightInd w:val="0"/>
        <w:snapToGrid w:val="0"/>
        <w:spacing w:beforeLines="0" w:line="576" w:lineRule="exact"/>
        <w:ind w:firstLine="640" w:firstLineChars="200"/>
        <w:textAlignment w:val="auto"/>
        <w:rPr>
          <w:rFonts w:hint="eastAsia" w:ascii="Times New Roman" w:hAnsi="Times New Roman" w:eastAsia="仿宋" w:cs="仿宋_GB2312"/>
          <w:color w:val="auto"/>
          <w:sz w:val="32"/>
          <w:szCs w:val="32"/>
          <w:highlight w:val="none"/>
          <w:lang w:eastAsia="zh-CN"/>
        </w:rPr>
      </w:pPr>
      <w:r>
        <w:rPr>
          <w:rFonts w:hint="eastAsia" w:ascii="仿宋" w:eastAsia="仿宋"/>
          <w:color w:val="000000"/>
          <w:sz w:val="32"/>
          <w:szCs w:val="32"/>
          <w:lang w:val="en-US" w:eastAsia="zh-CN"/>
        </w:rPr>
        <w:t>中国共产党</w:t>
      </w:r>
      <w:r>
        <w:rPr>
          <w:rFonts w:hint="eastAsia" w:ascii="仿宋" w:eastAsia="仿宋"/>
          <w:color w:val="000000"/>
          <w:sz w:val="32"/>
          <w:szCs w:val="32"/>
        </w:rPr>
        <w:t>茂县纪律检查委员会电子</w:t>
      </w:r>
      <w:r>
        <w:rPr>
          <w:rFonts w:hint="eastAsia" w:ascii="仿宋" w:eastAsia="仿宋"/>
          <w:color w:val="000000"/>
          <w:sz w:val="32"/>
          <w:szCs w:val="32"/>
          <w:lang w:eastAsia="zh-CN"/>
        </w:rPr>
        <w:t>监察技术中心</w:t>
      </w:r>
    </w:p>
    <w:p w14:paraId="38CB94E2">
      <w:pPr>
        <w:pageBreakBefore w:val="0"/>
        <w:widowControl/>
        <w:kinsoku/>
        <w:wordWrap/>
        <w:overflowPunct/>
        <w:topLinePunct w:val="0"/>
        <w:autoSpaceDE/>
        <w:autoSpaceDN/>
        <w:bidi w:val="0"/>
        <w:spacing w:line="576" w:lineRule="exact"/>
        <w:ind w:firstLine="640" w:firstLineChars="200"/>
        <w:jc w:val="left"/>
        <w:textAlignment w:val="auto"/>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176F2CA3">
      <w:pPr>
        <w:pStyle w:val="2"/>
        <w:jc w:val="center"/>
        <w:rPr>
          <w:rFonts w:ascii="Times New Roman" w:hAnsi="Times New Roman"/>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5DAD4D0E">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14:paraId="367018D6">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2060.66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285.83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16.1</w:t>
      </w:r>
      <w:r>
        <w:rPr>
          <w:rFonts w:hint="eastAsia" w:ascii="Times New Roman" w:hAnsi="Times New Roman" w:eastAsia="仿宋_GB2312" w:cs="仿宋_GB2312"/>
          <w:color w:val="auto"/>
          <w:sz w:val="32"/>
          <w:szCs w:val="32"/>
          <w:highlight w:val="none"/>
        </w:rPr>
        <w:t>%。主要变动原因是</w:t>
      </w:r>
      <w:r>
        <w:rPr>
          <w:rFonts w:hint="default" w:eastAsia="仿宋_GB2312" w:cs="仿宋_GB2312"/>
          <w:color w:val="auto"/>
          <w:sz w:val="32"/>
          <w:szCs w:val="32"/>
          <w:highlight w:val="none"/>
          <w:lang w:val="en-US"/>
        </w:rPr>
        <w:t>:</w:t>
      </w:r>
      <w:r>
        <w:rPr>
          <w:rFonts w:hint="eastAsia" w:eastAsia="仿宋_GB2312" w:cs="仿宋_GB2312"/>
          <w:color w:val="auto"/>
          <w:sz w:val="32"/>
          <w:szCs w:val="32"/>
          <w:highlight w:val="none"/>
          <w:lang w:eastAsia="zh-CN"/>
        </w:rPr>
        <w:t>专项经费增加。</w:t>
      </w:r>
    </w:p>
    <w:p w14:paraId="64B55135">
      <w:pPr>
        <w:keepNext w:val="0"/>
        <w:keepLines w:val="0"/>
        <w:pageBreakBefore w:val="0"/>
        <w:widowControl w:val="0"/>
        <w:kinsoku/>
        <w:wordWrap/>
        <w:overflowPunct/>
        <w:topLinePunct w:val="0"/>
        <w:autoSpaceDE/>
        <w:autoSpaceDN/>
        <w:bidi w:val="0"/>
        <w:adjustRightInd/>
        <w:snapToGrid/>
        <w:spacing w:before="313" w:beforeLines="100" w:after="313" w:afterLines="100"/>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962525" cy="2065020"/>
            <wp:effectExtent l="4445" t="4445" r="5080" b="698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3082426">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01A931D8">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2060.66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2060.66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p>
    <w:p w14:paraId="44DDCA37">
      <w:pPr>
        <w:keepNext w:val="0"/>
        <w:keepLines w:val="0"/>
        <w:pageBreakBefore w:val="0"/>
        <w:widowControl w:val="0"/>
        <w:kinsoku/>
        <w:wordWrap/>
        <w:overflowPunct/>
        <w:topLinePunct w:val="0"/>
        <w:autoSpaceDE/>
        <w:autoSpaceDN/>
        <w:bidi w:val="0"/>
        <w:adjustRightInd/>
        <w:snapToGrid/>
        <w:spacing w:before="313" w:beforeLines="100" w:after="313" w:afterLines="100"/>
        <w:ind w:firstLine="800" w:firstLineChars="25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5080" cy="1673860"/>
            <wp:effectExtent l="4445" t="4445" r="15875"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BB5495C">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14:paraId="1DB64990">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2060.66</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1844.97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89.5</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215.69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10.5</w:t>
      </w:r>
      <w:r>
        <w:rPr>
          <w:rFonts w:hint="eastAsia" w:ascii="Times New Roman" w:hAnsi="Times New Roman" w:eastAsia="仿宋_GB2312" w:cs="仿宋_GB2312"/>
          <w:color w:val="auto"/>
          <w:sz w:val="32"/>
          <w:szCs w:val="32"/>
          <w:highlight w:val="none"/>
          <w:lang w:eastAsia="zh-CN"/>
        </w:rPr>
        <w:t>%。</w:t>
      </w:r>
    </w:p>
    <w:p w14:paraId="69F4746C">
      <w:pPr>
        <w:keepNext w:val="0"/>
        <w:keepLines w:val="0"/>
        <w:pageBreakBefore w:val="0"/>
        <w:widowControl w:val="0"/>
        <w:kinsoku/>
        <w:wordWrap/>
        <w:overflowPunct/>
        <w:topLinePunct w:val="0"/>
        <w:autoSpaceDE/>
        <w:autoSpaceDN/>
        <w:bidi w:val="0"/>
        <w:adjustRightInd/>
        <w:snapToGrid/>
        <w:spacing w:before="313" w:beforeLines="100" w:after="313" w:afterLines="100"/>
        <w:ind w:firstLine="800" w:firstLineChars="25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132705" cy="1940560"/>
            <wp:effectExtent l="4445" t="4445" r="635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92B7CF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Style w:val="29"/>
          <w:rFonts w:ascii="Times New Roman" w:hAnsi="Times New Roman" w:eastAsia="黑体"/>
          <w:b w:val="0"/>
          <w:color w:val="auto"/>
          <w:highlight w:val="none"/>
        </w:rPr>
      </w:pPr>
      <w:bookmarkStart w:id="18" w:name="_Toc15396606"/>
      <w:bookmarkStart w:id="19"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14:paraId="6E6F59CE">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2060.66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285.83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default" w:eastAsia="仿宋_GB2312" w:cs="仿宋_GB2312"/>
          <w:color w:val="auto"/>
          <w:kern w:val="2"/>
          <w:sz w:val="32"/>
          <w:szCs w:val="32"/>
          <w:highlight w:val="none"/>
          <w:lang w:val="en-US" w:eastAsia="zh-CN" w:bidi="ar-SA"/>
        </w:rPr>
        <w:t>:</w:t>
      </w:r>
      <w:r>
        <w:rPr>
          <w:rFonts w:hint="eastAsia" w:eastAsia="仿宋_GB2312" w:cs="仿宋_GB2312"/>
          <w:color w:val="auto"/>
          <w:sz w:val="32"/>
          <w:szCs w:val="32"/>
          <w:highlight w:val="none"/>
          <w:lang w:eastAsia="zh-CN"/>
        </w:rPr>
        <w:t>专项经费增加。</w:t>
      </w:r>
    </w:p>
    <w:p w14:paraId="56667559">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inline distT="0" distB="0" distL="114300" distR="114300">
            <wp:extent cx="4885690" cy="2018030"/>
            <wp:effectExtent l="5080" t="4445" r="5080" b="1587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28CC95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Style w:val="29"/>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14:paraId="34C365D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459F7E1A">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2060.66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285.83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default" w:eastAsia="仿宋_GB2312" w:cs="仿宋_GB2312"/>
          <w:color w:val="auto"/>
          <w:kern w:val="2"/>
          <w:sz w:val="32"/>
          <w:szCs w:val="32"/>
          <w:highlight w:val="none"/>
          <w:lang w:val="en-US" w:eastAsia="zh-CN" w:bidi="ar-SA"/>
        </w:rPr>
        <w:t>:</w:t>
      </w:r>
      <w:r>
        <w:rPr>
          <w:rFonts w:hint="eastAsia" w:eastAsia="仿宋_GB2312" w:cs="仿宋_GB2312"/>
          <w:color w:val="auto"/>
          <w:sz w:val="32"/>
          <w:szCs w:val="32"/>
          <w:highlight w:val="none"/>
          <w:lang w:eastAsia="zh-CN"/>
        </w:rPr>
        <w:t>专项经费增加。</w:t>
      </w:r>
    </w:p>
    <w:p w14:paraId="394AC6B8">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inline distT="0" distB="0" distL="114300" distR="114300">
            <wp:extent cx="4524375" cy="1761490"/>
            <wp:effectExtent l="4445" t="4445" r="5080" b="571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6D52E8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7106AFD5">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2060.66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1581.83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76.8</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235.94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91.36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农林水</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131.53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EEFB974">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161915" cy="2255520"/>
            <wp:effectExtent l="4445" t="4445" r="15240" b="698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358A6CF">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6B247E68">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bookmarkStart w:id="25" w:name="_Toc15377444"/>
      <w:bookmarkStart w:id="26" w:name="_Toc15377213"/>
      <w:bookmarkStart w:id="27"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2060.66万元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0C7497D4">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纪检监察事务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1208.74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203DC33E">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纪检监察事务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177.4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696E1920">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纪检监察事务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其他纪检监察事务支出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195.69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74F316FD">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机关事业单位基本养老保险缴费支出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157.3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6FEB0533">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机关事业单位职业年金缴费支出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78.65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1A422009">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79.83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42903F8A">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11.53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4A6CF72E">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8.</w:t>
      </w:r>
      <w:r>
        <w:rPr>
          <w:rFonts w:hint="eastAsia" w:eastAsia="仿宋_GB2312" w:cs="仿宋_GB2312"/>
          <w:color w:val="auto"/>
          <w:kern w:val="2"/>
          <w:sz w:val="32"/>
          <w:szCs w:val="32"/>
          <w:highlight w:val="none"/>
          <w:lang w:val="en-US" w:eastAsia="zh-CN" w:bidi="ar-SA"/>
        </w:rPr>
        <w:t>农林水支出（类）巩固脱贫攻坚成果衔接乡村振兴（款）其他巩固脱贫攻坚成果衔接乡村振兴支出（项）：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6F21B4F7">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9.</w:t>
      </w:r>
      <w:r>
        <w:rPr>
          <w:rFonts w:hint="eastAsia" w:eastAsia="仿宋_GB2312" w:cs="仿宋_GB2312"/>
          <w:color w:val="auto"/>
          <w:kern w:val="2"/>
          <w:sz w:val="32"/>
          <w:szCs w:val="32"/>
          <w:highlight w:val="none"/>
          <w:lang w:val="en-US" w:eastAsia="zh-CN" w:bidi="ar-SA"/>
        </w:rPr>
        <w:t>住房保障支出（类）住房改革支出（款）住房公积金（项）：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131.53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089F9315">
      <w:pPr>
        <w:keepNext w:val="0"/>
        <w:keepLines w:val="0"/>
        <w:pageBreakBefore w:val="0"/>
        <w:widowControl w:val="0"/>
        <w:tabs>
          <w:tab w:val="right" w:pos="8306"/>
        </w:tabs>
        <w:kinsoku/>
        <w:wordWrap/>
        <w:overflowPunct/>
        <w:topLinePunct w:val="0"/>
        <w:autoSpaceDE/>
        <w:autoSpaceDN/>
        <w:bidi w:val="0"/>
        <w:adjustRightInd/>
        <w:snapToGrid/>
        <w:spacing w:line="576" w:lineRule="exact"/>
        <w:ind w:firstLine="640" w:firstLineChars="200"/>
        <w:textAlignment w:val="auto"/>
        <w:outlineLvl w:val="1"/>
        <w:rPr>
          <w:rStyle w:val="29"/>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14:paraId="2C4AE01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1844.97</w:t>
      </w:r>
      <w:r>
        <w:rPr>
          <w:rFonts w:hint="eastAsia" w:ascii="Times New Roman" w:hAnsi="Times New Roman" w:eastAsia="仿宋_GB2312" w:cs="仿宋_GB2312"/>
          <w:color w:val="auto"/>
          <w:kern w:val="2"/>
          <w:sz w:val="32"/>
          <w:szCs w:val="32"/>
          <w:highlight w:val="none"/>
          <w:lang w:val="en-US" w:eastAsia="zh-CN" w:bidi="ar-SA"/>
        </w:rPr>
        <w:t>万元，其中：</w:t>
      </w:r>
    </w:p>
    <w:p w14:paraId="4A0DFDB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1643.35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万元，主要包括：基本工资、津贴补贴、奖金、绩效工资、机关事业单位基本养老保险缴费、职业年金缴费、其他社会保障缴费、生活补助、奖励金、住房公积金等。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201.62</w:t>
      </w:r>
      <w:r>
        <w:rPr>
          <w:rFonts w:hint="eastAsia" w:ascii="Times New Roman" w:hAnsi="Times New Roman" w:eastAsia="仿宋_GB2312" w:cs="仿宋_GB2312"/>
          <w:color w:val="auto"/>
          <w:kern w:val="2"/>
          <w:sz w:val="32"/>
          <w:szCs w:val="32"/>
          <w:highlight w:val="none"/>
          <w:lang w:val="en-US" w:eastAsia="zh-CN" w:bidi="ar-SA"/>
        </w:rPr>
        <w:t>万元，主要包括：办公费、邮电费、差旅费、维修（护）费、公务接待费、福利费、公务用车运行维护费等。</w:t>
      </w:r>
    </w:p>
    <w:p w14:paraId="6E20B78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Style w:val="29"/>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财政拨款“三公”经费支出决算情况说明</w:t>
      </w:r>
      <w:bookmarkEnd w:id="30"/>
      <w:bookmarkEnd w:id="31"/>
    </w:p>
    <w:p w14:paraId="348743C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2EAABA2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61.11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上年度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10.53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主要原因是：</w:t>
      </w:r>
      <w:r>
        <w:rPr>
          <w:rFonts w:hint="eastAsia" w:ascii="仿宋_GB2312" w:eastAsia="仿宋_GB2312"/>
          <w:color w:val="auto"/>
          <w:sz w:val="32"/>
          <w:szCs w:val="32"/>
          <w:highlight w:val="none"/>
          <w:lang w:val="en-US" w:eastAsia="zh-CN"/>
        </w:rPr>
        <w:t>2025年度新购1辆车</w:t>
      </w:r>
      <w:r>
        <w:rPr>
          <w:rFonts w:hint="eastAsia" w:eastAsia="仿宋_GB2312" w:cs="仿宋_GB2312"/>
          <w:color w:val="auto"/>
          <w:kern w:val="2"/>
          <w:sz w:val="32"/>
          <w:szCs w:val="32"/>
          <w:highlight w:val="none"/>
          <w:lang w:val="en-US" w:eastAsia="zh-CN" w:bidi="ar-SA"/>
        </w:rPr>
        <w:t>。</w:t>
      </w:r>
    </w:p>
    <w:p w14:paraId="323149C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6E06A50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财政拨款“三公”经费支出决算中，公务用车购置及运行维护费支出决算</w:t>
      </w:r>
      <w:r>
        <w:rPr>
          <w:rFonts w:hint="eastAsia" w:eastAsia="仿宋_GB2312" w:cs="仿宋_GB2312"/>
          <w:color w:val="auto"/>
          <w:kern w:val="2"/>
          <w:sz w:val="32"/>
          <w:szCs w:val="32"/>
          <w:highlight w:val="none"/>
          <w:lang w:val="en-US" w:eastAsia="zh-CN" w:bidi="ar-SA"/>
        </w:rPr>
        <w:t>60.52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99.1</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0.59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%。具体情况如下：</w:t>
      </w:r>
    </w:p>
    <w:p w14:paraId="3F1FA060">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lang w:eastAsia="zh-CN"/>
        </w:rPr>
        <w:object>
          <v:shape id="_x0000_i1025" o:spt="75" alt="" type="#_x0000_t75" style="height:186.55pt;width:394.45pt;" o:ole="t" filled="f" o:preferrelative="t" stroked="f" coordsize="21600,21600">
            <v:path/>
            <v:fill on="f" focussize="0,0"/>
            <v:stroke on="f"/>
            <v:imagedata r:id="rId16" o:title=""/>
            <o:lock v:ext="edit" aspectratio="t"/>
            <w10:wrap type="none"/>
            <w10:anchorlock/>
          </v:shape>
          <o:OLEObject Type="Embed" ProgID="Excel.Chart.8" ShapeID="_x0000_i1025" DrawAspect="Content" ObjectID="_1468075725" r:id="rId15">
            <o:LockedField>false</o:LockedField>
          </o:OLEObject>
        </w:object>
      </w:r>
    </w:p>
    <w:p w14:paraId="77CA469F">
      <w:pPr>
        <w:keepNext w:val="0"/>
        <w:keepLines w:val="0"/>
        <w:pageBreakBefore w:val="0"/>
        <w:widowControl w:val="0"/>
        <w:numPr>
          <w:ilvl w:val="0"/>
          <w:numId w:val="0"/>
        </w:numPr>
        <w:kinsoku/>
        <w:wordWrap/>
        <w:overflowPunct/>
        <w:topLinePunct w:val="0"/>
        <w:bidi w:val="0"/>
        <w:snapToGrid/>
        <w:spacing w:line="576" w:lineRule="exact"/>
        <w:ind w:firstLine="643"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14ABA89C">
      <w:pPr>
        <w:keepNext w:val="0"/>
        <w:keepLines w:val="0"/>
        <w:pageBreakBefore w:val="0"/>
        <w:widowControl w:val="0"/>
        <w:kinsoku/>
        <w:wordWrap/>
        <w:overflowPunct/>
        <w:topLinePunct w:val="0"/>
        <w:bidi w:val="0"/>
        <w:snapToGrid/>
        <w:spacing w:line="576" w:lineRule="exact"/>
        <w:ind w:firstLine="640"/>
        <w:textAlignment w:val="auto"/>
        <w:rPr>
          <w:rFonts w:ascii="仿宋_GB2312" w:eastAsia="仿宋_GB2312"/>
          <w:b/>
          <w:color w:val="auto"/>
          <w:sz w:val="32"/>
          <w:szCs w:val="32"/>
          <w:highlight w:val="none"/>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60.52</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color w:val="auto"/>
          <w:sz w:val="32"/>
          <w:szCs w:val="32"/>
          <w:highlight w:val="none"/>
        </w:rPr>
        <w:t>公务用车购置及运行维护费支出决算</w:t>
      </w:r>
      <w:r>
        <w:rPr>
          <w:rFonts w:hint="eastAsia" w:ascii="仿宋_GB2312" w:eastAsia="仿宋_GB2312"/>
          <w:color w:val="auto"/>
          <w:sz w:val="32"/>
          <w:szCs w:val="32"/>
          <w:highlight w:val="none"/>
          <w:lang w:eastAsia="zh-CN"/>
        </w:rPr>
        <w:t>与202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eastAsia="zh-CN"/>
        </w:rPr>
        <w:t>年度相比</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10.52</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21.1</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2025年度新购1辆车</w:t>
      </w:r>
      <w:r>
        <w:rPr>
          <w:rFonts w:hint="eastAsia" w:ascii="仿宋_GB2312" w:eastAsia="仿宋_GB2312"/>
          <w:color w:val="auto"/>
          <w:sz w:val="32"/>
          <w:szCs w:val="32"/>
          <w:highlight w:val="none"/>
        </w:rPr>
        <w:t>。</w:t>
      </w:r>
    </w:p>
    <w:p w14:paraId="24C56F59">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22.78</w:t>
      </w:r>
      <w:r>
        <w:rPr>
          <w:rFonts w:hint="eastAsia" w:ascii="仿宋_GB2312" w:eastAsia="仿宋_GB2312"/>
          <w:color w:val="auto"/>
          <w:sz w:val="32"/>
          <w:szCs w:val="32"/>
          <w:highlight w:val="none"/>
        </w:rPr>
        <w:t>万元。全年按规定新购置公务用车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w:t>
      </w:r>
      <w:r>
        <w:rPr>
          <w:rFonts w:hint="eastAsia" w:ascii="仿宋_GB2312" w:hAnsi="Times New Roman" w:eastAsia="仿宋_GB2312"/>
          <w:color w:val="000000"/>
          <w:sz w:val="32"/>
          <w:szCs w:val="32"/>
        </w:rPr>
        <w:t>小型客车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22.78</w:t>
      </w:r>
      <w:r>
        <w:rPr>
          <w:rFonts w:hint="eastAsia" w:ascii="仿宋_GB2312" w:eastAsia="仿宋_GB2312"/>
          <w:color w:val="auto"/>
          <w:sz w:val="32"/>
          <w:szCs w:val="32"/>
          <w:highlight w:val="none"/>
        </w:rPr>
        <w:t>万元，主要用于</w:t>
      </w:r>
      <w:r>
        <w:rPr>
          <w:rFonts w:hint="eastAsia" w:ascii="仿宋_GB2312" w:eastAsia="仿宋_GB2312"/>
          <w:color w:val="auto"/>
          <w:sz w:val="32"/>
          <w:szCs w:val="32"/>
          <w:highlight w:val="none"/>
          <w:lang w:eastAsia="zh-CN"/>
        </w:rPr>
        <w:t>日常开展工作</w:t>
      </w: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w:t>
      </w:r>
      <w:r>
        <w:rPr>
          <w:rFonts w:hint="eastAsia" w:ascii="仿宋_GB2312" w:hAnsi="Times New Roman" w:eastAsia="仿宋_GB2312"/>
          <w:color w:val="000000"/>
          <w:sz w:val="32"/>
          <w:szCs w:val="32"/>
        </w:rPr>
        <w:t>小型客车</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辆。</w:t>
      </w:r>
    </w:p>
    <w:p w14:paraId="2472C637">
      <w:pPr>
        <w:keepNext w:val="0"/>
        <w:keepLines w:val="0"/>
        <w:pageBreakBefore w:val="0"/>
        <w:widowControl w:val="0"/>
        <w:kinsoku/>
        <w:wordWrap/>
        <w:overflowPunct/>
        <w:topLinePunct w:val="0"/>
        <w:bidi w:val="0"/>
        <w:snapToGrid/>
        <w:spacing w:line="576" w:lineRule="exact"/>
        <w:ind w:firstLine="640"/>
        <w:textAlignment w:val="auto"/>
        <w:rPr>
          <w:rFonts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37.74</w:t>
      </w:r>
      <w:r>
        <w:rPr>
          <w:rFonts w:hint="eastAsia" w:ascii="仿宋_GB2312" w:eastAsia="仿宋_GB2312"/>
          <w:color w:val="auto"/>
          <w:sz w:val="32"/>
          <w:szCs w:val="32"/>
          <w:highlight w:val="none"/>
        </w:rPr>
        <w:t>万元。主要用于</w:t>
      </w:r>
      <w:r>
        <w:rPr>
          <w:rFonts w:hint="eastAsia" w:ascii="仿宋" w:hAnsi="仿宋" w:eastAsia="仿宋"/>
          <w:color w:val="000000"/>
          <w:sz w:val="32"/>
          <w:szCs w:val="32"/>
        </w:rPr>
        <w:t>下乡检查工作、</w:t>
      </w:r>
      <w:r>
        <w:rPr>
          <w:rFonts w:ascii="仿宋" w:hAnsi="仿宋" w:eastAsia="仿宋"/>
          <w:color w:val="000000"/>
          <w:sz w:val="32"/>
          <w:szCs w:val="32"/>
        </w:rPr>
        <w:t>出差办案</w:t>
      </w:r>
      <w:r>
        <w:rPr>
          <w:rFonts w:hint="eastAsia" w:ascii="仿宋" w:hAnsi="仿宋" w:eastAsia="仿宋"/>
          <w:color w:val="000000"/>
          <w:sz w:val="32"/>
          <w:szCs w:val="32"/>
        </w:rPr>
        <w:t>等</w:t>
      </w:r>
      <w:r>
        <w:rPr>
          <w:rFonts w:hint="eastAsia" w:ascii="仿宋_GB2312" w:eastAsia="仿宋_GB2312"/>
          <w:color w:val="auto"/>
          <w:sz w:val="32"/>
          <w:szCs w:val="32"/>
          <w:highlight w:val="none"/>
        </w:rPr>
        <w:t>所需的公务用车燃料费、维修费、过路过桥费、保险费等支出。</w:t>
      </w:r>
    </w:p>
    <w:p w14:paraId="02219C4A">
      <w:pPr>
        <w:keepNext w:val="0"/>
        <w:keepLines w:val="0"/>
        <w:pageBreakBefore w:val="0"/>
        <w:widowControl w:val="0"/>
        <w:kinsoku/>
        <w:wordWrap/>
        <w:overflowPunct/>
        <w:topLinePunct w:val="0"/>
        <w:bidi w:val="0"/>
        <w:snapToGrid/>
        <w:spacing w:line="576" w:lineRule="exact"/>
        <w:ind w:firstLine="640"/>
        <w:textAlignment w:val="auto"/>
        <w:rPr>
          <w:rFonts w:ascii="仿宋_GB2312" w:eastAsia="仿宋_GB2312"/>
          <w:color w:val="auto"/>
          <w:sz w:val="32"/>
          <w:szCs w:val="32"/>
          <w:highlight w:val="none"/>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0.59</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color w:val="auto"/>
          <w:sz w:val="32"/>
          <w:szCs w:val="32"/>
          <w:highlight w:val="none"/>
        </w:rPr>
        <w:t>公务接待费支出决算</w:t>
      </w:r>
      <w:r>
        <w:rPr>
          <w:rFonts w:hint="eastAsia" w:ascii="仿宋_GB2312" w:eastAsia="仿宋_GB2312"/>
          <w:color w:val="auto"/>
          <w:sz w:val="32"/>
          <w:szCs w:val="32"/>
          <w:highlight w:val="none"/>
          <w:lang w:eastAsia="zh-CN"/>
        </w:rPr>
        <w:t>与202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eastAsia="zh-CN"/>
        </w:rPr>
        <w:t>年度相比</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0.01</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1.7</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w:t>
      </w:r>
      <w:r>
        <w:rPr>
          <w:rFonts w:hint="eastAsia" w:ascii="仿宋_GB2312" w:hAnsi="Times New Roman" w:eastAsia="仿宋_GB2312"/>
          <w:color w:val="000000"/>
          <w:kern w:val="2"/>
          <w:sz w:val="32"/>
          <w:szCs w:val="32"/>
          <w:lang w:val="en-US" w:eastAsia="zh-CN"/>
        </w:rPr>
        <w:t>工作开展增加</w:t>
      </w:r>
      <w:r>
        <w:rPr>
          <w:rFonts w:hint="eastAsia" w:ascii="仿宋_GB2312" w:eastAsia="仿宋_GB2312"/>
          <w:color w:val="auto"/>
          <w:sz w:val="32"/>
          <w:szCs w:val="32"/>
          <w:highlight w:val="none"/>
        </w:rPr>
        <w:t>。其中：</w:t>
      </w:r>
    </w:p>
    <w:p w14:paraId="56B7DE0F">
      <w:pPr>
        <w:keepNext w:val="0"/>
        <w:keepLines w:val="0"/>
        <w:pageBreakBefore w:val="0"/>
        <w:widowControl w:val="0"/>
        <w:kinsoku/>
        <w:wordWrap/>
        <w:overflowPunct/>
        <w:topLinePunct w:val="0"/>
        <w:bidi w:val="0"/>
        <w:snapToGrid/>
        <w:spacing w:line="576" w:lineRule="exact"/>
        <w:ind w:firstLine="640"/>
        <w:textAlignment w:val="auto"/>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0.59</w:t>
      </w:r>
      <w:r>
        <w:rPr>
          <w:rFonts w:hint="eastAsia" w:ascii="仿宋_GB2312" w:eastAsia="仿宋_GB2312"/>
          <w:color w:val="auto"/>
          <w:sz w:val="32"/>
          <w:szCs w:val="32"/>
          <w:highlight w:val="none"/>
        </w:rPr>
        <w:t>万元，主要用于执行公务、开展业务活动开支的交通费、住宿费、用餐费等。国内公务接待</w:t>
      </w:r>
      <w:r>
        <w:rPr>
          <w:rFonts w:hint="eastAsia" w:ascii="仿宋_GB2312" w:eastAsia="仿宋_GB2312"/>
          <w:color w:val="auto"/>
          <w:sz w:val="32"/>
          <w:szCs w:val="32"/>
          <w:highlight w:val="none"/>
          <w:lang w:val="en-US" w:eastAsia="zh-CN"/>
        </w:rPr>
        <w:t>9</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58</w:t>
      </w:r>
      <w:r>
        <w:rPr>
          <w:rFonts w:hint="eastAsia" w:ascii="仿宋_GB2312" w:eastAsia="仿宋_GB2312"/>
          <w:color w:val="auto"/>
          <w:sz w:val="32"/>
          <w:szCs w:val="32"/>
          <w:highlight w:val="none"/>
        </w:rPr>
        <w:t>人次（不包括陪同人员），共计支出</w:t>
      </w:r>
      <w:r>
        <w:rPr>
          <w:rFonts w:hint="eastAsia" w:ascii="仿宋_GB2312" w:eastAsia="仿宋_GB2312"/>
          <w:color w:val="auto"/>
          <w:sz w:val="32"/>
          <w:szCs w:val="32"/>
          <w:highlight w:val="none"/>
          <w:lang w:val="en-US" w:eastAsia="zh-CN"/>
        </w:rPr>
        <w:t>0.59</w:t>
      </w:r>
      <w:r>
        <w:rPr>
          <w:rFonts w:hint="eastAsia" w:ascii="仿宋_GB2312" w:eastAsia="仿宋_GB2312"/>
          <w:color w:val="auto"/>
          <w:sz w:val="32"/>
          <w:szCs w:val="32"/>
          <w:highlight w:val="none"/>
        </w:rPr>
        <w:t>万元，具体内容包括：</w:t>
      </w:r>
      <w:r>
        <w:rPr>
          <w:rFonts w:hint="eastAsia" w:ascii="仿宋" w:hAnsi="仿宋" w:eastAsia="仿宋"/>
          <w:color w:val="000000"/>
          <w:sz w:val="32"/>
          <w:szCs w:val="32"/>
        </w:rPr>
        <w:t>上级部门到我县开展工作支出0.5</w:t>
      </w:r>
      <w:r>
        <w:rPr>
          <w:rFonts w:hint="eastAsia" w:ascii="仿宋" w:hAnsi="仿宋" w:eastAsia="仿宋"/>
          <w:color w:val="000000"/>
          <w:sz w:val="32"/>
          <w:szCs w:val="32"/>
          <w:lang w:val="en-US" w:eastAsia="zh-CN"/>
        </w:rPr>
        <w:t>9</w:t>
      </w:r>
      <w:r>
        <w:rPr>
          <w:rFonts w:hint="eastAsia" w:ascii="仿宋" w:hAnsi="仿宋" w:eastAsia="仿宋"/>
          <w:color w:val="000000"/>
          <w:sz w:val="32"/>
          <w:szCs w:val="32"/>
        </w:rPr>
        <w:t>万元</w:t>
      </w:r>
      <w:r>
        <w:rPr>
          <w:rFonts w:hint="eastAsia" w:ascii="仿宋_GB2312" w:eastAsia="仿宋_GB2312"/>
          <w:color w:val="auto"/>
          <w:sz w:val="32"/>
          <w:szCs w:val="32"/>
          <w:highlight w:val="none"/>
        </w:rPr>
        <w:t>。</w:t>
      </w:r>
    </w:p>
    <w:p w14:paraId="2FB10C5B">
      <w:pPr>
        <w:keepNext w:val="0"/>
        <w:keepLines w:val="0"/>
        <w:pageBreakBefore w:val="0"/>
        <w:widowControl w:val="0"/>
        <w:kinsoku/>
        <w:wordWrap/>
        <w:overflowPunct/>
        <w:topLinePunct w:val="0"/>
        <w:bidi w:val="0"/>
        <w:snapToGrid/>
        <w:spacing w:line="576"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b/>
          <w:color w:val="auto"/>
          <w:sz w:val="32"/>
          <w:szCs w:val="32"/>
          <w:highlight w:val="none"/>
        </w:rPr>
        <w:t>外事接待支出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bookmarkStart w:id="34" w:name="_Toc15377218"/>
      <w:bookmarkStart w:id="35" w:name="_Toc15396610"/>
    </w:p>
    <w:p w14:paraId="0A418D10">
      <w:pPr>
        <w:keepNext w:val="0"/>
        <w:keepLines w:val="0"/>
        <w:pageBreakBefore w:val="0"/>
        <w:widowControl w:val="0"/>
        <w:kinsoku/>
        <w:wordWrap/>
        <w:overflowPunct/>
        <w:topLinePunct w:val="0"/>
        <w:bidi w:val="0"/>
        <w:snapToGrid/>
        <w:spacing w:line="576" w:lineRule="exact"/>
        <w:ind w:firstLine="640"/>
        <w:textAlignment w:val="auto"/>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14:paraId="36085AC1">
      <w:pPr>
        <w:keepNext w:val="0"/>
        <w:keepLines w:val="0"/>
        <w:pageBreakBefore w:val="0"/>
        <w:widowControl w:val="0"/>
        <w:kinsoku/>
        <w:wordWrap/>
        <w:overflowPunct/>
        <w:topLinePunct w:val="0"/>
        <w:bidi w:val="0"/>
        <w:snapToGrid/>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044ECBB2">
      <w:pPr>
        <w:keepNext w:val="0"/>
        <w:keepLines w:val="0"/>
        <w:pageBreakBefore w:val="0"/>
        <w:widowControl w:val="0"/>
        <w:numPr>
          <w:ilvl w:val="0"/>
          <w:numId w:val="0"/>
        </w:numPr>
        <w:kinsoku/>
        <w:wordWrap/>
        <w:overflowPunct/>
        <w:topLinePunct w:val="0"/>
        <w:bidi w:val="0"/>
        <w:snapToGrid/>
        <w:spacing w:line="576" w:lineRule="exact"/>
        <w:ind w:left="630" w:leftChars="0"/>
        <w:textAlignment w:val="auto"/>
        <w:outlineLvl w:val="1"/>
        <w:rPr>
          <w:rStyle w:val="29"/>
          <w:rFonts w:ascii="Times New Roman" w:hAnsi="Times New Roman" w:eastAsia="黑体"/>
          <w:b w:val="0"/>
          <w:color w:val="auto"/>
          <w:highlight w:val="none"/>
        </w:rPr>
      </w:pPr>
      <w:bookmarkStart w:id="36" w:name="_Toc15396611"/>
      <w:bookmarkStart w:id="37"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14:paraId="7D56C490">
      <w:pPr>
        <w:keepNext w:val="0"/>
        <w:keepLines w:val="0"/>
        <w:pageBreakBefore w:val="0"/>
        <w:widowControl w:val="0"/>
        <w:kinsoku/>
        <w:wordWrap/>
        <w:overflowPunct/>
        <w:topLinePunct w:val="0"/>
        <w:bidi w:val="0"/>
        <w:snapToGrid/>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0E7F147D">
      <w:pPr>
        <w:keepNext w:val="0"/>
        <w:keepLines w:val="0"/>
        <w:pageBreakBefore w:val="0"/>
        <w:widowControl w:val="0"/>
        <w:numPr>
          <w:ilvl w:val="0"/>
          <w:numId w:val="0"/>
        </w:numPr>
        <w:kinsoku/>
        <w:wordWrap/>
        <w:overflowPunct/>
        <w:topLinePunct w:val="0"/>
        <w:bidi w:val="0"/>
        <w:snapToGrid/>
        <w:spacing w:line="576" w:lineRule="exact"/>
        <w:ind w:left="630" w:leftChars="0"/>
        <w:textAlignment w:val="auto"/>
        <w:outlineLvl w:val="1"/>
        <w:rPr>
          <w:rStyle w:val="29"/>
          <w:rFonts w:hint="eastAsia" w:ascii="Times New Roman" w:hAnsi="Times New Roman" w:eastAsia="黑体"/>
          <w:b w:val="0"/>
          <w:color w:val="auto"/>
          <w:highlight w:val="none"/>
        </w:rPr>
      </w:pPr>
      <w:bookmarkStart w:id="38" w:name="_Toc15377221"/>
      <w:bookmarkStart w:id="39"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14:paraId="2E4D27F8">
      <w:pPr>
        <w:keepNext w:val="0"/>
        <w:keepLines w:val="0"/>
        <w:pageBreakBefore w:val="0"/>
        <w:widowControl w:val="0"/>
        <w:kinsoku/>
        <w:wordWrap/>
        <w:overflowPunct/>
        <w:topLinePunct w:val="0"/>
        <w:bidi w:val="0"/>
        <w:snapToGrid/>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00C7E032">
      <w:pPr>
        <w:keepNext w:val="0"/>
        <w:keepLines w:val="0"/>
        <w:pageBreakBefore w:val="0"/>
        <w:widowControl w:val="0"/>
        <w:kinsoku/>
        <w:wordWrap/>
        <w:overflowPunct/>
        <w:topLinePunct w:val="0"/>
        <w:bidi w:val="0"/>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茂县纪委</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176.93</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与202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eastAsia="zh-CN"/>
        </w:rPr>
        <w:t>年度相比</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26.37</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18</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w:t>
      </w:r>
      <w:r>
        <w:rPr>
          <w:rFonts w:hint="eastAsia" w:ascii="仿宋_GB2312" w:hAnsi="Times New Roman" w:eastAsia="仿宋_GB2312"/>
          <w:color w:val="000000"/>
          <w:sz w:val="32"/>
          <w:szCs w:val="32"/>
          <w:lang w:val="en-US" w:eastAsia="zh-CN"/>
        </w:rPr>
        <w:t>工作量增加，日常公用经费增加。</w:t>
      </w:r>
    </w:p>
    <w:p w14:paraId="7B0D5EC0">
      <w:pPr>
        <w:keepNext w:val="0"/>
        <w:keepLines w:val="0"/>
        <w:pageBreakBefore w:val="0"/>
        <w:widowControl w:val="0"/>
        <w:kinsoku/>
        <w:wordWrap/>
        <w:overflowPunct/>
        <w:topLinePunct w:val="0"/>
        <w:bidi w:val="0"/>
        <w:snapToGrid/>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18E0C1C2">
      <w:pPr>
        <w:keepNext w:val="0"/>
        <w:keepLines w:val="0"/>
        <w:pageBreakBefore w:val="0"/>
        <w:widowControl w:val="0"/>
        <w:kinsoku/>
        <w:wordWrap/>
        <w:overflowPunct/>
        <w:topLinePunct w:val="0"/>
        <w:bidi w:val="0"/>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茂县纪委</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18.32</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18.32</w:t>
      </w:r>
      <w:r>
        <w:rPr>
          <w:rFonts w:hint="eastAsia" w:ascii="仿宋_GB2312" w:eastAsia="仿宋_GB2312"/>
          <w:color w:val="auto"/>
          <w:sz w:val="32"/>
          <w:szCs w:val="32"/>
          <w:highlight w:val="none"/>
        </w:rPr>
        <w:t>万元。主要用于</w:t>
      </w:r>
      <w:r>
        <w:rPr>
          <w:rFonts w:hint="eastAsia" w:ascii="仿宋_GB2312" w:eastAsia="仿宋_GB2312"/>
          <w:color w:val="auto"/>
          <w:sz w:val="32"/>
          <w:szCs w:val="32"/>
          <w:highlight w:val="none"/>
          <w:lang w:eastAsia="zh-CN"/>
        </w:rPr>
        <w:t>日常办公设备购置</w:t>
      </w:r>
      <w:r>
        <w:rPr>
          <w:rFonts w:hint="eastAsia" w:ascii="仿宋_GB2312" w:eastAsia="仿宋_GB2312"/>
          <w:color w:val="auto"/>
          <w:sz w:val="32"/>
          <w:szCs w:val="32"/>
          <w:highlight w:val="none"/>
        </w:rPr>
        <w:t>。授予中小企业合同金额</w:t>
      </w:r>
      <w:r>
        <w:rPr>
          <w:rFonts w:hint="eastAsia" w:ascii="仿宋_GB2312" w:eastAsia="仿宋_GB2312"/>
          <w:color w:val="auto"/>
          <w:sz w:val="32"/>
          <w:szCs w:val="32"/>
          <w:highlight w:val="none"/>
          <w:lang w:val="en-US" w:eastAsia="zh-CN"/>
        </w:rPr>
        <w:t>18.32</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100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18.32</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100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14:paraId="31520E05">
      <w:pPr>
        <w:keepNext w:val="0"/>
        <w:keepLines w:val="0"/>
        <w:pageBreakBefore w:val="0"/>
        <w:widowControl w:val="0"/>
        <w:kinsoku/>
        <w:wordWrap/>
        <w:overflowPunct/>
        <w:topLinePunct w:val="0"/>
        <w:bidi w:val="0"/>
        <w:snapToGrid/>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495076DD">
      <w:pPr>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eastAsia="zh-CN"/>
        </w:rPr>
        <w:t>茂县纪委</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辆，其中：</w:t>
      </w:r>
      <w:r>
        <w:rPr>
          <w:rFonts w:hint="eastAsia" w:ascii="仿宋_GB2312" w:eastAsia="仿宋_GB2312"/>
          <w:color w:val="000000"/>
          <w:sz w:val="32"/>
          <w:szCs w:val="32"/>
        </w:rPr>
        <w:t>执法执勤用车</w:t>
      </w:r>
      <w:r>
        <w:rPr>
          <w:rFonts w:hint="eastAsia" w:ascii="仿宋_GB2312" w:eastAsia="仿宋_GB2312"/>
          <w:color w:val="000000"/>
          <w:sz w:val="32"/>
          <w:szCs w:val="32"/>
          <w:lang w:val="en-US" w:eastAsia="zh-CN"/>
        </w:rPr>
        <w:t>6</w:t>
      </w:r>
      <w:r>
        <w:rPr>
          <w:rFonts w:hint="eastAsia" w:ascii="仿宋_GB2312" w:eastAsia="仿宋_GB2312"/>
          <w:color w:val="000000"/>
          <w:sz w:val="32"/>
          <w:szCs w:val="32"/>
        </w:rPr>
        <w:t>辆</w:t>
      </w:r>
      <w:r>
        <w:rPr>
          <w:rFonts w:hint="eastAsia" w:ascii="仿宋_GB2312" w:eastAsia="仿宋_GB2312"/>
          <w:color w:val="auto"/>
          <w:sz w:val="32"/>
          <w:szCs w:val="32"/>
          <w:highlight w:val="none"/>
          <w:lang w:eastAsia="zh-CN"/>
        </w:rPr>
        <w:t>。</w:t>
      </w:r>
    </w:p>
    <w:p w14:paraId="6C8169F8">
      <w:pPr>
        <w:keepNext w:val="0"/>
        <w:keepLines w:val="0"/>
        <w:pageBreakBefore w:val="0"/>
        <w:widowControl w:val="0"/>
        <w:kinsoku/>
        <w:wordWrap/>
        <w:overflowPunct/>
        <w:topLinePunct w:val="0"/>
        <w:bidi w:val="0"/>
        <w:snapToGrid/>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F691C6F">
      <w:pPr>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left"/>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根据预算绩效管理要求，茂县纪委在2025年度，组织对执法执行用车购置费、党风廉政建设集中整治专项工作、茂县交往交融项目、关于解决2025年相关工作经费</w:t>
      </w:r>
      <w:r>
        <w:rPr>
          <w:rFonts w:hint="eastAsia" w:ascii="仿宋_GB2312" w:eastAsia="仿宋_GB2312"/>
          <w:color w:val="auto"/>
          <w:sz w:val="32"/>
          <w:szCs w:val="32"/>
          <w:highlight w:val="none"/>
          <w:lang w:eastAsia="zh-CN"/>
        </w:rPr>
        <w:t>等</w:t>
      </w:r>
      <w:r>
        <w:rPr>
          <w:rFonts w:hint="eastAsia" w:ascii="仿宋_GB2312" w:eastAsia="仿宋_GB2312"/>
          <w:color w:val="auto"/>
          <w:sz w:val="32"/>
          <w:szCs w:val="32"/>
          <w:highlight w:val="none"/>
          <w:lang w:val="en-US" w:eastAsia="zh-CN"/>
        </w:rPr>
        <w:t>4个项目涉及金额156.15万元开展了事前绩效评估，对4个项目编制了绩效目标，预算执行过程中，选取4个项目开展绩效监控。</w:t>
      </w:r>
    </w:p>
    <w:p w14:paraId="42D78C97">
      <w:pPr>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left"/>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组织对2025年度一般公共预算、政府性基金预算、国有资本经营预算、社会保险基金预算以及资本资产、债券资金等全面开展绩效自评，形成茂县纪委部门预算（含部门预算项目）绩效自评报告，其中，茂县纪委部门预算（含部门预算项目）绩效自评得分为98分，绩效自评综述良好。绩效自评报告详见附件。</w:t>
      </w:r>
    </w:p>
    <w:p w14:paraId="28C3F7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8E423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9A384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03A415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344662">
      <w:pPr>
        <w:keepNext w:val="0"/>
        <w:keepLines w:val="0"/>
        <w:pageBreakBefore w:val="0"/>
        <w:widowControl w:val="0"/>
        <w:numPr>
          <w:ilvl w:val="0"/>
          <w:numId w:val="0"/>
        </w:numPr>
        <w:kinsoku/>
        <w:wordWrap/>
        <w:overflowPunct/>
        <w:topLinePunct w:val="0"/>
        <w:bidi w:val="0"/>
        <w:snapToGrid/>
        <w:spacing w:line="576" w:lineRule="exact"/>
        <w:jc w:val="center"/>
        <w:textAlignment w:val="auto"/>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4FB24FBE">
      <w:pPr>
        <w:keepNext w:val="0"/>
        <w:keepLines w:val="0"/>
        <w:pageBreakBefore w:val="0"/>
        <w:widowControl w:val="0"/>
        <w:kinsoku/>
        <w:wordWrap/>
        <w:overflowPunct/>
        <w:topLinePunct w:val="0"/>
        <w:bidi w:val="0"/>
        <w:snapToGrid/>
        <w:spacing w:line="576" w:lineRule="exact"/>
        <w:jc w:val="left"/>
        <w:textAlignment w:val="auto"/>
        <w:rPr>
          <w:rFonts w:ascii="Times New Roman" w:hAnsi="Times New Roman"/>
          <w:b/>
          <w:color w:val="auto"/>
          <w:sz w:val="44"/>
          <w:szCs w:val="44"/>
          <w:highlight w:val="none"/>
        </w:rPr>
      </w:pPr>
    </w:p>
    <w:p w14:paraId="132918C7">
      <w:pPr>
        <w:pStyle w:val="26"/>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_GB2312" w:eastAsia="仿宋_GB2312"/>
          <w:sz w:val="32"/>
          <w:szCs w:val="32"/>
        </w:rPr>
      </w:pPr>
      <w:r>
        <w:rPr>
          <w:rFonts w:ascii="仿宋_GB2312" w:eastAsia="仿宋_GB2312"/>
          <w:sz w:val="32"/>
          <w:szCs w:val="32"/>
        </w:rPr>
        <w:t>1.财政拨款收入：指单位从同级财政部门取得的财政预算资金。</w:t>
      </w:r>
    </w:p>
    <w:p w14:paraId="697B7237">
      <w:pPr>
        <w:pStyle w:val="26"/>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_GB2312" w:eastAsia="仿宋_GB2312"/>
          <w:sz w:val="32"/>
          <w:szCs w:val="32"/>
        </w:rPr>
      </w:pPr>
      <w:r>
        <w:rPr>
          <w:rFonts w:ascii="仿宋_GB2312" w:eastAsia="仿宋_GB2312"/>
          <w:sz w:val="32"/>
          <w:szCs w:val="32"/>
        </w:rPr>
        <w:t>2.事业收入：指事业单位开展专业业务活动及辅助活动取得的收入。如…（二级预算单位事业收入情况）等。</w:t>
      </w:r>
    </w:p>
    <w:p w14:paraId="54C0DE3A">
      <w:pPr>
        <w:pStyle w:val="26"/>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_GB2312" w:eastAsia="仿宋_GB2312"/>
          <w:sz w:val="32"/>
          <w:szCs w:val="32"/>
        </w:rPr>
      </w:pPr>
      <w:r>
        <w:rPr>
          <w:rFonts w:ascii="仿宋_GB2312" w:eastAsia="仿宋_GB2312"/>
          <w:sz w:val="32"/>
          <w:szCs w:val="32"/>
        </w:rPr>
        <w:t>3.经营收入：指事业单位在专业业务活动及其辅助活动之外开展非独立核算经营活动取得的收入。如…（二级预算单位经营收入情况）等。</w:t>
      </w:r>
    </w:p>
    <w:p w14:paraId="2011C876">
      <w:pPr>
        <w:pStyle w:val="26"/>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_GB2312" w:eastAsia="仿宋_GB2312"/>
          <w:sz w:val="32"/>
          <w:szCs w:val="32"/>
        </w:rPr>
      </w:pPr>
      <w:r>
        <w:rPr>
          <w:rFonts w:ascii="仿宋_GB2312" w:eastAsia="仿宋_GB2312"/>
          <w:sz w:val="32"/>
          <w:szCs w:val="32"/>
        </w:rPr>
        <w:t>4.其他收入：指单位取得的除上述收入以外的各项收入。</w:t>
      </w:r>
    </w:p>
    <w:p w14:paraId="795EADF8">
      <w:pPr>
        <w:pStyle w:val="26"/>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_GB2312" w:eastAsia="仿宋_GB2312"/>
          <w:sz w:val="32"/>
          <w:szCs w:val="32"/>
        </w:rPr>
      </w:pPr>
      <w:r>
        <w:rPr>
          <w:rFonts w:ascii="仿宋_GB2312" w:eastAsia="仿宋_GB2312"/>
          <w:sz w:val="32"/>
          <w:szCs w:val="32"/>
        </w:rPr>
        <w:t>5.使用非财政拨款结余：指事业单位使用以前年度积累的非财政拨款结余弥补当年收支差额的金额。</w:t>
      </w:r>
    </w:p>
    <w:p w14:paraId="04E66DF0">
      <w:pPr>
        <w:pStyle w:val="26"/>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_GB2312" w:eastAsia="仿宋_GB2312"/>
          <w:sz w:val="32"/>
          <w:szCs w:val="32"/>
        </w:rPr>
      </w:pPr>
      <w:r>
        <w:rPr>
          <w:rFonts w:ascii="仿宋_GB2312" w:eastAsia="仿宋_GB2312"/>
          <w:sz w:val="32"/>
          <w:szCs w:val="32"/>
        </w:rPr>
        <w:t>6.年初结转和结余：指以前年度尚未完成、结转到本年按有关规定继续使用的资金。</w:t>
      </w:r>
    </w:p>
    <w:p w14:paraId="1E5ECB51">
      <w:pPr>
        <w:pStyle w:val="26"/>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_GB2312" w:eastAsia="仿宋_GB2312"/>
          <w:sz w:val="32"/>
          <w:szCs w:val="32"/>
        </w:rPr>
      </w:pPr>
      <w:r>
        <w:rPr>
          <w:rFonts w:ascii="仿宋_GB2312" w:eastAsia="仿宋_GB2312"/>
          <w:sz w:val="32"/>
          <w:szCs w:val="32"/>
        </w:rPr>
        <w:t>7.结余分配：指事业单位按照会计制度规定缴纳的所得税、提取的专用结余以及转入非财政拨款结余的金额等。</w:t>
      </w:r>
    </w:p>
    <w:p w14:paraId="69D1FFA9">
      <w:pPr>
        <w:pStyle w:val="26"/>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w:t>
      </w:r>
      <w:r>
        <w:rPr>
          <w:rFonts w:ascii="仿宋_GB2312" w:eastAsia="仿宋_GB2312"/>
          <w:sz w:val="32"/>
          <w:szCs w:val="32"/>
        </w:rPr>
        <w:t>年末结转和结余：指单位按有关规定结转到下年或以后年度继续使用的资金。</w:t>
      </w:r>
    </w:p>
    <w:p w14:paraId="047F97AE">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 w:hAnsi="仿宋" w:eastAsia="仿宋"/>
          <w:color w:val="000000"/>
          <w:sz w:val="32"/>
          <w:szCs w:val="32"/>
        </w:rPr>
      </w:pPr>
      <w:r>
        <w:rPr>
          <w:rFonts w:ascii="仿宋" w:hAnsi="仿宋" w:eastAsia="仿宋"/>
          <w:color w:val="000000"/>
          <w:sz w:val="32"/>
          <w:szCs w:val="32"/>
        </w:rPr>
        <w:t>9.</w:t>
      </w:r>
      <w:r>
        <w:rPr>
          <w:rFonts w:hint="eastAsia" w:ascii="仿宋" w:hAnsi="仿宋" w:eastAsia="仿宋"/>
          <w:color w:val="000000"/>
          <w:sz w:val="32"/>
          <w:szCs w:val="32"/>
        </w:rPr>
        <w:t>一般公共服务（类）纪检监察事务（款）行政运行（项）：指单位开展日常工作所需日常公用经费开支及单位职工的人员经费开支。</w:t>
      </w:r>
    </w:p>
    <w:p w14:paraId="30E85CCA">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 w:hAnsi="仿宋" w:eastAsia="仿宋"/>
          <w:color w:val="000000"/>
          <w:sz w:val="32"/>
          <w:szCs w:val="32"/>
        </w:rPr>
      </w:pPr>
      <w:r>
        <w:rPr>
          <w:rFonts w:ascii="仿宋" w:hAnsi="仿宋" w:eastAsia="仿宋"/>
          <w:color w:val="000000"/>
          <w:sz w:val="32"/>
          <w:szCs w:val="32"/>
        </w:rPr>
        <w:t>1</w:t>
      </w:r>
      <w:r>
        <w:rPr>
          <w:rFonts w:hint="eastAsia" w:ascii="仿宋" w:hAnsi="仿宋" w:eastAsia="仿宋"/>
          <w:color w:val="000000"/>
          <w:sz w:val="32"/>
          <w:szCs w:val="32"/>
        </w:rPr>
        <w:t>0</w:t>
      </w:r>
      <w:r>
        <w:rPr>
          <w:rFonts w:ascii="仿宋" w:hAnsi="仿宋" w:eastAsia="仿宋"/>
          <w:color w:val="000000"/>
          <w:sz w:val="32"/>
          <w:szCs w:val="32"/>
        </w:rPr>
        <w:t>.</w:t>
      </w:r>
      <w:r>
        <w:rPr>
          <w:rFonts w:hint="eastAsia" w:ascii="仿宋" w:hAnsi="仿宋" w:eastAsia="仿宋"/>
          <w:color w:val="000000"/>
          <w:sz w:val="32"/>
          <w:szCs w:val="32"/>
        </w:rPr>
        <w:t>一般公共服务（类）纪检监察事务（款）事业运行（项）：指单位开展日常工作所需日常公用经费开支及单位职工的人员经费开支。</w:t>
      </w:r>
    </w:p>
    <w:p w14:paraId="29FCB7D4">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 w:hAnsi="仿宋" w:eastAsia="仿宋"/>
          <w:color w:val="000000"/>
          <w:sz w:val="32"/>
          <w:szCs w:val="32"/>
        </w:rPr>
      </w:pPr>
      <w:r>
        <w:rPr>
          <w:rFonts w:hint="eastAsia" w:ascii="仿宋" w:hAnsi="仿宋" w:eastAsia="仿宋"/>
          <w:color w:val="000000"/>
          <w:sz w:val="32"/>
          <w:szCs w:val="32"/>
        </w:rPr>
        <w:t>11.一般公共服务（类）纪检监察事务（款）其他纪检监察事务支出（项）：指单位申请日常工作所需专项开支经费。</w:t>
      </w:r>
    </w:p>
    <w:p w14:paraId="2450C870">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 w:hAnsi="仿宋" w:eastAsia="仿宋"/>
          <w:color w:val="000000"/>
          <w:sz w:val="32"/>
          <w:szCs w:val="32"/>
        </w:rPr>
      </w:pPr>
      <w:r>
        <w:rPr>
          <w:rFonts w:ascii="仿宋" w:hAnsi="仿宋" w:eastAsia="仿宋"/>
          <w:color w:val="000000"/>
          <w:sz w:val="32"/>
          <w:szCs w:val="32"/>
        </w:rPr>
        <w:t>1</w:t>
      </w:r>
      <w:r>
        <w:rPr>
          <w:rFonts w:hint="eastAsia" w:ascii="仿宋" w:hAnsi="仿宋" w:eastAsia="仿宋"/>
          <w:color w:val="000000"/>
          <w:sz w:val="32"/>
          <w:szCs w:val="32"/>
        </w:rPr>
        <w:t>2</w:t>
      </w:r>
      <w:r>
        <w:rPr>
          <w:rFonts w:ascii="仿宋" w:hAnsi="仿宋" w:eastAsia="仿宋"/>
          <w:color w:val="000000"/>
          <w:sz w:val="32"/>
          <w:szCs w:val="32"/>
        </w:rPr>
        <w:t>.</w:t>
      </w:r>
      <w:r>
        <w:rPr>
          <w:rFonts w:hint="eastAsia" w:ascii="仿宋" w:hAnsi="仿宋" w:eastAsia="仿宋"/>
          <w:color w:val="000000"/>
          <w:sz w:val="32"/>
          <w:szCs w:val="32"/>
        </w:rPr>
        <w:t>社会保障和就业支出（类）行政事业单位养老支出（款）机关事业单位基本养老保险缴费支出（项）：指给单位职工缴纳单位部分的养老保险。</w:t>
      </w:r>
    </w:p>
    <w:p w14:paraId="593E6C84">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 w:hAnsi="仿宋" w:eastAsia="仿宋"/>
          <w:color w:val="000000"/>
          <w:sz w:val="32"/>
          <w:szCs w:val="32"/>
        </w:rPr>
      </w:pPr>
      <w:r>
        <w:rPr>
          <w:rFonts w:ascii="仿宋" w:hAnsi="仿宋" w:eastAsia="仿宋"/>
          <w:color w:val="000000"/>
          <w:sz w:val="32"/>
          <w:szCs w:val="32"/>
        </w:rPr>
        <w:t>1</w:t>
      </w:r>
      <w:r>
        <w:rPr>
          <w:rFonts w:hint="eastAsia" w:ascii="仿宋" w:hAnsi="仿宋" w:eastAsia="仿宋"/>
          <w:color w:val="000000"/>
          <w:sz w:val="32"/>
          <w:szCs w:val="32"/>
        </w:rPr>
        <w:t>3</w:t>
      </w:r>
      <w:r>
        <w:rPr>
          <w:rFonts w:ascii="仿宋" w:hAnsi="仿宋" w:eastAsia="仿宋"/>
          <w:color w:val="000000"/>
          <w:sz w:val="32"/>
          <w:szCs w:val="32"/>
        </w:rPr>
        <w:t>.</w:t>
      </w:r>
      <w:r>
        <w:rPr>
          <w:rFonts w:hint="eastAsia" w:ascii="仿宋" w:hAnsi="仿宋" w:eastAsia="仿宋"/>
          <w:color w:val="000000"/>
          <w:sz w:val="32"/>
          <w:szCs w:val="32"/>
        </w:rPr>
        <w:t>社会保障和就业支出（类）行政事业单位养老支出（款）机关事业单位职业年金缴费支出（项）：指给单位职工缴纳单位部分职业年金。</w:t>
      </w:r>
    </w:p>
    <w:p w14:paraId="176D173F">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 w:hAnsi="仿宋" w:eastAsia="仿宋"/>
          <w:color w:val="000000"/>
          <w:sz w:val="32"/>
          <w:szCs w:val="32"/>
        </w:rPr>
      </w:pPr>
      <w:r>
        <w:rPr>
          <w:rFonts w:ascii="仿宋" w:hAnsi="仿宋" w:eastAsia="仿宋"/>
          <w:color w:val="000000"/>
          <w:sz w:val="32"/>
          <w:szCs w:val="32"/>
        </w:rPr>
        <w:t>1</w:t>
      </w:r>
      <w:r>
        <w:rPr>
          <w:rFonts w:hint="eastAsia" w:ascii="仿宋" w:hAnsi="仿宋" w:eastAsia="仿宋"/>
          <w:color w:val="000000"/>
          <w:sz w:val="32"/>
          <w:szCs w:val="32"/>
        </w:rPr>
        <w:t>4</w:t>
      </w:r>
      <w:r>
        <w:rPr>
          <w:rFonts w:ascii="仿宋" w:hAnsi="仿宋" w:eastAsia="仿宋"/>
          <w:color w:val="000000"/>
          <w:sz w:val="32"/>
          <w:szCs w:val="32"/>
        </w:rPr>
        <w:t>.</w:t>
      </w:r>
      <w:r>
        <w:rPr>
          <w:rFonts w:hint="eastAsia" w:ascii="仿宋" w:hAnsi="仿宋" w:eastAsia="仿宋"/>
          <w:color w:val="000000"/>
          <w:sz w:val="32"/>
          <w:szCs w:val="32"/>
        </w:rPr>
        <w:t>卫生健康支出（类）行政事业单位医疗（款）行政单位医疗（项）：指给单位职工缴纳单位部分的医疗保险。</w:t>
      </w:r>
    </w:p>
    <w:p w14:paraId="49566866">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hint="eastAsia" w:ascii="仿宋" w:hAnsi="仿宋" w:eastAsia="仿宋"/>
          <w:color w:val="000000"/>
          <w:sz w:val="32"/>
          <w:szCs w:val="32"/>
        </w:rPr>
      </w:pPr>
      <w:r>
        <w:rPr>
          <w:rFonts w:hint="eastAsia" w:ascii="仿宋" w:hAnsi="仿宋" w:eastAsia="仿宋"/>
          <w:color w:val="000000"/>
          <w:sz w:val="32"/>
          <w:szCs w:val="32"/>
        </w:rPr>
        <w:t>15.卫生健康支出（类）行政事业单位医疗（款）事业单位医疗（项）：指给单位事业人员缴纳单位部分的医疗保险。</w:t>
      </w:r>
    </w:p>
    <w:p w14:paraId="42C10821">
      <w:pPr>
        <w:pStyle w:val="7"/>
        <w:keepNext w:val="0"/>
        <w:keepLines w:val="0"/>
        <w:pageBreakBefore w:val="0"/>
        <w:widowControl w:val="0"/>
        <w:tabs>
          <w:tab w:val="left" w:pos="1440"/>
        </w:tabs>
        <w:kinsoku/>
        <w:wordWrap/>
        <w:overflowPunct/>
        <w:topLinePunct w:val="0"/>
        <w:bidi w:val="0"/>
        <w:snapToGrid/>
        <w:spacing w:after="0" w:line="576" w:lineRule="exact"/>
        <w:ind w:left="0" w:leftChars="0" w:firstLine="0" w:firstLineChars="0"/>
        <w:jc w:val="left"/>
        <w:textAlignment w:val="auto"/>
        <w:rPr>
          <w:rFonts w:hint="eastAsia" w:ascii="仿宋" w:hAnsi="仿宋" w:eastAsia="仿宋" w:cs="Times New Roman"/>
          <w:color w:val="000000"/>
          <w:kern w:val="2"/>
          <w:sz w:val="32"/>
          <w:szCs w:val="32"/>
          <w:lang w:val="en-US" w:eastAsia="zh-CN" w:bidi="ar-SA"/>
        </w:rPr>
      </w:pPr>
      <w:r>
        <w:rPr>
          <w:rFonts w:hint="eastAsia"/>
        </w:rPr>
        <w:t xml:space="preserve">   </w:t>
      </w:r>
      <w:r>
        <w:rPr>
          <w:rFonts w:hint="eastAsia"/>
          <w:lang w:val="en-US" w:eastAsia="zh-CN"/>
        </w:rPr>
        <w:t xml:space="preserve">  </w:t>
      </w:r>
      <w:r>
        <w:rPr>
          <w:rFonts w:hint="eastAsia"/>
        </w:rPr>
        <w:t xml:space="preserve"> </w:t>
      </w:r>
      <w:r>
        <w:rPr>
          <w:rFonts w:hint="eastAsia" w:ascii="仿宋" w:hAnsi="仿宋" w:eastAsia="仿宋" w:cs="Times New Roman"/>
          <w:color w:val="000000"/>
          <w:kern w:val="2"/>
          <w:sz w:val="32"/>
          <w:szCs w:val="32"/>
          <w:lang w:val="en-US" w:eastAsia="zh-CN" w:bidi="ar-SA"/>
        </w:rPr>
        <w:t>16.农林水支出（类）巩固脱贫衔接乡村振兴（款）其他巩固脱贫衔接乡村振兴支出（项）：指第一书记相关经费。</w:t>
      </w:r>
    </w:p>
    <w:p w14:paraId="0D559AD5">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hint="eastAsia" w:ascii="仿宋" w:hAnsi="仿宋" w:eastAsia="仿宋"/>
          <w:color w:val="000000"/>
          <w:sz w:val="32"/>
          <w:szCs w:val="32"/>
        </w:rPr>
      </w:pPr>
      <w:r>
        <w:rPr>
          <w:rFonts w:ascii="仿宋" w:hAnsi="仿宋" w:eastAsia="仿宋"/>
          <w:color w:val="000000"/>
          <w:sz w:val="32"/>
          <w:szCs w:val="32"/>
        </w:rPr>
        <w:t>1</w:t>
      </w:r>
      <w:r>
        <w:rPr>
          <w:rFonts w:hint="eastAsia" w:ascii="仿宋" w:hAnsi="仿宋" w:eastAsia="仿宋"/>
          <w:color w:val="000000"/>
          <w:sz w:val="32"/>
          <w:szCs w:val="32"/>
        </w:rPr>
        <w:t>7</w:t>
      </w:r>
      <w:r>
        <w:rPr>
          <w:rFonts w:ascii="仿宋" w:hAnsi="仿宋" w:eastAsia="仿宋"/>
          <w:color w:val="000000"/>
          <w:sz w:val="32"/>
          <w:szCs w:val="32"/>
        </w:rPr>
        <w:t>.</w:t>
      </w:r>
      <w:r>
        <w:rPr>
          <w:rFonts w:hint="eastAsia" w:ascii="仿宋" w:hAnsi="仿宋" w:eastAsia="仿宋"/>
          <w:color w:val="000000"/>
          <w:sz w:val="32"/>
          <w:szCs w:val="32"/>
        </w:rPr>
        <w:t>住房保障支出(类)住房改革支出（款）住房公积金（项）：指给单位职工缴纳单位部分的住房公积金。</w:t>
      </w:r>
    </w:p>
    <w:p w14:paraId="2645106F">
      <w:pPr>
        <w:pStyle w:val="7"/>
        <w:keepNext w:val="0"/>
        <w:keepLines w:val="0"/>
        <w:pageBreakBefore w:val="0"/>
        <w:widowControl w:val="0"/>
        <w:tabs>
          <w:tab w:val="left" w:pos="1440"/>
        </w:tabs>
        <w:kinsoku/>
        <w:wordWrap/>
        <w:overflowPunct/>
        <w:topLinePunct w:val="0"/>
        <w:bidi w:val="0"/>
        <w:snapToGrid/>
        <w:spacing w:after="0" w:line="576" w:lineRule="exact"/>
        <w:ind w:left="0" w:leftChars="0" w:firstLine="640"/>
        <w:jc w:val="left"/>
        <w:textAlignment w:val="auto"/>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18.住房保障支出(类)住房改革支出（款）购房补贴（项）：退休人员相关补助经费。</w:t>
      </w:r>
    </w:p>
    <w:p w14:paraId="4AE0554F">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_GB2312" w:hAnsi="Times New Roman" w:eastAsia="仿宋_GB2312"/>
          <w:color w:val="000000"/>
          <w:sz w:val="32"/>
          <w:szCs w:val="32"/>
        </w:rPr>
      </w:pPr>
      <w:r>
        <w:rPr>
          <w:rFonts w:hint="eastAsia" w:ascii="仿宋_GB2312" w:hAnsi="Times New Roman" w:eastAsia="仿宋_GB2312"/>
          <w:color w:val="000000"/>
          <w:sz w:val="32"/>
          <w:szCs w:val="32"/>
        </w:rPr>
        <w:t>19</w:t>
      </w:r>
      <w:r>
        <w:rPr>
          <w:rFonts w:ascii="仿宋_GB2312" w:hAnsi="Times New Roman" w:eastAsia="仿宋_GB2312"/>
          <w:color w:val="000000"/>
          <w:sz w:val="32"/>
          <w:szCs w:val="32"/>
        </w:rPr>
        <w:t>.基本支出：指为保障机构正常运转、完成日常工作任务而发生的人员支出和公用支出。</w:t>
      </w:r>
    </w:p>
    <w:p w14:paraId="252A5A4E">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_GB2312" w:hAnsi="Times New Roman" w:eastAsia="仿宋_GB2312"/>
          <w:color w:val="000000"/>
          <w:sz w:val="32"/>
          <w:szCs w:val="32"/>
        </w:rPr>
      </w:pPr>
      <w:r>
        <w:rPr>
          <w:rFonts w:hint="eastAsia" w:ascii="仿宋_GB2312" w:hAnsi="Times New Roman" w:eastAsia="仿宋_GB2312"/>
          <w:color w:val="000000"/>
          <w:sz w:val="32"/>
          <w:szCs w:val="32"/>
        </w:rPr>
        <w:t>20</w:t>
      </w:r>
      <w:r>
        <w:rPr>
          <w:rFonts w:ascii="仿宋_GB2312" w:hAnsi="Times New Roman" w:eastAsia="仿宋_GB2312"/>
          <w:color w:val="000000"/>
          <w:sz w:val="32"/>
          <w:szCs w:val="32"/>
        </w:rPr>
        <w:t>.项目支出：指在基本支出之外为完成特定行政任务和事业发展目标所发生的支出。</w:t>
      </w:r>
    </w:p>
    <w:p w14:paraId="4F74B69B">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_GB2312" w:hAnsi="Times New Roman" w:eastAsia="仿宋_GB2312"/>
          <w:color w:val="000000"/>
          <w:sz w:val="32"/>
          <w:szCs w:val="32"/>
        </w:rPr>
      </w:pPr>
      <w:r>
        <w:rPr>
          <w:rFonts w:hint="eastAsia" w:ascii="仿宋_GB2312" w:hAnsi="Times New Roman" w:eastAsia="仿宋_GB2312"/>
          <w:color w:val="000000"/>
          <w:sz w:val="32"/>
          <w:szCs w:val="32"/>
        </w:rPr>
        <w:t>21</w:t>
      </w:r>
      <w:r>
        <w:rPr>
          <w:rFonts w:ascii="仿宋_GB2312" w:hAnsi="Times New Roman" w:eastAsia="仿宋_GB2312"/>
          <w:color w:val="000000"/>
          <w:sz w:val="32"/>
          <w:szCs w:val="32"/>
        </w:rPr>
        <w:t>.“三公”经费：指部门用财政拨款安排的因公出国（境）费、公务用车购置及运行费和公务接待费。其中，因公出国（境）费反映单位公务出国（境） 的国际旅费、国外城市间交通费、住宿费、伙食费、培训费、公杂费等支出；公务用车购置及运行费反映单位公务用车车辆购置支出（含车辆购置税）及租用费、燃 料费、维修费、过路过桥费、保险费等支出；公务接待费反映单位按规定开支的各类公务接待（含外宾接待）支出。</w:t>
      </w:r>
    </w:p>
    <w:p w14:paraId="59FC3714">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仿宋_GB2312" w:hAnsi="Times New Roman" w:eastAsia="仿宋_GB2312"/>
          <w:color w:val="000000"/>
          <w:sz w:val="32"/>
          <w:szCs w:val="32"/>
        </w:rPr>
      </w:pPr>
      <w:r>
        <w:rPr>
          <w:rFonts w:hint="eastAsia" w:ascii="仿宋_GB2312" w:hAnsi="Times New Roman" w:eastAsia="仿宋_GB2312"/>
          <w:color w:val="000000"/>
          <w:sz w:val="32"/>
          <w:szCs w:val="32"/>
        </w:rPr>
        <w:t>22</w:t>
      </w:r>
      <w:r>
        <w:rPr>
          <w:rFonts w:ascii="仿宋_GB2312" w:hAnsi="Times New Roman" w:eastAsia="仿宋_GB2312"/>
          <w:color w:val="000000"/>
          <w:sz w:val="32"/>
          <w:szCs w:val="32"/>
        </w:rPr>
        <w:t>.机关运行经费：为保障行政单位（含参照公务员法管理的事业单位）运行用于购买货物和服务的各项资金，包括办公及印刷费、邮电费、差旅费、会议 费、福利费、日常维修费、专用材料及一般设备购置费、办公用房水电费、办公用房取暖费、办公用房物业管理费、公务用车运行维护费以及其他费用。</w:t>
      </w:r>
    </w:p>
    <w:p w14:paraId="0887C79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6F5695DA">
      <w:pPr>
        <w:spacing w:line="600" w:lineRule="exact"/>
        <w:jc w:val="center"/>
        <w:rPr>
          <w:rFonts w:hint="eastAsia" w:ascii="Times New Roman" w:hAnsi="Times New Roman" w:eastAsia="黑体" w:cs="黑体"/>
          <w:color w:val="FF0000"/>
          <w:sz w:val="32"/>
          <w:szCs w:val="32"/>
          <w:highlight w:val="none"/>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6D850755">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方正小标宋简体" w:cs="Times New Roman"/>
          <w:b w:val="0"/>
          <w:bCs/>
          <w:sz w:val="44"/>
          <w:szCs w:val="44"/>
          <w:highlight w:val="none"/>
          <w:shd w:val="clear" w:color="auto" w:fill="FFFFFF"/>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6E158FFB">
      <w:pPr>
        <w:keepNext w:val="0"/>
        <w:keepLines w:val="0"/>
        <w:pageBreakBefore w:val="0"/>
        <w:widowControl/>
        <w:kinsoku/>
        <w:wordWrap/>
        <w:overflowPunct/>
        <w:topLinePunct w:val="0"/>
        <w:autoSpaceDE/>
        <w:autoSpaceDN/>
        <w:bidi w:val="0"/>
        <w:spacing w:line="576" w:lineRule="exact"/>
        <w:ind w:firstLine="880" w:firstLineChars="200"/>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2493D0C0">
      <w:pPr>
        <w:keepNext w:val="0"/>
        <w:keepLines w:val="0"/>
        <w:pageBreakBefore w:val="0"/>
        <w:widowControl/>
        <w:kinsoku/>
        <w:wordWrap/>
        <w:overflowPunct/>
        <w:topLinePunct w:val="0"/>
        <w:autoSpaceDE/>
        <w:autoSpaceDN/>
        <w:bidi w:val="0"/>
        <w:adjustRightInd w:val="0"/>
        <w:snapToGrid w:val="0"/>
        <w:spacing w:line="576"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5E667348">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1A0C0737">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6F854B42">
      <w:pPr>
        <w:keepNext w:val="0"/>
        <w:keepLines w:val="0"/>
        <w:pageBreakBefore w:val="0"/>
        <w:widowControl/>
        <w:kinsoku/>
        <w:wordWrap/>
        <w:overflowPunct/>
        <w:topLinePunct w:val="0"/>
        <w:autoSpaceDE/>
        <w:autoSpaceDN/>
        <w:bidi w:val="0"/>
        <w:spacing w:line="576" w:lineRule="exact"/>
        <w:ind w:firstLine="640" w:firstLineChars="200"/>
        <w:jc w:val="left"/>
        <w:textAlignment w:val="auto"/>
        <w:rPr>
          <w:rFonts w:hint="default" w:ascii="Times New Roman" w:hAnsi="Times New Roman" w:eastAsia="楷体_GB2312" w:cs="楷体_GB2312"/>
          <w:b/>
          <w:color w:val="auto"/>
          <w:sz w:val="32"/>
          <w:szCs w:val="32"/>
          <w:highlight w:val="none"/>
          <w:lang w:val="zh-CN"/>
        </w:rPr>
      </w:pPr>
      <w:r>
        <w:rPr>
          <w:rFonts w:hint="eastAsia" w:ascii="仿宋_GB2312" w:hAnsi="Times New Roman" w:eastAsia="仿宋_GB2312" w:cs="宋体"/>
          <w:color w:val="000000"/>
          <w:kern w:val="0"/>
          <w:sz w:val="32"/>
          <w:szCs w:val="32"/>
          <w:shd w:val="clear" w:color="auto" w:fill="FFFFFF"/>
          <w:lang w:val="zh-CN"/>
        </w:rPr>
        <w:t>本部门下属二级预算单位</w:t>
      </w:r>
      <w:r>
        <w:rPr>
          <w:rFonts w:hint="eastAsia" w:ascii="仿宋_GB2312" w:eastAsia="仿宋_GB2312" w:cs="宋体"/>
          <w:color w:val="000000"/>
          <w:kern w:val="0"/>
          <w:sz w:val="32"/>
          <w:szCs w:val="32"/>
          <w:shd w:val="clear" w:color="auto" w:fill="FFFFFF"/>
          <w:lang w:val="en-US" w:eastAsia="zh-CN"/>
        </w:rPr>
        <w:t>1</w:t>
      </w:r>
      <w:r>
        <w:rPr>
          <w:rFonts w:hint="eastAsia" w:ascii="仿宋_GB2312" w:hAnsi="Times New Roman" w:eastAsia="仿宋_GB2312" w:cs="宋体"/>
          <w:color w:val="000000"/>
          <w:kern w:val="0"/>
          <w:sz w:val="32"/>
          <w:szCs w:val="32"/>
          <w:shd w:val="clear" w:color="auto" w:fill="FFFFFF"/>
          <w:lang w:val="zh-CN"/>
        </w:rPr>
        <w:t>个，其中内设机构为10室</w:t>
      </w:r>
      <w:r>
        <w:rPr>
          <w:rFonts w:hint="eastAsia" w:ascii="仿宋_GB2312" w:eastAsia="仿宋_GB2312" w:cs="宋体"/>
          <w:color w:val="000000"/>
          <w:kern w:val="0"/>
          <w:sz w:val="32"/>
          <w:szCs w:val="32"/>
          <w:shd w:val="clear" w:color="auto" w:fill="FFFFFF"/>
          <w:lang w:val="en-US" w:eastAsia="zh-CN"/>
        </w:rPr>
        <w:t>1</w:t>
      </w:r>
      <w:r>
        <w:rPr>
          <w:rFonts w:hint="eastAsia" w:ascii="仿宋_GB2312" w:hAnsi="Times New Roman" w:eastAsia="仿宋_GB2312" w:cs="宋体"/>
          <w:color w:val="000000"/>
          <w:kern w:val="0"/>
          <w:sz w:val="32"/>
          <w:szCs w:val="32"/>
          <w:shd w:val="clear" w:color="auto" w:fill="FFFFFF"/>
          <w:lang w:val="zh-CN"/>
        </w:rPr>
        <w:t>中心。</w:t>
      </w:r>
    </w:p>
    <w:p w14:paraId="6817007E">
      <w:pPr>
        <w:keepNext w:val="0"/>
        <w:keepLines w:val="0"/>
        <w:pageBreakBefore w:val="0"/>
        <w:widowControl/>
        <w:numPr>
          <w:ilvl w:val="0"/>
          <w:numId w:val="1"/>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p>
    <w:p w14:paraId="646A83C3">
      <w:pPr>
        <w:pStyle w:val="5"/>
        <w:keepNext w:val="0"/>
        <w:keepLines w:val="0"/>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ascii="仿宋" w:hAnsi="仿宋" w:eastAsia="仿宋"/>
          <w:bCs/>
          <w:color w:val="000000"/>
          <w:sz w:val="32"/>
          <w:szCs w:val="32"/>
        </w:rPr>
      </w:pPr>
      <w:r>
        <w:rPr>
          <w:rFonts w:hint="eastAsia" w:ascii="仿宋" w:hAnsi="仿宋" w:eastAsia="仿宋"/>
          <w:bCs/>
          <w:color w:val="000000"/>
          <w:sz w:val="32"/>
          <w:szCs w:val="32"/>
          <w:lang w:val="en-US" w:eastAsia="zh-CN"/>
        </w:rPr>
        <w:t>1.</w:t>
      </w:r>
      <w:r>
        <w:rPr>
          <w:rFonts w:hint="eastAsia" w:ascii="仿宋" w:hAnsi="仿宋" w:eastAsia="仿宋"/>
          <w:bCs/>
          <w:color w:val="000000"/>
          <w:sz w:val="32"/>
          <w:szCs w:val="32"/>
        </w:rPr>
        <w:t>负责全县党的纪律检查工作。贯彻落实党中央、省委、州委、县委关于纪律检查工作的决定，维护党的章程和其他党内法规，检查党的路线方针政策和决议的执行情况，协助县委推进全面从严治党、加强党风廉政建设和组织协调反腐败工作。</w:t>
      </w:r>
    </w:p>
    <w:p w14:paraId="6E0749F6">
      <w:pPr>
        <w:pStyle w:val="5"/>
        <w:keepNext w:val="0"/>
        <w:keepLines w:val="0"/>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ascii="仿宋" w:hAnsi="仿宋" w:eastAsia="仿宋"/>
          <w:bCs/>
          <w:color w:val="000000"/>
          <w:sz w:val="32"/>
          <w:szCs w:val="32"/>
        </w:rPr>
      </w:pPr>
      <w:r>
        <w:rPr>
          <w:rFonts w:hint="eastAsia" w:ascii="仿宋" w:hAnsi="仿宋" w:eastAsia="仿宋"/>
          <w:bCs/>
          <w:color w:val="000000"/>
          <w:sz w:val="32"/>
          <w:szCs w:val="32"/>
          <w:lang w:val="en-US" w:eastAsia="zh-CN"/>
        </w:rPr>
        <w:t>2.</w:t>
      </w:r>
      <w:r>
        <w:rPr>
          <w:rFonts w:hint="eastAsia" w:ascii="仿宋" w:hAnsi="仿宋" w:eastAsia="仿宋"/>
          <w:bCs/>
          <w:color w:val="000000"/>
          <w:sz w:val="32"/>
          <w:szCs w:val="32"/>
        </w:rPr>
        <w:t>依照党的章程和其他党内法规履行监督、执纪、问责职责。负责经常对党员进行遵守纪律的教育，作出关于维护党纪的决定。对县委工作部门、县委批准设立的党组织(党委)，各乡(镇)党委、纪委等党的组织和县委管理的党员领导干部履行职责、行使权力进行监督，受理处置党员群众检举举报，开展谈话提醒、约谈函询。检查和处理上述党的组织和党员违反党的章程和其他党内法规的比较重要或者复杂的案件，决定或者取消对这些案件中的党员的处分。进行问责或者提出责任追究的建议。受理党员的控告和申诉。保障党员的权利。</w:t>
      </w:r>
    </w:p>
    <w:p w14:paraId="225E47ED">
      <w:pPr>
        <w:pStyle w:val="5"/>
        <w:keepNext w:val="0"/>
        <w:keepLines w:val="0"/>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ascii="仿宋" w:hAnsi="仿宋" w:eastAsia="仿宋"/>
          <w:bCs/>
          <w:color w:val="000000"/>
          <w:sz w:val="32"/>
          <w:szCs w:val="32"/>
        </w:rPr>
      </w:pPr>
      <w:r>
        <w:rPr>
          <w:rFonts w:hint="eastAsia" w:ascii="仿宋" w:hAnsi="仿宋" w:eastAsia="仿宋"/>
          <w:bCs/>
          <w:color w:val="000000"/>
          <w:sz w:val="32"/>
          <w:szCs w:val="32"/>
          <w:lang w:val="en-US" w:eastAsia="zh-CN"/>
        </w:rPr>
        <w:t>3.</w:t>
      </w:r>
      <w:r>
        <w:rPr>
          <w:rFonts w:hint="eastAsia" w:ascii="仿宋" w:hAnsi="仿宋" w:eastAsia="仿宋"/>
          <w:bCs/>
          <w:color w:val="000000"/>
          <w:sz w:val="32"/>
          <w:szCs w:val="32"/>
        </w:rPr>
        <w:t>负责全县监察工作。贯彻落实党中央、省委、州委、县委关于监察工作的决定，维护宪法法律，依法对县委管理的行使公权力的公职人员进行监察，调查职务违法和职务犯罪，开展廉政建设和反腐败工作。</w:t>
      </w:r>
    </w:p>
    <w:p w14:paraId="785D740A">
      <w:pPr>
        <w:pStyle w:val="5"/>
        <w:keepNext w:val="0"/>
        <w:keepLines w:val="0"/>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ascii="仿宋" w:hAnsi="仿宋" w:eastAsia="仿宋"/>
          <w:bCs/>
          <w:color w:val="000000"/>
          <w:sz w:val="32"/>
          <w:szCs w:val="32"/>
        </w:rPr>
      </w:pPr>
      <w:r>
        <w:rPr>
          <w:rFonts w:hint="eastAsia" w:ascii="仿宋" w:hAnsi="仿宋" w:eastAsia="仿宋"/>
          <w:bCs/>
          <w:color w:val="000000"/>
          <w:sz w:val="32"/>
          <w:szCs w:val="32"/>
          <w:lang w:val="en-US" w:eastAsia="zh-CN"/>
        </w:rPr>
        <w:t>4.</w:t>
      </w:r>
      <w:r>
        <w:rPr>
          <w:rFonts w:hint="eastAsia" w:ascii="仿宋" w:hAnsi="仿宋" w:eastAsia="仿宋"/>
          <w:bCs/>
          <w:color w:val="000000"/>
          <w:sz w:val="32"/>
          <w:szCs w:val="32"/>
        </w:rPr>
        <w:t>依照法律规定履行监督、调查、处置职责。推动开展廉政教育，对县委管理的行使公权力的公职人员依法履职、秉公用权、廉洁从政从业以及道德操守情况进行监督检查。对涉嫌贪污贿赂、滥用职权、玩忽职守、权力寻租、利益输送、徇私舞弊以及浪费国家资财等职务违法和职务犯罪进行调查。对违法的公职人员依法作出政务处分决定。对履行职责不力、失职失责的领导人员进行问责。对涉嫌职务犯罪的，将调查结果移送人民检察院依法审查、提起公诉。向监察对象所在单位提出监察建议。</w:t>
      </w:r>
    </w:p>
    <w:p w14:paraId="7B816AD8">
      <w:pPr>
        <w:pStyle w:val="5"/>
        <w:keepNext w:val="0"/>
        <w:keepLines w:val="0"/>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ascii="仿宋" w:hAnsi="仿宋" w:eastAsia="仿宋"/>
          <w:bCs/>
          <w:color w:val="000000"/>
          <w:sz w:val="32"/>
          <w:szCs w:val="32"/>
        </w:rPr>
      </w:pPr>
      <w:r>
        <w:rPr>
          <w:rFonts w:hint="eastAsia" w:ascii="仿宋" w:hAnsi="仿宋" w:eastAsia="仿宋"/>
          <w:bCs/>
          <w:color w:val="000000"/>
          <w:sz w:val="32"/>
          <w:szCs w:val="32"/>
          <w:lang w:val="en-US" w:eastAsia="zh-CN"/>
        </w:rPr>
        <w:t>5.</w:t>
      </w:r>
      <w:r>
        <w:rPr>
          <w:rFonts w:hint="eastAsia" w:ascii="仿宋" w:hAnsi="仿宋" w:eastAsia="仿宋"/>
          <w:bCs/>
          <w:color w:val="000000"/>
          <w:sz w:val="32"/>
          <w:szCs w:val="32"/>
        </w:rPr>
        <w:t>负责组织协调全面从严治党、党风廉政建设和反腐败宣传教育工作。</w:t>
      </w:r>
    </w:p>
    <w:p w14:paraId="518D62B0">
      <w:pPr>
        <w:pStyle w:val="5"/>
        <w:keepNext w:val="0"/>
        <w:keepLines w:val="0"/>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ascii="仿宋" w:hAnsi="仿宋" w:eastAsia="仿宋"/>
          <w:bCs/>
          <w:color w:val="000000"/>
          <w:sz w:val="32"/>
          <w:szCs w:val="32"/>
        </w:rPr>
      </w:pPr>
      <w:r>
        <w:rPr>
          <w:rFonts w:hint="eastAsia" w:ascii="仿宋" w:hAnsi="仿宋" w:eastAsia="仿宋"/>
          <w:bCs/>
          <w:color w:val="000000"/>
          <w:sz w:val="32"/>
          <w:szCs w:val="32"/>
          <w:lang w:val="en-US" w:eastAsia="zh-CN"/>
        </w:rPr>
        <w:t>6.</w:t>
      </w:r>
      <w:r>
        <w:rPr>
          <w:rFonts w:hint="eastAsia" w:ascii="仿宋" w:hAnsi="仿宋" w:eastAsia="仿宋"/>
          <w:bCs/>
          <w:color w:val="000000"/>
          <w:sz w:val="32"/>
          <w:szCs w:val="32"/>
        </w:rPr>
        <w:t>负责综合分析全面从严治党、党风廉政建设和反腐败工作情况，对纪检监察工作重要理论及实践问题进行调查研究。参与起草我县规范性文件。</w:t>
      </w:r>
    </w:p>
    <w:p w14:paraId="20336DE8">
      <w:pPr>
        <w:pStyle w:val="5"/>
        <w:keepNext w:val="0"/>
        <w:keepLines w:val="0"/>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ascii="仿宋" w:hAnsi="仿宋" w:eastAsia="仿宋"/>
          <w:bCs/>
          <w:color w:val="000000"/>
          <w:sz w:val="32"/>
          <w:szCs w:val="32"/>
        </w:rPr>
      </w:pPr>
      <w:r>
        <w:rPr>
          <w:rFonts w:hint="eastAsia" w:ascii="仿宋" w:hAnsi="仿宋" w:eastAsia="仿宋"/>
          <w:bCs/>
          <w:color w:val="000000"/>
          <w:sz w:val="32"/>
          <w:szCs w:val="32"/>
          <w:lang w:val="en-US" w:eastAsia="zh-CN"/>
        </w:rPr>
        <w:t>7.</w:t>
      </w:r>
      <w:r>
        <w:rPr>
          <w:rFonts w:hint="eastAsia" w:ascii="仿宋" w:hAnsi="仿宋" w:eastAsia="仿宋"/>
          <w:bCs/>
          <w:color w:val="000000"/>
          <w:sz w:val="32"/>
          <w:szCs w:val="32"/>
        </w:rPr>
        <w:t>在州纪委监委的领导下，加强对反腐败国际追逃追赃和防逃工作的组织协调，督促有关部门做好相关工作。</w:t>
      </w:r>
    </w:p>
    <w:p w14:paraId="39EDA87E">
      <w:pPr>
        <w:pStyle w:val="5"/>
        <w:keepNext w:val="0"/>
        <w:keepLines w:val="0"/>
        <w:pageBreakBefore w:val="0"/>
        <w:kinsoku/>
        <w:wordWrap/>
        <w:overflowPunct/>
        <w:topLinePunct w:val="0"/>
        <w:autoSpaceDE/>
        <w:autoSpaceDN/>
        <w:bidi w:val="0"/>
        <w:adjustRightInd w:val="0"/>
        <w:snapToGrid w:val="0"/>
        <w:spacing w:beforeLines="0" w:line="576" w:lineRule="exact"/>
        <w:ind w:firstLine="640" w:firstLineChars="200"/>
        <w:jc w:val="left"/>
        <w:textAlignment w:val="auto"/>
        <w:outlineLvl w:val="2"/>
        <w:rPr>
          <w:rFonts w:ascii="仿宋" w:hAnsi="仿宋" w:eastAsia="仿宋"/>
          <w:bCs/>
          <w:color w:val="000000"/>
          <w:sz w:val="32"/>
          <w:szCs w:val="32"/>
        </w:rPr>
      </w:pPr>
      <w:r>
        <w:rPr>
          <w:rFonts w:hint="eastAsia" w:ascii="仿宋" w:hAnsi="仿宋" w:eastAsia="仿宋"/>
          <w:bCs/>
          <w:color w:val="000000"/>
          <w:sz w:val="32"/>
          <w:szCs w:val="32"/>
          <w:lang w:val="en-US" w:eastAsia="zh-CN"/>
        </w:rPr>
        <w:t>8.</w:t>
      </w:r>
      <w:r>
        <w:rPr>
          <w:rFonts w:hint="eastAsia" w:ascii="仿宋" w:hAnsi="仿宋" w:eastAsia="仿宋"/>
          <w:bCs/>
          <w:color w:val="000000"/>
          <w:sz w:val="32"/>
          <w:szCs w:val="32"/>
        </w:rPr>
        <w:t>根据干部管理权限，负责纪检监察系统领导班子建设、干部队伍建设和组织建设的综合规划、政策研究、制度建设和业务指导。会同有关方面做好县纪委监委派驻(出)机构人员配备有关工作。组织纪检监察系统干部教育培训工作等。</w:t>
      </w:r>
    </w:p>
    <w:p w14:paraId="507F8336">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eastAsia="楷体_GB2312" w:cs="楷体_GB2312"/>
          <w:b/>
          <w:color w:val="auto"/>
          <w:sz w:val="32"/>
          <w:szCs w:val="32"/>
          <w:highlight w:val="none"/>
          <w:lang w:val="zh-CN"/>
        </w:rPr>
      </w:pPr>
      <w:r>
        <w:rPr>
          <w:rFonts w:hint="eastAsia" w:ascii="仿宋" w:hAnsi="仿宋" w:eastAsia="仿宋"/>
          <w:bCs/>
          <w:color w:val="000000"/>
          <w:sz w:val="32"/>
          <w:szCs w:val="32"/>
          <w:lang w:val="en-US" w:eastAsia="zh-CN"/>
        </w:rPr>
        <w:t>9.</w:t>
      </w:r>
      <w:r>
        <w:rPr>
          <w:rFonts w:hint="eastAsia" w:ascii="仿宋" w:hAnsi="仿宋" w:eastAsia="仿宋"/>
          <w:bCs/>
          <w:color w:val="000000"/>
          <w:sz w:val="32"/>
          <w:szCs w:val="32"/>
        </w:rPr>
        <w:t>完成县委和州纪委监委交</w:t>
      </w:r>
      <w:r>
        <w:rPr>
          <w:rFonts w:hint="eastAsia" w:ascii="仿宋_GB2312" w:hAnsi="Times New Roman" w:eastAsia="仿宋_GB2312" w:cs="宋体"/>
          <w:color w:val="000000"/>
          <w:kern w:val="0"/>
          <w:sz w:val="32"/>
          <w:szCs w:val="32"/>
          <w:shd w:val="clear" w:color="auto" w:fill="FFFFFF"/>
          <w:lang w:val="zh-CN"/>
        </w:rPr>
        <w:t>人员概况。</w:t>
      </w:r>
    </w:p>
    <w:p w14:paraId="36299E9E">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p>
    <w:p w14:paraId="5EAD7E54">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cs="Times New Roman"/>
          <w:szCs w:val="32"/>
        </w:rPr>
      </w:pPr>
      <w:r>
        <w:rPr>
          <w:rFonts w:hint="eastAsia" w:ascii="仿宋_GB2312" w:hAnsi="Times New Roman" w:eastAsia="仿宋_GB2312" w:cs="宋体"/>
          <w:color w:val="000000"/>
          <w:kern w:val="0"/>
          <w:sz w:val="32"/>
          <w:szCs w:val="32"/>
          <w:shd w:val="clear" w:color="auto" w:fill="FFFFFF"/>
          <w:lang w:val="en-US" w:eastAsia="zh-CN"/>
        </w:rPr>
        <w:t>截至2025年末，</w:t>
      </w:r>
      <w:r>
        <w:rPr>
          <w:rFonts w:hint="eastAsia" w:ascii="仿宋_GB2312" w:hAnsi="Times New Roman" w:eastAsia="仿宋_GB2312" w:cs="宋体"/>
          <w:color w:val="000000"/>
          <w:kern w:val="0"/>
          <w:sz w:val="32"/>
          <w:szCs w:val="32"/>
          <w:shd w:val="clear" w:color="auto" w:fill="FFFFFF"/>
          <w:lang w:val="zh-CN"/>
        </w:rPr>
        <w:t>总编制7</w:t>
      </w:r>
      <w:r>
        <w:rPr>
          <w:rFonts w:hint="eastAsia" w:ascii="仿宋_GB2312" w:hAnsi="Times New Roman" w:eastAsia="仿宋_GB2312" w:cs="宋体"/>
          <w:color w:val="000000"/>
          <w:kern w:val="0"/>
          <w:sz w:val="32"/>
          <w:szCs w:val="32"/>
          <w:shd w:val="clear" w:color="auto" w:fill="FFFFFF"/>
          <w:lang w:val="en-US" w:eastAsia="zh-CN"/>
        </w:rPr>
        <w:t>9</w:t>
      </w:r>
      <w:r>
        <w:rPr>
          <w:rFonts w:hint="eastAsia" w:ascii="仿宋_GB2312" w:hAnsi="Times New Roman" w:eastAsia="仿宋_GB2312" w:cs="宋体"/>
          <w:color w:val="000000"/>
          <w:kern w:val="0"/>
          <w:sz w:val="32"/>
          <w:szCs w:val="32"/>
          <w:shd w:val="clear" w:color="auto" w:fill="FFFFFF"/>
          <w:lang w:val="zh-CN"/>
        </w:rPr>
        <w:t>名,其中:行政编制60名,行政工勤编制</w:t>
      </w:r>
      <w:r>
        <w:rPr>
          <w:rFonts w:hint="eastAsia" w:ascii="仿宋_GB2312" w:hAnsi="Times New Roman" w:eastAsia="仿宋_GB2312" w:cs="宋体"/>
          <w:color w:val="000000"/>
          <w:kern w:val="0"/>
          <w:sz w:val="32"/>
          <w:szCs w:val="32"/>
          <w:shd w:val="clear" w:color="auto" w:fill="FFFFFF"/>
          <w:lang w:val="en-US" w:eastAsia="zh-CN"/>
        </w:rPr>
        <w:t>7</w:t>
      </w:r>
      <w:r>
        <w:rPr>
          <w:rFonts w:hint="eastAsia" w:ascii="仿宋_GB2312" w:hAnsi="Times New Roman" w:eastAsia="仿宋_GB2312" w:cs="宋体"/>
          <w:color w:val="000000"/>
          <w:kern w:val="0"/>
          <w:sz w:val="32"/>
          <w:szCs w:val="32"/>
          <w:shd w:val="clear" w:color="auto" w:fill="FFFFFF"/>
          <w:lang w:val="zh-CN"/>
        </w:rPr>
        <w:t>名，事业编制</w:t>
      </w:r>
      <w:r>
        <w:rPr>
          <w:rFonts w:hint="eastAsia" w:ascii="仿宋_GB2312" w:hAnsi="Times New Roman" w:eastAsia="仿宋_GB2312" w:cs="宋体"/>
          <w:color w:val="000000"/>
          <w:kern w:val="0"/>
          <w:sz w:val="32"/>
          <w:szCs w:val="32"/>
          <w:shd w:val="clear" w:color="auto" w:fill="FFFFFF"/>
          <w:lang w:val="en-US" w:eastAsia="zh-CN"/>
        </w:rPr>
        <w:t>12</w:t>
      </w:r>
      <w:r>
        <w:rPr>
          <w:rFonts w:hint="eastAsia" w:ascii="仿宋_GB2312" w:hAnsi="Times New Roman" w:eastAsia="仿宋_GB2312" w:cs="宋体"/>
          <w:color w:val="000000"/>
          <w:kern w:val="0"/>
          <w:sz w:val="32"/>
          <w:szCs w:val="32"/>
          <w:shd w:val="clear" w:color="auto" w:fill="FFFFFF"/>
          <w:lang w:val="zh-CN"/>
        </w:rPr>
        <w:t>名。在职人员总数</w:t>
      </w:r>
      <w:r>
        <w:rPr>
          <w:rFonts w:hint="eastAsia" w:ascii="仿宋_GB2312" w:hAnsi="Times New Roman" w:eastAsia="仿宋_GB2312" w:cs="宋体"/>
          <w:color w:val="000000"/>
          <w:kern w:val="0"/>
          <w:sz w:val="32"/>
          <w:szCs w:val="32"/>
          <w:shd w:val="clear" w:color="auto" w:fill="FFFFFF"/>
        </w:rPr>
        <w:t>7</w:t>
      </w:r>
      <w:r>
        <w:rPr>
          <w:rFonts w:hint="eastAsia" w:ascii="仿宋_GB2312" w:hAnsi="Times New Roman" w:eastAsia="仿宋_GB2312" w:cs="宋体"/>
          <w:color w:val="000000"/>
          <w:kern w:val="0"/>
          <w:sz w:val="32"/>
          <w:szCs w:val="32"/>
          <w:shd w:val="clear" w:color="auto" w:fill="FFFFFF"/>
          <w:lang w:val="en-US" w:eastAsia="zh-CN"/>
        </w:rPr>
        <w:t>9</w:t>
      </w:r>
      <w:r>
        <w:rPr>
          <w:rFonts w:hint="eastAsia" w:ascii="仿宋_GB2312" w:hAnsi="Times New Roman" w:eastAsia="仿宋_GB2312" w:cs="宋体"/>
          <w:color w:val="000000"/>
          <w:kern w:val="0"/>
          <w:sz w:val="32"/>
          <w:szCs w:val="32"/>
          <w:shd w:val="clear" w:color="auto" w:fill="FFFFFF"/>
          <w:lang w:val="zh-CN"/>
        </w:rPr>
        <w:t>名，其中：行政人员</w:t>
      </w:r>
      <w:r>
        <w:rPr>
          <w:rFonts w:hint="eastAsia" w:ascii="仿宋_GB2312" w:hAnsi="Times New Roman" w:eastAsia="仿宋_GB2312" w:cs="宋体"/>
          <w:color w:val="000000"/>
          <w:kern w:val="0"/>
          <w:sz w:val="32"/>
          <w:szCs w:val="32"/>
          <w:shd w:val="clear" w:color="auto" w:fill="FFFFFF"/>
          <w:lang w:val="en-US" w:eastAsia="zh-CN"/>
        </w:rPr>
        <w:t>60</w:t>
      </w:r>
      <w:r>
        <w:rPr>
          <w:rFonts w:hint="eastAsia" w:ascii="仿宋_GB2312" w:hAnsi="Times New Roman" w:eastAsia="仿宋_GB2312" w:cs="宋体"/>
          <w:color w:val="000000"/>
          <w:kern w:val="0"/>
          <w:sz w:val="32"/>
          <w:szCs w:val="32"/>
          <w:shd w:val="clear" w:color="auto" w:fill="FFFFFF"/>
          <w:lang w:val="zh-CN"/>
        </w:rPr>
        <w:t>名，行政工勤人员7名；事业人员</w:t>
      </w:r>
      <w:r>
        <w:rPr>
          <w:rFonts w:hint="eastAsia" w:ascii="仿宋_GB2312" w:hAnsi="Times New Roman" w:eastAsia="仿宋_GB2312" w:cs="宋体"/>
          <w:color w:val="000000"/>
          <w:kern w:val="0"/>
          <w:sz w:val="32"/>
          <w:szCs w:val="32"/>
          <w:shd w:val="clear" w:color="auto" w:fill="FFFFFF"/>
          <w:lang w:val="en-US" w:eastAsia="zh-CN"/>
        </w:rPr>
        <w:t>12</w:t>
      </w:r>
      <w:r>
        <w:rPr>
          <w:rFonts w:hint="eastAsia" w:ascii="仿宋_GB2312" w:hAnsi="Times New Roman" w:eastAsia="仿宋_GB2312" w:cs="宋体"/>
          <w:color w:val="000000"/>
          <w:kern w:val="0"/>
          <w:sz w:val="32"/>
          <w:szCs w:val="32"/>
          <w:shd w:val="clear" w:color="auto" w:fill="FFFFFF"/>
          <w:lang w:val="zh-CN"/>
        </w:rPr>
        <w:t>名。退休人员</w:t>
      </w:r>
      <w:r>
        <w:rPr>
          <w:rFonts w:hint="eastAsia" w:ascii="仿宋_GB2312" w:hAnsi="Times New Roman" w:eastAsia="仿宋_GB2312" w:cs="宋体"/>
          <w:color w:val="000000"/>
          <w:kern w:val="0"/>
          <w:sz w:val="32"/>
          <w:szCs w:val="32"/>
          <w:shd w:val="clear" w:color="auto" w:fill="FFFFFF"/>
        </w:rPr>
        <w:t>11</w:t>
      </w:r>
      <w:r>
        <w:rPr>
          <w:rFonts w:hint="eastAsia" w:ascii="仿宋_GB2312" w:hAnsi="Times New Roman" w:eastAsia="仿宋_GB2312" w:cs="宋体"/>
          <w:color w:val="000000"/>
          <w:kern w:val="0"/>
          <w:sz w:val="32"/>
          <w:szCs w:val="32"/>
          <w:shd w:val="clear" w:color="auto" w:fill="FFFFFF"/>
          <w:lang w:val="zh-CN"/>
        </w:rPr>
        <w:t>人。</w:t>
      </w:r>
    </w:p>
    <w:p w14:paraId="4ECB41B1">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7D8D2F4D">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p>
    <w:p w14:paraId="5E076DE8">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lang w:val="zh-CN"/>
        </w:rPr>
      </w:pPr>
      <w:r>
        <w:rPr>
          <w:rFonts w:hint="eastAsia" w:ascii="仿宋_GB2312" w:hAnsi="Times New Roman" w:eastAsia="仿宋_GB2312" w:cs="宋体"/>
          <w:color w:val="000000"/>
          <w:kern w:val="0"/>
          <w:sz w:val="32"/>
          <w:szCs w:val="32"/>
          <w:shd w:val="clear" w:color="auto" w:fill="FFFFFF"/>
          <w:lang w:val="zh-CN"/>
        </w:rPr>
        <w:t>茂县纪委202</w:t>
      </w:r>
      <w:r>
        <w:rPr>
          <w:rFonts w:hint="eastAsia" w:ascii="仿宋_GB2312" w:hAnsi="Times New Roman" w:eastAsia="仿宋_GB2312" w:cs="宋体"/>
          <w:color w:val="000000"/>
          <w:kern w:val="0"/>
          <w:sz w:val="32"/>
          <w:szCs w:val="32"/>
          <w:shd w:val="clear" w:color="auto" w:fill="FFFFFF"/>
          <w:lang w:val="en-US" w:eastAsia="zh-CN"/>
        </w:rPr>
        <w:t>5</w:t>
      </w:r>
      <w:r>
        <w:rPr>
          <w:rFonts w:hint="eastAsia" w:ascii="仿宋_GB2312" w:hAnsi="Times New Roman" w:eastAsia="仿宋_GB2312" w:cs="宋体"/>
          <w:color w:val="000000"/>
          <w:kern w:val="0"/>
          <w:sz w:val="32"/>
          <w:szCs w:val="32"/>
          <w:shd w:val="clear" w:color="auto" w:fill="FFFFFF"/>
          <w:lang w:val="zh-CN"/>
        </w:rPr>
        <w:t>年，部门财政拨款收入为</w:t>
      </w:r>
      <w:r>
        <w:rPr>
          <w:rFonts w:hint="eastAsia" w:ascii="仿宋_GB2312" w:hAnsi="Times New Roman" w:eastAsia="仿宋_GB2312" w:cs="宋体"/>
          <w:color w:val="000000"/>
          <w:kern w:val="0"/>
          <w:sz w:val="32"/>
          <w:szCs w:val="32"/>
          <w:shd w:val="clear" w:color="auto" w:fill="FFFFFF"/>
          <w:lang w:val="en-US" w:eastAsia="zh-CN"/>
        </w:rPr>
        <w:t>2060.66</w:t>
      </w:r>
      <w:r>
        <w:rPr>
          <w:rFonts w:hint="eastAsia" w:ascii="仿宋_GB2312" w:hAnsi="Times New Roman" w:eastAsia="仿宋_GB2312" w:cs="宋体"/>
          <w:color w:val="000000"/>
          <w:kern w:val="0"/>
          <w:sz w:val="32"/>
          <w:szCs w:val="32"/>
          <w:shd w:val="clear" w:color="auto" w:fill="FFFFFF"/>
          <w:lang w:val="zh-CN"/>
        </w:rPr>
        <w:t>万元。其中</w:t>
      </w:r>
      <w:r>
        <w:rPr>
          <w:rFonts w:hint="eastAsia" w:ascii="仿宋_GB2312" w:eastAsia="仿宋_GB2312" w:cs="宋体"/>
          <w:color w:val="000000"/>
          <w:kern w:val="0"/>
          <w:sz w:val="32"/>
          <w:szCs w:val="32"/>
          <w:shd w:val="clear" w:color="auto" w:fill="FFFFFF"/>
          <w:lang w:val="zh-CN"/>
        </w:rPr>
        <w:t>，</w:t>
      </w:r>
      <w:r>
        <w:rPr>
          <w:rFonts w:hint="eastAsia" w:ascii="仿宋_GB2312" w:hAnsi="Times New Roman" w:eastAsia="仿宋_GB2312" w:cs="宋体"/>
          <w:color w:val="000000"/>
          <w:kern w:val="0"/>
          <w:sz w:val="32"/>
          <w:szCs w:val="32"/>
          <w:shd w:val="clear" w:color="auto" w:fill="FFFFFF"/>
          <w:lang w:val="zh-CN"/>
        </w:rPr>
        <w:t>一般公共预算财政拨款为</w:t>
      </w:r>
      <w:r>
        <w:rPr>
          <w:rFonts w:hint="eastAsia" w:ascii="仿宋_GB2312" w:hAnsi="Times New Roman" w:eastAsia="仿宋_GB2312" w:cs="宋体"/>
          <w:color w:val="000000"/>
          <w:kern w:val="0"/>
          <w:sz w:val="32"/>
          <w:szCs w:val="32"/>
          <w:shd w:val="clear" w:color="auto" w:fill="FFFFFF"/>
          <w:lang w:val="en-US" w:eastAsia="zh-CN"/>
        </w:rPr>
        <w:t>2060.66</w:t>
      </w:r>
      <w:r>
        <w:rPr>
          <w:rFonts w:hint="eastAsia" w:ascii="仿宋_GB2312" w:hAnsi="Times New Roman" w:eastAsia="仿宋_GB2312" w:cs="宋体"/>
          <w:color w:val="000000"/>
          <w:kern w:val="0"/>
          <w:sz w:val="32"/>
          <w:szCs w:val="32"/>
          <w:shd w:val="clear" w:color="auto" w:fill="FFFFFF"/>
          <w:lang w:val="zh-CN"/>
        </w:rPr>
        <w:t>万元。</w:t>
      </w:r>
    </w:p>
    <w:p w14:paraId="1D78E6F4">
      <w:pPr>
        <w:keepNext w:val="0"/>
        <w:keepLines w:val="0"/>
        <w:pageBreakBefore w:val="0"/>
        <w:widowControl/>
        <w:numPr>
          <w:ilvl w:val="0"/>
          <w:numId w:val="1"/>
        </w:numPr>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支出情况</w:t>
      </w:r>
    </w:p>
    <w:p w14:paraId="166242CC">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rPr>
          <w:rFonts w:ascii="仿宋_GB2312" w:hAnsi="Times New Roman" w:eastAsia="仿宋_GB2312" w:cs="宋体"/>
          <w:color w:val="000000"/>
          <w:kern w:val="0"/>
          <w:sz w:val="32"/>
          <w:szCs w:val="32"/>
          <w:shd w:val="clear" w:color="auto" w:fill="FFFFFF"/>
        </w:rPr>
      </w:pPr>
      <w:r>
        <w:rPr>
          <w:rFonts w:hint="eastAsia" w:ascii="仿宋_GB2312" w:hAnsi="Times New Roman" w:eastAsia="仿宋_GB2312" w:cs="宋体"/>
          <w:color w:val="000000"/>
          <w:kern w:val="0"/>
          <w:sz w:val="32"/>
          <w:szCs w:val="32"/>
          <w:shd w:val="clear" w:color="auto" w:fill="FFFFFF"/>
          <w:lang w:val="zh-CN"/>
        </w:rPr>
        <w:t>茂县纪委202</w:t>
      </w:r>
      <w:r>
        <w:rPr>
          <w:rFonts w:hint="eastAsia" w:ascii="仿宋_GB2312" w:hAnsi="Times New Roman" w:eastAsia="仿宋_GB2312" w:cs="宋体"/>
          <w:color w:val="000000"/>
          <w:kern w:val="0"/>
          <w:sz w:val="32"/>
          <w:szCs w:val="32"/>
          <w:shd w:val="clear" w:color="auto" w:fill="FFFFFF"/>
          <w:lang w:val="en-US" w:eastAsia="zh-CN"/>
        </w:rPr>
        <w:t>5</w:t>
      </w:r>
      <w:r>
        <w:rPr>
          <w:rFonts w:hint="eastAsia" w:ascii="仿宋_GB2312" w:hAnsi="Times New Roman" w:eastAsia="仿宋_GB2312" w:cs="宋体"/>
          <w:color w:val="000000"/>
          <w:kern w:val="0"/>
          <w:sz w:val="32"/>
          <w:szCs w:val="32"/>
          <w:shd w:val="clear" w:color="auto" w:fill="FFFFFF"/>
          <w:lang w:val="zh-CN"/>
        </w:rPr>
        <w:t>年，部门财政拨款支出为</w:t>
      </w:r>
      <w:r>
        <w:rPr>
          <w:rFonts w:hint="eastAsia" w:ascii="仿宋_GB2312" w:hAnsi="Times New Roman" w:eastAsia="仿宋_GB2312" w:cs="宋体"/>
          <w:color w:val="000000"/>
          <w:kern w:val="0"/>
          <w:sz w:val="32"/>
          <w:szCs w:val="32"/>
          <w:shd w:val="clear" w:color="auto" w:fill="FFFFFF"/>
          <w:lang w:val="en-US" w:eastAsia="zh-CN"/>
        </w:rPr>
        <w:t>2060.66</w:t>
      </w:r>
      <w:r>
        <w:rPr>
          <w:rFonts w:hint="eastAsia" w:ascii="仿宋_GB2312" w:hAnsi="Times New Roman" w:eastAsia="仿宋_GB2312" w:cs="宋体"/>
          <w:color w:val="000000"/>
          <w:kern w:val="0"/>
          <w:sz w:val="32"/>
          <w:szCs w:val="32"/>
          <w:shd w:val="clear" w:color="auto" w:fill="FFFFFF"/>
          <w:lang w:val="zh-CN"/>
        </w:rPr>
        <w:t>万元。其中，一般公共服务支出为</w:t>
      </w:r>
      <w:r>
        <w:rPr>
          <w:rFonts w:hint="eastAsia" w:ascii="仿宋_GB2312" w:hAnsi="Times New Roman" w:eastAsia="仿宋_GB2312" w:cs="宋体"/>
          <w:color w:val="000000"/>
          <w:kern w:val="0"/>
          <w:sz w:val="32"/>
          <w:szCs w:val="32"/>
          <w:shd w:val="clear" w:color="auto" w:fill="FFFFFF"/>
          <w:lang w:val="en-US" w:eastAsia="zh-CN"/>
        </w:rPr>
        <w:t>1581.83</w:t>
      </w:r>
      <w:r>
        <w:rPr>
          <w:rFonts w:hint="eastAsia" w:ascii="仿宋_GB2312" w:hAnsi="Times New Roman" w:eastAsia="仿宋_GB2312" w:cs="宋体"/>
          <w:color w:val="000000"/>
          <w:kern w:val="0"/>
          <w:sz w:val="32"/>
          <w:szCs w:val="32"/>
          <w:shd w:val="clear" w:color="auto" w:fill="FFFFFF"/>
          <w:lang w:val="zh-CN"/>
        </w:rPr>
        <w:t>万元、社会保障和就业支出为</w:t>
      </w:r>
      <w:r>
        <w:rPr>
          <w:rFonts w:hint="eastAsia" w:ascii="仿宋_GB2312" w:hAnsi="Times New Roman" w:eastAsia="仿宋_GB2312" w:cs="宋体"/>
          <w:color w:val="000000"/>
          <w:kern w:val="0"/>
          <w:sz w:val="32"/>
          <w:szCs w:val="32"/>
          <w:shd w:val="clear" w:color="auto" w:fill="FFFFFF"/>
          <w:lang w:val="en-US" w:eastAsia="zh-CN"/>
        </w:rPr>
        <w:t>235.94</w:t>
      </w:r>
      <w:r>
        <w:rPr>
          <w:rFonts w:hint="eastAsia" w:ascii="仿宋_GB2312" w:hAnsi="Times New Roman" w:eastAsia="仿宋_GB2312" w:cs="宋体"/>
          <w:color w:val="000000"/>
          <w:kern w:val="0"/>
          <w:sz w:val="32"/>
          <w:szCs w:val="32"/>
          <w:shd w:val="clear" w:color="auto" w:fill="FFFFFF"/>
          <w:lang w:val="zh-CN"/>
        </w:rPr>
        <w:t>万元、卫生健康支出为</w:t>
      </w:r>
      <w:r>
        <w:rPr>
          <w:rFonts w:hint="eastAsia" w:ascii="仿宋_GB2312" w:hAnsi="Times New Roman" w:eastAsia="仿宋_GB2312" w:cs="宋体"/>
          <w:color w:val="000000"/>
          <w:kern w:val="0"/>
          <w:sz w:val="32"/>
          <w:szCs w:val="32"/>
          <w:shd w:val="clear" w:color="auto" w:fill="FFFFFF"/>
          <w:lang w:val="en-US" w:eastAsia="zh-CN"/>
        </w:rPr>
        <w:t>91.36</w:t>
      </w:r>
      <w:r>
        <w:rPr>
          <w:rFonts w:hint="eastAsia" w:ascii="仿宋_GB2312" w:hAnsi="Times New Roman" w:eastAsia="仿宋_GB2312" w:cs="宋体"/>
          <w:color w:val="000000"/>
          <w:kern w:val="0"/>
          <w:sz w:val="32"/>
          <w:szCs w:val="32"/>
          <w:shd w:val="clear" w:color="auto" w:fill="FFFFFF"/>
          <w:lang w:val="zh-CN"/>
        </w:rPr>
        <w:t>万元、农林水支出</w:t>
      </w:r>
      <w:r>
        <w:rPr>
          <w:rFonts w:hint="eastAsia" w:ascii="仿宋_GB2312" w:hAnsi="Times New Roman" w:eastAsia="仿宋_GB2312" w:cs="宋体"/>
          <w:color w:val="000000"/>
          <w:kern w:val="0"/>
          <w:sz w:val="32"/>
          <w:szCs w:val="32"/>
          <w:shd w:val="clear" w:color="auto" w:fill="FFFFFF"/>
          <w:lang w:val="en-US" w:eastAsia="zh-CN"/>
        </w:rPr>
        <w:t>20万元、</w:t>
      </w:r>
      <w:r>
        <w:rPr>
          <w:rFonts w:hint="eastAsia" w:ascii="仿宋_GB2312" w:hAnsi="Times New Roman" w:eastAsia="仿宋_GB2312" w:cs="宋体"/>
          <w:color w:val="000000"/>
          <w:kern w:val="0"/>
          <w:sz w:val="32"/>
          <w:szCs w:val="32"/>
          <w:shd w:val="clear" w:color="auto" w:fill="FFFFFF"/>
          <w:lang w:val="zh-CN"/>
        </w:rPr>
        <w:t>住房保障支出为</w:t>
      </w:r>
      <w:r>
        <w:rPr>
          <w:rFonts w:hint="eastAsia" w:ascii="仿宋_GB2312" w:hAnsi="Times New Roman" w:eastAsia="仿宋_GB2312" w:cs="宋体"/>
          <w:color w:val="000000"/>
          <w:kern w:val="0"/>
          <w:sz w:val="32"/>
          <w:szCs w:val="32"/>
          <w:shd w:val="clear" w:color="auto" w:fill="FFFFFF"/>
          <w:lang w:val="en-US" w:eastAsia="zh-CN"/>
        </w:rPr>
        <w:t>131.53</w:t>
      </w:r>
      <w:r>
        <w:rPr>
          <w:rFonts w:hint="eastAsia" w:ascii="仿宋_GB2312" w:hAnsi="Times New Roman" w:eastAsia="仿宋_GB2312" w:cs="宋体"/>
          <w:color w:val="000000"/>
          <w:kern w:val="0"/>
          <w:sz w:val="32"/>
          <w:szCs w:val="32"/>
          <w:shd w:val="clear" w:color="auto" w:fill="FFFFFF"/>
          <w:lang w:val="zh-CN"/>
        </w:rPr>
        <w:t>万元。</w:t>
      </w:r>
    </w:p>
    <w:p w14:paraId="55C2054B">
      <w:pPr>
        <w:keepNext w:val="0"/>
        <w:keepLines w:val="0"/>
        <w:pageBreakBefore w:val="0"/>
        <w:widowControl/>
        <w:numPr>
          <w:ilvl w:val="0"/>
          <w:numId w:val="1"/>
        </w:numPr>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p>
    <w:p w14:paraId="33582CD1">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eastAsia" w:eastAsia="仿宋_GB2312" w:cs="仿宋_GB2312"/>
          <w:color w:val="auto"/>
          <w:kern w:val="2"/>
          <w:sz w:val="32"/>
          <w:szCs w:val="32"/>
          <w:highlight w:val="none"/>
          <w:lang w:val="en-US" w:eastAsia="zh-CN" w:bidi="ar-SA"/>
        </w:rPr>
        <w:t>茂县纪委</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为0万元</w:t>
      </w:r>
      <w:r>
        <w:rPr>
          <w:rFonts w:hint="default" w:ascii="Times New Roman" w:hAnsi="Times New Roman" w:eastAsia="仿宋_GB2312" w:cs="Times New Roman"/>
          <w:sz w:val="32"/>
          <w:szCs w:val="32"/>
          <w:lang w:val="en-US" w:eastAsia="zh-CN"/>
        </w:rPr>
        <w:t>。</w:t>
      </w:r>
    </w:p>
    <w:p w14:paraId="553216A1">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1F3FC470">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3FEC07D0">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r>
        <w:rPr>
          <w:rFonts w:hint="eastAsia" w:ascii="仿宋_GB2312" w:hAnsi="Times New Roman" w:eastAsia="仿宋_GB2312" w:cs="宋体"/>
          <w:color w:val="000000"/>
          <w:kern w:val="0"/>
          <w:sz w:val="32"/>
          <w:szCs w:val="32"/>
          <w:shd w:val="clear" w:color="auto" w:fill="FFFFFF"/>
          <w:lang w:val="en-US" w:eastAsia="zh-CN"/>
        </w:rPr>
        <w:t>完成专项整治、深入贯彻中央八项规定精神学习教育等党风廉政建设及集中整治专项工作</w:t>
      </w:r>
      <w:r>
        <w:rPr>
          <w:rFonts w:hint="eastAsia" w:ascii="仿宋_GB2312" w:hAnsi="Times New Roman" w:eastAsia="仿宋_GB2312" w:cs="宋体"/>
          <w:color w:val="000000"/>
          <w:kern w:val="0"/>
          <w:sz w:val="32"/>
          <w:szCs w:val="32"/>
          <w:shd w:val="clear" w:color="auto" w:fill="FFFFFF"/>
          <w:lang w:val="zh-CN" w:eastAsia="zh-CN"/>
        </w:rPr>
        <w:t>。</w:t>
      </w:r>
    </w:p>
    <w:p w14:paraId="78E1547C">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hAnsi="Times New Roman" w:eastAsia="仿宋_GB2312" w:cs="宋体"/>
          <w:color w:val="000000"/>
          <w:kern w:val="0"/>
          <w:sz w:val="32"/>
          <w:szCs w:val="32"/>
          <w:shd w:val="clear" w:color="auto" w:fill="FFFFFF"/>
          <w:lang w:val="zh-CN"/>
        </w:rPr>
        <w:t>我单位将评价结果作为预算安排的重要依据，参照项目年度预算执行情况“三年滚动规划”执行情况统筹项目支出需求，保障重点支出，调整支出结构，优化财政资金配置，不断强化绩效理念，推动部门整体绩效管理水平不断提升。做到认真负责，按时按规定报送年度预算。</w:t>
      </w:r>
    </w:p>
    <w:p w14:paraId="26C1FAD7">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ascii="仿宋_GB2312" w:hAnsi="仿宋"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hAnsi="仿宋" w:eastAsia="仿宋_GB2312"/>
          <w:sz w:val="32"/>
          <w:szCs w:val="32"/>
          <w:lang w:val="en-US" w:eastAsia="zh-CN"/>
        </w:rPr>
        <w:t>我单位按照财经法律法规依规管理，做好事前事中事后绩效监督管理，按要求进行决算编报审核及公开等工作。建立了相关财务制度，设立了出纳、会计岗位，并配备了专业人员。</w:t>
      </w:r>
    </w:p>
    <w:p w14:paraId="3CAAEE73">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zh-CN" w:eastAsia="zh-CN" w:bidi="ar-SA"/>
        </w:rPr>
        <w:t>根据资产相关法律法规严格专人管理资产，确保人均</w:t>
      </w:r>
      <w:r>
        <w:rPr>
          <w:rFonts w:hint="eastAsia" w:eastAsia="仿宋_GB2312" w:cs="仿宋_GB2312"/>
          <w:color w:val="auto"/>
          <w:kern w:val="2"/>
          <w:sz w:val="32"/>
          <w:szCs w:val="32"/>
          <w:highlight w:val="none"/>
          <w:lang w:val="en-US" w:eastAsia="zh-CN" w:bidi="ar-SA"/>
        </w:rPr>
        <w:t>1套办公用品，保障日常工作的正常开展，有资产变更时，</w:t>
      </w:r>
      <w:r>
        <w:rPr>
          <w:rFonts w:hint="eastAsia" w:eastAsia="仿宋_GB2312"/>
          <w:color w:val="auto"/>
          <w:sz w:val="32"/>
          <w:szCs w:val="32"/>
          <w:lang w:val="en-US" w:eastAsia="zh-CN"/>
        </w:rPr>
        <w:t>大额</w:t>
      </w:r>
      <w:r>
        <w:rPr>
          <w:rFonts w:eastAsia="仿宋_GB2312"/>
          <w:color w:val="auto"/>
          <w:sz w:val="32"/>
          <w:szCs w:val="32"/>
        </w:rPr>
        <w:t>固定资产变动</w:t>
      </w:r>
      <w:r>
        <w:rPr>
          <w:rFonts w:hint="eastAsia" w:eastAsia="仿宋_GB2312"/>
          <w:color w:val="auto"/>
          <w:sz w:val="32"/>
          <w:szCs w:val="32"/>
          <w:lang w:eastAsia="zh-CN"/>
        </w:rPr>
        <w:t>时都需要过会研究决定，</w:t>
      </w:r>
      <w:r>
        <w:rPr>
          <w:rFonts w:hint="eastAsia" w:ascii="Times New Roman" w:hAnsi="Times New Roman" w:eastAsia="仿宋_GB2312" w:cs="仿宋_GB2312"/>
          <w:color w:val="auto"/>
          <w:kern w:val="2"/>
          <w:sz w:val="32"/>
          <w:szCs w:val="32"/>
          <w:highlight w:val="none"/>
          <w:lang w:val="zh-CN" w:eastAsia="zh-CN" w:bidi="ar-SA"/>
        </w:rPr>
        <w:t>资产利用率</w:t>
      </w:r>
      <w:r>
        <w:rPr>
          <w:rFonts w:hint="eastAsia" w:eastAsia="仿宋_GB2312" w:cs="仿宋_GB2312"/>
          <w:color w:val="auto"/>
          <w:kern w:val="2"/>
          <w:sz w:val="32"/>
          <w:szCs w:val="32"/>
          <w:highlight w:val="none"/>
          <w:lang w:val="zh-CN" w:eastAsia="zh-CN" w:bidi="ar-SA"/>
        </w:rPr>
        <w:t>达到</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zh-CN" w:eastAsia="zh-CN" w:bidi="ar-SA"/>
        </w:rPr>
        <w:t>、资产盘活率</w:t>
      </w:r>
      <w:r>
        <w:rPr>
          <w:rFonts w:hint="eastAsia" w:eastAsia="仿宋_GB2312" w:cs="仿宋_GB2312"/>
          <w:color w:val="auto"/>
          <w:kern w:val="2"/>
          <w:sz w:val="32"/>
          <w:szCs w:val="32"/>
          <w:highlight w:val="none"/>
          <w:lang w:val="zh-CN" w:eastAsia="zh-CN" w:bidi="ar-SA"/>
        </w:rPr>
        <w:t>达到</w:t>
      </w:r>
      <w:r>
        <w:rPr>
          <w:rFonts w:hint="eastAsia" w:eastAsia="仿宋_GB2312" w:cs="仿宋_GB2312"/>
          <w:color w:val="auto"/>
          <w:kern w:val="2"/>
          <w:sz w:val="32"/>
          <w:szCs w:val="32"/>
          <w:highlight w:val="none"/>
          <w:lang w:val="en-US" w:eastAsia="zh-CN" w:bidi="ar-SA"/>
        </w:rPr>
        <w:t>100%，</w:t>
      </w:r>
      <w:r>
        <w:rPr>
          <w:rFonts w:hint="eastAsia" w:eastAsia="仿宋_GB2312" w:cs="仿宋_GB2312"/>
          <w:color w:val="auto"/>
          <w:kern w:val="2"/>
          <w:sz w:val="32"/>
          <w:szCs w:val="32"/>
          <w:highlight w:val="none"/>
          <w:lang w:val="zh-CN" w:eastAsia="zh-CN" w:bidi="ar-SA"/>
        </w:rPr>
        <w:t>都</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eastAsia="仿宋_GB2312" w:cs="仿宋_GB2312"/>
          <w:color w:val="auto"/>
          <w:kern w:val="2"/>
          <w:sz w:val="32"/>
          <w:szCs w:val="32"/>
          <w:highlight w:val="none"/>
          <w:lang w:val="zh-CN" w:eastAsia="zh-CN" w:bidi="ar-SA"/>
        </w:rPr>
        <w:t>并合理合规进行使用，不造成浪费</w:t>
      </w:r>
      <w:r>
        <w:rPr>
          <w:rFonts w:hint="eastAsia" w:ascii="Times New Roman" w:hAnsi="Times New Roman" w:eastAsia="仿宋_GB2312" w:cs="仿宋_GB2312"/>
          <w:color w:val="auto"/>
          <w:kern w:val="2"/>
          <w:sz w:val="32"/>
          <w:szCs w:val="32"/>
          <w:highlight w:val="none"/>
          <w:lang w:val="zh-CN" w:eastAsia="zh-CN" w:bidi="ar-SA"/>
        </w:rPr>
        <w:t>。</w:t>
      </w:r>
    </w:p>
    <w:p w14:paraId="46F459EC">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zh-CN" w:eastAsia="zh-CN" w:bidi="ar-SA"/>
        </w:rPr>
        <w:t>我单位</w:t>
      </w:r>
      <w:r>
        <w:rPr>
          <w:rFonts w:hint="eastAsia" w:ascii="Times New Roman" w:hAnsi="Times New Roman" w:eastAsia="仿宋_GB2312" w:cs="仿宋_GB2312"/>
          <w:color w:val="auto"/>
          <w:kern w:val="2"/>
          <w:sz w:val="32"/>
          <w:szCs w:val="32"/>
          <w:highlight w:val="none"/>
          <w:lang w:val="zh-CN" w:eastAsia="zh-CN" w:bidi="ar-SA"/>
        </w:rPr>
        <w:t>围绕支持中小企业发展</w:t>
      </w:r>
      <w:r>
        <w:rPr>
          <w:rFonts w:hint="eastAsia" w:eastAsia="仿宋_GB2312" w:cs="仿宋_GB2312"/>
          <w:color w:val="auto"/>
          <w:kern w:val="2"/>
          <w:sz w:val="32"/>
          <w:szCs w:val="32"/>
          <w:highlight w:val="none"/>
          <w:lang w:val="zh-CN" w:eastAsia="zh-CN" w:bidi="ar-SA"/>
        </w:rPr>
        <w:t>，严格按照财经制度开展采购工作。严格按照采购目录范围进行合法合规采购。</w:t>
      </w:r>
    </w:p>
    <w:p w14:paraId="0A871E95">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1AAA1379">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45</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1904.51</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38E80AF6">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156.15</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0508B115">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eastAsia="仿宋_GB2312" w:cs="仿宋_GB2312"/>
          <w:color w:val="auto"/>
          <w:kern w:val="2"/>
          <w:sz w:val="32"/>
          <w:szCs w:val="32"/>
          <w:highlight w:val="none"/>
          <w:lang w:val="zh-CN" w:eastAsia="zh-CN" w:bidi="ar-SA"/>
        </w:rPr>
        <w:t>部门预算项目设立按规定履行评估论证、申报程序，部门预算项目绩效目标与计划期内的任务量、预算安排的资金一致，绩效目标设置科学合理、规范完整、量化细化、预算匹配，部门预算项目均在规定时间内完成项目入库。</w:t>
      </w:r>
    </w:p>
    <w:p w14:paraId="74B79AED">
      <w:pPr>
        <w:keepNext w:val="0"/>
        <w:keepLines w:val="0"/>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zh-CN" w:eastAsia="zh-CN" w:bidi="ar-SA"/>
        </w:rPr>
        <w:t>部门预算项目实际列支内容与绩效目标设置方向相符，不存在调整项目支出的现象。我单位</w:t>
      </w:r>
      <w:r>
        <w:rPr>
          <w:rFonts w:hint="eastAsia" w:ascii="Times New Roman" w:hAnsi="Times New Roman" w:eastAsia="仿宋_GB2312" w:cs="仿宋_GB2312"/>
          <w:color w:val="auto"/>
          <w:kern w:val="2"/>
          <w:sz w:val="32"/>
          <w:szCs w:val="32"/>
          <w:highlight w:val="none"/>
          <w:lang w:val="en-US" w:eastAsia="zh-CN" w:bidi="ar-SA"/>
        </w:rPr>
        <w:t>组织对</w:t>
      </w:r>
      <w:r>
        <w:rPr>
          <w:rFonts w:hint="eastAsia" w:ascii="仿宋_GB2312" w:hAnsi="Times New Roman" w:eastAsia="仿宋_GB2312" w:cs="Times New Roman"/>
          <w:color w:val="auto"/>
          <w:sz w:val="32"/>
          <w:szCs w:val="32"/>
          <w:highlight w:val="none"/>
          <w:lang w:val="en-US" w:eastAsia="zh-CN"/>
        </w:rPr>
        <w:t>执法执行用车购置费、党风廉政建设集中整治专项工作、茂县交往交融项目、关于解决2025年相关工作经费</w:t>
      </w:r>
      <w:r>
        <w:rPr>
          <w:rFonts w:hint="eastAsia" w:ascii="仿宋_GB2312" w:hAnsi="Times New Roman" w:eastAsia="仿宋_GB2312" w:cs="Times New Roman"/>
          <w:color w:val="auto"/>
          <w:sz w:val="32"/>
          <w:szCs w:val="32"/>
          <w:highlight w:val="none"/>
          <w:lang w:eastAsia="zh-CN"/>
        </w:rPr>
        <w:t>等</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156.15</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个项目开展绩效监控。</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156.15</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zh-CN" w:eastAsia="zh-CN" w:bidi="ar-SA"/>
        </w:rPr>
        <w:t>。</w:t>
      </w:r>
    </w:p>
    <w:p w14:paraId="0CD20C2D">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r>
        <w:rPr>
          <w:rFonts w:hint="eastAsia" w:eastAsia="仿宋_GB2312" w:cs="仿宋_GB2312"/>
          <w:color w:val="auto"/>
          <w:kern w:val="2"/>
          <w:sz w:val="32"/>
          <w:szCs w:val="32"/>
          <w:highlight w:val="none"/>
          <w:lang w:val="zh-CN" w:eastAsia="zh-CN" w:bidi="ar-SA"/>
        </w:rPr>
        <w:t>部门预算项目按照规定在预算期内合法合规合理支付完成，执行率达到</w:t>
      </w:r>
      <w:r>
        <w:rPr>
          <w:rFonts w:hint="eastAsia" w:eastAsia="仿宋_GB2312" w:cs="仿宋_GB2312"/>
          <w:color w:val="auto"/>
          <w:kern w:val="2"/>
          <w:sz w:val="32"/>
          <w:szCs w:val="32"/>
          <w:highlight w:val="none"/>
          <w:lang w:val="en-US" w:eastAsia="zh-CN" w:bidi="ar-SA"/>
        </w:rPr>
        <w:t>100%，整体评价良好。</w:t>
      </w:r>
    </w:p>
    <w:p w14:paraId="79270979">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p>
    <w:p w14:paraId="1158F0DA">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我单位严格按照预算执行进度进行资金使用管理，中期进行评估，“三公”经费严格按照预算执行，做到对资金的有效管理。</w:t>
      </w:r>
    </w:p>
    <w:p w14:paraId="5B5A2C3B">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本单位对所有项目都进行严格管理，比如：严格按照政策进行采购、资产管理、内控制度管理、信息公开、绩效评价及依法接受财政监督情况等。</w:t>
      </w:r>
    </w:p>
    <w:p w14:paraId="36CF294A">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仿宋_GB2312" w:hAnsi="Times New Roman" w:eastAsia="仿宋_GB2312" w:cs="宋体"/>
          <w:color w:val="000000"/>
          <w:kern w:val="0"/>
          <w:sz w:val="32"/>
          <w:szCs w:val="32"/>
          <w:shd w:val="clear" w:color="auto" w:fill="FFFFFF"/>
          <w:lang w:val="zh-CN"/>
        </w:rPr>
        <w:t>我单位将评价结果作为预算安排的重要依据，参照项目年度预算执行情况“三年滚动规划”执行情况统筹项目支出需求，保障重点支出，调整支出结构，优化财政资金配置，不断强化绩效理念，推动部门整体绩效管理水平不断提升。</w:t>
      </w:r>
    </w:p>
    <w:p w14:paraId="35209C8C">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6E62D8BE">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eastAsia="仿宋_GB2312" w:cs="Times New Roman"/>
          <w:sz w:val="32"/>
          <w:szCs w:val="32"/>
          <w:u w:val="none"/>
          <w:lang w:val="en-US" w:eastAsia="zh-CN" w:bidi="ar"/>
        </w:rPr>
        <w:t>良好</w:t>
      </w:r>
    </w:p>
    <w:p w14:paraId="20A020FB">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仿宋_GB2312" w:hAnsi="Times New Roman" w:eastAsia="仿宋_GB2312" w:cs="宋体"/>
          <w:color w:val="000000"/>
          <w:kern w:val="0"/>
          <w:sz w:val="32"/>
          <w:szCs w:val="32"/>
          <w:shd w:val="clear" w:color="auto" w:fill="FFFFFF"/>
          <w:lang w:val="zh-CN"/>
        </w:rPr>
        <w:t>需进一步加强完善制度建设。</w:t>
      </w:r>
    </w:p>
    <w:p w14:paraId="1614A09B">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47" w:name="_Hlk110546638"/>
      <w:r>
        <w:rPr>
          <w:rFonts w:hint="eastAsia" w:ascii="仿宋_GB2312" w:hAnsi="Times New Roman" w:eastAsia="仿宋_GB2312" w:cs="宋体"/>
          <w:color w:val="000000"/>
          <w:kern w:val="0"/>
          <w:sz w:val="32"/>
          <w:szCs w:val="32"/>
          <w:shd w:val="clear" w:color="auto" w:fill="FFFFFF"/>
          <w:lang w:val="zh-CN"/>
        </w:rPr>
        <w:t>不断总结经验，不断完善制度。</w:t>
      </w:r>
      <w:bookmarkEnd w:id="47"/>
    </w:p>
    <w:p w14:paraId="1CB0DDF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26C5B66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6D146E7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1AF73CA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46F2448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1973811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4B1E679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5F5BA1D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4C58183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47BF8F5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03AB137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2B20224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69B6210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0844269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3979BA8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3A7E26A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eastAsia="zh-CN"/>
        </w:rPr>
      </w:pPr>
    </w:p>
    <w:p w14:paraId="0E2FA765">
      <w:pPr>
        <w:pStyle w:val="7"/>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5"/>
        <w:tblpPr w:leftFromText="180" w:rightFromText="180" w:vertAnchor="text" w:horzAnchor="page" w:tblpX="1519" w:tblpY="685"/>
        <w:tblOverlap w:val="never"/>
        <w:tblW w:w="907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7"/>
        <w:gridCol w:w="1104"/>
        <w:gridCol w:w="1003"/>
        <w:gridCol w:w="997"/>
        <w:gridCol w:w="682"/>
        <w:gridCol w:w="970"/>
        <w:gridCol w:w="442"/>
        <w:gridCol w:w="935"/>
        <w:gridCol w:w="495"/>
        <w:gridCol w:w="415"/>
        <w:gridCol w:w="1411"/>
      </w:tblGrid>
      <w:tr w14:paraId="57A07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45" w:type="dxa"/>
            <w:gridSpan w:val="2"/>
            <w:tcBorders>
              <w:top w:val="single" w:color="000000" w:sz="4" w:space="0"/>
              <w:left w:val="single" w:color="000000" w:sz="4" w:space="0"/>
              <w:bottom w:val="single" w:color="000000" w:sz="4" w:space="0"/>
              <w:right w:val="single" w:color="000000" w:sz="4" w:space="0"/>
            </w:tcBorders>
            <w:noWrap w:val="0"/>
            <w:vAlign w:val="center"/>
          </w:tcPr>
          <w:p w14:paraId="76802ED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noWrap w:val="0"/>
            <w:vAlign w:val="center"/>
          </w:tcPr>
          <w:p w14:paraId="7D092C9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51322324T000010618507-执法执行用车购置费</w:t>
            </w:r>
          </w:p>
        </w:tc>
      </w:tr>
      <w:tr w14:paraId="1C2B8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1" w:hRule="atLeast"/>
        </w:trPr>
        <w:tc>
          <w:tcPr>
            <w:tcW w:w="2745" w:type="dxa"/>
            <w:gridSpan w:val="2"/>
            <w:tcBorders>
              <w:top w:val="single" w:color="000000" w:sz="4" w:space="0"/>
              <w:left w:val="single" w:color="000000" w:sz="4" w:space="0"/>
              <w:bottom w:val="single" w:color="000000" w:sz="4" w:space="0"/>
              <w:right w:val="single" w:color="000000" w:sz="4" w:space="0"/>
            </w:tcBorders>
            <w:noWrap w:val="0"/>
            <w:vAlign w:val="center"/>
          </w:tcPr>
          <w:p w14:paraId="4D160B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noWrap w:val="0"/>
            <w:vAlign w:val="center"/>
          </w:tcPr>
          <w:p w14:paraId="2534D20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中国共产党茂县纪律检查委员会</w:t>
            </w:r>
          </w:p>
        </w:tc>
        <w:tc>
          <w:tcPr>
            <w:tcW w:w="1095" w:type="dxa"/>
            <w:tcBorders>
              <w:top w:val="nil"/>
              <w:left w:val="nil"/>
              <w:bottom w:val="nil"/>
              <w:right w:val="nil"/>
            </w:tcBorders>
            <w:noWrap w:val="0"/>
            <w:vAlign w:val="center"/>
          </w:tcPr>
          <w:p w14:paraId="614B345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noWrap w:val="0"/>
            <w:vAlign w:val="center"/>
          </w:tcPr>
          <w:p w14:paraId="7082AB1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中共茂县纪律检查委员会监察委员会机关（行政）</w:t>
            </w:r>
          </w:p>
        </w:tc>
      </w:tr>
      <w:tr w14:paraId="26CD6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14:paraId="23213C9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28348A2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noWrap w:val="0"/>
            <w:vAlign w:val="center"/>
          </w:tcPr>
          <w:p w14:paraId="152E73B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noWrap w:val="0"/>
            <w:vAlign w:val="center"/>
          </w:tcPr>
          <w:p w14:paraId="61FB005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41C25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A672E9">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C15634">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6765" w:type="dxa"/>
            <w:gridSpan w:val="5"/>
            <w:tcBorders>
              <w:top w:val="single" w:color="000000" w:sz="4" w:space="0"/>
              <w:left w:val="single" w:color="000000" w:sz="4" w:space="0"/>
              <w:bottom w:val="single" w:color="000000" w:sz="4" w:space="0"/>
              <w:right w:val="single" w:color="000000" w:sz="4" w:space="0"/>
            </w:tcBorders>
            <w:noWrap w:val="0"/>
            <w:vAlign w:val="center"/>
          </w:tcPr>
          <w:p w14:paraId="74693BE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已购买</w:t>
            </w:r>
          </w:p>
        </w:tc>
        <w:tc>
          <w:tcPr>
            <w:tcW w:w="4605" w:type="dxa"/>
            <w:gridSpan w:val="4"/>
            <w:tcBorders>
              <w:top w:val="single" w:color="000000" w:sz="4" w:space="0"/>
              <w:left w:val="single" w:color="000000" w:sz="4" w:space="0"/>
              <w:bottom w:val="single" w:color="000000" w:sz="4" w:space="0"/>
              <w:right w:val="single" w:color="000000" w:sz="4" w:space="0"/>
            </w:tcBorders>
            <w:noWrap w:val="0"/>
            <w:vAlign w:val="center"/>
          </w:tcPr>
          <w:p w14:paraId="5044392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684EF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86B177">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0230EBC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noWrap w:val="0"/>
            <w:vAlign w:val="center"/>
          </w:tcPr>
          <w:p w14:paraId="464EBEF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通过合法合规的采购流程购置了执法执行用车</w:t>
            </w:r>
          </w:p>
        </w:tc>
      </w:tr>
      <w:tr w14:paraId="62963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14:paraId="0DBAE2B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691C740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18B405C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45DF721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7479C20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740E1E0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1B1F50D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0A0D8E9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1FD11A9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8A60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82391">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6CE524F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652E5E9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7248B20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22.78</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52079ED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22.78</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DAADED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54CD297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3CE859CE">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0243B8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1956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63F59">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3046233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08294EE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2AE6393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22.78</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1BE17C2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22.78</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445BE9C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6DECDED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20206BE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9F8519">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19ADE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65A9F4">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42C4AB8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7FD341E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37A28B2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54FCC65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5FD7815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0F38F3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20A83E1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26138">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16F73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B4301C">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0C07F7D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2CBA31E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5FA09AF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2E436F2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27E415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6F7A094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3EA9884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70BC2">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0436F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5"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C80DA5">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0DC990A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450F480E">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微软雅黑" w:hAnsi="微软雅黑" w:eastAsia="微软雅黑" w:cs="微软雅黑"/>
                <w:i/>
                <w:iCs/>
                <w:color w:val="000000"/>
                <w:sz w:val="16"/>
                <w:szCs w:val="16"/>
                <w:u w:val="none"/>
              </w:rPr>
            </w:pP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0287AD76">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4E8788BB">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6D5F1BDF">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26A8A1D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715C800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01B8F">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4D88E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14:paraId="0BB0F27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1A5E19A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3F8B077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0F88B01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4DCDF6A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43DDEED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6689A0F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011C52D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0576A5D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7885765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75E164D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36DC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65D9E">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252DFE71">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728171C4">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44CBC349">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1461816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2247A5E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178B4050">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0E2D69C3">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CB6EF12">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019DB949">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5CCDD8A5">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627F1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605" w:type="dxa"/>
            <w:gridSpan w:val="8"/>
            <w:tcBorders>
              <w:top w:val="single" w:color="000000" w:sz="4" w:space="0"/>
              <w:left w:val="single" w:color="000000" w:sz="4" w:space="0"/>
              <w:bottom w:val="single" w:color="000000" w:sz="4" w:space="0"/>
              <w:right w:val="single" w:color="000000" w:sz="4" w:space="0"/>
            </w:tcBorders>
            <w:noWrap w:val="0"/>
            <w:vAlign w:val="center"/>
          </w:tcPr>
          <w:p w14:paraId="10EFD3D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3479BEE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2D65361A">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30433F15">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r>
      <w:tr w14:paraId="410E5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1D1C01B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noWrap w:val="0"/>
            <w:vAlign w:val="center"/>
          </w:tcPr>
          <w:p w14:paraId="768E816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执法执行用车的及时购置保障了日常工作的有序开展</w:t>
            </w:r>
          </w:p>
        </w:tc>
      </w:tr>
      <w:tr w14:paraId="11BDD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20E9A7D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noWrap w:val="0"/>
            <w:vAlign w:val="center"/>
          </w:tcPr>
          <w:p w14:paraId="052A489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6072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23E3FED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noWrap w:val="0"/>
            <w:vAlign w:val="center"/>
          </w:tcPr>
          <w:p w14:paraId="456C91C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2EFBF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05" w:type="dxa"/>
            <w:gridSpan w:val="5"/>
            <w:tcBorders>
              <w:top w:val="single" w:color="000000" w:sz="4" w:space="0"/>
              <w:left w:val="single" w:color="000000" w:sz="4" w:space="0"/>
              <w:bottom w:val="single" w:color="000000" w:sz="4" w:space="0"/>
              <w:right w:val="single" w:color="000000" w:sz="4" w:space="0"/>
            </w:tcBorders>
            <w:noWrap w:val="0"/>
            <w:vAlign w:val="center"/>
          </w:tcPr>
          <w:p w14:paraId="472A03E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项目负责人：李福浩</w:t>
            </w:r>
          </w:p>
        </w:tc>
        <w:tc>
          <w:tcPr>
            <w:tcW w:w="6810" w:type="dxa"/>
            <w:gridSpan w:val="6"/>
            <w:tcBorders>
              <w:top w:val="single" w:color="000000" w:sz="4" w:space="0"/>
              <w:left w:val="single" w:color="000000" w:sz="4" w:space="0"/>
              <w:bottom w:val="single" w:color="000000" w:sz="4" w:space="0"/>
              <w:right w:val="single" w:color="000000" w:sz="4" w:space="0"/>
            </w:tcBorders>
            <w:noWrap w:val="0"/>
            <w:vAlign w:val="center"/>
          </w:tcPr>
          <w:p w14:paraId="084A2D0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财务负责人：李天军</w:t>
            </w:r>
          </w:p>
        </w:tc>
      </w:tr>
      <w:tr w14:paraId="6A313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0" w:type="dxa"/>
            <w:tcBorders>
              <w:top w:val="nil"/>
              <w:left w:val="nil"/>
              <w:bottom w:val="nil"/>
              <w:right w:val="nil"/>
            </w:tcBorders>
            <w:noWrap w:val="0"/>
            <w:vAlign w:val="center"/>
          </w:tcPr>
          <w:p w14:paraId="5976A4C8">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055" w:type="dxa"/>
            <w:tcBorders>
              <w:top w:val="nil"/>
              <w:left w:val="nil"/>
              <w:bottom w:val="nil"/>
              <w:right w:val="nil"/>
            </w:tcBorders>
            <w:noWrap w:val="0"/>
            <w:vAlign w:val="center"/>
          </w:tcPr>
          <w:p w14:paraId="31D5FF08">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noWrap w:val="0"/>
            <w:vAlign w:val="center"/>
          </w:tcPr>
          <w:p w14:paraId="4CB2E054">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593" w:type="dxa"/>
            <w:tcBorders>
              <w:top w:val="nil"/>
              <w:left w:val="nil"/>
              <w:bottom w:val="nil"/>
              <w:right w:val="nil"/>
            </w:tcBorders>
            <w:noWrap w:val="0"/>
            <w:vAlign w:val="center"/>
          </w:tcPr>
          <w:p w14:paraId="273B0AFB">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197" w:type="dxa"/>
            <w:tcBorders>
              <w:top w:val="nil"/>
              <w:left w:val="nil"/>
              <w:bottom w:val="nil"/>
              <w:right w:val="nil"/>
            </w:tcBorders>
            <w:noWrap w:val="0"/>
            <w:vAlign w:val="center"/>
          </w:tcPr>
          <w:p w14:paraId="7B67CB51">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680" w:type="dxa"/>
            <w:tcBorders>
              <w:top w:val="nil"/>
              <w:left w:val="nil"/>
              <w:bottom w:val="nil"/>
              <w:right w:val="nil"/>
            </w:tcBorders>
            <w:noWrap w:val="0"/>
            <w:vAlign w:val="center"/>
          </w:tcPr>
          <w:p w14:paraId="20106BBA">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noWrap w:val="0"/>
            <w:vAlign w:val="center"/>
          </w:tcPr>
          <w:p w14:paraId="31B7D548">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095" w:type="dxa"/>
            <w:tcBorders>
              <w:top w:val="nil"/>
              <w:left w:val="nil"/>
              <w:bottom w:val="nil"/>
              <w:right w:val="nil"/>
            </w:tcBorders>
            <w:noWrap w:val="0"/>
            <w:vAlign w:val="center"/>
          </w:tcPr>
          <w:p w14:paraId="7891EC22">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noWrap w:val="0"/>
            <w:vAlign w:val="center"/>
          </w:tcPr>
          <w:p w14:paraId="1EB77626">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noWrap w:val="0"/>
            <w:vAlign w:val="center"/>
          </w:tcPr>
          <w:p w14:paraId="5E8B6C76">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550" w:type="dxa"/>
            <w:tcBorders>
              <w:top w:val="nil"/>
              <w:left w:val="nil"/>
              <w:bottom w:val="nil"/>
              <w:right w:val="nil"/>
            </w:tcBorders>
            <w:noWrap w:val="0"/>
            <w:vAlign w:val="center"/>
          </w:tcPr>
          <w:p w14:paraId="407DEE76">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r>
      <w:tr w14:paraId="33F19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45" w:type="dxa"/>
            <w:gridSpan w:val="2"/>
            <w:tcBorders>
              <w:top w:val="single" w:color="000000" w:sz="4" w:space="0"/>
              <w:left w:val="single" w:color="000000" w:sz="4" w:space="0"/>
              <w:bottom w:val="single" w:color="000000" w:sz="4" w:space="0"/>
              <w:right w:val="single" w:color="000000" w:sz="4" w:space="0"/>
            </w:tcBorders>
            <w:noWrap w:val="0"/>
            <w:vAlign w:val="center"/>
          </w:tcPr>
          <w:p w14:paraId="517956F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noWrap w:val="0"/>
            <w:vAlign w:val="center"/>
          </w:tcPr>
          <w:p w14:paraId="65499A9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51322325T000013802947-关于解决党风廉政建设及集中整治专项工作</w:t>
            </w:r>
          </w:p>
        </w:tc>
      </w:tr>
      <w:tr w14:paraId="78BD2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6" w:hRule="atLeast"/>
        </w:trPr>
        <w:tc>
          <w:tcPr>
            <w:tcW w:w="2745" w:type="dxa"/>
            <w:gridSpan w:val="2"/>
            <w:tcBorders>
              <w:top w:val="single" w:color="000000" w:sz="4" w:space="0"/>
              <w:left w:val="single" w:color="000000" w:sz="4" w:space="0"/>
              <w:bottom w:val="single" w:color="000000" w:sz="4" w:space="0"/>
              <w:right w:val="single" w:color="000000" w:sz="4" w:space="0"/>
            </w:tcBorders>
            <w:noWrap w:val="0"/>
            <w:vAlign w:val="center"/>
          </w:tcPr>
          <w:p w14:paraId="0B78C04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noWrap w:val="0"/>
            <w:vAlign w:val="center"/>
          </w:tcPr>
          <w:p w14:paraId="16392EA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中国共产党茂县纪律检查委员会</w:t>
            </w:r>
          </w:p>
        </w:tc>
        <w:tc>
          <w:tcPr>
            <w:tcW w:w="1095" w:type="dxa"/>
            <w:tcBorders>
              <w:top w:val="nil"/>
              <w:left w:val="nil"/>
              <w:bottom w:val="nil"/>
              <w:right w:val="nil"/>
            </w:tcBorders>
            <w:noWrap w:val="0"/>
            <w:vAlign w:val="center"/>
          </w:tcPr>
          <w:p w14:paraId="4D91005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noWrap w:val="0"/>
            <w:vAlign w:val="center"/>
          </w:tcPr>
          <w:p w14:paraId="6E1071D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中共茂县纪律检查委员会监察委员会机关（行政）</w:t>
            </w:r>
          </w:p>
        </w:tc>
      </w:tr>
      <w:tr w14:paraId="56FB5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14:paraId="6964830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42751E4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noWrap w:val="0"/>
            <w:vAlign w:val="center"/>
          </w:tcPr>
          <w:p w14:paraId="121015E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noWrap w:val="0"/>
            <w:vAlign w:val="center"/>
          </w:tcPr>
          <w:p w14:paraId="6F7C0B0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2F332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3B602B">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B9155E">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6765" w:type="dxa"/>
            <w:gridSpan w:val="5"/>
            <w:tcBorders>
              <w:top w:val="single" w:color="000000" w:sz="4" w:space="0"/>
              <w:left w:val="single" w:color="000000" w:sz="4" w:space="0"/>
              <w:bottom w:val="single" w:color="000000" w:sz="4" w:space="0"/>
              <w:right w:val="single" w:color="000000" w:sz="4" w:space="0"/>
            </w:tcBorders>
            <w:noWrap w:val="0"/>
            <w:vAlign w:val="center"/>
          </w:tcPr>
          <w:p w14:paraId="3F8480B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完成专项整治、深入贯彻中央八项规定精神学习教育等党风廉政建设及集中整治专项工作</w:t>
            </w:r>
          </w:p>
        </w:tc>
        <w:tc>
          <w:tcPr>
            <w:tcW w:w="4605" w:type="dxa"/>
            <w:gridSpan w:val="4"/>
            <w:tcBorders>
              <w:top w:val="single" w:color="000000" w:sz="4" w:space="0"/>
              <w:left w:val="single" w:color="000000" w:sz="4" w:space="0"/>
              <w:bottom w:val="single" w:color="000000" w:sz="4" w:space="0"/>
              <w:right w:val="single" w:color="000000" w:sz="4" w:space="0"/>
            </w:tcBorders>
            <w:noWrap w:val="0"/>
            <w:vAlign w:val="center"/>
          </w:tcPr>
          <w:p w14:paraId="05835F4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7C521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717FCA">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0160A83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noWrap w:val="0"/>
            <w:vAlign w:val="center"/>
          </w:tcPr>
          <w:p w14:paraId="3315E61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深入贯彻中央八项规定精神学习教育等党风廉政建设及集中整治专项工作</w:t>
            </w:r>
          </w:p>
        </w:tc>
      </w:tr>
      <w:tr w14:paraId="39E73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14:paraId="2628BE4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6560401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786F57B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31E193F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7CD0C77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06D68CF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772449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3F00842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2AE8602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7E8B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46C57">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4796A2B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4F7A918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396FE4E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70.21</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026B65D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70.21</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5657945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748EC27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2793BEDC">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vMerge w:val="restart"/>
            <w:tcBorders>
              <w:top w:val="single" w:color="000000" w:sz="4" w:space="0"/>
              <w:left w:val="single" w:color="000000" w:sz="4" w:space="0"/>
              <w:bottom w:val="single" w:color="000000" w:sz="4" w:space="0"/>
              <w:right w:val="single" w:color="000000" w:sz="4" w:space="0"/>
            </w:tcBorders>
            <w:noWrap w:val="0"/>
            <w:vAlign w:val="center"/>
          </w:tcPr>
          <w:p w14:paraId="1FB3DB5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9857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32C8B9">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12443F8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075E874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551EE52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70.21</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5FFDD48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70.21</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06E3E1D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10F3C8D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0953973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25A6F">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7EB1C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38D96">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3A8F932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6EE12AC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7AC618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5C0A366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637ED9F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C2A97A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5D99D8A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3B150F">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0CE5E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B745D6">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039E961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69BCDC5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28862C3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1E01729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208F5EE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59D4C0C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6A90E90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6F345">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25D7D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3"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4FAC6F">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4D7604E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299D1AA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4776DB96">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7EFB9505">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776AC911">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6B2844B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4C045B9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A2414C">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266FF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3" w:hRule="atLeast"/>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14:paraId="02795AA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79A3DAB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3107255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2893A37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6B1B4B7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1216F65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23F9C4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0991C8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12F7792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5C3BB2E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371A3A7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5132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58FEF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60C75BD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711C0C1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7E0D1E6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开展大方向工作的项目数</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328A94E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741663C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0C22BA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210887DA">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00B35FF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5BD159E7">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7F689FA7">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2E670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D1D6B">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7E48E8">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38D7DD6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6BCF0BE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最终验收合格率</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5B19006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3C2E6AE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5966C76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03542363">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30F345E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7DFEE66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7455D562">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25F3A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E4999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83024">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0215972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13A1A29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54E09BB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703CB40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2EA9475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5ECD8AA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6293882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37EE2ABF">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428F8B7B">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28F36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AC773">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4A5E05B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790686C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52CAFCA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该两项工作的顺利开展对社会所带来的良好风气指标</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4320E62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55C1AFA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4D5E4A0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014D9DE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7AA78E9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70AE2D61">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4E42BBF9">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45829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4AD6C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1875C8">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314F370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0E82059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该两项工作的开展对社会的良好发展所带来的可持续影响率</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55F332E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36CE7BD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03C778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30326B7">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61FA81B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3477C465">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53D7C08A">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30E3D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527F17">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3F6FA52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012B013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793122F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对工作所带来的保障满意度</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58AE0B4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3668A47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3062A5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58F002E6">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09A8A75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51973E32">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04867D90">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0684C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6131E4">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33DBF6F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5AE9608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57C477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专项整治工作开展成本控制</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0A9A6FB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7E23F9E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EFF4D8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3439E9BE">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558D03A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6525221A">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052C536C">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48E33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605" w:type="dxa"/>
            <w:gridSpan w:val="8"/>
            <w:tcBorders>
              <w:top w:val="single" w:color="000000" w:sz="4" w:space="0"/>
              <w:left w:val="single" w:color="000000" w:sz="4" w:space="0"/>
              <w:bottom w:val="single" w:color="000000" w:sz="4" w:space="0"/>
              <w:right w:val="single" w:color="000000" w:sz="4" w:space="0"/>
            </w:tcBorders>
            <w:noWrap w:val="0"/>
            <w:vAlign w:val="center"/>
          </w:tcPr>
          <w:p w14:paraId="4BEB24C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1177B41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45C0EA2D">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271C022C">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r>
      <w:tr w14:paraId="76D11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1AE65BB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noWrap w:val="0"/>
            <w:vAlign w:val="center"/>
          </w:tcPr>
          <w:p w14:paraId="54AAD91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深入贯彻了中央八项规定精神学习教育等党风廉政建设及集中整治专项工作</w:t>
            </w:r>
          </w:p>
        </w:tc>
      </w:tr>
      <w:tr w14:paraId="7B2F9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69B32C9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noWrap w:val="0"/>
            <w:vAlign w:val="center"/>
          </w:tcPr>
          <w:p w14:paraId="3051F92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60419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1F731DE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noWrap w:val="0"/>
            <w:vAlign w:val="center"/>
          </w:tcPr>
          <w:p w14:paraId="3614E24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6ED1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05" w:type="dxa"/>
            <w:gridSpan w:val="5"/>
            <w:tcBorders>
              <w:top w:val="single" w:color="000000" w:sz="4" w:space="0"/>
              <w:left w:val="single" w:color="000000" w:sz="4" w:space="0"/>
              <w:bottom w:val="single" w:color="000000" w:sz="4" w:space="0"/>
              <w:right w:val="single" w:color="000000" w:sz="4" w:space="0"/>
            </w:tcBorders>
            <w:noWrap w:val="0"/>
            <w:vAlign w:val="center"/>
          </w:tcPr>
          <w:p w14:paraId="62F5D89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项目负责人：李福浩</w:t>
            </w:r>
          </w:p>
        </w:tc>
        <w:tc>
          <w:tcPr>
            <w:tcW w:w="6810" w:type="dxa"/>
            <w:gridSpan w:val="6"/>
            <w:tcBorders>
              <w:top w:val="single" w:color="000000" w:sz="4" w:space="0"/>
              <w:left w:val="single" w:color="000000" w:sz="4" w:space="0"/>
              <w:bottom w:val="single" w:color="000000" w:sz="4" w:space="0"/>
              <w:right w:val="single" w:color="000000" w:sz="4" w:space="0"/>
            </w:tcBorders>
            <w:noWrap w:val="0"/>
            <w:vAlign w:val="center"/>
          </w:tcPr>
          <w:p w14:paraId="3B1E017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财务负责人：李天军</w:t>
            </w:r>
          </w:p>
        </w:tc>
      </w:tr>
      <w:tr w14:paraId="05B48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0" w:type="dxa"/>
            <w:tcBorders>
              <w:top w:val="nil"/>
              <w:left w:val="nil"/>
              <w:bottom w:val="nil"/>
              <w:right w:val="nil"/>
            </w:tcBorders>
            <w:noWrap w:val="0"/>
            <w:vAlign w:val="center"/>
          </w:tcPr>
          <w:p w14:paraId="06FC72F3">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055" w:type="dxa"/>
            <w:tcBorders>
              <w:top w:val="nil"/>
              <w:left w:val="nil"/>
              <w:bottom w:val="nil"/>
              <w:right w:val="nil"/>
            </w:tcBorders>
            <w:noWrap w:val="0"/>
            <w:vAlign w:val="center"/>
          </w:tcPr>
          <w:p w14:paraId="3D01BFAF">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noWrap w:val="0"/>
            <w:vAlign w:val="center"/>
          </w:tcPr>
          <w:p w14:paraId="7A831D2D">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593" w:type="dxa"/>
            <w:tcBorders>
              <w:top w:val="nil"/>
              <w:left w:val="nil"/>
              <w:bottom w:val="nil"/>
              <w:right w:val="nil"/>
            </w:tcBorders>
            <w:noWrap w:val="0"/>
            <w:vAlign w:val="center"/>
          </w:tcPr>
          <w:p w14:paraId="7FA42D34">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197" w:type="dxa"/>
            <w:tcBorders>
              <w:top w:val="nil"/>
              <w:left w:val="nil"/>
              <w:bottom w:val="nil"/>
              <w:right w:val="nil"/>
            </w:tcBorders>
            <w:noWrap w:val="0"/>
            <w:vAlign w:val="center"/>
          </w:tcPr>
          <w:p w14:paraId="0FCD19B3">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680" w:type="dxa"/>
            <w:tcBorders>
              <w:top w:val="nil"/>
              <w:left w:val="nil"/>
              <w:bottom w:val="nil"/>
              <w:right w:val="nil"/>
            </w:tcBorders>
            <w:noWrap w:val="0"/>
            <w:vAlign w:val="center"/>
          </w:tcPr>
          <w:p w14:paraId="0D3472EC">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noWrap w:val="0"/>
            <w:vAlign w:val="center"/>
          </w:tcPr>
          <w:p w14:paraId="12EC16ED">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095" w:type="dxa"/>
            <w:tcBorders>
              <w:top w:val="nil"/>
              <w:left w:val="nil"/>
              <w:bottom w:val="nil"/>
              <w:right w:val="nil"/>
            </w:tcBorders>
            <w:noWrap w:val="0"/>
            <w:vAlign w:val="center"/>
          </w:tcPr>
          <w:p w14:paraId="58ADCF4E">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noWrap w:val="0"/>
            <w:vAlign w:val="center"/>
          </w:tcPr>
          <w:p w14:paraId="088172C0">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noWrap w:val="0"/>
            <w:vAlign w:val="center"/>
          </w:tcPr>
          <w:p w14:paraId="118F3996">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550" w:type="dxa"/>
            <w:tcBorders>
              <w:top w:val="nil"/>
              <w:left w:val="nil"/>
              <w:bottom w:val="nil"/>
              <w:right w:val="nil"/>
            </w:tcBorders>
            <w:noWrap w:val="0"/>
            <w:vAlign w:val="center"/>
          </w:tcPr>
          <w:p w14:paraId="06F77818">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r>
      <w:tr w14:paraId="6A214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45" w:type="dxa"/>
            <w:gridSpan w:val="2"/>
            <w:tcBorders>
              <w:top w:val="single" w:color="000000" w:sz="4" w:space="0"/>
              <w:left w:val="single" w:color="000000" w:sz="4" w:space="0"/>
              <w:bottom w:val="single" w:color="000000" w:sz="4" w:space="0"/>
              <w:right w:val="single" w:color="000000" w:sz="4" w:space="0"/>
            </w:tcBorders>
            <w:noWrap w:val="0"/>
            <w:vAlign w:val="center"/>
          </w:tcPr>
          <w:p w14:paraId="781227E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noWrap w:val="0"/>
            <w:vAlign w:val="center"/>
          </w:tcPr>
          <w:p w14:paraId="21F97A8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51322325T000013976306-茂县交往交流交融项目</w:t>
            </w:r>
          </w:p>
        </w:tc>
      </w:tr>
      <w:tr w14:paraId="52AC4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45" w:type="dxa"/>
            <w:gridSpan w:val="2"/>
            <w:tcBorders>
              <w:top w:val="single" w:color="000000" w:sz="4" w:space="0"/>
              <w:left w:val="single" w:color="000000" w:sz="4" w:space="0"/>
              <w:bottom w:val="single" w:color="000000" w:sz="4" w:space="0"/>
              <w:right w:val="single" w:color="000000" w:sz="4" w:space="0"/>
            </w:tcBorders>
            <w:noWrap w:val="0"/>
            <w:vAlign w:val="center"/>
          </w:tcPr>
          <w:p w14:paraId="100CA55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noWrap w:val="0"/>
            <w:vAlign w:val="center"/>
          </w:tcPr>
          <w:p w14:paraId="39F455D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中国共产党茂县纪律检查委员会</w:t>
            </w:r>
          </w:p>
        </w:tc>
        <w:tc>
          <w:tcPr>
            <w:tcW w:w="1095" w:type="dxa"/>
            <w:tcBorders>
              <w:top w:val="nil"/>
              <w:left w:val="nil"/>
              <w:bottom w:val="nil"/>
              <w:right w:val="nil"/>
            </w:tcBorders>
            <w:noWrap w:val="0"/>
            <w:vAlign w:val="center"/>
          </w:tcPr>
          <w:p w14:paraId="3645D1B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noWrap w:val="0"/>
            <w:vAlign w:val="center"/>
          </w:tcPr>
          <w:p w14:paraId="5904A02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中共茂县纪律检查委员会监察委员会机关（行政）</w:t>
            </w:r>
          </w:p>
        </w:tc>
      </w:tr>
      <w:tr w14:paraId="02C52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14:paraId="4250F58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1E5A700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noWrap w:val="0"/>
            <w:vAlign w:val="center"/>
          </w:tcPr>
          <w:p w14:paraId="68CED78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noWrap w:val="0"/>
            <w:vAlign w:val="center"/>
          </w:tcPr>
          <w:p w14:paraId="37D0369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29B09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8351E">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CC769A">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6765" w:type="dxa"/>
            <w:gridSpan w:val="5"/>
            <w:tcBorders>
              <w:top w:val="single" w:color="000000" w:sz="4" w:space="0"/>
              <w:left w:val="single" w:color="000000" w:sz="4" w:space="0"/>
              <w:bottom w:val="single" w:color="000000" w:sz="4" w:space="0"/>
              <w:right w:val="single" w:color="000000" w:sz="4" w:space="0"/>
            </w:tcBorders>
            <w:noWrap w:val="0"/>
            <w:vAlign w:val="center"/>
          </w:tcPr>
          <w:p w14:paraId="2BD095F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为促进各民族交往交流交融,结合工作实际需要所分配的交流学习资金,使整个交往交流交融事项得到有效开展</w:t>
            </w:r>
          </w:p>
        </w:tc>
        <w:tc>
          <w:tcPr>
            <w:tcW w:w="4605" w:type="dxa"/>
            <w:gridSpan w:val="4"/>
            <w:tcBorders>
              <w:top w:val="single" w:color="000000" w:sz="4" w:space="0"/>
              <w:left w:val="single" w:color="000000" w:sz="4" w:space="0"/>
              <w:bottom w:val="single" w:color="000000" w:sz="4" w:space="0"/>
              <w:right w:val="single" w:color="000000" w:sz="4" w:space="0"/>
            </w:tcBorders>
            <w:noWrap w:val="0"/>
            <w:vAlign w:val="center"/>
          </w:tcPr>
          <w:p w14:paraId="671F70A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6BDFD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5D4EF">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3D4CF7D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noWrap w:val="0"/>
            <w:vAlign w:val="center"/>
          </w:tcPr>
          <w:p w14:paraId="60DFFF5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通过此次交往交融项目的开展，使参与人员的能力得到进一步提升</w:t>
            </w:r>
          </w:p>
        </w:tc>
      </w:tr>
      <w:tr w14:paraId="45A36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14:paraId="3CD9218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71724AB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3F5FCBF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65379E4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5D1EEF8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7EC1CA7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38F2851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7071AE5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431F5C4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55C8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0828F">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4B235C0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3101D68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5C2CA59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39A7DAF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57673E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78CAA24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6694B0B6">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57CC14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65FE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B52F7">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460C59A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5D99FD0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1D514BB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48F37C4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06F38E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1E5F129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6C6433E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3C739E">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656A6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B41FC">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5B60D7A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13A05EF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0718B75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5965A00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5895CC4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066908B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24643B6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EE1769">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7A3CF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BD9D2F">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2EFD6EF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187A598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3B867CC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52E5E38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74481FC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305461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32E0575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AA75BA">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0D6BE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69148">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13603B9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1AC68657">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43A1309A">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69A217D5">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07F1101">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2BF9FE0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705FE58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63928">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19909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14:paraId="23E3354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2A2BCAF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2BF299F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4670085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7DE7643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42A838C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6DC79C5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03C7069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ECE344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1941F82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659E5DA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78FB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4D99F">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45209D1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noWrap w:val="0"/>
            <w:vAlign w:val="center"/>
          </w:tcPr>
          <w:p w14:paraId="4226073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64D76F7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参与交流人数</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08D3408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507C6B7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04E1D00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0951AF30">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339FD4D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21886D6A">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3EE64047">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6DF99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825DA">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651F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9A83A7">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6462D38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开展交流所需资金</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5072975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1953059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6141919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70F502D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57E10EA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4ED7160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6DA2B2AA">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04A53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BC4516">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5ADFA">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4EC0419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5618DED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经费支出合规率</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6E39BE6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210FAF8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38C6A8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2541F59A">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B17758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6B9F2C10">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6B9E835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5E6E8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2F5CE">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4BB0E">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7D5DC95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3D2927E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12435DC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7690B7B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6A40ED8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7B961EE6">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67DE9AB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3C369C0E">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217A77CF">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224CD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0D590">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0BBAF92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422FA28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01A9692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培训效果对以后工作开展所带来的持续性影响效率</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1DD0F19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47EEE80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50B60A0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26206865">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759D983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482F3B1E">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30E0A610">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4CDEF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BA749">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1EE5D53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506D60F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73FCFEF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通过交流培训人员的满意度</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5BC105A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60780A4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0A3F7A4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2B264641">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0E83DA5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1E1A49BE">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72C2232F">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4AD16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5A06F2">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4EB2043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61ACD4B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56FDCA7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0B4F161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75FD873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22A703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79BA09FA">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CC765F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38EBD434">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58715798">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5BFA5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605" w:type="dxa"/>
            <w:gridSpan w:val="8"/>
            <w:tcBorders>
              <w:top w:val="single" w:color="000000" w:sz="4" w:space="0"/>
              <w:left w:val="single" w:color="000000" w:sz="4" w:space="0"/>
              <w:bottom w:val="single" w:color="000000" w:sz="4" w:space="0"/>
              <w:right w:val="single" w:color="000000" w:sz="4" w:space="0"/>
            </w:tcBorders>
            <w:noWrap w:val="0"/>
            <w:vAlign w:val="center"/>
          </w:tcPr>
          <w:p w14:paraId="4D13FDD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0F64786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53AD844E">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52F955FA">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r>
      <w:tr w14:paraId="5ECEC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5901DD2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noWrap w:val="0"/>
            <w:vAlign w:val="center"/>
          </w:tcPr>
          <w:p w14:paraId="6CFE23A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通过此次交往交融项目的开展，使参与人员的能力得到进一步提升</w:t>
            </w:r>
          </w:p>
        </w:tc>
      </w:tr>
      <w:tr w14:paraId="27D97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43D1D86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noWrap w:val="0"/>
            <w:vAlign w:val="center"/>
          </w:tcPr>
          <w:p w14:paraId="25AF345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A291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3D5E9F5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noWrap w:val="0"/>
            <w:vAlign w:val="center"/>
          </w:tcPr>
          <w:p w14:paraId="1ED584D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4E668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05" w:type="dxa"/>
            <w:gridSpan w:val="5"/>
            <w:tcBorders>
              <w:top w:val="single" w:color="000000" w:sz="4" w:space="0"/>
              <w:left w:val="single" w:color="000000" w:sz="4" w:space="0"/>
              <w:bottom w:val="single" w:color="000000" w:sz="4" w:space="0"/>
              <w:right w:val="single" w:color="000000" w:sz="4" w:space="0"/>
            </w:tcBorders>
            <w:noWrap w:val="0"/>
            <w:vAlign w:val="center"/>
          </w:tcPr>
          <w:p w14:paraId="5CA166C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项目负责人：李福浩</w:t>
            </w:r>
          </w:p>
        </w:tc>
        <w:tc>
          <w:tcPr>
            <w:tcW w:w="6810" w:type="dxa"/>
            <w:gridSpan w:val="6"/>
            <w:tcBorders>
              <w:top w:val="single" w:color="000000" w:sz="4" w:space="0"/>
              <w:left w:val="single" w:color="000000" w:sz="4" w:space="0"/>
              <w:bottom w:val="single" w:color="000000" w:sz="4" w:space="0"/>
              <w:right w:val="single" w:color="000000" w:sz="4" w:space="0"/>
            </w:tcBorders>
            <w:noWrap w:val="0"/>
            <w:vAlign w:val="center"/>
          </w:tcPr>
          <w:p w14:paraId="48AC6D2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财务负责人：李天军</w:t>
            </w:r>
          </w:p>
        </w:tc>
      </w:tr>
      <w:tr w14:paraId="77A85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0" w:type="dxa"/>
            <w:tcBorders>
              <w:top w:val="nil"/>
              <w:left w:val="nil"/>
              <w:bottom w:val="nil"/>
              <w:right w:val="nil"/>
            </w:tcBorders>
            <w:noWrap w:val="0"/>
            <w:vAlign w:val="center"/>
          </w:tcPr>
          <w:p w14:paraId="66EA3A4D">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055" w:type="dxa"/>
            <w:tcBorders>
              <w:top w:val="nil"/>
              <w:left w:val="nil"/>
              <w:bottom w:val="nil"/>
              <w:right w:val="nil"/>
            </w:tcBorders>
            <w:noWrap w:val="0"/>
            <w:vAlign w:val="center"/>
          </w:tcPr>
          <w:p w14:paraId="0910BCF0">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noWrap w:val="0"/>
            <w:vAlign w:val="center"/>
          </w:tcPr>
          <w:p w14:paraId="4402FD33">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593" w:type="dxa"/>
            <w:tcBorders>
              <w:top w:val="nil"/>
              <w:left w:val="nil"/>
              <w:bottom w:val="nil"/>
              <w:right w:val="nil"/>
            </w:tcBorders>
            <w:noWrap w:val="0"/>
            <w:vAlign w:val="center"/>
          </w:tcPr>
          <w:p w14:paraId="40969A74">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197" w:type="dxa"/>
            <w:tcBorders>
              <w:top w:val="nil"/>
              <w:left w:val="nil"/>
              <w:bottom w:val="nil"/>
              <w:right w:val="nil"/>
            </w:tcBorders>
            <w:noWrap w:val="0"/>
            <w:vAlign w:val="center"/>
          </w:tcPr>
          <w:p w14:paraId="607E8EF8">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680" w:type="dxa"/>
            <w:tcBorders>
              <w:top w:val="nil"/>
              <w:left w:val="nil"/>
              <w:bottom w:val="nil"/>
              <w:right w:val="nil"/>
            </w:tcBorders>
            <w:noWrap w:val="0"/>
            <w:vAlign w:val="center"/>
          </w:tcPr>
          <w:p w14:paraId="11D1E8E0">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noWrap w:val="0"/>
            <w:vAlign w:val="center"/>
          </w:tcPr>
          <w:p w14:paraId="49C50F9C">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1095" w:type="dxa"/>
            <w:tcBorders>
              <w:top w:val="nil"/>
              <w:left w:val="nil"/>
              <w:bottom w:val="nil"/>
              <w:right w:val="nil"/>
            </w:tcBorders>
            <w:noWrap w:val="0"/>
            <w:vAlign w:val="center"/>
          </w:tcPr>
          <w:p w14:paraId="28F80BDF">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noWrap w:val="0"/>
            <w:vAlign w:val="center"/>
          </w:tcPr>
          <w:p w14:paraId="6B469D8D">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noWrap w:val="0"/>
            <w:vAlign w:val="center"/>
          </w:tcPr>
          <w:p w14:paraId="0EB656DC">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550" w:type="dxa"/>
            <w:tcBorders>
              <w:top w:val="nil"/>
              <w:left w:val="nil"/>
              <w:bottom w:val="nil"/>
              <w:right w:val="nil"/>
            </w:tcBorders>
            <w:noWrap w:val="0"/>
            <w:vAlign w:val="center"/>
          </w:tcPr>
          <w:p w14:paraId="1250811A">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r>
      <w:tr w14:paraId="4201C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45" w:type="dxa"/>
            <w:gridSpan w:val="2"/>
            <w:tcBorders>
              <w:top w:val="single" w:color="000000" w:sz="4" w:space="0"/>
              <w:left w:val="single" w:color="000000" w:sz="4" w:space="0"/>
              <w:bottom w:val="single" w:color="000000" w:sz="4" w:space="0"/>
              <w:right w:val="single" w:color="000000" w:sz="4" w:space="0"/>
            </w:tcBorders>
            <w:noWrap w:val="0"/>
            <w:vAlign w:val="center"/>
          </w:tcPr>
          <w:p w14:paraId="0589176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noWrap w:val="0"/>
            <w:vAlign w:val="center"/>
          </w:tcPr>
          <w:p w14:paraId="1C0B04B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51322326T000014299752-关于解决2025年相关工作经费</w:t>
            </w:r>
          </w:p>
        </w:tc>
      </w:tr>
      <w:tr w14:paraId="7DEFE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45" w:type="dxa"/>
            <w:gridSpan w:val="2"/>
            <w:tcBorders>
              <w:top w:val="single" w:color="000000" w:sz="4" w:space="0"/>
              <w:left w:val="single" w:color="000000" w:sz="4" w:space="0"/>
              <w:bottom w:val="single" w:color="000000" w:sz="4" w:space="0"/>
              <w:right w:val="single" w:color="000000" w:sz="4" w:space="0"/>
            </w:tcBorders>
            <w:noWrap w:val="0"/>
            <w:vAlign w:val="center"/>
          </w:tcPr>
          <w:p w14:paraId="43D226E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noWrap w:val="0"/>
            <w:vAlign w:val="center"/>
          </w:tcPr>
          <w:p w14:paraId="58A2C8B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中国共产党茂县纪律检查委员会</w:t>
            </w:r>
          </w:p>
        </w:tc>
        <w:tc>
          <w:tcPr>
            <w:tcW w:w="1095" w:type="dxa"/>
            <w:tcBorders>
              <w:top w:val="nil"/>
              <w:left w:val="nil"/>
              <w:bottom w:val="nil"/>
              <w:right w:val="nil"/>
            </w:tcBorders>
            <w:noWrap w:val="0"/>
            <w:vAlign w:val="center"/>
          </w:tcPr>
          <w:p w14:paraId="7243AC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noWrap w:val="0"/>
            <w:vAlign w:val="center"/>
          </w:tcPr>
          <w:p w14:paraId="4397C53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中共茂县纪律检查委员会监察委员会机关（行政）</w:t>
            </w:r>
          </w:p>
        </w:tc>
      </w:tr>
      <w:tr w14:paraId="41AFC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14:paraId="39A9366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4C6A320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noWrap w:val="0"/>
            <w:vAlign w:val="center"/>
          </w:tcPr>
          <w:p w14:paraId="286FE13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noWrap w:val="0"/>
            <w:vAlign w:val="center"/>
          </w:tcPr>
          <w:p w14:paraId="5C0C9ED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45ADB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BB078">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44508D">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6765" w:type="dxa"/>
            <w:gridSpan w:val="5"/>
            <w:tcBorders>
              <w:top w:val="single" w:color="000000" w:sz="4" w:space="0"/>
              <w:left w:val="single" w:color="000000" w:sz="4" w:space="0"/>
              <w:bottom w:val="single" w:color="000000" w:sz="4" w:space="0"/>
              <w:right w:val="single" w:color="000000" w:sz="4" w:space="0"/>
            </w:tcBorders>
            <w:noWrap w:val="0"/>
            <w:vAlign w:val="center"/>
          </w:tcPr>
          <w:p w14:paraId="4C15993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为保障纪检监察工作、巡察工作正常开展</w:t>
            </w:r>
          </w:p>
        </w:tc>
        <w:tc>
          <w:tcPr>
            <w:tcW w:w="4605" w:type="dxa"/>
            <w:gridSpan w:val="4"/>
            <w:tcBorders>
              <w:top w:val="single" w:color="000000" w:sz="4" w:space="0"/>
              <w:left w:val="single" w:color="000000" w:sz="4" w:space="0"/>
              <w:bottom w:val="single" w:color="000000" w:sz="4" w:space="0"/>
              <w:right w:val="single" w:color="000000" w:sz="4" w:space="0"/>
            </w:tcBorders>
            <w:noWrap w:val="0"/>
            <w:vAlign w:val="center"/>
          </w:tcPr>
          <w:p w14:paraId="0C391AF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5EE64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F70DA2">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32A66DB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noWrap w:val="0"/>
            <w:vAlign w:val="center"/>
          </w:tcPr>
          <w:p w14:paraId="1683172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经费的及时拨付使各项工作得以有序开展</w:t>
            </w:r>
          </w:p>
        </w:tc>
      </w:tr>
      <w:tr w14:paraId="4FCFA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14:paraId="343878F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60C76CB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5F5FA92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15F5696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7A56DAC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4535142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7D8DA49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412CC43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4B7AF5E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0180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8EC3DC">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6510EFB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5EA518A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226390C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43.16</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350A6B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43.16</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78D0E52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52510F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35AF27DB">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131780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A4F7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D011C">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76A4AED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0C64066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65C943C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43.16</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34B6517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43.16</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26AE379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1D10CE9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4D0A418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50D7D3">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02C62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99E958">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203DCD4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1DA9126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7A543C4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4C86C2C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6628759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6F51C0B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532D4EE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D78930">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7850F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09D4D6">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450AAD7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6D371E5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23414BF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33B9071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64E0E36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5A0C324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4B39263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5B4B3F">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02457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6632A9">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18797D3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5B5D72E6">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48322C2A">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14:paraId="6F7F94C9">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E824D62">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0B8F8BC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0AD4063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BC2262">
            <w:pPr>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simhei" w:hAnsi="simhei" w:eastAsia="simhei" w:cs="simhei"/>
                <w:i/>
                <w:iCs/>
                <w:color w:val="000000"/>
                <w:sz w:val="18"/>
                <w:szCs w:val="18"/>
                <w:u w:val="none"/>
              </w:rPr>
            </w:pPr>
          </w:p>
        </w:tc>
      </w:tr>
      <w:tr w14:paraId="4C4C3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14:paraId="3A1C11C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3C744BC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7187588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6EFE6D9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6880DE0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48B220D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AD9343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A1CAE5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A1EF7B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64CD307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3AB2D94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9A87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7DED49">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5BED5B5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01CDF96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0A45526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线索处置完成率</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35B6E6C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2255842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4CBB591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22C7188F">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58DE569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5870B84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7BD51339">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2A4AF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A30342">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37CA7">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36B55EE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1CE8D21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案件办理优质率</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73658B1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38D97DF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517D8C8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B659A40">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6664B92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1CE0C18E">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3E7BE74B">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5B211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83C92">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3FA359">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6E8B93C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4234108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资金拨付的时效性</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295D25A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25C1E90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23EABAF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62C3B1E8">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3F89790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76B1F1A4">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5C809487">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3ECF5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BC3F58">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312BF80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75A4E3B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51E3310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日常纪检监察和巡察工作的有效开展对财政资金挽回损失率</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29E1B3D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00B1D6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CD6E14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474496F2">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620B5B1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1F2A2A6C">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769C9921">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47545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188DC">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66CA1">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12DAA5C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10A4420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日常纪检监察和巡察工作的有效开展对社会的正气之风所带来的社会效益</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4309608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20EA430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4930D51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39DE69C2">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60949BD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728D481F">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5AD0C69E">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4F003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1FA9BE">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27C3BF7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157F262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242200E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日常纪检监察和巡察工作的有效开展得到老百姓认可的满意度指标</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3C9C878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78B36A8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1FD08B6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7BE42CB9">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CB8D22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76E728B3">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69236823">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4B3F3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33FBD0">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2D72E91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47F21D4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14:paraId="28FDDA2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项目预算经费</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7C344B9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4889E33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FDFD4F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4795F362">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364D78A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570D5EE3">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0EEDB4DC">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微软雅黑" w:hAnsi="微软雅黑" w:eastAsia="微软雅黑" w:cs="微软雅黑"/>
                <w:i/>
                <w:iCs/>
                <w:color w:val="000000"/>
                <w:sz w:val="16"/>
                <w:szCs w:val="16"/>
                <w:u w:val="none"/>
              </w:rPr>
            </w:pPr>
          </w:p>
        </w:tc>
      </w:tr>
      <w:tr w14:paraId="0D521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605" w:type="dxa"/>
            <w:gridSpan w:val="8"/>
            <w:tcBorders>
              <w:top w:val="single" w:color="000000" w:sz="4" w:space="0"/>
              <w:left w:val="single" w:color="000000" w:sz="4" w:space="0"/>
              <w:bottom w:val="single" w:color="000000" w:sz="4" w:space="0"/>
              <w:right w:val="single" w:color="000000" w:sz="4" w:space="0"/>
            </w:tcBorders>
            <w:noWrap w:val="0"/>
            <w:vAlign w:val="center"/>
          </w:tcPr>
          <w:p w14:paraId="3CA54CB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335CF17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3AE5B849">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3CC251D3">
            <w:pPr>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i w:val="0"/>
                <w:iCs w:val="0"/>
                <w:color w:val="000000"/>
                <w:sz w:val="18"/>
                <w:szCs w:val="18"/>
                <w:u w:val="none"/>
              </w:rPr>
            </w:pPr>
          </w:p>
        </w:tc>
      </w:tr>
      <w:tr w14:paraId="683D0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52E5CA3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noWrap w:val="0"/>
            <w:vAlign w:val="center"/>
          </w:tcPr>
          <w:p w14:paraId="789A51A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经费的及时拨付使各项工作得以有序开展</w:t>
            </w:r>
          </w:p>
        </w:tc>
      </w:tr>
      <w:tr w14:paraId="761D4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2B6AC16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noWrap w:val="0"/>
            <w:vAlign w:val="center"/>
          </w:tcPr>
          <w:p w14:paraId="55871C6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28BA8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5AEA396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noWrap w:val="0"/>
            <w:vAlign w:val="center"/>
          </w:tcPr>
          <w:p w14:paraId="4BB938D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1A2A4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05" w:type="dxa"/>
            <w:gridSpan w:val="5"/>
            <w:tcBorders>
              <w:top w:val="single" w:color="000000" w:sz="4" w:space="0"/>
              <w:left w:val="single" w:color="000000" w:sz="4" w:space="0"/>
              <w:bottom w:val="single" w:color="000000" w:sz="4" w:space="0"/>
              <w:right w:val="single" w:color="000000" w:sz="4" w:space="0"/>
            </w:tcBorders>
            <w:noWrap w:val="0"/>
            <w:vAlign w:val="center"/>
          </w:tcPr>
          <w:p w14:paraId="700A919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项目负责人：李福浩</w:t>
            </w:r>
          </w:p>
        </w:tc>
        <w:tc>
          <w:tcPr>
            <w:tcW w:w="6810" w:type="dxa"/>
            <w:gridSpan w:val="6"/>
            <w:tcBorders>
              <w:top w:val="single" w:color="000000" w:sz="4" w:space="0"/>
              <w:left w:val="single" w:color="000000" w:sz="4" w:space="0"/>
              <w:bottom w:val="single" w:color="000000" w:sz="4" w:space="0"/>
              <w:right w:val="single" w:color="000000" w:sz="4" w:space="0"/>
            </w:tcBorders>
            <w:noWrap w:val="0"/>
            <w:vAlign w:val="center"/>
          </w:tcPr>
          <w:p w14:paraId="3EE5DE3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财务负责人：李天军</w:t>
            </w:r>
          </w:p>
        </w:tc>
      </w:tr>
    </w:tbl>
    <w:p w14:paraId="3771D006">
      <w:pPr>
        <w:pStyle w:val="5"/>
        <w:rPr>
          <w:rFonts w:hint="eastAsia" w:ascii="Times New Roman" w:hAnsi="Times New Roman" w:cs="宋体"/>
          <w:color w:val="FF0000"/>
          <w:kern w:val="0"/>
          <w:sz w:val="32"/>
          <w:szCs w:val="32"/>
          <w:highlight w:val="yellow"/>
          <w:shd w:val="clear" w:color="auto" w:fill="FFFFFF"/>
          <w:lang w:val="zh-CN"/>
        </w:rPr>
      </w:pPr>
    </w:p>
    <w:p w14:paraId="114E33BE">
      <w:pPr>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7FADAE2A">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13041963">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14:paraId="06C38943">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Times New Roman" w:hAnsi="Times New Roman" w:eastAsia="宋体"/>
          <w:color w:val="auto"/>
          <w:kern w:val="2"/>
          <w:sz w:val="32"/>
          <w:szCs w:val="32"/>
          <w:highlight w:val="none"/>
          <w:lang w:eastAsia="zh-CN"/>
        </w:rPr>
      </w:pPr>
      <w:r>
        <w:rPr>
          <w:rFonts w:hint="eastAsia" w:ascii="Times New Roman" w:hAnsi="Times New Roman"/>
          <w:color w:val="auto"/>
          <w:kern w:val="2"/>
          <w:sz w:val="32"/>
          <w:szCs w:val="32"/>
          <w:highlight w:val="none"/>
          <w:lang w:eastAsia="zh-CN"/>
        </w:rPr>
        <w:t>（本部门不涉及此类项目）</w:t>
      </w:r>
    </w:p>
    <w:p w14:paraId="7CC7B82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8" w:name="_Toc15396618"/>
    </w:p>
    <w:p w14:paraId="58F49FB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559A95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CE0989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D7154C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3C3BDA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8850C7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B988DB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A6CD2B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54373B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B2403B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42DE6C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A4F2BF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D917F8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4A52E1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46E7AD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4F8B4C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3782571">
      <w:pPr>
        <w:keepNext w:val="0"/>
        <w:keepLines w:val="0"/>
        <w:pageBreakBefore w:val="0"/>
        <w:widowControl/>
        <w:kinsoku/>
        <w:wordWrap/>
        <w:overflowPunct/>
        <w:topLinePunct w:val="0"/>
        <w:autoSpaceDE/>
        <w:autoSpaceDN/>
        <w:bidi w:val="0"/>
        <w:spacing w:line="576" w:lineRule="exact"/>
        <w:ind w:left="0" w:leftChars="0" w:firstLine="880" w:firstLineChars="200"/>
        <w:jc w:val="center"/>
        <w:textAlignment w:val="auto"/>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5"/>
      <w:bookmarkEnd w:id="48"/>
      <w:bookmarkStart w:id="49" w:name="_Toc15396619"/>
    </w:p>
    <w:p w14:paraId="041A69D0">
      <w:pPr>
        <w:pStyle w:val="14"/>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14:paraId="52D9881E">
      <w:pPr>
        <w:pStyle w:val="14"/>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14:paraId="7365754B">
      <w:pPr>
        <w:pStyle w:val="14"/>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14:paraId="204BAF5B">
      <w:pPr>
        <w:pStyle w:val="14"/>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14:paraId="459BFA17">
      <w:pPr>
        <w:pStyle w:val="14"/>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14:paraId="2D73CC96">
      <w:pPr>
        <w:pStyle w:val="14"/>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14:paraId="5A4B3FAE">
      <w:pPr>
        <w:pStyle w:val="14"/>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14:paraId="2825F6F9">
      <w:pPr>
        <w:pStyle w:val="14"/>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14:paraId="01672C45">
      <w:pPr>
        <w:pStyle w:val="14"/>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14:paraId="38E23414">
      <w:pPr>
        <w:pStyle w:val="14"/>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14:paraId="2C867FCD">
      <w:pPr>
        <w:pStyle w:val="14"/>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14:paraId="376F4BE4">
      <w:pPr>
        <w:pStyle w:val="14"/>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32E35C7">
      <w:pPr>
        <w:pStyle w:val="14"/>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14:paraId="7D2C54B8">
      <w:pPr>
        <w:pStyle w:val="14"/>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14:paraId="286938E9">
      <w:pPr>
        <w:rPr>
          <w:rFonts w:hint="eastAsia" w:ascii="Times New Roman" w:hAnsi="Times New Roman"/>
          <w:lang w:eastAsia="zh-CN"/>
        </w:rPr>
      </w:pPr>
    </w:p>
    <w:sectPr>
      <w:footerReference r:id="rId7" w:type="first"/>
      <w:footerReference r:id="rId6"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simhei">
    <w:altName w:val="C059"/>
    <w:panose1 w:val="00000000000000000000"/>
    <w:charset w:val="00"/>
    <w:family w:val="auto"/>
    <w:pitch w:val="default"/>
    <w:sig w:usb0="00000000" w:usb1="00000000" w:usb2="00000000" w:usb3="00000000" w:csb0="00040001" w:csb1="00000000"/>
  </w:font>
  <w:font w:name="微软雅黑">
    <w:altName w:val="黑体"/>
    <w:panose1 w:val="00000000000000000000"/>
    <w:charset w:val="00"/>
    <w:family w:val="auto"/>
    <w:pitch w:val="default"/>
    <w:sig w:usb0="00000000" w:usb1="00000000" w:usb2="00000000" w:usb3="00000000" w:csb0="00040001"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5DA8E">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07510F">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107510F">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52F12826">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EC659">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923F49">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4923F49">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3DAA3">
    <w:pPr>
      <w:pStyle w:val="1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3DB0E5">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F3DB0E5">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24C9D37A">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80475">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3A1A7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C3A1A7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1FF08">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BE8338"/>
    <w:multiLevelType w:val="singleLevel"/>
    <w:tmpl w:val="BCBE833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D8B0AA6"/>
    <w:rsid w:val="1E740ACF"/>
    <w:rsid w:val="1FE29A0B"/>
    <w:rsid w:val="1FF35744"/>
    <w:rsid w:val="1FF6BC77"/>
    <w:rsid w:val="21962A9E"/>
    <w:rsid w:val="21AE7C77"/>
    <w:rsid w:val="22BC3C41"/>
    <w:rsid w:val="23860B96"/>
    <w:rsid w:val="23FFDE29"/>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3B7F12F"/>
    <w:rsid w:val="34281836"/>
    <w:rsid w:val="349D6851"/>
    <w:rsid w:val="34F396C6"/>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914C2"/>
    <w:rsid w:val="3CEBA265"/>
    <w:rsid w:val="3D787903"/>
    <w:rsid w:val="3D98207C"/>
    <w:rsid w:val="3D9B0D99"/>
    <w:rsid w:val="3DEE7CF3"/>
    <w:rsid w:val="3DF02244"/>
    <w:rsid w:val="3E78745D"/>
    <w:rsid w:val="3FAD9B60"/>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EFFFAEF"/>
    <w:rsid w:val="4F833267"/>
    <w:rsid w:val="4FE9BD67"/>
    <w:rsid w:val="4FFB052F"/>
    <w:rsid w:val="53083A92"/>
    <w:rsid w:val="537E6D0A"/>
    <w:rsid w:val="53AF27A2"/>
    <w:rsid w:val="53F74C96"/>
    <w:rsid w:val="56E47B74"/>
    <w:rsid w:val="57BD3DD4"/>
    <w:rsid w:val="59B74921"/>
    <w:rsid w:val="5AF92295"/>
    <w:rsid w:val="5B76F2D3"/>
    <w:rsid w:val="5BDD79E6"/>
    <w:rsid w:val="5BF561CA"/>
    <w:rsid w:val="5BFF5DFC"/>
    <w:rsid w:val="5CD71FC4"/>
    <w:rsid w:val="5D1F11B5"/>
    <w:rsid w:val="5D7BCFF2"/>
    <w:rsid w:val="5DAE1B18"/>
    <w:rsid w:val="5DDF21E8"/>
    <w:rsid w:val="5DE7D9E5"/>
    <w:rsid w:val="5ECEC941"/>
    <w:rsid w:val="5F493CB7"/>
    <w:rsid w:val="5FBF9FF3"/>
    <w:rsid w:val="5FCD4E2C"/>
    <w:rsid w:val="5FD15F49"/>
    <w:rsid w:val="5FD77D5B"/>
    <w:rsid w:val="5FEF394A"/>
    <w:rsid w:val="5FF67715"/>
    <w:rsid w:val="5FF71137"/>
    <w:rsid w:val="5FFBEC5A"/>
    <w:rsid w:val="62BF3928"/>
    <w:rsid w:val="647F5392"/>
    <w:rsid w:val="664B1D71"/>
    <w:rsid w:val="67AA3209"/>
    <w:rsid w:val="681C4F0D"/>
    <w:rsid w:val="69046D0F"/>
    <w:rsid w:val="698D0931"/>
    <w:rsid w:val="69D78FFF"/>
    <w:rsid w:val="6A993CED"/>
    <w:rsid w:val="6B053271"/>
    <w:rsid w:val="6BCE6674"/>
    <w:rsid w:val="6BFE6FFF"/>
    <w:rsid w:val="6BFF861A"/>
    <w:rsid w:val="6C0A0046"/>
    <w:rsid w:val="6C4A05C8"/>
    <w:rsid w:val="6C8742B8"/>
    <w:rsid w:val="6C8A170F"/>
    <w:rsid w:val="6CB54609"/>
    <w:rsid w:val="6DBF5E93"/>
    <w:rsid w:val="6DCF916F"/>
    <w:rsid w:val="6DFF077E"/>
    <w:rsid w:val="6E7E3605"/>
    <w:rsid w:val="6E7FDCC7"/>
    <w:rsid w:val="6ED6A62E"/>
    <w:rsid w:val="6EE00B15"/>
    <w:rsid w:val="6F544B20"/>
    <w:rsid w:val="6F6FB3EB"/>
    <w:rsid w:val="6F784160"/>
    <w:rsid w:val="6F8731EA"/>
    <w:rsid w:val="6FAD1A3A"/>
    <w:rsid w:val="6FCE6052"/>
    <w:rsid w:val="6FD57C00"/>
    <w:rsid w:val="6FEFFFD8"/>
    <w:rsid w:val="6FF5CC65"/>
    <w:rsid w:val="6FFB47EC"/>
    <w:rsid w:val="6FFF034A"/>
    <w:rsid w:val="6FFF2A3C"/>
    <w:rsid w:val="70496804"/>
    <w:rsid w:val="712A28F1"/>
    <w:rsid w:val="715C0E4B"/>
    <w:rsid w:val="72233669"/>
    <w:rsid w:val="72734D90"/>
    <w:rsid w:val="72A3BF1F"/>
    <w:rsid w:val="7332FE48"/>
    <w:rsid w:val="73AB61DA"/>
    <w:rsid w:val="73AD73D5"/>
    <w:rsid w:val="73B6EB34"/>
    <w:rsid w:val="73FA497D"/>
    <w:rsid w:val="744731E5"/>
    <w:rsid w:val="74527205"/>
    <w:rsid w:val="74BBD01D"/>
    <w:rsid w:val="74ED5379"/>
    <w:rsid w:val="74FC2395"/>
    <w:rsid w:val="7517F4A1"/>
    <w:rsid w:val="75DEEEC2"/>
    <w:rsid w:val="75FE74F6"/>
    <w:rsid w:val="766B7A99"/>
    <w:rsid w:val="76E3355F"/>
    <w:rsid w:val="76FF5125"/>
    <w:rsid w:val="776F6FFA"/>
    <w:rsid w:val="777B416F"/>
    <w:rsid w:val="778769C8"/>
    <w:rsid w:val="77DC22F5"/>
    <w:rsid w:val="79086DAD"/>
    <w:rsid w:val="79974F09"/>
    <w:rsid w:val="79D7FD79"/>
    <w:rsid w:val="79EE5BA4"/>
    <w:rsid w:val="7A894339"/>
    <w:rsid w:val="7AFF7572"/>
    <w:rsid w:val="7B6C7DFB"/>
    <w:rsid w:val="7B7B7BCF"/>
    <w:rsid w:val="7B7DAD21"/>
    <w:rsid w:val="7BBFBED0"/>
    <w:rsid w:val="7BC3E394"/>
    <w:rsid w:val="7BC44B5B"/>
    <w:rsid w:val="7BFD8309"/>
    <w:rsid w:val="7C1F3737"/>
    <w:rsid w:val="7CBFC87B"/>
    <w:rsid w:val="7CFE0F48"/>
    <w:rsid w:val="7D7EC23E"/>
    <w:rsid w:val="7D916348"/>
    <w:rsid w:val="7DBCC079"/>
    <w:rsid w:val="7E8ADEBF"/>
    <w:rsid w:val="7EEF11D3"/>
    <w:rsid w:val="7F0971A6"/>
    <w:rsid w:val="7F3F679B"/>
    <w:rsid w:val="7F4FC4EF"/>
    <w:rsid w:val="7F5D2252"/>
    <w:rsid w:val="7F5E4D54"/>
    <w:rsid w:val="7F6E0135"/>
    <w:rsid w:val="7F771D44"/>
    <w:rsid w:val="7FA30C79"/>
    <w:rsid w:val="7FAF8ABF"/>
    <w:rsid w:val="7FB7269E"/>
    <w:rsid w:val="7FC96657"/>
    <w:rsid w:val="7FDA9588"/>
    <w:rsid w:val="7FDA987F"/>
    <w:rsid w:val="7FDF220F"/>
    <w:rsid w:val="7FE18F5B"/>
    <w:rsid w:val="7FEDC1BF"/>
    <w:rsid w:val="7FEDC5F7"/>
    <w:rsid w:val="7FEDD9DE"/>
    <w:rsid w:val="7FF5890D"/>
    <w:rsid w:val="7FF93490"/>
    <w:rsid w:val="99BFD0E5"/>
    <w:rsid w:val="99FF2014"/>
    <w:rsid w:val="9FDF9827"/>
    <w:rsid w:val="A0FF32F2"/>
    <w:rsid w:val="A30E6EAA"/>
    <w:rsid w:val="A6DD0D7F"/>
    <w:rsid w:val="AAFEC110"/>
    <w:rsid w:val="ADC6F725"/>
    <w:rsid w:val="AE7E082C"/>
    <w:rsid w:val="AFFD08F9"/>
    <w:rsid w:val="B4FDDD0B"/>
    <w:rsid w:val="B7CF06AB"/>
    <w:rsid w:val="B7CFA926"/>
    <w:rsid w:val="B7F8786B"/>
    <w:rsid w:val="B7FE92D8"/>
    <w:rsid w:val="BABB6AA1"/>
    <w:rsid w:val="BB2F4199"/>
    <w:rsid w:val="BD079C78"/>
    <w:rsid w:val="BD733540"/>
    <w:rsid w:val="BD79F515"/>
    <w:rsid w:val="BED380E8"/>
    <w:rsid w:val="BF3735D5"/>
    <w:rsid w:val="BF5C81F7"/>
    <w:rsid w:val="BF7EEC03"/>
    <w:rsid w:val="BF7F09AC"/>
    <w:rsid w:val="BFD475C3"/>
    <w:rsid w:val="BFDE5EA6"/>
    <w:rsid w:val="BFE646FB"/>
    <w:rsid w:val="BFED8E4B"/>
    <w:rsid w:val="BFF6648A"/>
    <w:rsid w:val="CF6FC6F3"/>
    <w:rsid w:val="CFD3D3D7"/>
    <w:rsid w:val="CFDF1009"/>
    <w:rsid w:val="D5F7E7F7"/>
    <w:rsid w:val="D7D7B16A"/>
    <w:rsid w:val="D7FED22E"/>
    <w:rsid w:val="D8D6DB89"/>
    <w:rsid w:val="DB6F4CAB"/>
    <w:rsid w:val="DB777682"/>
    <w:rsid w:val="DD1FB521"/>
    <w:rsid w:val="DEFBFEAE"/>
    <w:rsid w:val="DF1F3B80"/>
    <w:rsid w:val="DF6F9789"/>
    <w:rsid w:val="DFF7B870"/>
    <w:rsid w:val="DFFFA9E8"/>
    <w:rsid w:val="E0DBF5A7"/>
    <w:rsid w:val="E5F4E9DC"/>
    <w:rsid w:val="E70FE695"/>
    <w:rsid w:val="E77F8EA2"/>
    <w:rsid w:val="EA3D216D"/>
    <w:rsid w:val="ECFED1BC"/>
    <w:rsid w:val="ED1D69BB"/>
    <w:rsid w:val="ED7FD312"/>
    <w:rsid w:val="EDFD2A41"/>
    <w:rsid w:val="EE761435"/>
    <w:rsid w:val="EF53993F"/>
    <w:rsid w:val="EF6FD633"/>
    <w:rsid w:val="EFBFB2F4"/>
    <w:rsid w:val="EFBFFA21"/>
    <w:rsid w:val="EFC9AF5C"/>
    <w:rsid w:val="F2BEBCB8"/>
    <w:rsid w:val="F36FB518"/>
    <w:rsid w:val="F3DE1A04"/>
    <w:rsid w:val="F3F722E5"/>
    <w:rsid w:val="F3FD0D6C"/>
    <w:rsid w:val="F57EC333"/>
    <w:rsid w:val="F5DC2FD3"/>
    <w:rsid w:val="F67FDA8D"/>
    <w:rsid w:val="F77D0AE0"/>
    <w:rsid w:val="F7ADF54F"/>
    <w:rsid w:val="F7AF9966"/>
    <w:rsid w:val="F7B7D13F"/>
    <w:rsid w:val="F9EDBE23"/>
    <w:rsid w:val="FA5F1E70"/>
    <w:rsid w:val="FA5FDB97"/>
    <w:rsid w:val="FA7FB560"/>
    <w:rsid w:val="FB7F3EB2"/>
    <w:rsid w:val="FB7F486A"/>
    <w:rsid w:val="FBF82D66"/>
    <w:rsid w:val="FBFF5B2E"/>
    <w:rsid w:val="FD7FFE2B"/>
    <w:rsid w:val="FDAC57C2"/>
    <w:rsid w:val="FDDF41BE"/>
    <w:rsid w:val="FDEE196B"/>
    <w:rsid w:val="FDFE6575"/>
    <w:rsid w:val="FE7EA462"/>
    <w:rsid w:val="FEDFDDC2"/>
    <w:rsid w:val="FEED32F6"/>
    <w:rsid w:val="FEF781DD"/>
    <w:rsid w:val="FF1EF197"/>
    <w:rsid w:val="FF3F7E3F"/>
    <w:rsid w:val="FF5D64DC"/>
    <w:rsid w:val="FF76F55B"/>
    <w:rsid w:val="FF8EE3C5"/>
    <w:rsid w:val="FF9E09B0"/>
    <w:rsid w:val="FF9F3D05"/>
    <w:rsid w:val="FFBA12D7"/>
    <w:rsid w:val="FFDFFAEE"/>
    <w:rsid w:val="FFEE2387"/>
    <w:rsid w:val="FFF49B27"/>
    <w:rsid w:val="FFF9B57B"/>
    <w:rsid w:val="FFFD61D9"/>
    <w:rsid w:val="FFFD8F59"/>
    <w:rsid w:val="FFFD9C03"/>
    <w:rsid w:val="FFFDF581"/>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png"/><Relationship Id="rId15" Type="http://schemas.openxmlformats.org/officeDocument/2006/relationships/oleObject" Target="embeddings/oleObject1.bin"/><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收入支出决算总体情况</a:t>
            </a:r>
          </a:p>
        </c:rich>
      </c:tx>
      <c:layout/>
      <c:overlay val="0"/>
      <c:spPr>
        <a:noFill/>
        <a:ln>
          <a:noFill/>
        </a:ln>
        <a:effectLst/>
      </c:spPr>
    </c:title>
    <c:autoTitleDeleted val="0"/>
    <c:plotArea>
      <c:layout>
        <c:manualLayout>
          <c:layoutTarget val="inner"/>
          <c:xMode val="edge"/>
          <c:yMode val="edge"/>
          <c:x val="0.0756413512827026"/>
          <c:y val="0.215436810856658"/>
          <c:w val="0.89260858521717"/>
          <c:h val="0.520327961549336"/>
        </c:manualLayout>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Sheet1!$A$2:$A$5</c:f>
              <c:strCache>
                <c:ptCount val="4"/>
                <c:pt idx="0">
                  <c:v>2024年</c:v>
                </c:pt>
                <c:pt idx="1">
                  <c:v>2025年</c:v>
                </c:pt>
              </c:strCache>
            </c:strRef>
          </c:cat>
          <c:val>
            <c:numRef>
              <c:f>Sheet1!$B$2:$B$5</c:f>
              <c:numCache>
                <c:formatCode>General</c:formatCode>
                <c:ptCount val="4"/>
                <c:pt idx="0">
                  <c:v>1774.83</c:v>
                </c:pt>
                <c:pt idx="1">
                  <c:v>2060.66</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Sheet1!$A$2:$A$5</c:f>
              <c:strCache>
                <c:ptCount val="4"/>
                <c:pt idx="0">
                  <c:v>2024年</c:v>
                </c:pt>
                <c:pt idx="1">
                  <c:v>2025年</c:v>
                </c:pt>
              </c:strCache>
            </c:strRef>
          </c:cat>
          <c:val>
            <c:numRef>
              <c:f>Sheet1!$C$2:$C$5</c:f>
              <c:numCache>
                <c:formatCode>General</c:formatCode>
                <c:ptCount val="4"/>
                <c:pt idx="0">
                  <c:v>1774.83</c:v>
                </c:pt>
                <c:pt idx="1">
                  <c:v>2060.66</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2024年</c:v>
                </c:pt>
                <c:pt idx="1">
                  <c:v>2025年</c:v>
                </c:pt>
              </c:strCache>
            </c:strRef>
          </c:cat>
          <c:val>
            <c:numRef>
              <c:f>Sheet1!$D$2:$D$5</c:f>
              <c:numCache>
                <c:formatCode>General</c:formatCode>
                <c:ptCount val="4"/>
              </c:numCache>
            </c:numRef>
          </c:val>
        </c:ser>
        <c:dLbls>
          <c:showLegendKey val="0"/>
          <c:showVal val="0"/>
          <c:showCatName val="0"/>
          <c:showSerName val="0"/>
          <c:showPercent val="0"/>
          <c:showBubbleSize val="0"/>
        </c:dLbls>
        <c:gapWidth val="246"/>
        <c:overlap val="-28"/>
        <c:axId val="128055671"/>
        <c:axId val="224642182"/>
      </c:barChart>
      <c:catAx>
        <c:axId val="1280556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4642182"/>
        <c:crosses val="autoZero"/>
        <c:auto val="1"/>
        <c:lblAlgn val="ctr"/>
        <c:lblOffset val="100"/>
        <c:noMultiLvlLbl val="0"/>
      </c:catAx>
      <c:valAx>
        <c:axId val="22464218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80556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a34f0ae-0ae3-4906-ab4b-35e3f9e9e7a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收入决算情况</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一般公共预算财政拨款收入</c:v>
                </c:pt>
              </c:strCache>
            </c:strRef>
          </c:cat>
          <c:val>
            <c:numRef>
              <c:f>Sheet1!$B$2:$B$5</c:f>
              <c:numCache>
                <c:formatCode>General</c:formatCode>
                <c:ptCount val="4"/>
                <c:pt idx="0">
                  <c:v>2060.66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04c803d-b118-4eee-9127-c60238146a1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支出总体情况</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基本支出</c:v>
                </c:pt>
                <c:pt idx="1">
                  <c:v>项目支出</c:v>
                </c:pt>
              </c:strCache>
            </c:strRef>
          </c:cat>
          <c:val>
            <c:numRef>
              <c:f>Sheet1!$B$2:$B$5</c:f>
              <c:numCache>
                <c:formatCode>General</c:formatCode>
                <c:ptCount val="4"/>
                <c:pt idx="0">
                  <c:v>1844.97</c:v>
                </c:pt>
                <c:pt idx="1">
                  <c:v>215.69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80668f7-b939-4ed1-acfa-1f7b9f5b1a2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财政拨款收入支出决算总体情况</a:t>
            </a:r>
          </a:p>
        </c:rich>
      </c:tx>
      <c:layout/>
      <c:overlay val="0"/>
      <c:spPr>
        <a:noFill/>
        <a:ln>
          <a:noFill/>
        </a:ln>
        <a:effectLst/>
      </c:spPr>
    </c:title>
    <c:autoTitleDeleted val="0"/>
    <c:plotArea>
      <c:layout>
        <c:manualLayout>
          <c:layoutTarget val="inner"/>
          <c:xMode val="edge"/>
          <c:yMode val="edge"/>
          <c:x val="0.0756413512827026"/>
          <c:y val="0.215436810856658"/>
          <c:w val="0.89260858521717"/>
          <c:h val="0.520327961549336"/>
        </c:manualLayout>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Sheet1!$A$2:$A$5</c:f>
              <c:strCache>
                <c:ptCount val="4"/>
                <c:pt idx="0">
                  <c:v>2024年</c:v>
                </c:pt>
                <c:pt idx="1">
                  <c:v>2025年</c:v>
                </c:pt>
              </c:strCache>
            </c:strRef>
          </c:cat>
          <c:val>
            <c:numRef>
              <c:f>Sheet1!$B$2:$B$5</c:f>
              <c:numCache>
                <c:formatCode>General</c:formatCode>
                <c:ptCount val="4"/>
                <c:pt idx="0">
                  <c:v>1774.83</c:v>
                </c:pt>
                <c:pt idx="1">
                  <c:v>2060.66</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Sheet1!$A$2:$A$5</c:f>
              <c:strCache>
                <c:ptCount val="4"/>
                <c:pt idx="0">
                  <c:v>2024年</c:v>
                </c:pt>
                <c:pt idx="1">
                  <c:v>2025年</c:v>
                </c:pt>
              </c:strCache>
            </c:strRef>
          </c:cat>
          <c:val>
            <c:numRef>
              <c:f>Sheet1!$C$2:$C$5</c:f>
              <c:numCache>
                <c:formatCode>General</c:formatCode>
                <c:ptCount val="4"/>
                <c:pt idx="0">
                  <c:v>1774.83</c:v>
                </c:pt>
                <c:pt idx="1">
                  <c:v>2060.66</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2024年</c:v>
                </c:pt>
                <c:pt idx="1">
                  <c:v>2025年</c:v>
                </c:pt>
              </c:strCache>
            </c:strRef>
          </c:cat>
          <c:val>
            <c:numRef>
              <c:f>Sheet1!$D$2:$D$5</c:f>
              <c:numCache>
                <c:formatCode>General</c:formatCode>
                <c:ptCount val="4"/>
              </c:numCache>
            </c:numRef>
          </c:val>
        </c:ser>
        <c:dLbls>
          <c:showLegendKey val="0"/>
          <c:showVal val="0"/>
          <c:showCatName val="0"/>
          <c:showSerName val="0"/>
          <c:showPercent val="0"/>
          <c:showBubbleSize val="0"/>
        </c:dLbls>
        <c:gapWidth val="246"/>
        <c:overlap val="-28"/>
        <c:axId val="128055671"/>
        <c:axId val="224642182"/>
      </c:barChart>
      <c:catAx>
        <c:axId val="1280556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4642182"/>
        <c:crosses val="autoZero"/>
        <c:auto val="1"/>
        <c:lblAlgn val="ctr"/>
        <c:lblOffset val="100"/>
        <c:noMultiLvlLbl val="0"/>
      </c:catAx>
      <c:valAx>
        <c:axId val="22464218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80556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57c7f23-0df8-4de4-b55c-8e0e174f0b6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一般公共预算财政拨款支出决算总体情况</a:t>
            </a:r>
          </a:p>
        </c:rich>
      </c:tx>
      <c:layout>
        <c:manualLayout>
          <c:xMode val="edge"/>
          <c:yMode val="edge"/>
          <c:x val="0.236158045230049"/>
          <c:y val="0.0519194461925739"/>
        </c:manualLayout>
      </c:layout>
      <c:overlay val="0"/>
      <c:spPr>
        <a:noFill/>
        <a:ln>
          <a:noFill/>
        </a:ln>
        <a:effectLst/>
      </c:spPr>
    </c:title>
    <c:autoTitleDeleted val="0"/>
    <c:plotArea>
      <c:layout>
        <c:manualLayout>
          <c:layoutTarget val="inner"/>
          <c:xMode val="edge"/>
          <c:yMode val="edge"/>
          <c:x val="0.0756413512827026"/>
          <c:y val="0.215436810856658"/>
          <c:w val="0.89260858521717"/>
          <c:h val="0.520327961549336"/>
        </c:manualLayout>
      </c:layout>
      <c:barChart>
        <c:barDir val="col"/>
        <c:grouping val="clustered"/>
        <c:varyColors val="0"/>
        <c:ser>
          <c:idx val="0"/>
          <c:order val="0"/>
          <c:tx>
            <c:strRef>
              <c:f>Sheet1!$B$1</c:f>
              <c:strCache>
                <c:ptCount val="1"/>
                <c:pt idx="0">
                  <c:v>支出</c:v>
                </c:pt>
              </c:strCache>
            </c:strRef>
          </c:tx>
          <c:spPr>
            <a:solidFill>
              <a:schemeClr val="accent1"/>
            </a:solidFill>
            <a:ln>
              <a:noFill/>
            </a:ln>
            <a:effectLst/>
          </c:spPr>
          <c:invertIfNegative val="0"/>
          <c:dLbls>
            <c:delete val="1"/>
          </c:dLbls>
          <c:cat>
            <c:strRef>
              <c:f>Sheet1!$A$2:$A$5</c:f>
              <c:strCache>
                <c:ptCount val="4"/>
                <c:pt idx="0">
                  <c:v>2024年</c:v>
                </c:pt>
                <c:pt idx="1">
                  <c:v>2025年</c:v>
                </c:pt>
              </c:strCache>
            </c:strRef>
          </c:cat>
          <c:val>
            <c:numRef>
              <c:f>Sheet1!$B$2:$B$5</c:f>
              <c:numCache>
                <c:formatCode>General</c:formatCode>
                <c:ptCount val="4"/>
                <c:pt idx="0">
                  <c:v>1774.83</c:v>
                </c:pt>
                <c:pt idx="1">
                  <c:v>2060.66</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2024年</c:v>
                </c:pt>
                <c:pt idx="1">
                  <c:v>2025年</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2024年</c:v>
                </c:pt>
                <c:pt idx="1">
                  <c:v>2025年</c:v>
                </c:pt>
              </c:strCache>
            </c:strRef>
          </c:cat>
          <c:val>
            <c:numRef>
              <c:f>Sheet1!$D$2:$D$5</c:f>
              <c:numCache>
                <c:formatCode>General</c:formatCode>
                <c:ptCount val="4"/>
              </c:numCache>
            </c:numRef>
          </c:val>
        </c:ser>
        <c:dLbls>
          <c:showLegendKey val="0"/>
          <c:showVal val="0"/>
          <c:showCatName val="0"/>
          <c:showSerName val="0"/>
          <c:showPercent val="0"/>
          <c:showBubbleSize val="0"/>
        </c:dLbls>
        <c:gapWidth val="246"/>
        <c:overlap val="-28"/>
        <c:axId val="128055671"/>
        <c:axId val="224642182"/>
      </c:barChart>
      <c:catAx>
        <c:axId val="1280556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4642182"/>
        <c:crosses val="autoZero"/>
        <c:auto val="1"/>
        <c:lblAlgn val="ctr"/>
        <c:lblOffset val="100"/>
        <c:noMultiLvlLbl val="0"/>
      </c:catAx>
      <c:valAx>
        <c:axId val="22464218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80556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57c7f23-0df8-4de4-b55c-8e0e174f0b6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一般公共预算财政拨款支出决算结构情况</a:t>
            </a:r>
          </a:p>
        </c:rich>
      </c:tx>
      <c:layout>
        <c:manualLayout>
          <c:xMode val="edge"/>
          <c:yMode val="edge"/>
          <c:x val="0.442135781589756"/>
          <c:y val="0.0286867828304292"/>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一般公共服务支出</c:v>
                </c:pt>
                <c:pt idx="1">
                  <c:v>社会保障和就业支出</c:v>
                </c:pt>
                <c:pt idx="2">
                  <c:v>卫生健康支出</c:v>
                </c:pt>
                <c:pt idx="3">
                  <c:v>农林水支出</c:v>
                </c:pt>
              </c:strCache>
            </c:strRef>
          </c:cat>
          <c:val>
            <c:numRef>
              <c:f>Sheet1!$B$2:$B$5</c:f>
              <c:numCache>
                <c:formatCode>General</c:formatCode>
                <c:ptCount val="4"/>
                <c:pt idx="0">
                  <c:v>1581.83</c:v>
                </c:pt>
                <c:pt idx="1">
                  <c:v>235.94</c:v>
                </c:pt>
                <c:pt idx="2">
                  <c:v>91.36</c:v>
                </c:pt>
                <c:pt idx="3">
                  <c:v>20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0bc1802-5d36-4890-9ee1-019a73c0cd1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31</Pages>
  <Words>1299</Words>
  <Characters>7410</Characters>
  <Lines>61</Lines>
  <Paragraphs>17</Paragraphs>
  <TotalTime>26</TotalTime>
  <ScaleCrop>false</ScaleCrop>
  <LinksUpToDate>false</LinksUpToDate>
  <CharactersWithSpaces>8692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kylin</cp:lastModifiedBy>
  <cp:lastPrinted>2026-09-04T00:18:00Z</cp:lastPrinted>
  <dcterms:modified xsi:type="dcterms:W3CDTF">2026-09-07T15:18:35Z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3BF536824C220DA3E40E8B68BA118B1C_42</vt:lpwstr>
  </property>
</Properties>
</file>