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44"/>
          <w:szCs w:val="44"/>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方正小标宋简体" w:eastAsia="方正小标宋简体"/>
          <w:color w:val="000000"/>
          <w:sz w:val="44"/>
          <w:szCs w:val="44"/>
        </w:rPr>
      </w:pPr>
      <w:bookmarkStart w:id="1" w:name="_Toc15396475"/>
      <w:bookmarkStart w:id="2" w:name="_Toc15377193"/>
      <w:bookmarkStart w:id="3" w:name="_Toc15378441"/>
      <w:bookmarkStart w:id="4" w:name="_Toc15377425"/>
      <w:bookmarkStart w:id="5" w:name="_Toc15396597"/>
      <w:r>
        <w:rPr>
          <w:rFonts w:ascii="方正小标宋简体" w:hAnsi="方正小标宋简体" w:eastAsia="方正小标宋简体" w:cs="方正小标宋简体"/>
          <w:color w:val="000000"/>
          <w:sz w:val="44"/>
          <w:szCs w:val="44"/>
        </w:rPr>
        <w:t>2018</w:t>
      </w:r>
      <w:r>
        <w:rPr>
          <w:rFonts w:hint="eastAsia" w:ascii="方正小标宋简体" w:hAnsi="方正小标宋简体" w:eastAsia="方正小标宋简体" w:cs="方正小标宋简体"/>
          <w:color w:val="000000"/>
          <w:sz w:val="44"/>
          <w:szCs w:val="44"/>
        </w:rPr>
        <w:t>年度</w:t>
      </w:r>
      <w:bookmarkEnd w:id="1"/>
      <w:bookmarkEnd w:id="2"/>
      <w:bookmarkEnd w:id="3"/>
      <w:bookmarkEnd w:id="4"/>
      <w:bookmarkEnd w:id="5"/>
    </w:p>
    <w:p>
      <w:pPr>
        <w:adjustRightInd w:val="0"/>
        <w:snapToGrid w:val="0"/>
        <w:spacing w:line="576" w:lineRule="exact"/>
        <w:jc w:val="center"/>
        <w:outlineLvl w:val="0"/>
        <w:rPr>
          <w:rFonts w:ascii="黑体" w:hAnsi="黑体" w:eastAsia="黑体"/>
          <w:color w:val="000000"/>
          <w:sz w:val="44"/>
          <w:szCs w:val="44"/>
        </w:rPr>
      </w:pPr>
      <w:bookmarkStart w:id="6" w:name="_Toc15396598"/>
      <w:bookmarkStart w:id="7" w:name="_Toc15378442"/>
      <w:bookmarkStart w:id="8" w:name="_Toc15377426"/>
      <w:bookmarkStart w:id="9" w:name="_Toc15377194"/>
      <w:bookmarkStart w:id="10" w:name="_Toc15396476"/>
      <w:r>
        <w:rPr>
          <w:rFonts w:hint="eastAsia" w:ascii="方正小标宋简体" w:hAnsi="方正小标宋简体" w:eastAsia="方正小标宋简体" w:cs="方正小标宋简体"/>
          <w:color w:val="000000"/>
          <w:sz w:val="44"/>
          <w:szCs w:val="44"/>
        </w:rPr>
        <w:t>四川省</w:t>
      </w:r>
      <w:bookmarkStart w:id="11" w:name="_Toc15306268"/>
      <w:r>
        <w:rPr>
          <w:rFonts w:hint="eastAsia" w:ascii="方正小标宋简体" w:hAnsi="方正小标宋简体" w:eastAsia="方正小标宋简体" w:cs="方正小标宋简体"/>
          <w:color w:val="000000"/>
          <w:sz w:val="44"/>
          <w:szCs w:val="44"/>
        </w:rPr>
        <w:t>阿坝州茂县委员会政法委员会决算</w:t>
      </w:r>
      <w:bookmarkEnd w:id="6"/>
      <w:bookmarkEnd w:id="7"/>
      <w:bookmarkEnd w:id="8"/>
      <w:bookmarkEnd w:id="9"/>
      <w:bookmarkEnd w:id="10"/>
      <w:bookmarkEnd w:id="11"/>
      <w:r>
        <w:rPr>
          <w:rFonts w:ascii="方正小标宋简体" w:hAnsi="宋体" w:eastAsia="方正小标宋简体"/>
          <w:color w:val="000000"/>
          <w:sz w:val="36"/>
          <w:szCs w:val="36"/>
        </w:rPr>
        <w:br w:type="page"/>
      </w:r>
      <w:r>
        <w:rPr>
          <w:rFonts w:hint="eastAsia" w:ascii="黑体" w:hAnsi="黑体" w:eastAsia="黑体" w:cs="黑体"/>
          <w:color w:val="000000"/>
          <w:sz w:val="44"/>
          <w:szCs w:val="44"/>
        </w:rPr>
        <w:t>目</w:t>
      </w:r>
      <w:r>
        <w:rPr>
          <w:rFonts w:ascii="黑体" w:hAnsi="黑体" w:eastAsia="黑体" w:cs="黑体"/>
          <w:color w:val="000000"/>
          <w:sz w:val="44"/>
          <w:szCs w:val="44"/>
        </w:rPr>
        <w:t xml:space="preserve">    </w:t>
      </w:r>
      <w:r>
        <w:rPr>
          <w:rFonts w:hint="eastAsia" w:ascii="黑体" w:hAnsi="黑体" w:eastAsia="黑体" w:cs="黑体"/>
          <w:color w:val="000000"/>
          <w:sz w:val="44"/>
          <w:szCs w:val="44"/>
        </w:rPr>
        <w:t>录</w:t>
      </w:r>
    </w:p>
    <w:p>
      <w:pPr>
        <w:widowControl/>
        <w:spacing w:line="576" w:lineRule="exact"/>
        <w:jc w:val="center"/>
        <w:rPr>
          <w:rFonts w:ascii="仿宋_GB2312" w:hAnsi="黑体" w:eastAsia="仿宋_GB2312"/>
          <w:sz w:val="28"/>
          <w:szCs w:val="28"/>
        </w:rPr>
      </w:pPr>
      <w:r>
        <w:rPr>
          <w:rFonts w:ascii="仿宋_GB2312" w:hAnsi="黑体" w:eastAsia="仿宋_GB2312" w:cs="仿宋_GB2312"/>
          <w:color w:val="000000"/>
          <w:sz w:val="28"/>
          <w:szCs w:val="28"/>
        </w:rPr>
        <w:fldChar w:fldCharType="begin"/>
      </w:r>
      <w:r>
        <w:rPr>
          <w:rFonts w:ascii="仿宋_GB2312" w:hAnsi="黑体" w:eastAsia="仿宋_GB2312" w:cs="仿宋_GB2312"/>
          <w:color w:val="000000"/>
          <w:sz w:val="28"/>
          <w:szCs w:val="28"/>
        </w:rPr>
        <w:instrText xml:space="preserve"> TOC \o "1-2" \h \z \u </w:instrText>
      </w:r>
      <w:r>
        <w:rPr>
          <w:rFonts w:ascii="仿宋_GB2312" w:hAnsi="黑体" w:eastAsia="仿宋_GB2312" w:cs="仿宋_GB2312"/>
          <w:color w:val="000000"/>
          <w:sz w:val="28"/>
          <w:szCs w:val="28"/>
        </w:rPr>
        <w:fldChar w:fldCharType="separate"/>
      </w:r>
    </w:p>
    <w:p>
      <w:pPr>
        <w:pStyle w:val="10"/>
        <w:spacing w:line="576" w:lineRule="exact"/>
        <w:rPr>
          <w:rFonts w:ascii="仿宋_GB2312" w:eastAsia="仿宋_GB2312" w:cs="Times New Roman"/>
        </w:rPr>
      </w:pPr>
      <w:r>
        <w:fldChar w:fldCharType="begin"/>
      </w:r>
      <w:r>
        <w:instrText xml:space="preserve"> HYPERLINK \l "_Toc15396599" </w:instrText>
      </w:r>
      <w:r>
        <w:fldChar w:fldCharType="separate"/>
      </w:r>
      <w:r>
        <w:rPr>
          <w:rStyle w:val="15"/>
          <w:rFonts w:hint="eastAsia" w:ascii="仿宋_GB2312" w:eastAsia="仿宋_GB2312" w:cs="仿宋_GB2312"/>
        </w:rPr>
        <w:t>第一部分</w:t>
      </w:r>
      <w:r>
        <w:rPr>
          <w:rStyle w:val="15"/>
          <w:rFonts w:ascii="仿宋_GB2312" w:eastAsia="仿宋_GB2312" w:cs="仿宋_GB2312"/>
        </w:rPr>
        <w:t xml:space="preserve"> </w:t>
      </w:r>
      <w:r>
        <w:rPr>
          <w:rStyle w:val="15"/>
          <w:rFonts w:hint="eastAsia" w:ascii="仿宋_GB2312" w:eastAsia="仿宋_GB2312" w:cs="仿宋_GB2312"/>
        </w:rPr>
        <w:t>部门概况</w:t>
      </w:r>
      <w:r>
        <w:rPr>
          <w:rFonts w:ascii="仿宋_GB2312" w:eastAsia="仿宋_GB2312" w:cs="Times New Roman"/>
        </w:rPr>
        <w:tab/>
      </w:r>
      <w:r>
        <w:rPr>
          <w:rFonts w:ascii="仿宋_GB2312" w:eastAsia="仿宋_GB2312" w:cs="仿宋_GB2312"/>
        </w:rPr>
        <w:t>4</w:t>
      </w:r>
      <w:r>
        <w:rPr>
          <w:rFonts w:ascii="仿宋_GB2312" w:eastAsia="仿宋_GB2312" w:cs="仿宋_GB2312"/>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"_Toc15396600" </w:instrText>
      </w:r>
      <w:r>
        <w:fldChar w:fldCharType="separate"/>
      </w:r>
      <w:r>
        <w:rPr>
          <w:rStyle w:val="15"/>
          <w:rFonts w:hint="eastAsia" w:ascii="仿宋_GB2312" w:hAnsi="仿宋" w:eastAsia="仿宋_GB2312" w:cs="仿宋_GB2312"/>
          <w:sz w:val="28"/>
          <w:szCs w:val="28"/>
        </w:rPr>
        <w:t>一、基本职能及主要工作</w:t>
      </w:r>
      <w:r>
        <w:rPr>
          <w:rFonts w:ascii="仿宋_GB2312" w:hAnsi="仿宋" w:eastAsia="仿宋_GB2312"/>
          <w:sz w:val="28"/>
          <w:szCs w:val="28"/>
        </w:rPr>
        <w:tab/>
      </w:r>
      <w:r>
        <w:rPr>
          <w:rFonts w:ascii="仿宋_GB2312" w:hAnsi="仿宋" w:eastAsia="仿宋_GB2312" w:cs="仿宋_GB2312"/>
          <w:sz w:val="28"/>
          <w:szCs w:val="28"/>
        </w:rPr>
        <w:t>4</w:t>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"_Toc15396601" </w:instrText>
      </w:r>
      <w:r>
        <w:fldChar w:fldCharType="separate"/>
      </w:r>
      <w:r>
        <w:rPr>
          <w:rStyle w:val="15"/>
          <w:rFonts w:hint="eastAsia" w:ascii="仿宋_GB2312" w:hAnsi="仿宋" w:eastAsia="仿宋_GB2312" w:cs="仿宋_GB2312"/>
          <w:sz w:val="28"/>
          <w:szCs w:val="28"/>
        </w:rPr>
        <w:t>二、机构设置</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_Toc15396601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5</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0"/>
        <w:spacing w:line="576" w:lineRule="exact"/>
        <w:rPr>
          <w:rFonts w:ascii="仿宋_GB2312" w:eastAsia="仿宋_GB2312" w:cs="Times New Roman"/>
        </w:rPr>
      </w:pPr>
      <w:r>
        <w:fldChar w:fldCharType="begin"/>
      </w:r>
      <w:r>
        <w:instrText xml:space="preserve"> HYPERLINK \l "_Toc15396602" </w:instrText>
      </w:r>
      <w:r>
        <w:fldChar w:fldCharType="separate"/>
      </w:r>
      <w:r>
        <w:rPr>
          <w:rStyle w:val="15"/>
          <w:rFonts w:hint="eastAsia" w:ascii="仿宋_GB2312" w:eastAsia="仿宋_GB2312" w:cs="仿宋_GB2312"/>
        </w:rPr>
        <w:t>第二部分</w:t>
      </w:r>
      <w:r>
        <w:rPr>
          <w:rStyle w:val="15"/>
          <w:rFonts w:ascii="仿宋_GB2312" w:eastAsia="仿宋_GB2312" w:cs="仿宋_GB2312"/>
        </w:rPr>
        <w:t xml:space="preserve"> 2018</w:t>
      </w:r>
      <w:r>
        <w:rPr>
          <w:rStyle w:val="15"/>
          <w:rFonts w:hint="eastAsia" w:ascii="仿宋_GB2312" w:eastAsia="仿宋_GB2312" w:cs="仿宋_GB2312"/>
        </w:rPr>
        <w:t>年度部门决算情况说明</w:t>
      </w:r>
      <w:r>
        <w:rPr>
          <w:rFonts w:ascii="仿宋_GB2312" w:eastAsia="仿宋_GB2312" w:cs="Times New Roman"/>
        </w:rPr>
        <w:tab/>
      </w:r>
      <w:r>
        <w:rPr>
          <w:rFonts w:ascii="仿宋_GB2312" w:eastAsia="仿宋_GB2312" w:cs="仿宋_GB2312"/>
        </w:rPr>
        <w:fldChar w:fldCharType="begin"/>
      </w:r>
      <w:r>
        <w:rPr>
          <w:rFonts w:ascii="仿宋_GB2312" w:eastAsia="仿宋_GB2312" w:cs="仿宋_GB2312"/>
        </w:rPr>
        <w:instrText xml:space="preserve"> PAGEREF _Toc15396602 \h </w:instrText>
      </w:r>
      <w:r>
        <w:rPr>
          <w:rFonts w:ascii="仿宋_GB2312" w:eastAsia="仿宋_GB2312" w:cs="仿宋_GB2312"/>
        </w:rPr>
        <w:fldChar w:fldCharType="separate"/>
      </w:r>
      <w:r>
        <w:rPr>
          <w:rFonts w:ascii="仿宋_GB2312" w:eastAsia="仿宋_GB2312" w:cs="仿宋_GB2312"/>
        </w:rPr>
        <w:t>7</w:t>
      </w:r>
      <w:r>
        <w:rPr>
          <w:rFonts w:ascii="仿宋_GB2312" w:eastAsia="仿宋_GB2312" w:cs="仿宋_GB2312"/>
        </w:rPr>
        <w:fldChar w:fldCharType="end"/>
      </w:r>
      <w:r>
        <w:rPr>
          <w:rFonts w:ascii="仿宋_GB2312" w:eastAsia="仿宋_GB2312" w:cs="仿宋_GB2312"/>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"_Toc15396603" </w:instrText>
      </w:r>
      <w:r>
        <w:fldChar w:fldCharType="separate"/>
      </w:r>
      <w:r>
        <w:rPr>
          <w:rStyle w:val="15"/>
          <w:rFonts w:hint="eastAsia" w:ascii="仿宋_GB2312" w:hAnsi="仿宋" w:eastAsia="仿宋_GB2312" w:cs="仿宋_GB2312"/>
          <w:sz w:val="28"/>
          <w:szCs w:val="28"/>
        </w:rPr>
        <w:t>一、收入支出决算总体情况说明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_Toc15396603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"_Toc15396604" </w:instrText>
      </w:r>
      <w:r>
        <w:fldChar w:fldCharType="separate"/>
      </w:r>
      <w:r>
        <w:rPr>
          <w:rStyle w:val="15"/>
          <w:rFonts w:hint="eastAsia" w:ascii="仿宋_GB2312" w:hAnsi="仿宋" w:eastAsia="仿宋_GB2312" w:cs="仿宋_GB2312"/>
          <w:sz w:val="28"/>
          <w:szCs w:val="28"/>
        </w:rPr>
        <w:t>二、收入决算情况说明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_Toc15396604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"_Toc15396605" </w:instrText>
      </w:r>
      <w:r>
        <w:fldChar w:fldCharType="separate"/>
      </w:r>
      <w:r>
        <w:rPr>
          <w:rStyle w:val="15"/>
          <w:rFonts w:hint="eastAsia" w:ascii="仿宋_GB2312" w:hAnsi="仿宋" w:eastAsia="仿宋_GB2312" w:cs="仿宋_GB2312"/>
          <w:sz w:val="28"/>
          <w:szCs w:val="28"/>
        </w:rPr>
        <w:t>三、支出决算情况说明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_Toc15396605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8</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"_Toc15396606" </w:instrText>
      </w:r>
      <w:r>
        <w:fldChar w:fldCharType="separate"/>
      </w:r>
      <w:r>
        <w:rPr>
          <w:rStyle w:val="15"/>
          <w:rFonts w:hint="eastAsia" w:ascii="仿宋_GB2312" w:hAnsi="仿宋" w:eastAsia="仿宋_GB2312" w:cs="仿宋_GB2312"/>
          <w:sz w:val="28"/>
          <w:szCs w:val="28"/>
        </w:rPr>
        <w:t>四、财政拨款收入支出决算总体情况说明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_Toc15396606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9</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"_Toc15396607" </w:instrText>
      </w:r>
      <w:r>
        <w:fldChar w:fldCharType="separate"/>
      </w:r>
      <w:r>
        <w:rPr>
          <w:rStyle w:val="15"/>
          <w:rFonts w:hint="eastAsia" w:ascii="仿宋_GB2312" w:hAnsi="仿宋" w:eastAsia="仿宋_GB2312" w:cs="仿宋_GB2312"/>
          <w:sz w:val="28"/>
          <w:szCs w:val="28"/>
        </w:rPr>
        <w:t>五、一般公共预算财政拨款支出决算情况说明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_Toc15396607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9</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"_Toc15396608" </w:instrText>
      </w:r>
      <w:r>
        <w:fldChar w:fldCharType="separate"/>
      </w:r>
      <w:r>
        <w:rPr>
          <w:rStyle w:val="15"/>
          <w:rFonts w:hint="eastAsia" w:ascii="仿宋_GB2312" w:hAnsi="仿宋" w:eastAsia="仿宋_GB2312" w:cs="仿宋_GB2312"/>
          <w:sz w:val="28"/>
          <w:szCs w:val="28"/>
        </w:rPr>
        <w:t>六、一般公共预算财政拨款基本支出决算情况说明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_Toc15396608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11</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"_Toc15396609" </w:instrText>
      </w:r>
      <w:r>
        <w:fldChar w:fldCharType="separate"/>
      </w:r>
      <w:r>
        <w:rPr>
          <w:rStyle w:val="15"/>
          <w:rFonts w:hint="eastAsia" w:ascii="仿宋_GB2312" w:hAnsi="仿宋" w:eastAsia="仿宋_GB2312" w:cs="仿宋_GB2312"/>
          <w:sz w:val="28"/>
          <w:szCs w:val="28"/>
        </w:rPr>
        <w:t>七、“三公”经费财政拨款支出决算情况说明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_Toc15396609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12</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"_Toc15396610" </w:instrText>
      </w:r>
      <w:r>
        <w:fldChar w:fldCharType="separate"/>
      </w:r>
      <w:r>
        <w:rPr>
          <w:rStyle w:val="15"/>
          <w:rFonts w:hint="eastAsia" w:ascii="仿宋_GB2312" w:hAnsi="仿宋" w:eastAsia="仿宋_GB2312" w:cs="仿宋_GB2312"/>
          <w:sz w:val="28"/>
          <w:szCs w:val="28"/>
        </w:rPr>
        <w:t>八、政府性基金预算支出决算情况说明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_Toc15396610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13</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fldChar w:fldCharType="begin"/>
      </w:r>
      <w:r>
        <w:instrText xml:space="preserve"> HYPERLINK \l "_Toc15396611" </w:instrText>
      </w:r>
      <w:r>
        <w:fldChar w:fldCharType="separate"/>
      </w:r>
      <w:r>
        <w:rPr>
          <w:rStyle w:val="15"/>
          <w:rFonts w:hint="eastAsia" w:ascii="仿宋_GB2312" w:hAnsi="仿宋" w:eastAsia="仿宋_GB2312" w:cs="仿宋_GB2312"/>
          <w:sz w:val="28"/>
          <w:szCs w:val="28"/>
        </w:rPr>
        <w:t>九、</w:t>
      </w:r>
      <w:r>
        <w:rPr>
          <w:rStyle w:val="15"/>
          <w:rFonts w:ascii="仿宋_GB2312" w:hAnsi="仿宋" w:eastAsia="仿宋_GB2312" w:cs="仿宋_GB2312"/>
          <w:sz w:val="28"/>
          <w:szCs w:val="28"/>
        </w:rPr>
        <w:t xml:space="preserve"> </w:t>
      </w:r>
      <w:r>
        <w:rPr>
          <w:rStyle w:val="15"/>
          <w:rFonts w:hint="eastAsia" w:ascii="仿宋_GB2312" w:hAnsi="仿宋" w:eastAsia="仿宋_GB2312" w:cs="仿宋_GB2312"/>
          <w:sz w:val="28"/>
          <w:szCs w:val="28"/>
        </w:rPr>
        <w:t>国有资本经营预算支出决算情况说明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_Toc15396611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13</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eastAsia="仿宋_GB2312"/>
          <w:sz w:val="28"/>
          <w:szCs w:val="28"/>
        </w:rPr>
      </w:pPr>
      <w:r>
        <w:rPr>
          <w:rFonts w:hint="eastAsia" w:ascii="仿宋_GB2312" w:eastAsia="仿宋_GB2312" w:cs="仿宋_GB2312"/>
          <w:sz w:val="28"/>
          <w:szCs w:val="28"/>
        </w:rPr>
        <w:t>十</w:t>
      </w:r>
      <w:r>
        <w:rPr>
          <w:rStyle w:val="15"/>
          <w:rFonts w:hint="eastAsia" w:hAnsi="仿宋" w:cs="宋体"/>
          <w:color w:val="000000"/>
          <w:u w:val="none"/>
        </w:rPr>
        <w:t>、</w:t>
      </w:r>
      <w:r>
        <w:rPr>
          <w:rStyle w:val="15"/>
          <w:rFonts w:hint="eastAsia" w:ascii="仿宋_GB2312" w:hAnsi="仿宋" w:eastAsia="仿宋_GB2312" w:cs="仿宋_GB2312"/>
          <w:color w:val="000000"/>
          <w:sz w:val="28"/>
          <w:szCs w:val="28"/>
          <w:u w:val="none"/>
        </w:rPr>
        <w:t>预算绩效情况说明</w:t>
      </w:r>
      <w:r>
        <w:rPr>
          <w:rStyle w:val="15"/>
          <w:rFonts w:ascii="仿宋_GB2312" w:hAnsi="仿宋" w:eastAsia="仿宋_GB2312"/>
          <w:color w:val="000000"/>
          <w:sz w:val="28"/>
          <w:szCs w:val="28"/>
          <w:u w:val="none"/>
        </w:rPr>
        <w:tab/>
      </w:r>
      <w:r>
        <w:rPr>
          <w:rStyle w:val="15"/>
          <w:rFonts w:ascii="仿宋_GB2312" w:hAnsi="仿宋" w:eastAsia="仿宋_GB2312" w:cs="仿宋_GB2312"/>
          <w:color w:val="000000"/>
          <w:sz w:val="28"/>
          <w:szCs w:val="28"/>
          <w:u w:val="none"/>
        </w:rPr>
        <w:t>13</w:t>
      </w:r>
    </w:p>
    <w:p>
      <w:pPr>
        <w:pStyle w:val="11"/>
        <w:spacing w:line="576" w:lineRule="exact"/>
        <w:rPr>
          <w:rFonts w:ascii="仿宋_GB2312" w:hAnsi="仿宋" w:eastAsia="仿宋_GB2312"/>
          <w:sz w:val="28"/>
          <w:szCs w:val="28"/>
        </w:rPr>
      </w:pPr>
      <w:r>
        <w:fldChar w:fldCharType="begin"/>
      </w:r>
      <w:r>
        <w:instrText xml:space="preserve"> HYPERLINK \l "_Toc15396612" </w:instrText>
      </w:r>
      <w:r>
        <w:fldChar w:fldCharType="separate"/>
      </w:r>
      <w:r>
        <w:rPr>
          <w:rStyle w:val="15"/>
          <w:rFonts w:hint="eastAsia" w:ascii="仿宋_GB2312" w:hAnsi="仿宋" w:eastAsia="仿宋_GB2312" w:cs="仿宋_GB2312"/>
          <w:sz w:val="28"/>
          <w:szCs w:val="28"/>
        </w:rPr>
        <w:t>十一、其他重要事项的情况说明</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_Toc15396612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13</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0"/>
        <w:spacing w:line="576" w:lineRule="exact"/>
        <w:rPr>
          <w:rFonts w:ascii="仿宋_GB2312" w:eastAsia="仿宋_GB2312" w:cs="Times New Roman"/>
        </w:rPr>
      </w:pPr>
      <w:r>
        <w:fldChar w:fldCharType="begin"/>
      </w:r>
      <w:r>
        <w:instrText xml:space="preserve"> HYPERLINK \l "_Toc15396613" </w:instrText>
      </w:r>
      <w:r>
        <w:fldChar w:fldCharType="separate"/>
      </w:r>
      <w:r>
        <w:rPr>
          <w:rStyle w:val="15"/>
          <w:rFonts w:hint="eastAsia" w:ascii="仿宋_GB2312" w:eastAsia="仿宋_GB2312" w:cs="仿宋_GB2312"/>
          <w:kern w:val="44"/>
        </w:rPr>
        <w:t>第三部分</w:t>
      </w:r>
      <w:r>
        <w:rPr>
          <w:rStyle w:val="15"/>
          <w:rFonts w:ascii="仿宋_GB2312" w:eastAsia="仿宋_GB2312" w:cs="仿宋_GB2312"/>
        </w:rPr>
        <w:t xml:space="preserve"> </w:t>
      </w:r>
      <w:r>
        <w:rPr>
          <w:rStyle w:val="15"/>
          <w:rFonts w:hint="eastAsia" w:ascii="仿宋_GB2312" w:eastAsia="仿宋_GB2312" w:cs="仿宋_GB2312"/>
        </w:rPr>
        <w:t>名</w:t>
      </w:r>
      <w:r>
        <w:rPr>
          <w:rStyle w:val="15"/>
          <w:rFonts w:hint="eastAsia" w:ascii="仿宋_GB2312" w:eastAsia="仿宋_GB2312" w:cs="仿宋_GB2312"/>
          <w:kern w:val="44"/>
        </w:rPr>
        <w:t>词解释</w:t>
      </w:r>
      <w:r>
        <w:rPr>
          <w:rFonts w:ascii="仿宋_GB2312" w:eastAsia="仿宋_GB2312" w:cs="Times New Roman"/>
        </w:rPr>
        <w:tab/>
      </w:r>
      <w:r>
        <w:rPr>
          <w:rFonts w:ascii="仿宋_GB2312" w:eastAsia="仿宋_GB2312" w:cs="仿宋_GB2312"/>
        </w:rPr>
        <w:fldChar w:fldCharType="begin"/>
      </w:r>
      <w:r>
        <w:rPr>
          <w:rFonts w:ascii="仿宋_GB2312" w:eastAsia="仿宋_GB2312" w:cs="仿宋_GB2312"/>
        </w:rPr>
        <w:instrText xml:space="preserve"> PAGEREF _Toc15396613 \h </w:instrText>
      </w:r>
      <w:r>
        <w:rPr>
          <w:rFonts w:ascii="仿宋_GB2312" w:eastAsia="仿宋_GB2312" w:cs="仿宋_GB2312"/>
        </w:rPr>
        <w:fldChar w:fldCharType="separate"/>
      </w:r>
      <w:r>
        <w:rPr>
          <w:rFonts w:ascii="仿宋_GB2312" w:eastAsia="仿宋_GB2312" w:cs="仿宋_GB2312"/>
        </w:rPr>
        <w:t>14</w:t>
      </w:r>
      <w:r>
        <w:rPr>
          <w:rFonts w:ascii="仿宋_GB2312" w:eastAsia="仿宋_GB2312" w:cs="仿宋_GB2312"/>
        </w:rPr>
        <w:fldChar w:fldCharType="end"/>
      </w:r>
      <w:r>
        <w:rPr>
          <w:rFonts w:ascii="仿宋_GB2312" w:eastAsia="仿宋_GB2312" w:cs="仿宋_GB2312"/>
        </w:rPr>
        <w:fldChar w:fldCharType="end"/>
      </w:r>
    </w:p>
    <w:p>
      <w:pPr>
        <w:pStyle w:val="10"/>
        <w:spacing w:line="576" w:lineRule="exact"/>
        <w:rPr>
          <w:rFonts w:ascii="仿宋_GB2312" w:eastAsia="仿宋_GB2312" w:cs="Times New Roman"/>
        </w:rPr>
      </w:pPr>
      <w:r>
        <w:fldChar w:fldCharType="begin"/>
      </w:r>
      <w:r>
        <w:instrText xml:space="preserve"> HYPERLINK \l "_Toc15396614" </w:instrText>
      </w:r>
      <w:r>
        <w:fldChar w:fldCharType="separate"/>
      </w:r>
      <w:r>
        <w:rPr>
          <w:rStyle w:val="15"/>
          <w:rFonts w:hint="eastAsia" w:ascii="仿宋_GB2312" w:eastAsia="仿宋_GB2312" w:cs="仿宋_GB2312"/>
        </w:rPr>
        <w:t>第</w:t>
      </w:r>
      <w:r>
        <w:rPr>
          <w:rStyle w:val="15"/>
          <w:rFonts w:hint="eastAsia" w:ascii="仿宋_GB2312" w:eastAsia="仿宋_GB2312" w:cs="仿宋_GB2312"/>
          <w:kern w:val="44"/>
        </w:rPr>
        <w:t>四部分</w:t>
      </w:r>
      <w:r>
        <w:rPr>
          <w:rStyle w:val="15"/>
          <w:rFonts w:ascii="仿宋_GB2312" w:eastAsia="仿宋_GB2312" w:cs="仿宋_GB2312"/>
          <w:kern w:val="44"/>
        </w:rPr>
        <w:t xml:space="preserve"> </w:t>
      </w:r>
      <w:r>
        <w:rPr>
          <w:rStyle w:val="15"/>
          <w:rFonts w:hint="eastAsia" w:ascii="仿宋_GB2312" w:eastAsia="仿宋_GB2312" w:cs="仿宋_GB2312"/>
          <w:kern w:val="44"/>
        </w:rPr>
        <w:t>附件</w:t>
      </w:r>
      <w:r>
        <w:rPr>
          <w:rFonts w:ascii="仿宋_GB2312" w:eastAsia="仿宋_GB2312" w:cs="Times New Roman"/>
        </w:rPr>
        <w:tab/>
      </w:r>
      <w:r>
        <w:rPr>
          <w:rFonts w:ascii="仿宋_GB2312" w:eastAsia="仿宋_GB2312" w:cs="仿宋_GB2312"/>
        </w:rPr>
        <w:fldChar w:fldCharType="begin"/>
      </w:r>
      <w:r>
        <w:rPr>
          <w:rFonts w:ascii="仿宋_GB2312" w:eastAsia="仿宋_GB2312" w:cs="仿宋_GB2312"/>
        </w:rPr>
        <w:instrText xml:space="preserve"> PAGEREF _Toc15396614 \h </w:instrText>
      </w:r>
      <w:r>
        <w:rPr>
          <w:rFonts w:ascii="仿宋_GB2312" w:eastAsia="仿宋_GB2312" w:cs="仿宋_GB2312"/>
        </w:rPr>
        <w:fldChar w:fldCharType="separate"/>
      </w:r>
      <w:r>
        <w:rPr>
          <w:rFonts w:ascii="仿宋_GB2312" w:eastAsia="仿宋_GB2312" w:cs="仿宋_GB2312"/>
        </w:rPr>
        <w:t>17</w:t>
      </w:r>
      <w:r>
        <w:rPr>
          <w:rFonts w:ascii="仿宋_GB2312" w:eastAsia="仿宋_GB2312" w:cs="仿宋_GB2312"/>
        </w:rPr>
        <w:fldChar w:fldCharType="end"/>
      </w:r>
      <w:r>
        <w:rPr>
          <w:rFonts w:ascii="仿宋_GB2312" w:eastAsia="仿宋_GB2312" w:cs="仿宋_GB2312"/>
        </w:rPr>
        <w:fldChar w:fldCharType="end"/>
      </w:r>
    </w:p>
    <w:p>
      <w:pPr>
        <w:pStyle w:val="10"/>
        <w:spacing w:line="576" w:lineRule="exact"/>
        <w:rPr>
          <w:rFonts w:ascii="仿宋_GB2312" w:eastAsia="仿宋_GB2312" w:cs="Times New Roman"/>
        </w:rPr>
      </w:pPr>
      <w:r>
        <w:fldChar w:fldCharType="begin"/>
      </w:r>
      <w:r>
        <w:instrText xml:space="preserve"> HYPERLINK \l "_Toc15396618" </w:instrText>
      </w:r>
      <w:r>
        <w:fldChar w:fldCharType="separate"/>
      </w:r>
      <w:r>
        <w:rPr>
          <w:rStyle w:val="15"/>
          <w:rFonts w:hint="eastAsia" w:ascii="仿宋_GB2312" w:eastAsia="仿宋_GB2312" w:cs="仿宋_GB2312"/>
        </w:rPr>
        <w:t>第</w:t>
      </w:r>
      <w:r>
        <w:rPr>
          <w:rStyle w:val="15"/>
          <w:rFonts w:hint="eastAsia" w:ascii="仿宋_GB2312" w:eastAsia="仿宋_GB2312" w:cs="仿宋_GB2312"/>
          <w:kern w:val="44"/>
        </w:rPr>
        <w:t>五部分</w:t>
      </w:r>
      <w:r>
        <w:rPr>
          <w:rStyle w:val="15"/>
          <w:rFonts w:ascii="仿宋_GB2312" w:eastAsia="仿宋_GB2312" w:cs="仿宋_GB2312"/>
          <w:kern w:val="44"/>
        </w:rPr>
        <w:t xml:space="preserve"> </w:t>
      </w:r>
      <w:r>
        <w:rPr>
          <w:rStyle w:val="15"/>
          <w:rFonts w:hint="eastAsia" w:ascii="仿宋_GB2312" w:eastAsia="仿宋_GB2312" w:cs="仿宋_GB2312"/>
          <w:kern w:val="44"/>
        </w:rPr>
        <w:t>附表</w:t>
      </w:r>
      <w:r>
        <w:rPr>
          <w:rFonts w:ascii="仿宋_GB2312" w:eastAsia="仿宋_GB2312" w:cs="Times New Roman"/>
        </w:rPr>
        <w:tab/>
      </w:r>
      <w:r>
        <w:rPr>
          <w:rFonts w:ascii="仿宋_GB2312" w:eastAsia="仿宋_GB2312" w:cs="仿宋_GB2312"/>
        </w:rPr>
        <w:fldChar w:fldCharType="begin"/>
      </w:r>
      <w:r>
        <w:rPr>
          <w:rFonts w:ascii="仿宋_GB2312" w:eastAsia="仿宋_GB2312" w:cs="仿宋_GB2312"/>
        </w:rPr>
        <w:instrText xml:space="preserve"> PAGEREF _Toc15396618 \h </w:instrText>
      </w:r>
      <w:r>
        <w:rPr>
          <w:rFonts w:ascii="仿宋_GB2312" w:eastAsia="仿宋_GB2312" w:cs="仿宋_GB2312"/>
        </w:rPr>
        <w:fldChar w:fldCharType="separate"/>
      </w:r>
      <w:r>
        <w:rPr>
          <w:rFonts w:ascii="仿宋_GB2312" w:eastAsia="仿宋_GB2312" w:cs="仿宋_GB2312"/>
        </w:rPr>
        <w:t>27</w:t>
      </w:r>
      <w:r>
        <w:rPr>
          <w:rFonts w:ascii="仿宋_GB2312" w:eastAsia="仿宋_GB2312" w:cs="仿宋_GB2312"/>
        </w:rPr>
        <w:fldChar w:fldCharType="end"/>
      </w:r>
      <w:r>
        <w:rPr>
          <w:rFonts w:ascii="仿宋_GB2312" w:eastAsia="仿宋_GB2312" w:cs="仿宋_GB2312"/>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一、</w:t>
      </w:r>
      <w:r>
        <w:fldChar w:fldCharType="begin"/>
      </w:r>
      <w:r>
        <w:instrText xml:space="preserve"> HYPERLINK \l "_Toc15396619" </w:instrText>
      </w:r>
      <w:r>
        <w:fldChar w:fldCharType="separate"/>
      </w:r>
      <w:r>
        <w:rPr>
          <w:rStyle w:val="15"/>
          <w:rFonts w:hint="eastAsia" w:ascii="仿宋_GB2312" w:hAnsi="仿宋" w:eastAsia="仿宋_GB2312" w:cs="仿宋_GB2312"/>
          <w:sz w:val="28"/>
          <w:szCs w:val="28"/>
        </w:rPr>
        <w:t>收入支出决算总表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_Toc15396619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二、</w:t>
      </w:r>
      <w:r>
        <w:fldChar w:fldCharType="begin"/>
      </w:r>
      <w:r>
        <w:instrText xml:space="preserve"> HYPERLINK \l "_Toc15396620" </w:instrText>
      </w:r>
      <w:r>
        <w:fldChar w:fldCharType="separate"/>
      </w:r>
      <w:r>
        <w:rPr>
          <w:rStyle w:val="15"/>
          <w:rFonts w:hint="eastAsia" w:ascii="仿宋_GB2312" w:hAnsi="仿宋" w:eastAsia="仿宋_GB2312" w:cs="仿宋_GB2312"/>
          <w:sz w:val="28"/>
          <w:szCs w:val="28"/>
        </w:rPr>
        <w:t>收入总表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_Toc15396620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三、</w:t>
      </w:r>
      <w:r>
        <w:fldChar w:fldCharType="begin"/>
      </w:r>
      <w:r>
        <w:instrText xml:space="preserve"> HYPERLINK \l "_Toc15396621" </w:instrText>
      </w:r>
      <w:r>
        <w:fldChar w:fldCharType="separate"/>
      </w:r>
      <w:r>
        <w:rPr>
          <w:rStyle w:val="15"/>
          <w:rFonts w:hint="eastAsia" w:ascii="仿宋_GB2312" w:hAnsi="仿宋" w:eastAsia="仿宋_GB2312" w:cs="仿宋_GB2312"/>
          <w:sz w:val="28"/>
          <w:szCs w:val="28"/>
        </w:rPr>
        <w:t>支出总表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_Toc15396621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四、</w:t>
      </w:r>
      <w:r>
        <w:fldChar w:fldCharType="begin"/>
      </w:r>
      <w:r>
        <w:instrText xml:space="preserve"> HYPERLINK \l "_Toc15396622" </w:instrText>
      </w:r>
      <w:r>
        <w:fldChar w:fldCharType="separate"/>
      </w:r>
      <w:r>
        <w:rPr>
          <w:rStyle w:val="15"/>
          <w:rFonts w:hint="eastAsia" w:ascii="仿宋_GB2312" w:hAnsi="仿宋" w:eastAsia="仿宋_GB2312" w:cs="仿宋_GB2312"/>
          <w:sz w:val="28"/>
          <w:szCs w:val="28"/>
        </w:rPr>
        <w:t>财政拨款收入支出决算总表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_Toc15396622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五、</w:t>
      </w:r>
      <w:r>
        <w:fldChar w:fldCharType="begin"/>
      </w:r>
      <w:r>
        <w:instrText xml:space="preserve"> HYPERLINK \l "_Toc15396623" </w:instrText>
      </w:r>
      <w:r>
        <w:fldChar w:fldCharType="separate"/>
      </w:r>
      <w:r>
        <w:rPr>
          <w:rFonts w:hint="eastAsia" w:ascii="仿宋_GB2312" w:hAnsi="仿宋" w:eastAsia="仿宋_GB2312" w:cs="仿宋_GB2312"/>
          <w:sz w:val="28"/>
          <w:szCs w:val="28"/>
        </w:rPr>
        <w:t>财政拨款支出决算明细表（政府经济分类科目）</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_Toc15396623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六、</w:t>
      </w:r>
      <w:r>
        <w:fldChar w:fldCharType="begin"/>
      </w:r>
      <w:r>
        <w:instrText xml:space="preserve"> HYPERLINK \l "_Toc15396624" </w:instrText>
      </w:r>
      <w:r>
        <w:fldChar w:fldCharType="separate"/>
      </w:r>
      <w:r>
        <w:rPr>
          <w:rStyle w:val="15"/>
          <w:rFonts w:hint="eastAsia" w:ascii="仿宋_GB2312" w:hAnsi="仿宋" w:eastAsia="仿宋_GB2312" w:cs="仿宋_GB2312"/>
          <w:sz w:val="28"/>
          <w:szCs w:val="28"/>
        </w:rPr>
        <w:t>一般公共预算财政拨款支出决算表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_Toc15396624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七、</w:t>
      </w:r>
      <w:r>
        <w:fldChar w:fldCharType="begin"/>
      </w:r>
      <w:r>
        <w:instrText xml:space="preserve"> HYPERLINK \l "_Toc15396625" </w:instrText>
      </w:r>
      <w:r>
        <w:fldChar w:fldCharType="separate"/>
      </w:r>
      <w:r>
        <w:rPr>
          <w:rStyle w:val="15"/>
          <w:rFonts w:hint="eastAsia" w:ascii="仿宋_GB2312" w:hAnsi="仿宋" w:eastAsia="仿宋_GB2312" w:cs="仿宋_GB2312"/>
          <w:sz w:val="28"/>
          <w:szCs w:val="28"/>
        </w:rPr>
        <w:t>一般公共预算财政拨款支出决算明细表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_Toc15396625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八、</w:t>
      </w:r>
      <w:r>
        <w:fldChar w:fldCharType="begin"/>
      </w:r>
      <w:r>
        <w:instrText xml:space="preserve"> HYPERLINK \l "_Toc15396626" </w:instrText>
      </w:r>
      <w:r>
        <w:fldChar w:fldCharType="separate"/>
      </w:r>
      <w:r>
        <w:rPr>
          <w:rStyle w:val="15"/>
          <w:rFonts w:hint="eastAsia" w:ascii="仿宋_GB2312" w:hAnsi="仿宋" w:eastAsia="仿宋_GB2312" w:cs="仿宋_GB2312"/>
          <w:sz w:val="28"/>
          <w:szCs w:val="28"/>
        </w:rPr>
        <w:t>一般公共预算财政拨款基本支出决算表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_Toc15396626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九、</w:t>
      </w:r>
      <w:r>
        <w:fldChar w:fldCharType="begin"/>
      </w:r>
      <w:r>
        <w:instrText xml:space="preserve"> HYPERLINK \l "_Toc15396627" </w:instrText>
      </w:r>
      <w:r>
        <w:fldChar w:fldCharType="separate"/>
      </w:r>
      <w:r>
        <w:rPr>
          <w:rStyle w:val="15"/>
          <w:rFonts w:hint="eastAsia" w:ascii="仿宋_GB2312" w:hAnsi="仿宋" w:eastAsia="仿宋_GB2312" w:cs="仿宋_GB2312"/>
          <w:sz w:val="28"/>
          <w:szCs w:val="28"/>
        </w:rPr>
        <w:t>一般公共预算财政拨款项目支出决算表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_Toc15396627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十、</w:t>
      </w:r>
      <w:r>
        <w:fldChar w:fldCharType="begin"/>
      </w:r>
      <w:r>
        <w:instrText xml:space="preserve"> HYPERLINK \l "_Toc15396628" </w:instrText>
      </w:r>
      <w:r>
        <w:fldChar w:fldCharType="separate"/>
      </w:r>
      <w:r>
        <w:rPr>
          <w:rStyle w:val="15"/>
          <w:rFonts w:hint="eastAsia" w:ascii="仿宋_GB2312" w:hAnsi="仿宋" w:eastAsia="仿宋_GB2312" w:cs="仿宋_GB2312"/>
          <w:sz w:val="28"/>
          <w:szCs w:val="28"/>
        </w:rPr>
        <w:t>一般公共预算财政拨款“三公”经费支出决算表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_Toc15396628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十一、</w:t>
      </w:r>
      <w:r>
        <w:fldChar w:fldCharType="begin"/>
      </w:r>
      <w:r>
        <w:instrText xml:space="preserve"> HYPERLINK \l "_Toc15396629" </w:instrText>
      </w:r>
      <w:r>
        <w:fldChar w:fldCharType="separate"/>
      </w:r>
      <w:r>
        <w:rPr>
          <w:rStyle w:val="15"/>
          <w:rFonts w:hint="eastAsia" w:ascii="仿宋_GB2312" w:hAnsi="仿宋" w:eastAsia="仿宋_GB2312" w:cs="仿宋_GB2312"/>
          <w:sz w:val="28"/>
          <w:szCs w:val="28"/>
        </w:rPr>
        <w:t>政府性基金预算财政拨款收入支出决算表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_Toc15396629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十二、</w:t>
      </w:r>
      <w:r>
        <w:fldChar w:fldCharType="begin"/>
      </w:r>
      <w:r>
        <w:instrText xml:space="preserve"> HYPERLINK \l "_Toc15396630" </w:instrText>
      </w:r>
      <w:r>
        <w:fldChar w:fldCharType="separate"/>
      </w:r>
      <w:r>
        <w:rPr>
          <w:rStyle w:val="15"/>
          <w:rFonts w:hint="eastAsia" w:ascii="仿宋_GB2312" w:hAnsi="仿宋" w:eastAsia="仿宋_GB2312" w:cs="仿宋_GB2312"/>
          <w:sz w:val="28"/>
          <w:szCs w:val="28"/>
        </w:rPr>
        <w:t>政府性基金预算财政拨款“三公”经费支出决算表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_Toc15396630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pStyle w:val="11"/>
        <w:spacing w:line="576" w:lineRule="exact"/>
        <w:rPr>
          <w:rFonts w:ascii="仿宋_GB2312" w:hAnsi="仿宋" w:eastAsia="仿宋_GB2312"/>
          <w:sz w:val="28"/>
          <w:szCs w:val="28"/>
        </w:rPr>
      </w:pPr>
      <w:r>
        <w:rPr>
          <w:rFonts w:hint="eastAsia" w:ascii="仿宋_GB2312" w:hAnsi="仿宋" w:eastAsia="仿宋_GB2312" w:cs="仿宋_GB2312"/>
          <w:sz w:val="28"/>
          <w:szCs w:val="28"/>
        </w:rPr>
        <w:t>十三、</w:t>
      </w:r>
      <w:r>
        <w:fldChar w:fldCharType="begin"/>
      </w:r>
      <w:r>
        <w:instrText xml:space="preserve"> HYPERLINK \l "_Toc15396631" </w:instrText>
      </w:r>
      <w:r>
        <w:fldChar w:fldCharType="separate"/>
      </w:r>
      <w:r>
        <w:rPr>
          <w:rStyle w:val="15"/>
          <w:rFonts w:hint="eastAsia" w:ascii="仿宋_GB2312" w:hAnsi="仿宋" w:eastAsia="仿宋_GB2312" w:cs="仿宋_GB2312"/>
          <w:sz w:val="28"/>
          <w:szCs w:val="28"/>
        </w:rPr>
        <w:t>国有资本经营预算支出决算表</w:t>
      </w:r>
      <w:r>
        <w:rPr>
          <w:rFonts w:ascii="仿宋_GB2312" w:hAnsi="仿宋" w:eastAsia="仿宋_GB2312"/>
          <w:sz w:val="28"/>
          <w:szCs w:val="28"/>
        </w:rPr>
        <w:tab/>
      </w:r>
      <w:r>
        <w:rPr>
          <w:rFonts w:ascii="仿宋_GB2312" w:hAnsi="仿宋" w:eastAsia="仿宋_GB2312" w:cs="仿宋_GB2312"/>
          <w:sz w:val="28"/>
          <w:szCs w:val="28"/>
        </w:rPr>
        <w:fldChar w:fldCharType="begin"/>
      </w:r>
      <w:r>
        <w:rPr>
          <w:rFonts w:ascii="仿宋_GB2312" w:hAnsi="仿宋" w:eastAsia="仿宋_GB2312" w:cs="仿宋_GB2312"/>
          <w:sz w:val="28"/>
          <w:szCs w:val="28"/>
        </w:rPr>
        <w:instrText xml:space="preserve"> PAGEREF _Toc15396631 \h </w:instrText>
      </w:r>
      <w:r>
        <w:rPr>
          <w:rFonts w:ascii="仿宋_GB2312" w:hAnsi="仿宋" w:eastAsia="仿宋_GB2312" w:cs="仿宋_GB2312"/>
          <w:sz w:val="28"/>
          <w:szCs w:val="28"/>
        </w:rPr>
        <w:fldChar w:fldCharType="separate"/>
      </w:r>
      <w:r>
        <w:rPr>
          <w:rFonts w:ascii="仿宋_GB2312" w:hAnsi="仿宋" w:eastAsia="仿宋_GB2312" w:cs="仿宋_GB2312"/>
          <w:sz w:val="28"/>
          <w:szCs w:val="28"/>
        </w:rPr>
        <w:t>27</w:t>
      </w:r>
      <w:r>
        <w:rPr>
          <w:rFonts w:ascii="仿宋_GB2312" w:hAnsi="仿宋" w:eastAsia="仿宋_GB2312" w:cs="仿宋_GB2312"/>
          <w:sz w:val="28"/>
          <w:szCs w:val="28"/>
        </w:rPr>
        <w:fldChar w:fldCharType="end"/>
      </w:r>
      <w:r>
        <w:rPr>
          <w:rFonts w:ascii="仿宋_GB2312" w:hAnsi="仿宋" w:eastAsia="仿宋_GB2312" w:cs="仿宋_GB2312"/>
          <w:sz w:val="28"/>
          <w:szCs w:val="28"/>
        </w:rPr>
        <w:fldChar w:fldCharType="end"/>
      </w:r>
    </w:p>
    <w:p>
      <w:pPr>
        <w:widowControl/>
        <w:spacing w:line="576" w:lineRule="exact"/>
        <w:jc w:val="left"/>
        <w:rPr>
          <w:rFonts w:ascii="仿宋" w:hAnsi="仿宋" w:eastAsia="仿宋"/>
          <w:color w:val="000000"/>
          <w:sz w:val="24"/>
          <w:szCs w:val="24"/>
        </w:rPr>
      </w:pPr>
      <w:r>
        <w:rPr>
          <w:rFonts w:ascii="仿宋_GB2312" w:hAnsi="黑体" w:eastAsia="仿宋_GB2312" w:cs="仿宋_GB2312"/>
          <w:color w:val="000000"/>
          <w:sz w:val="28"/>
          <w:szCs w:val="28"/>
        </w:rPr>
        <w:fldChar w:fldCharType="end"/>
      </w:r>
    </w:p>
    <w:p>
      <w:pPr>
        <w:widowControl/>
        <w:jc w:val="left"/>
        <w:rPr>
          <w:rFonts w:ascii="黑体" w:hAnsi="黑体" w:eastAsia="黑体"/>
          <w:kern w:val="44"/>
          <w:sz w:val="44"/>
          <w:szCs w:val="44"/>
        </w:rPr>
      </w:pPr>
      <w:bookmarkStart w:id="12" w:name="_Toc15377196"/>
      <w:bookmarkStart w:id="13" w:name="_Toc15396599"/>
    </w:p>
    <w:p>
      <w:pPr>
        <w:widowControl/>
        <w:jc w:val="left"/>
        <w:rPr>
          <w:rFonts w:ascii="黑体" w:hAnsi="黑体" w:eastAsia="黑体"/>
          <w:kern w:val="44"/>
          <w:sz w:val="44"/>
          <w:szCs w:val="44"/>
        </w:rPr>
      </w:pPr>
    </w:p>
    <w:p>
      <w:pPr>
        <w:widowControl/>
        <w:jc w:val="left"/>
        <w:rPr>
          <w:rFonts w:ascii="黑体" w:hAnsi="黑体" w:eastAsia="黑体"/>
          <w:kern w:val="44"/>
          <w:sz w:val="44"/>
          <w:szCs w:val="44"/>
        </w:rPr>
      </w:pPr>
    </w:p>
    <w:p>
      <w:pPr>
        <w:widowControl/>
        <w:jc w:val="left"/>
        <w:rPr>
          <w:rFonts w:ascii="黑体" w:hAnsi="黑体" w:eastAsia="黑体"/>
          <w:kern w:val="44"/>
          <w:sz w:val="44"/>
          <w:szCs w:val="44"/>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adjustRightInd w:val="0"/>
        <w:snapToGrid w:val="0"/>
        <w:spacing w:line="360" w:lineRule="auto"/>
        <w:jc w:val="center"/>
        <w:outlineLvl w:val="0"/>
        <w:rPr>
          <w:rStyle w:val="16"/>
          <w:rFonts w:ascii="方正小标宋简体" w:hAnsi="黑体" w:eastAsia="方正小标宋简体"/>
          <w:b w:val="0"/>
          <w:bCs w:val="0"/>
        </w:rPr>
      </w:pPr>
    </w:p>
    <w:p>
      <w:pPr>
        <w:adjustRightInd w:val="0"/>
        <w:snapToGrid w:val="0"/>
        <w:spacing w:line="360" w:lineRule="auto"/>
        <w:jc w:val="center"/>
        <w:outlineLvl w:val="0"/>
        <w:rPr>
          <w:rStyle w:val="16"/>
          <w:rFonts w:ascii="方正小标宋简体" w:hAnsi="黑体" w:eastAsia="方正小标宋简体"/>
          <w:b w:val="0"/>
          <w:bCs w:val="0"/>
        </w:rPr>
      </w:pPr>
    </w:p>
    <w:p>
      <w:pPr>
        <w:adjustRightInd w:val="0"/>
        <w:snapToGrid w:val="0"/>
        <w:spacing w:line="576" w:lineRule="exact"/>
        <w:jc w:val="center"/>
        <w:outlineLvl w:val="0"/>
        <w:rPr>
          <w:rStyle w:val="16"/>
          <w:rFonts w:ascii="方正小标宋简体" w:hAnsi="黑体" w:eastAsia="方正小标宋简体"/>
          <w:b w:val="0"/>
          <w:bCs w:val="0"/>
        </w:rPr>
      </w:pPr>
    </w:p>
    <w:p>
      <w:pPr>
        <w:adjustRightInd w:val="0"/>
        <w:snapToGrid w:val="0"/>
        <w:spacing w:line="576" w:lineRule="exact"/>
        <w:jc w:val="center"/>
        <w:outlineLvl w:val="0"/>
        <w:rPr>
          <w:rStyle w:val="16"/>
          <w:rFonts w:ascii="方正小标宋简体" w:hAnsi="黑体" w:eastAsia="方正小标宋简体"/>
          <w:b w:val="0"/>
          <w:bCs w:val="0"/>
        </w:rPr>
      </w:pPr>
    </w:p>
    <w:p>
      <w:pPr>
        <w:adjustRightInd w:val="0"/>
        <w:snapToGrid w:val="0"/>
        <w:spacing w:line="576" w:lineRule="exact"/>
        <w:jc w:val="center"/>
        <w:outlineLvl w:val="0"/>
        <w:rPr>
          <w:rStyle w:val="16"/>
          <w:rFonts w:ascii="方正小标宋简体" w:hAnsi="黑体" w:eastAsia="方正小标宋简体"/>
          <w:b w:val="0"/>
          <w:bCs w:val="0"/>
        </w:rPr>
      </w:pPr>
    </w:p>
    <w:p>
      <w:pPr>
        <w:adjustRightInd w:val="0"/>
        <w:snapToGrid w:val="0"/>
        <w:spacing w:line="576" w:lineRule="exact"/>
        <w:jc w:val="center"/>
        <w:outlineLvl w:val="0"/>
        <w:rPr>
          <w:rStyle w:val="16"/>
          <w:rFonts w:ascii="方正小标宋简体" w:hAnsi="黑体" w:eastAsia="方正小标宋简体"/>
        </w:rPr>
      </w:pPr>
      <w:r>
        <w:rPr>
          <w:rStyle w:val="16"/>
          <w:rFonts w:hint="eastAsia" w:ascii="方正小标宋简体" w:hAnsi="黑体" w:eastAsia="方正小标宋简体" w:cs="方正小标宋简体"/>
          <w:b w:val="0"/>
          <w:bCs w:val="0"/>
        </w:rPr>
        <w:t>第一部分部门概况</w:t>
      </w:r>
      <w:bookmarkEnd w:id="12"/>
      <w:bookmarkEnd w:id="13"/>
      <w:bookmarkStart w:id="14" w:name="_Toc15377197"/>
      <w:bookmarkStart w:id="15" w:name="_Toc15396600"/>
    </w:p>
    <w:p>
      <w:pPr>
        <w:adjustRightInd w:val="0"/>
        <w:snapToGrid w:val="0"/>
        <w:spacing w:line="576" w:lineRule="exact"/>
        <w:ind w:firstLine="643" w:firstLineChars="200"/>
        <w:outlineLvl w:val="0"/>
        <w:rPr>
          <w:rStyle w:val="17"/>
          <w:rFonts w:ascii="黑体" w:hAnsi="黑体" w:eastAsia="黑体" w:cs="Times New Roman"/>
        </w:rPr>
      </w:pPr>
    </w:p>
    <w:p>
      <w:pPr>
        <w:adjustRightInd w:val="0"/>
        <w:snapToGrid w:val="0"/>
        <w:spacing w:line="576" w:lineRule="exact"/>
        <w:ind w:firstLine="643" w:firstLineChars="200"/>
        <w:outlineLvl w:val="0"/>
        <w:rPr>
          <w:rFonts w:ascii="仿宋_GB2312" w:hAnsi="仿宋_GB2312" w:eastAsia="仿宋_GB2312"/>
          <w:color w:val="000000"/>
          <w:sz w:val="32"/>
          <w:szCs w:val="32"/>
        </w:rPr>
      </w:pPr>
      <w:r>
        <w:rPr>
          <w:rStyle w:val="17"/>
          <w:rFonts w:hint="eastAsia" w:ascii="黑体" w:hAnsi="黑体" w:eastAsia="黑体" w:cs="黑体"/>
        </w:rPr>
        <w:t>一、基</w:t>
      </w:r>
      <w:r>
        <w:rPr>
          <w:rStyle w:val="17"/>
          <w:rFonts w:hint="eastAsia" w:ascii="黑体" w:hAnsi="黑体" w:eastAsia="黑体" w:cs="黑体"/>
          <w:b w:val="0"/>
          <w:bCs w:val="0"/>
        </w:rPr>
        <w:t>本职能及主要工作</w:t>
      </w:r>
      <w:bookmarkEnd w:id="14"/>
      <w:bookmarkEnd w:id="15"/>
      <w:bookmarkStart w:id="16" w:name="_Toc15377198"/>
      <w:bookmarkStart w:id="17" w:name="_Toc15378445"/>
    </w:p>
    <w:p>
      <w:pPr>
        <w:spacing w:line="576" w:lineRule="exact"/>
        <w:ind w:firstLine="643" w:firstLineChars="200"/>
        <w:rPr>
          <w:rFonts w:ascii="楷体" w:hAnsi="楷体" w:eastAsia="楷体"/>
          <w:b/>
          <w:bCs/>
          <w:color w:val="000000"/>
          <w:sz w:val="32"/>
          <w:szCs w:val="32"/>
        </w:rPr>
      </w:pPr>
      <w:r>
        <w:rPr>
          <w:rFonts w:hint="eastAsia" w:ascii="楷体" w:hAnsi="楷体" w:eastAsia="楷体" w:cs="楷体"/>
          <w:b/>
          <w:bCs/>
          <w:color w:val="000000"/>
          <w:sz w:val="32"/>
          <w:szCs w:val="32"/>
        </w:rPr>
        <w:t>（一）主要职能</w:t>
      </w:r>
      <w:bookmarkEnd w:id="16"/>
      <w:bookmarkEnd w:id="17"/>
      <w:bookmarkStart w:id="18" w:name="_Toc15378446"/>
      <w:bookmarkStart w:id="19" w:name="_Toc15377199"/>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深入贯彻党的路线方针政策和决策部署，统一政法各部门思想和行动，坚持党对政法工作的绝对领导，坚决维护党中央权威和集中统一领导。</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深入贯彻党中央决定和省委、州委、县委决策，对政法工作研究提出全局性部署，推进平安茂县、法治茂县建设，加强过硬队伍建设，深化智能化建设，坚决维护国家政治安全、确保社会大局稳定、促进社会公平正义、保障人民安居乐业。</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了解掌握和分析研判政法工作情况动态，分析全县社会稳定形势，创新完善多部门参与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加强对政法工作的督查，统筹协调维护政治安全、社会治安综合治理、维护社会稳定、反邪教有关法律法规政策的实施工作。指导全县政法系统网络安全和智能化建设工作。</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组织开展政法领域的调查研究，研究拟订全县政法工作的政策措施，及时向县委提出建议。</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6.</w:t>
      </w:r>
      <w:r>
        <w:rPr>
          <w:rFonts w:hint="eastAsia" w:ascii="仿宋_GB2312" w:hAnsi="仿宋" w:eastAsia="仿宋_GB2312" w:cs="仿宋_GB2312"/>
          <w:color w:val="000000"/>
          <w:sz w:val="32"/>
          <w:szCs w:val="32"/>
        </w:rPr>
        <w:t>掌握分析政法舆情动态，指导协调政法部门媒体网络宣传工作，指导政法部门做好涉及政法工作的重大宣传和舆论引导工作。</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7.</w:t>
      </w:r>
      <w:r>
        <w:rPr>
          <w:rFonts w:hint="eastAsia" w:ascii="仿宋_GB2312" w:hAnsi="仿宋" w:eastAsia="仿宋_GB2312" w:cs="仿宋_GB2312"/>
          <w:color w:val="000000"/>
          <w:sz w:val="32"/>
          <w:szCs w:val="32"/>
        </w:rPr>
        <w:t>监督和支持政法各部门依法行使职权，指导和协调政法各部门密切配合，研究和协调重大疑难案件，推进严格执法、公正司法。</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组织研究政法改革中带有方向性、倾向性和普遍性的重大问题，深化政法改革。</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指导推动政法系统党的建设和政法队伍建设，协同县级有关职能部门管理监督政法领导干部。</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10.</w:t>
      </w:r>
      <w:r>
        <w:rPr>
          <w:rFonts w:hint="eastAsia" w:ascii="仿宋_GB2312" w:hAnsi="仿宋" w:eastAsia="仿宋_GB2312" w:cs="仿宋_GB2312"/>
          <w:color w:val="000000"/>
          <w:sz w:val="32"/>
          <w:szCs w:val="32"/>
        </w:rPr>
        <w:t>完成县委交办的其他任务。</w:t>
      </w:r>
    </w:p>
    <w:p>
      <w:pPr>
        <w:spacing w:line="576" w:lineRule="exact"/>
        <w:ind w:firstLine="643" w:firstLineChars="200"/>
        <w:rPr>
          <w:rFonts w:ascii="楷体" w:hAnsi="楷体" w:eastAsia="楷体"/>
          <w:b/>
          <w:bCs/>
          <w:color w:val="000000"/>
          <w:sz w:val="32"/>
          <w:szCs w:val="32"/>
        </w:rPr>
      </w:pPr>
      <w:r>
        <w:rPr>
          <w:rFonts w:hint="eastAsia" w:ascii="楷体" w:hAnsi="楷体" w:eastAsia="楷体" w:cs="楷体"/>
          <w:b/>
          <w:bCs/>
          <w:color w:val="000000"/>
          <w:sz w:val="32"/>
          <w:szCs w:val="32"/>
        </w:rPr>
        <w:t>（二）</w:t>
      </w:r>
      <w:r>
        <w:rPr>
          <w:rFonts w:ascii="楷体" w:hAnsi="楷体" w:eastAsia="楷体" w:cs="楷体"/>
          <w:b/>
          <w:bCs/>
          <w:color w:val="000000"/>
          <w:sz w:val="32"/>
          <w:szCs w:val="32"/>
        </w:rPr>
        <w:t>2018</w:t>
      </w:r>
      <w:r>
        <w:rPr>
          <w:rFonts w:hint="eastAsia" w:ascii="楷体" w:hAnsi="楷体" w:eastAsia="楷体" w:cs="楷体"/>
          <w:b/>
          <w:bCs/>
          <w:color w:val="000000"/>
          <w:sz w:val="32"/>
          <w:szCs w:val="32"/>
        </w:rPr>
        <w:t>年重点工作完成情况</w:t>
      </w:r>
      <w:bookmarkEnd w:id="18"/>
      <w:bookmarkEnd w:id="19"/>
      <w:bookmarkStart w:id="20" w:name="_Toc15396601"/>
      <w:bookmarkStart w:id="21" w:name="_Toc15377200"/>
    </w:p>
    <w:p>
      <w:pPr>
        <w:spacing w:line="576"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县委政法委在县委、县政府的正确领导下，在州委政法委的精心指导下，坚持以习近平新时代中国特色社会主义思想为指导，深入贯彻党的十九大、十九届二中、三中全会和省委十一届三次全会、州委十一届五次全会精神，严格落实中央、省州政法工作会议部署要求，认真贯彻落实总体国家安全观，扎实推进“大学习、大讨论、大调研”专题教育工作和“扫黑除恶”专项斗争，切实增强“四个意识”、坚定“四个自信”，</w:t>
      </w:r>
      <w:r>
        <w:rPr>
          <w:rFonts w:hint="eastAsia" w:ascii="仿宋_GB2312" w:eastAsia="仿宋_GB2312" w:cs="仿宋_GB2312"/>
          <w:sz w:val="32"/>
          <w:szCs w:val="32"/>
        </w:rPr>
        <w:t>全力提升人民群众获得感、幸福感、安全感，确保我县社会大局持续稳定，为我县新“五地一中心”建设和跨越发展营造安全稳定的社会环境、公平正义的法治环境、优质高效的服务环境。</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提升建设标准，打造过硬政法队伍。</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充分发挥政法战线职能，切实维护国家安全和政治稳定。</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着力构建社会治安防控体系，切实维护全县安宁和人民安全。</w:t>
      </w:r>
    </w:p>
    <w:p>
      <w:pPr>
        <w:spacing w:line="576" w:lineRule="exact"/>
        <w:ind w:firstLine="640" w:firstLineChars="200"/>
        <w:outlineLvl w:val="1"/>
        <w:rPr>
          <w:rStyle w:val="17"/>
        </w:rPr>
      </w:pPr>
      <w:r>
        <w:rPr>
          <w:rFonts w:hint="eastAsia" w:ascii="黑体" w:eastAsia="黑体" w:cs="黑体"/>
          <w:color w:val="000000"/>
          <w:sz w:val="32"/>
          <w:szCs w:val="32"/>
        </w:rPr>
        <w:t>二、</w:t>
      </w:r>
      <w:r>
        <w:rPr>
          <w:rFonts w:hint="eastAsia" w:ascii="黑体" w:hAnsi="黑体" w:eastAsia="黑体" w:cs="黑体"/>
          <w:color w:val="000000"/>
          <w:sz w:val="32"/>
          <w:szCs w:val="32"/>
        </w:rPr>
        <w:t>机</w:t>
      </w:r>
      <w:r>
        <w:rPr>
          <w:rStyle w:val="17"/>
          <w:rFonts w:hint="eastAsia" w:ascii="黑体" w:hAnsi="黑体" w:eastAsia="黑体" w:cs="黑体"/>
          <w:b w:val="0"/>
          <w:bCs w:val="0"/>
        </w:rPr>
        <w:t>构设置</w:t>
      </w:r>
      <w:bookmarkEnd w:id="20"/>
      <w:bookmarkEnd w:id="21"/>
    </w:p>
    <w:p>
      <w:pPr>
        <w:spacing w:line="576" w:lineRule="exact"/>
        <w:ind w:firstLine="640" w:firstLineChars="200"/>
        <w:outlineLvl w:val="1"/>
        <w:rPr>
          <w:rFonts w:ascii="仿宋_GB2312" w:eastAsia="仿宋_GB2312"/>
          <w:sz w:val="32"/>
          <w:szCs w:val="32"/>
        </w:rPr>
      </w:pPr>
      <w:r>
        <w:rPr>
          <w:rFonts w:hint="eastAsia" w:ascii="仿宋_GB2312" w:eastAsia="仿宋_GB2312" w:cs="仿宋_GB2312"/>
          <w:sz w:val="32"/>
          <w:szCs w:val="32"/>
        </w:rPr>
        <w:t>茂县县委政法委员会属一级预算单位，下属二级预算单位</w:t>
      </w:r>
      <w:r>
        <w:rPr>
          <w:rFonts w:ascii="仿宋_GB2312" w:eastAsia="仿宋_GB2312" w:cs="仿宋_GB2312"/>
          <w:sz w:val="32"/>
          <w:szCs w:val="32"/>
        </w:rPr>
        <w:t>0</w:t>
      </w:r>
      <w:r>
        <w:rPr>
          <w:rFonts w:hint="eastAsia" w:ascii="仿宋_GB2312" w:eastAsia="仿宋_GB2312" w:cs="仿宋_GB2312"/>
          <w:sz w:val="32"/>
          <w:szCs w:val="32"/>
        </w:rPr>
        <w:t>个，其中：</w:t>
      </w:r>
      <w:r>
        <w:rPr>
          <w:rFonts w:hint="eastAsia" w:ascii="仿宋_GB2312" w:hAnsi="仿宋" w:eastAsia="仿宋_GB2312" w:cs="仿宋_GB2312"/>
          <w:sz w:val="32"/>
          <w:szCs w:val="32"/>
        </w:rPr>
        <w:t>行政单位</w:t>
      </w:r>
      <w:r>
        <w:rPr>
          <w:rFonts w:ascii="仿宋_GB2312" w:hAnsi="仿宋" w:eastAsia="仿宋_GB2312" w:cs="仿宋_GB2312"/>
          <w:sz w:val="32"/>
          <w:szCs w:val="32"/>
        </w:rPr>
        <w:t>1</w:t>
      </w:r>
      <w:r>
        <w:rPr>
          <w:rFonts w:hint="eastAsia" w:ascii="仿宋_GB2312" w:hAnsi="仿宋" w:eastAsia="仿宋_GB2312" w:cs="仿宋_GB2312"/>
          <w:sz w:val="32"/>
          <w:szCs w:val="32"/>
        </w:rPr>
        <w:t>个，</w:t>
      </w:r>
      <w:r>
        <w:rPr>
          <w:rFonts w:hint="eastAsia" w:ascii="仿宋_GB2312" w:eastAsia="仿宋_GB2312" w:cs="仿宋_GB2312"/>
          <w:sz w:val="32"/>
          <w:szCs w:val="32"/>
        </w:rPr>
        <w:t>参照公务员法管理的事业单位</w:t>
      </w:r>
      <w:r>
        <w:rPr>
          <w:rFonts w:ascii="仿宋_GB2312" w:eastAsia="仿宋_GB2312" w:cs="仿宋_GB2312"/>
          <w:sz w:val="32"/>
          <w:szCs w:val="32"/>
        </w:rPr>
        <w:t>0</w:t>
      </w:r>
      <w:r>
        <w:rPr>
          <w:rFonts w:hint="eastAsia" w:ascii="仿宋_GB2312" w:eastAsia="仿宋_GB2312" w:cs="仿宋_GB2312"/>
          <w:sz w:val="32"/>
          <w:szCs w:val="32"/>
        </w:rPr>
        <w:t>个，其他事业单位</w:t>
      </w:r>
      <w:r>
        <w:rPr>
          <w:rFonts w:ascii="仿宋_GB2312" w:eastAsia="仿宋_GB2312" w:cs="仿宋_GB2312"/>
          <w:sz w:val="32"/>
          <w:szCs w:val="32"/>
        </w:rPr>
        <w:t>0</w:t>
      </w:r>
      <w:r>
        <w:rPr>
          <w:rFonts w:hint="eastAsia" w:ascii="仿宋_GB2312" w:eastAsia="仿宋_GB2312" w:cs="仿宋_GB2312"/>
          <w:sz w:val="32"/>
          <w:szCs w:val="32"/>
        </w:rPr>
        <w:t>个。</w:t>
      </w:r>
    </w:p>
    <w:p>
      <w:pPr>
        <w:spacing w:line="600" w:lineRule="exact"/>
        <w:ind w:firstLine="640" w:firstLineChars="200"/>
        <w:outlineLvl w:val="1"/>
        <w:rPr>
          <w:rFonts w:ascii="仿宋_GB2312" w:eastAsia="仿宋_GB2312"/>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spacing w:line="600" w:lineRule="exact"/>
        <w:ind w:firstLine="643" w:firstLineChars="200"/>
        <w:outlineLvl w:val="1"/>
        <w:rPr>
          <w:rFonts w:ascii="Cambria" w:hAnsi="Cambria" w:cs="Cambria"/>
          <w:b/>
          <w:bCs/>
          <w:sz w:val="32"/>
          <w:szCs w:val="32"/>
        </w:rPr>
      </w:pPr>
    </w:p>
    <w:p>
      <w:pPr>
        <w:adjustRightInd w:val="0"/>
        <w:snapToGrid w:val="0"/>
        <w:spacing w:line="360" w:lineRule="auto"/>
        <w:outlineLvl w:val="0"/>
        <w:rPr>
          <w:rFonts w:ascii="仿宋" w:hAnsi="仿宋" w:eastAsia="仿宋"/>
          <w:color w:val="000000"/>
          <w:kern w:val="0"/>
          <w:sz w:val="32"/>
          <w:szCs w:val="32"/>
        </w:rPr>
      </w:pPr>
      <w:bookmarkStart w:id="22" w:name="_Toc15396602"/>
      <w:bookmarkStart w:id="23" w:name="_Toc15377204"/>
    </w:p>
    <w:p>
      <w:pPr>
        <w:adjustRightInd w:val="0"/>
        <w:snapToGrid w:val="0"/>
        <w:spacing w:line="576" w:lineRule="exact"/>
        <w:jc w:val="center"/>
        <w:outlineLvl w:val="0"/>
        <w:rPr>
          <w:rStyle w:val="16"/>
          <w:rFonts w:ascii="方正小标宋简体" w:hAnsi="黑体" w:eastAsia="方正小标宋简体"/>
          <w:b w:val="0"/>
          <w:bCs w:val="0"/>
        </w:rPr>
      </w:pPr>
      <w:r>
        <w:rPr>
          <w:rStyle w:val="16"/>
          <w:rFonts w:hint="eastAsia" w:ascii="方正小标宋简体" w:hAnsi="黑体" w:eastAsia="方正小标宋简体" w:cs="方正小标宋简体"/>
          <w:b w:val="0"/>
          <w:bCs w:val="0"/>
        </w:rPr>
        <w:t>第二部分</w:t>
      </w:r>
      <w:r>
        <w:rPr>
          <w:rStyle w:val="16"/>
          <w:rFonts w:ascii="方正小标宋简体" w:hAnsi="黑体" w:eastAsia="方正小标宋简体" w:cs="方正小标宋简体"/>
          <w:b w:val="0"/>
          <w:bCs w:val="0"/>
        </w:rPr>
        <w:t xml:space="preserve">  2018</w:t>
      </w:r>
      <w:r>
        <w:rPr>
          <w:rStyle w:val="16"/>
          <w:rFonts w:hint="eastAsia" w:ascii="方正小标宋简体" w:hAnsi="黑体" w:eastAsia="方正小标宋简体" w:cs="方正小标宋简体"/>
          <w:b w:val="0"/>
          <w:bCs w:val="0"/>
        </w:rPr>
        <w:t>年度部门决算情况说明</w:t>
      </w:r>
      <w:bookmarkEnd w:id="22"/>
      <w:bookmarkEnd w:id="23"/>
    </w:p>
    <w:p>
      <w:pPr>
        <w:spacing w:line="576" w:lineRule="exact"/>
      </w:pPr>
    </w:p>
    <w:p>
      <w:pPr>
        <w:pStyle w:val="27"/>
        <w:numPr>
          <w:ilvl w:val="0"/>
          <w:numId w:val="1"/>
        </w:numPr>
        <w:spacing w:line="576" w:lineRule="exact"/>
        <w:ind w:firstLineChars="0"/>
        <w:outlineLvl w:val="1"/>
        <w:rPr>
          <w:rStyle w:val="17"/>
          <w:rFonts w:ascii="黑体" w:hAnsi="黑体" w:eastAsia="黑体" w:cs="Times New Roman"/>
          <w:b w:val="0"/>
          <w:bCs w:val="0"/>
        </w:rPr>
      </w:pPr>
      <w:bookmarkStart w:id="24" w:name="_Toc15377205"/>
      <w:bookmarkStart w:id="25" w:name="_Toc15396603"/>
      <w:r>
        <w:rPr>
          <w:rFonts w:hint="eastAsia" w:ascii="黑体" w:hAnsi="黑体" w:eastAsia="黑体" w:cs="黑体"/>
          <w:color w:val="000000"/>
          <w:sz w:val="32"/>
          <w:szCs w:val="32"/>
        </w:rPr>
        <w:t>收</w:t>
      </w:r>
      <w:r>
        <w:rPr>
          <w:rStyle w:val="17"/>
          <w:rFonts w:hint="eastAsia" w:ascii="黑体" w:hAnsi="黑体" w:eastAsia="黑体" w:cs="黑体"/>
          <w:b w:val="0"/>
          <w:bCs w:val="0"/>
        </w:rPr>
        <w:t>入支出决算总体情况说明</w:t>
      </w:r>
      <w:bookmarkEnd w:id="24"/>
      <w:bookmarkEnd w:id="25"/>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年度收、支总计</w:t>
      </w:r>
      <w:r>
        <w:rPr>
          <w:rFonts w:ascii="仿宋_GB2312" w:eastAsia="仿宋_GB2312" w:cs="仿宋_GB2312"/>
          <w:color w:val="000000"/>
          <w:sz w:val="32"/>
          <w:szCs w:val="32"/>
        </w:rPr>
        <w:t>379.5</w:t>
      </w:r>
      <w:r>
        <w:rPr>
          <w:rFonts w:hint="eastAsia" w:ascii="仿宋_GB2312" w:eastAsia="仿宋_GB2312" w:cs="仿宋_GB2312"/>
          <w:color w:val="000000"/>
          <w:sz w:val="32"/>
          <w:szCs w:val="32"/>
        </w:rPr>
        <w:t>4</w:t>
      </w:r>
      <w:r>
        <w:rPr>
          <w:rFonts w:hint="eastAsia" w:ascii="仿宋_GB2312" w:hAnsi="仿宋" w:eastAsia="仿宋_GB2312" w:cs="仿宋_GB2312"/>
          <w:color w:val="000000"/>
          <w:sz w:val="32"/>
          <w:szCs w:val="32"/>
        </w:rPr>
        <w:t>万元。与</w:t>
      </w:r>
      <w:r>
        <w:rPr>
          <w:rFonts w:ascii="仿宋_GB2312" w:hAnsi="仿宋" w:eastAsia="仿宋_GB2312" w:cs="仿宋_GB2312"/>
          <w:color w:val="000000"/>
          <w:sz w:val="32"/>
          <w:szCs w:val="32"/>
        </w:rPr>
        <w:t>2017</w:t>
      </w:r>
      <w:r>
        <w:rPr>
          <w:rFonts w:hint="eastAsia" w:ascii="仿宋_GB2312" w:hAnsi="仿宋" w:eastAsia="仿宋_GB2312" w:cs="仿宋_GB2312"/>
          <w:color w:val="000000"/>
          <w:sz w:val="32"/>
          <w:szCs w:val="32"/>
        </w:rPr>
        <w:t>年相比，收、支总计增加</w:t>
      </w:r>
      <w:r>
        <w:rPr>
          <w:rFonts w:ascii="仿宋_GB2312" w:hAnsi="仿宋" w:eastAsia="仿宋_GB2312" w:cs="仿宋_GB2312"/>
          <w:color w:val="000000"/>
          <w:sz w:val="32"/>
          <w:szCs w:val="32"/>
        </w:rPr>
        <w:t>103.76</w:t>
      </w:r>
      <w:r>
        <w:rPr>
          <w:rFonts w:hint="eastAsia" w:ascii="仿宋_GB2312" w:hAnsi="仿宋" w:eastAsia="仿宋_GB2312" w:cs="仿宋_GB2312"/>
          <w:color w:val="000000"/>
          <w:sz w:val="32"/>
          <w:szCs w:val="32"/>
        </w:rPr>
        <w:t>万元，增长</w:t>
      </w:r>
      <w:r>
        <w:rPr>
          <w:rFonts w:ascii="仿宋_GB2312" w:hAnsi="仿宋" w:eastAsia="仿宋_GB2312" w:cs="仿宋_GB2312"/>
          <w:color w:val="000000"/>
          <w:sz w:val="32"/>
          <w:szCs w:val="32"/>
        </w:rPr>
        <w:t>27.3%</w:t>
      </w:r>
      <w:r>
        <w:rPr>
          <w:rFonts w:hint="eastAsia" w:ascii="仿宋_GB2312" w:hAnsi="仿宋" w:eastAsia="仿宋_GB2312" w:cs="仿宋_GB2312"/>
          <w:color w:val="000000"/>
          <w:sz w:val="32"/>
          <w:szCs w:val="32"/>
        </w:rPr>
        <w:t>。主要变动原因是由于人员增加，</w:t>
      </w: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年扫黑除恶专项工作经费投入大。</w:t>
      </w:r>
    </w:p>
    <w:p>
      <w:pPr>
        <w:spacing w:line="600" w:lineRule="exact"/>
        <w:ind w:firstLine="643" w:firstLineChars="200"/>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图</w:t>
      </w:r>
      <w:r>
        <w:rPr>
          <w:rFonts w:ascii="仿宋_GB2312" w:hAnsi="仿宋" w:eastAsia="仿宋_GB2312" w:cs="仿宋_GB2312"/>
          <w:b/>
          <w:bCs/>
          <w:color w:val="000000"/>
          <w:sz w:val="32"/>
          <w:szCs w:val="32"/>
        </w:rPr>
        <w:t>1</w:t>
      </w:r>
      <w:r>
        <w:rPr>
          <w:rFonts w:hint="eastAsia" w:ascii="仿宋_GB2312" w:hAnsi="仿宋" w:eastAsia="仿宋_GB2312" w:cs="仿宋_GB2312"/>
          <w:b/>
          <w:bCs/>
          <w:color w:val="000000"/>
          <w:sz w:val="32"/>
          <w:szCs w:val="32"/>
        </w:rPr>
        <w:t>：收、支决算总计变动情况图（单位：万元）</w:t>
      </w:r>
    </w:p>
    <w:p>
      <w:pPr>
        <w:spacing w:line="600" w:lineRule="exact"/>
        <w:ind w:firstLine="420" w:firstLineChars="200"/>
        <w:rPr>
          <w:rFonts w:ascii="仿宋" w:hAnsi="仿宋" w:eastAsia="仿宋"/>
          <w:color w:val="000000"/>
          <w:sz w:val="32"/>
          <w:szCs w:val="32"/>
        </w:rPr>
      </w:pPr>
      <w:r>
        <w:pict>
          <v:shape id="_x0000_s1028" o:spid="_x0000_s1028" o:spt="75" type="#_x0000_t75" style="position:absolute;left:0pt;margin-left:37.4pt;margin-top:2.25pt;height:172.85pt;width:316.85pt;mso-wrap-distance-left:9pt;mso-wrap-distance-right:9pt;z-index:-251658240;mso-width-relative:page;mso-height-relative:page;" o:ole="t" filled="f" o:preferrelative="t" stroked="f" coordsize="21600,21600" wrapcoords="21592 -2 0 0 0 21600 21592 21602 8 21602 21600 21600 21600 0 8 -2 21592 -2">
            <v:path/>
            <v:fill on="f" focussize="0,0"/>
            <v:stroke on="f"/>
            <v:imagedata r:id="rId13" o:title=""/>
            <o:lock v:ext="edit" aspectratio="t"/>
            <w10:wrap type="tight"/>
          </v:shape>
          <o:OLEObject Type="Embed" ProgID="Excel.Chart.8" ShapeID="_x0000_s1028" DrawAspect="Content" ObjectID="_1468075725" r:id="rId12">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7"/>
        <w:numPr>
          <w:ilvl w:val="0"/>
          <w:numId w:val="1"/>
        </w:numPr>
        <w:spacing w:line="576" w:lineRule="exact"/>
        <w:ind w:firstLineChars="0"/>
        <w:outlineLvl w:val="1"/>
        <w:rPr>
          <w:rStyle w:val="17"/>
          <w:rFonts w:ascii="黑体" w:hAnsi="黑体" w:eastAsia="黑体" w:cs="Times New Roman"/>
          <w:b w:val="0"/>
          <w:bCs w:val="0"/>
        </w:rPr>
      </w:pPr>
      <w:bookmarkStart w:id="26" w:name="_Toc15377206"/>
      <w:bookmarkStart w:id="27" w:name="_Toc15396604"/>
      <w:r>
        <w:rPr>
          <w:rFonts w:hint="eastAsia" w:ascii="黑体" w:hAnsi="黑体" w:eastAsia="黑体" w:cs="黑体"/>
          <w:color w:val="000000"/>
          <w:sz w:val="32"/>
          <w:szCs w:val="32"/>
        </w:rPr>
        <w:t>收</w:t>
      </w:r>
      <w:r>
        <w:rPr>
          <w:rStyle w:val="17"/>
          <w:rFonts w:hint="eastAsia" w:ascii="黑体" w:hAnsi="黑体" w:eastAsia="黑体" w:cs="黑体"/>
          <w:b w:val="0"/>
          <w:bCs w:val="0"/>
        </w:rPr>
        <w:t>入决算情况说明</w:t>
      </w:r>
      <w:bookmarkEnd w:id="26"/>
      <w:bookmarkEnd w:id="27"/>
    </w:p>
    <w:p>
      <w:pPr>
        <w:spacing w:line="576" w:lineRule="exact"/>
        <w:ind w:firstLine="640" w:firstLineChars="200"/>
        <w:outlineLvl w:val="1"/>
        <w:rPr>
          <w:rFonts w:ascii="仿宋_GB2312" w:hAnsi="仿宋" w:eastAsia="仿宋_GB2312"/>
          <w:color w:val="000000"/>
          <w:sz w:val="32"/>
          <w:szCs w:val="32"/>
        </w:rPr>
      </w:pP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年本年收入合计</w:t>
      </w:r>
      <w:r>
        <w:rPr>
          <w:rFonts w:ascii="仿宋_GB2312" w:eastAsia="仿宋_GB2312" w:cs="仿宋_GB2312"/>
          <w:color w:val="000000"/>
          <w:sz w:val="32"/>
          <w:szCs w:val="32"/>
        </w:rPr>
        <w:t>371.63</w:t>
      </w:r>
      <w:r>
        <w:rPr>
          <w:rFonts w:hint="eastAsia" w:ascii="仿宋_GB2312" w:hAnsi="仿宋" w:eastAsia="仿宋_GB2312" w:cs="仿宋_GB2312"/>
          <w:color w:val="000000"/>
          <w:sz w:val="32"/>
          <w:szCs w:val="32"/>
        </w:rPr>
        <w:t>万元，其中：一般公共预算财政拨款收入</w:t>
      </w:r>
      <w:r>
        <w:rPr>
          <w:rFonts w:ascii="仿宋_GB2312" w:eastAsia="仿宋_GB2312" w:cs="仿宋_GB2312"/>
          <w:color w:val="000000"/>
          <w:sz w:val="32"/>
          <w:szCs w:val="32"/>
        </w:rPr>
        <w:t>371.63</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100%</w:t>
      </w:r>
      <w:r>
        <w:rPr>
          <w:rFonts w:hint="eastAsia" w:ascii="仿宋_GB2312" w:hAnsi="仿宋" w:eastAsia="仿宋_GB2312" w:cs="仿宋_GB2312"/>
          <w:color w:val="000000"/>
          <w:sz w:val="32"/>
          <w:szCs w:val="32"/>
        </w:rPr>
        <w:t>；政府性基金预算财政拨款收入</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；国有资本经营预算财政拨款收入</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；事业收入</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；经营收入</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；附属单位上缴收入</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；其他收入</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w:t>
      </w:r>
    </w:p>
    <w:p>
      <w:pPr>
        <w:spacing w:line="600" w:lineRule="exact"/>
        <w:jc w:val="center"/>
        <w:rPr>
          <w:rFonts w:ascii="仿宋_GB2312" w:eastAsia="仿宋_GB2312"/>
          <w:b/>
          <w:bCs/>
          <w:color w:val="FF0000"/>
          <w:sz w:val="32"/>
          <w:szCs w:val="32"/>
        </w:rPr>
      </w:pPr>
      <w:r>
        <w:pict>
          <v:shape id="_x0000_s1029" o:spid="_x0000_s1029" o:spt="75" type="#_x0000_t75" style="position:absolute;left:0pt;margin-left:42.3pt;margin-top:61.15pt;height:235.7pt;width:313.45pt;mso-wrap-distance-left:9pt;mso-wrap-distance-right:9pt;z-index:-251657216;mso-width-relative:page;mso-height-relative:page;" o:ole="t" filled="f" o:preferrelative="t" stroked="f" coordsize="21600,21600" wrapcoords="155 344 155 21187 21342 21187 21342 344 155 344">
            <v:path/>
            <v:fill on="f" focussize="0,0"/>
            <v:stroke on="f" joinstyle="miter"/>
            <v:imagedata r:id="rId15" o:title=""/>
            <o:lock v:ext="edit" aspectratio="t"/>
            <w10:wrap type="tight"/>
          </v:shape>
          <o:OLEObject Type="Embed" ProgID="Excel.Chart.8" ShapeID="_x0000_s1029" DrawAspect="Content" ObjectID="_1468075726" r:id="rId14">
            <o:LockedField>false</o:LockedField>
          </o:OLEObject>
        </w:pict>
      </w:r>
      <w:r>
        <w:rPr>
          <w:rFonts w:hint="eastAsia" w:ascii="仿宋_GB2312" w:hAnsi="仿宋" w:eastAsia="仿宋_GB2312" w:cs="仿宋_GB2312"/>
          <w:b/>
          <w:bCs/>
          <w:color w:val="000000"/>
          <w:sz w:val="32"/>
          <w:szCs w:val="32"/>
        </w:rPr>
        <w:t>图</w:t>
      </w:r>
      <w:r>
        <w:rPr>
          <w:rFonts w:ascii="仿宋_GB2312" w:hAnsi="仿宋" w:eastAsia="仿宋_GB2312" w:cs="仿宋_GB2312"/>
          <w:b/>
          <w:bCs/>
          <w:color w:val="000000"/>
          <w:sz w:val="32"/>
          <w:szCs w:val="32"/>
        </w:rPr>
        <w:t>2</w:t>
      </w:r>
      <w:r>
        <w:rPr>
          <w:rFonts w:hint="eastAsia" w:ascii="仿宋_GB2312" w:hAnsi="仿宋" w:eastAsia="仿宋_GB2312" w:cs="仿宋_GB2312"/>
          <w:b/>
          <w:bCs/>
          <w:color w:val="000000"/>
          <w:sz w:val="32"/>
          <w:szCs w:val="32"/>
        </w:rPr>
        <w:t>：收入决算结构图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7"/>
        <w:numPr>
          <w:ilvl w:val="0"/>
          <w:numId w:val="1"/>
        </w:numPr>
        <w:spacing w:line="600" w:lineRule="exact"/>
        <w:ind w:firstLineChars="0"/>
        <w:outlineLvl w:val="1"/>
        <w:rPr>
          <w:rStyle w:val="17"/>
          <w:rFonts w:ascii="黑体" w:hAnsi="黑体" w:eastAsia="黑体" w:cs="Times New Roman"/>
          <w:b w:val="0"/>
          <w:bCs w:val="0"/>
        </w:rPr>
      </w:pPr>
      <w:bookmarkStart w:id="28" w:name="_Toc15377207"/>
      <w:bookmarkStart w:id="29" w:name="_Toc15396605"/>
      <w:r>
        <w:rPr>
          <w:rFonts w:hint="eastAsia" w:ascii="黑体" w:hAnsi="黑体" w:eastAsia="黑体" w:cs="黑体"/>
          <w:color w:val="000000"/>
          <w:sz w:val="32"/>
          <w:szCs w:val="32"/>
        </w:rPr>
        <w:t>支</w:t>
      </w:r>
      <w:r>
        <w:rPr>
          <w:rStyle w:val="17"/>
          <w:rFonts w:hint="eastAsia" w:ascii="黑体" w:hAnsi="黑体" w:eastAsia="黑体" w:cs="黑体"/>
          <w:b w:val="0"/>
          <w:bCs w:val="0"/>
        </w:rPr>
        <w:t>出决算情况说明</w:t>
      </w:r>
      <w:bookmarkEnd w:id="28"/>
      <w:bookmarkEnd w:id="29"/>
    </w:p>
    <w:p>
      <w:pPr>
        <w:spacing w:line="576" w:lineRule="exact"/>
        <w:ind w:firstLine="641"/>
        <w:rPr>
          <w:rFonts w:ascii="仿宋" w:hAnsi="仿宋" w:eastAsia="仿宋"/>
          <w:color w:val="000000"/>
          <w:sz w:val="32"/>
          <w:szCs w:val="32"/>
          <w:shd w:val="pct10" w:color="auto" w:fill="FFFFFF"/>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年本年支出合计</w:t>
      </w:r>
      <w:r>
        <w:rPr>
          <w:rFonts w:ascii="仿宋_GB2312" w:eastAsia="仿宋_GB2312" w:cs="仿宋_GB2312"/>
          <w:color w:val="000000"/>
          <w:sz w:val="32"/>
          <w:szCs w:val="32"/>
        </w:rPr>
        <w:t>379.5</w:t>
      </w:r>
      <w:r>
        <w:rPr>
          <w:rFonts w:hint="eastAsia" w:ascii="仿宋_GB2312" w:eastAsia="仿宋_GB2312" w:cs="仿宋_GB2312"/>
          <w:color w:val="000000"/>
          <w:sz w:val="32"/>
          <w:szCs w:val="32"/>
        </w:rPr>
        <w:t>4</w:t>
      </w:r>
      <w:r>
        <w:rPr>
          <w:rFonts w:hint="eastAsia" w:ascii="仿宋" w:hAnsi="仿宋" w:eastAsia="仿宋" w:cs="仿宋"/>
          <w:color w:val="000000"/>
          <w:sz w:val="32"/>
          <w:szCs w:val="32"/>
        </w:rPr>
        <w:t>万元，其中：</w:t>
      </w:r>
      <w:r>
        <w:rPr>
          <w:rFonts w:hint="eastAsia" w:ascii="仿宋_GB2312" w:eastAsia="仿宋_GB2312" w:cs="仿宋_GB2312"/>
          <w:color w:val="000000"/>
          <w:sz w:val="32"/>
          <w:szCs w:val="32"/>
        </w:rPr>
        <w:t>基本支出</w:t>
      </w:r>
      <w:r>
        <w:rPr>
          <w:rFonts w:ascii="仿宋_GB2312" w:eastAsia="仿宋_GB2312" w:cs="仿宋_GB2312"/>
          <w:color w:val="000000"/>
          <w:sz w:val="32"/>
          <w:szCs w:val="32"/>
        </w:rPr>
        <w:t>371.63</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98%</w:t>
      </w:r>
      <w:r>
        <w:rPr>
          <w:rFonts w:hint="eastAsia" w:ascii="仿宋_GB2312" w:eastAsia="仿宋_GB2312" w:cs="仿宋_GB2312"/>
          <w:color w:val="000000"/>
          <w:sz w:val="32"/>
          <w:szCs w:val="32"/>
        </w:rPr>
        <w:t>；项目支出</w:t>
      </w:r>
      <w:r>
        <w:rPr>
          <w:rFonts w:ascii="仿宋_GB2312" w:eastAsia="仿宋_GB2312" w:cs="仿宋_GB2312"/>
          <w:color w:val="000000"/>
          <w:sz w:val="32"/>
          <w:szCs w:val="32"/>
        </w:rPr>
        <w:t>7.92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2%</w:t>
      </w:r>
      <w:r>
        <w:rPr>
          <w:rFonts w:hint="eastAsia" w:ascii="仿宋_GB2312" w:eastAsia="仿宋_GB2312" w:cs="仿宋_GB2312"/>
          <w:color w:val="000000"/>
          <w:sz w:val="32"/>
          <w:szCs w:val="32"/>
        </w:rPr>
        <w:t>；上缴上级支出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万元；经营支出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万元；对附属单位补助支出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spacing w:line="600" w:lineRule="exact"/>
        <w:ind w:firstLine="643" w:firstLineChars="200"/>
        <w:jc w:val="center"/>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图</w:t>
      </w:r>
      <w:r>
        <w:rPr>
          <w:rFonts w:ascii="仿宋_GB2312" w:hAnsi="仿宋" w:eastAsia="仿宋_GB2312" w:cs="仿宋_GB2312"/>
          <w:b/>
          <w:bCs/>
          <w:color w:val="000000"/>
          <w:sz w:val="32"/>
          <w:szCs w:val="32"/>
        </w:rPr>
        <w:t>3</w:t>
      </w:r>
      <w:r>
        <w:rPr>
          <w:rFonts w:hint="eastAsia" w:ascii="仿宋_GB2312" w:hAnsi="仿宋" w:eastAsia="仿宋_GB2312" w:cs="仿宋_GB2312"/>
          <w:b/>
          <w:bCs/>
          <w:color w:val="000000"/>
          <w:sz w:val="32"/>
          <w:szCs w:val="32"/>
        </w:rPr>
        <w:t>：支出决算结构图</w:t>
      </w: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pict>
          <v:shape id="_x0000_s1030" o:spid="_x0000_s1030" o:spt="75" type="#_x0000_t75" style="position:absolute;left:0pt;margin-left:35.45pt;margin-top:9.1pt;height:236.65pt;width:342.2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7" o:title=""/>
            <o:lock v:ext="edit" aspectratio="t"/>
            <w10:wrap type="square"/>
          </v:shape>
          <o:OLEObject Type="Embed" ProgID="Excel.Chart.8" ShapeID="_x0000_s1030" DrawAspect="Content" ObjectID="_1468075727" r:id="rId1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pStyle w:val="3"/>
        <w:spacing w:before="0" w:after="0" w:line="576" w:lineRule="exact"/>
        <w:ind w:firstLine="640" w:firstLineChars="200"/>
        <w:rPr>
          <w:rStyle w:val="17"/>
          <w:rFonts w:ascii="黑体" w:hAnsi="黑体" w:eastAsia="黑体" w:cs="Times New Roman"/>
          <w:b w:val="0"/>
          <w:bCs w:val="0"/>
        </w:rPr>
      </w:pPr>
      <w:bookmarkStart w:id="30" w:name="_Toc15396606"/>
      <w:bookmarkStart w:id="31" w:name="_Toc15377208"/>
      <w:r>
        <w:rPr>
          <w:rFonts w:hint="eastAsia" w:ascii="黑体" w:hAnsi="黑体" w:eastAsia="黑体" w:cs="黑体"/>
          <w:b w:val="0"/>
          <w:bCs w:val="0"/>
          <w:color w:val="000000"/>
        </w:rPr>
        <w:t>四、财</w:t>
      </w:r>
      <w:r>
        <w:rPr>
          <w:rStyle w:val="17"/>
          <w:rFonts w:hint="eastAsia" w:ascii="黑体" w:hAnsi="黑体" w:eastAsia="黑体" w:cs="黑体"/>
          <w:b w:val="0"/>
          <w:bCs w:val="0"/>
        </w:rPr>
        <w:t>政拨款收入支出决算总体情况说明</w:t>
      </w:r>
      <w:bookmarkEnd w:id="30"/>
      <w:bookmarkEnd w:id="31"/>
    </w:p>
    <w:p>
      <w:pPr>
        <w:pStyle w:val="3"/>
        <w:spacing w:before="0" w:after="0" w:line="576" w:lineRule="exact"/>
        <w:ind w:firstLine="641"/>
        <w:rPr>
          <w:rFonts w:ascii="仿宋_GB2312" w:hAnsi="黑体" w:eastAsia="仿宋_GB2312" w:cs="Times New Roman"/>
          <w:b w:val="0"/>
          <w:bCs w:val="0"/>
        </w:rPr>
      </w:pPr>
      <w:r>
        <w:rPr>
          <w:rFonts w:ascii="仿宋_GB2312" w:hAnsi="仿宋" w:eastAsia="仿宋_GB2312" w:cs="仿宋_GB2312"/>
          <w:b w:val="0"/>
          <w:bCs w:val="0"/>
          <w:color w:val="000000"/>
        </w:rPr>
        <w:t>2018</w:t>
      </w:r>
      <w:r>
        <w:rPr>
          <w:rFonts w:hint="eastAsia" w:ascii="仿宋_GB2312" w:hAnsi="仿宋" w:eastAsia="仿宋_GB2312" w:cs="仿宋_GB2312"/>
          <w:b w:val="0"/>
          <w:bCs w:val="0"/>
          <w:color w:val="000000"/>
        </w:rPr>
        <w:t>年财政拨款收、支总计</w:t>
      </w:r>
      <w:r>
        <w:rPr>
          <w:rFonts w:ascii="仿宋_GB2312" w:eastAsia="仿宋_GB2312" w:cs="仿宋_GB2312"/>
          <w:b w:val="0"/>
          <w:bCs w:val="0"/>
          <w:color w:val="000000"/>
        </w:rPr>
        <w:t>379.5</w:t>
      </w:r>
      <w:r>
        <w:rPr>
          <w:rFonts w:hint="eastAsia" w:ascii="仿宋_GB2312" w:eastAsia="仿宋_GB2312" w:cs="仿宋_GB2312"/>
          <w:b w:val="0"/>
          <w:bCs w:val="0"/>
          <w:color w:val="000000"/>
        </w:rPr>
        <w:t>4</w:t>
      </w:r>
      <w:r>
        <w:rPr>
          <w:rFonts w:hint="eastAsia" w:ascii="仿宋_GB2312" w:hAnsi="仿宋" w:eastAsia="仿宋_GB2312" w:cs="仿宋_GB2312"/>
          <w:b w:val="0"/>
          <w:bCs w:val="0"/>
          <w:color w:val="000000"/>
        </w:rPr>
        <w:t>万元。与</w:t>
      </w:r>
      <w:r>
        <w:rPr>
          <w:rFonts w:ascii="仿宋_GB2312" w:hAnsi="仿宋" w:eastAsia="仿宋_GB2312" w:cs="仿宋_GB2312"/>
          <w:b w:val="0"/>
          <w:bCs w:val="0"/>
          <w:color w:val="000000"/>
        </w:rPr>
        <w:t>2017</w:t>
      </w:r>
      <w:r>
        <w:rPr>
          <w:rFonts w:hint="eastAsia" w:ascii="仿宋_GB2312" w:hAnsi="仿宋" w:eastAsia="仿宋_GB2312" w:cs="仿宋_GB2312"/>
          <w:b w:val="0"/>
          <w:bCs w:val="0"/>
          <w:color w:val="000000"/>
        </w:rPr>
        <w:t>年相比，收、支总计增加</w:t>
      </w:r>
      <w:r>
        <w:rPr>
          <w:rFonts w:ascii="仿宋_GB2312" w:hAnsi="仿宋" w:eastAsia="仿宋_GB2312" w:cs="仿宋_GB2312"/>
          <w:b w:val="0"/>
          <w:bCs w:val="0"/>
          <w:color w:val="000000"/>
        </w:rPr>
        <w:t>103.76</w:t>
      </w:r>
      <w:r>
        <w:rPr>
          <w:rFonts w:hint="eastAsia" w:ascii="仿宋_GB2312" w:hAnsi="仿宋" w:eastAsia="仿宋_GB2312" w:cs="仿宋_GB2312"/>
          <w:b w:val="0"/>
          <w:bCs w:val="0"/>
          <w:color w:val="000000"/>
        </w:rPr>
        <w:t>万元，增长</w:t>
      </w:r>
      <w:r>
        <w:rPr>
          <w:rFonts w:ascii="仿宋_GB2312" w:hAnsi="仿宋" w:eastAsia="仿宋_GB2312" w:cs="仿宋_GB2312"/>
          <w:b w:val="0"/>
          <w:bCs w:val="0"/>
          <w:color w:val="000000"/>
        </w:rPr>
        <w:t>27.3%</w:t>
      </w:r>
      <w:r>
        <w:rPr>
          <w:rFonts w:hint="eastAsia" w:ascii="仿宋_GB2312" w:hAnsi="仿宋" w:eastAsia="仿宋_GB2312" w:cs="仿宋_GB2312"/>
          <w:b w:val="0"/>
          <w:bCs w:val="0"/>
          <w:color w:val="000000"/>
        </w:rPr>
        <w:t>。主要变动原因是由于人员增加，</w:t>
      </w:r>
      <w:r>
        <w:rPr>
          <w:rFonts w:ascii="仿宋_GB2312" w:hAnsi="仿宋" w:eastAsia="仿宋_GB2312" w:cs="仿宋_GB2312"/>
          <w:b w:val="0"/>
          <w:bCs w:val="0"/>
          <w:color w:val="000000"/>
        </w:rPr>
        <w:t>2018</w:t>
      </w:r>
      <w:r>
        <w:rPr>
          <w:rFonts w:hint="eastAsia" w:ascii="仿宋_GB2312" w:hAnsi="仿宋" w:eastAsia="仿宋_GB2312" w:cs="仿宋_GB2312"/>
          <w:b w:val="0"/>
          <w:bCs w:val="0"/>
          <w:color w:val="000000"/>
        </w:rPr>
        <w:t>年扫黑除恶专项工作经费投入大。</w:t>
      </w:r>
    </w:p>
    <w:p>
      <w:pPr>
        <w:spacing w:line="600" w:lineRule="exact"/>
        <w:ind w:firstLine="643" w:firstLineChars="200"/>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图</w:t>
      </w:r>
      <w:r>
        <w:rPr>
          <w:rFonts w:ascii="仿宋_GB2312" w:hAnsi="仿宋" w:eastAsia="仿宋_GB2312" w:cs="仿宋_GB2312"/>
          <w:b/>
          <w:bCs/>
          <w:color w:val="000000"/>
          <w:sz w:val="32"/>
          <w:szCs w:val="32"/>
        </w:rPr>
        <w:t>4</w:t>
      </w:r>
      <w:r>
        <w:rPr>
          <w:rFonts w:hint="eastAsia" w:ascii="仿宋_GB2312" w:hAnsi="仿宋" w:eastAsia="仿宋_GB2312" w:cs="仿宋_GB2312"/>
          <w:b/>
          <w:bCs/>
          <w:color w:val="000000"/>
          <w:sz w:val="32"/>
          <w:szCs w:val="32"/>
        </w:rPr>
        <w:t>：财政拨款收、支决算总计变动情况（单位：万元）</w:t>
      </w:r>
    </w:p>
    <w:p>
      <w:pPr>
        <w:spacing w:line="600" w:lineRule="exact"/>
        <w:ind w:firstLine="420" w:firstLineChars="200"/>
        <w:rPr>
          <w:rFonts w:ascii="仿宋" w:hAnsi="仿宋" w:eastAsia="仿宋"/>
          <w:color w:val="000000"/>
          <w:sz w:val="32"/>
          <w:szCs w:val="32"/>
        </w:rPr>
      </w:pPr>
      <w:r>
        <w:pict>
          <v:shape id="_x0000_s1031" o:spid="_x0000_s1031" o:spt="75" type="#_x0000_t75" style="position:absolute;left:0pt;margin-left:46.5pt;margin-top:18.75pt;height:167.05pt;width:311.5pt;mso-wrap-distance-left:9pt;mso-wrap-distance-right:9pt;z-index:-251655168;mso-width-relative:page;mso-height-relative:page;" o:ole="t" filled="f" o:preferrelative="t" stroked="f" coordsize="21600,21600" wrapcoords="208 484 156 21019 7547 21116 16864 21116 21392 21019 21288 484 208 484">
            <v:path/>
            <v:fill on="f" focussize="0,0"/>
            <v:stroke on="f" joinstyle="miter"/>
            <v:imagedata r:id="rId19" o:title=""/>
            <o:lock v:ext="edit" aspectratio="t"/>
            <w10:wrap type="tight"/>
          </v:shape>
          <o:OLEObject Type="Embed" ProgID="Excel.Chart.8" ShapeID="_x0000_s1031" DrawAspect="Content" ObjectID="_1468075728" r:id="rId18">
            <o:LockedField>false</o:LockedField>
          </o:OLEObject>
        </w:pic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3"/>
        <w:spacing w:before="0" w:after="0" w:line="415" w:lineRule="auto"/>
        <w:ind w:firstLine="643" w:firstLineChars="200"/>
        <w:rPr>
          <w:rFonts w:ascii="仿宋" w:hAnsi="仿宋" w:eastAsia="仿宋" w:cs="Times New Roman"/>
          <w:color w:val="000000"/>
        </w:rPr>
      </w:pPr>
      <w:bookmarkStart w:id="32" w:name="_Toc15396607"/>
      <w:bookmarkStart w:id="33" w:name="_Toc15377209"/>
      <w:r>
        <w:rPr>
          <w:rFonts w:hint="eastAsia" w:ascii="黑体" w:hAnsi="黑体" w:eastAsia="黑体" w:cs="黑体"/>
          <w:color w:val="000000"/>
        </w:rPr>
        <w:t>五、一</w:t>
      </w:r>
      <w:r>
        <w:rPr>
          <w:rStyle w:val="17"/>
          <w:rFonts w:hint="eastAsia" w:ascii="黑体" w:hAnsi="黑体" w:eastAsia="黑体" w:cs="黑体"/>
          <w:b w:val="0"/>
          <w:bCs w:val="0"/>
        </w:rPr>
        <w:t>般公共预算财政拨款支出决算情况说明</w:t>
      </w:r>
      <w:bookmarkEnd w:id="32"/>
      <w:bookmarkEnd w:id="33"/>
      <w:bookmarkStart w:id="34" w:name="_Toc15377210"/>
    </w:p>
    <w:p>
      <w:pPr>
        <w:spacing w:line="576" w:lineRule="exact"/>
        <w:ind w:firstLine="643" w:firstLineChars="200"/>
        <w:outlineLvl w:val="1"/>
        <w:rPr>
          <w:rFonts w:ascii="楷体" w:hAnsi="楷体" w:eastAsia="楷体"/>
          <w:b/>
          <w:bCs/>
          <w:color w:val="000000"/>
          <w:sz w:val="32"/>
          <w:szCs w:val="32"/>
        </w:rPr>
      </w:pPr>
      <w:r>
        <w:rPr>
          <w:rFonts w:hint="eastAsia" w:ascii="楷体" w:hAnsi="楷体" w:eastAsia="楷体" w:cs="楷体"/>
          <w:b/>
          <w:bCs/>
          <w:color w:val="000000"/>
          <w:sz w:val="32"/>
          <w:szCs w:val="32"/>
        </w:rPr>
        <w:t>（一）一般公共预算财政拨款支出决算总体情况</w:t>
      </w:r>
      <w:bookmarkEnd w:id="34"/>
    </w:p>
    <w:p>
      <w:pPr>
        <w:spacing w:line="576" w:lineRule="exact"/>
        <w:ind w:firstLine="640" w:firstLineChars="200"/>
        <w:rPr>
          <w:rFonts w:ascii="仿宋_GB2312" w:eastAsia="仿宋_GB2312"/>
          <w:sz w:val="32"/>
          <w:szCs w:val="32"/>
        </w:rPr>
      </w:pP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年一般公共预算财政拨款支出</w:t>
      </w:r>
      <w:r>
        <w:rPr>
          <w:rFonts w:ascii="仿宋_GB2312" w:hAnsi="仿宋" w:eastAsia="仿宋_GB2312" w:cs="仿宋_GB2312"/>
          <w:color w:val="000000"/>
          <w:sz w:val="32"/>
          <w:szCs w:val="32"/>
        </w:rPr>
        <w:t>379.5</w:t>
      </w:r>
      <w:r>
        <w:rPr>
          <w:rFonts w:hint="eastAsia" w:ascii="仿宋_GB2312" w:hAnsi="仿宋" w:eastAsia="仿宋_GB2312" w:cs="仿宋_GB2312"/>
          <w:color w:val="000000"/>
          <w:sz w:val="32"/>
          <w:szCs w:val="32"/>
        </w:rPr>
        <w:t>4万元，占本年支出合计的</w:t>
      </w:r>
      <w:r>
        <w:rPr>
          <w:rFonts w:ascii="仿宋_GB2312" w:hAnsi="仿宋" w:eastAsia="仿宋_GB2312" w:cs="仿宋_GB2312"/>
          <w:color w:val="000000"/>
          <w:sz w:val="32"/>
          <w:szCs w:val="32"/>
        </w:rPr>
        <w:t>100%</w:t>
      </w:r>
      <w:r>
        <w:rPr>
          <w:rFonts w:hint="eastAsia" w:ascii="仿宋_GB2312" w:hAnsi="仿宋" w:eastAsia="仿宋_GB2312" w:cs="仿宋_GB2312"/>
          <w:color w:val="000000"/>
          <w:sz w:val="32"/>
          <w:szCs w:val="32"/>
        </w:rPr>
        <w:t>。</w:t>
      </w:r>
      <w:r>
        <w:rPr>
          <w:rFonts w:hint="eastAsia" w:ascii="仿宋_GB2312" w:eastAsia="仿宋_GB2312" w:cs="仿宋_GB2312"/>
          <w:sz w:val="32"/>
          <w:szCs w:val="32"/>
        </w:rPr>
        <w:t>与</w:t>
      </w:r>
      <w:r>
        <w:rPr>
          <w:rFonts w:ascii="仿宋_GB2312" w:eastAsia="仿宋_GB2312" w:cs="仿宋_GB2312"/>
          <w:sz w:val="32"/>
          <w:szCs w:val="32"/>
        </w:rPr>
        <w:t>2017</w:t>
      </w:r>
      <w:r>
        <w:rPr>
          <w:rFonts w:hint="eastAsia" w:ascii="仿宋_GB2312" w:eastAsia="仿宋_GB2312" w:cs="仿宋_GB2312"/>
          <w:sz w:val="32"/>
          <w:szCs w:val="32"/>
        </w:rPr>
        <w:t>年相比，一般公共预算财政拨款增加</w:t>
      </w:r>
      <w:r>
        <w:rPr>
          <w:rFonts w:ascii="仿宋_GB2312" w:eastAsia="仿宋_GB2312" w:cs="仿宋_GB2312"/>
          <w:sz w:val="32"/>
          <w:szCs w:val="32"/>
        </w:rPr>
        <w:t>111.84</w:t>
      </w:r>
      <w:r>
        <w:rPr>
          <w:rFonts w:hint="eastAsia" w:ascii="仿宋_GB2312" w:eastAsia="仿宋_GB2312" w:cs="仿宋_GB2312"/>
          <w:sz w:val="32"/>
          <w:szCs w:val="32"/>
        </w:rPr>
        <w:t>万元，增加</w:t>
      </w:r>
      <w:r>
        <w:rPr>
          <w:rFonts w:ascii="仿宋_GB2312" w:eastAsia="仿宋_GB2312" w:cs="仿宋_GB2312"/>
          <w:sz w:val="32"/>
          <w:szCs w:val="32"/>
        </w:rPr>
        <w:t>41.78%</w:t>
      </w:r>
      <w:r>
        <w:rPr>
          <w:rFonts w:hint="eastAsia" w:ascii="仿宋_GB2312" w:eastAsia="仿宋_GB2312" w:cs="仿宋_GB2312"/>
          <w:sz w:val="32"/>
          <w:szCs w:val="32"/>
        </w:rPr>
        <w:t>。</w:t>
      </w:r>
      <w:r>
        <w:rPr>
          <w:rFonts w:hint="eastAsia" w:ascii="仿宋_GB2312" w:hAnsi="仿宋" w:eastAsia="仿宋_GB2312" w:cs="仿宋_GB2312"/>
          <w:color w:val="000000"/>
          <w:sz w:val="32"/>
          <w:szCs w:val="32"/>
        </w:rPr>
        <w:t>主要变动原因是人员增加，</w:t>
      </w: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年扫黑除恶专项工作经费投入大</w:t>
      </w:r>
      <w:r>
        <w:rPr>
          <w:rFonts w:hint="eastAsia" w:ascii="仿宋_GB2312" w:eastAsia="仿宋_GB2312" w:cs="仿宋_GB2312"/>
          <w:sz w:val="32"/>
          <w:szCs w:val="32"/>
        </w:rPr>
        <w:t>。</w:t>
      </w:r>
    </w:p>
    <w:p>
      <w:pPr>
        <w:spacing w:line="600" w:lineRule="exact"/>
        <w:ind w:firstLine="643" w:firstLineChars="200"/>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图</w:t>
      </w:r>
      <w:r>
        <w:rPr>
          <w:rFonts w:ascii="仿宋_GB2312" w:hAnsi="仿宋" w:eastAsia="仿宋_GB2312" w:cs="仿宋_GB2312"/>
          <w:b/>
          <w:bCs/>
          <w:color w:val="000000"/>
          <w:sz w:val="32"/>
          <w:szCs w:val="32"/>
        </w:rPr>
        <w:t>5</w:t>
      </w:r>
      <w:r>
        <w:rPr>
          <w:rFonts w:hint="eastAsia" w:ascii="仿宋_GB2312" w:hAnsi="仿宋" w:eastAsia="仿宋_GB2312" w:cs="仿宋_GB2312"/>
          <w:b/>
          <w:bCs/>
          <w:color w:val="000000"/>
          <w:sz w:val="32"/>
          <w:szCs w:val="32"/>
        </w:rPr>
        <w:t>：一般公共预算财政拨款支出决算变动情况（万元）</w:t>
      </w:r>
    </w:p>
    <w:p>
      <w:pPr>
        <w:spacing w:line="600" w:lineRule="exact"/>
        <w:rPr>
          <w:rFonts w:ascii="仿宋" w:hAnsi="仿宋" w:eastAsia="仿宋"/>
          <w:color w:val="000000"/>
          <w:sz w:val="32"/>
          <w:szCs w:val="32"/>
        </w:rPr>
      </w:pPr>
      <w:r>
        <w:pict>
          <v:shape id="_x0000_s1032" o:spid="_x0000_s1032" o:spt="75" type="#_x0000_t75" style="position:absolute;left:0pt;margin-left:33.55pt;margin-top:18.7pt;height:167.05pt;width:311.5pt;mso-wrap-distance-left:9pt;mso-wrap-distance-right:9pt;z-index:-251654144;mso-width-relative:page;mso-height-relative:page;" o:ole="t" filled="f" o:preferrelative="t" stroked="f" coordsize="21600,21600" wrapcoords="208 484 156 21019 7495 21116 16812 21116 21392 21019 21288 484 208 484">
            <v:path/>
            <v:fill on="f" focussize="0,0"/>
            <v:stroke on="f" joinstyle="miter"/>
            <v:imagedata r:id="rId21" o:title=""/>
            <o:lock v:ext="edit" aspectratio="t"/>
            <w10:wrap type="tight"/>
          </v:shape>
          <o:OLEObject Type="Embed" ProgID="Excel.Chart.8" ShapeID="_x0000_s1032" DrawAspect="Content" ObjectID="_1468075729" r:id="rId20">
            <o:LockedField>false</o:LockedField>
          </o:OLEObject>
        </w:pic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576" w:lineRule="exact"/>
        <w:ind w:firstLine="643" w:firstLineChars="200"/>
        <w:outlineLvl w:val="1"/>
        <w:rPr>
          <w:rFonts w:ascii="楷体" w:hAnsi="楷体" w:eastAsia="楷体"/>
          <w:b/>
          <w:bCs/>
          <w:color w:val="000000"/>
          <w:sz w:val="32"/>
          <w:szCs w:val="32"/>
        </w:rPr>
      </w:pPr>
      <w:bookmarkStart w:id="35" w:name="_Toc15377211"/>
      <w:r>
        <w:rPr>
          <w:rFonts w:hint="eastAsia" w:ascii="楷体" w:hAnsi="楷体" w:eastAsia="楷体" w:cs="楷体"/>
          <w:b/>
          <w:bCs/>
          <w:color w:val="000000"/>
          <w:sz w:val="32"/>
          <w:szCs w:val="32"/>
        </w:rPr>
        <w:t>（二）一般公共预算财政拨款支出决算结构情况</w:t>
      </w:r>
      <w:bookmarkEnd w:id="35"/>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年一般公共预算财政拨款支出</w:t>
      </w:r>
      <w:r>
        <w:rPr>
          <w:rFonts w:ascii="仿宋_GB2312" w:eastAsia="仿宋_GB2312" w:cs="仿宋_GB2312"/>
          <w:color w:val="000000"/>
          <w:sz w:val="32"/>
          <w:szCs w:val="32"/>
        </w:rPr>
        <w:t>379.</w:t>
      </w:r>
      <w:r>
        <w:rPr>
          <w:rFonts w:hint="eastAsia" w:ascii="仿宋_GB2312" w:eastAsia="仿宋_GB2312" w:cs="仿宋_GB2312"/>
          <w:color w:val="000000"/>
          <w:sz w:val="32"/>
          <w:szCs w:val="32"/>
        </w:rPr>
        <w:t>54万元，主要用于以下方面</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公共安全（类）支出</w:t>
      </w:r>
      <w:r>
        <w:rPr>
          <w:rFonts w:ascii="仿宋_GB2312" w:eastAsia="仿宋_GB2312" w:cs="仿宋_GB2312"/>
          <w:color w:val="000000"/>
          <w:sz w:val="32"/>
          <w:szCs w:val="32"/>
        </w:rPr>
        <w:t>303.89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80%</w:t>
      </w:r>
      <w:r>
        <w:rPr>
          <w:rFonts w:hint="eastAsia" w:ascii="仿宋_GB2312" w:eastAsia="仿宋_GB2312" w:cs="仿宋_GB2312"/>
          <w:color w:val="000000"/>
          <w:sz w:val="32"/>
          <w:szCs w:val="32"/>
        </w:rPr>
        <w:t>；社会保障和就业（类）支出</w:t>
      </w:r>
      <w:r>
        <w:rPr>
          <w:rFonts w:ascii="仿宋_GB2312" w:eastAsia="仿宋_GB2312" w:cs="仿宋_GB2312"/>
          <w:color w:val="000000"/>
          <w:sz w:val="32"/>
          <w:szCs w:val="32"/>
        </w:rPr>
        <w:t>38.64</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10%</w:t>
      </w:r>
      <w:r>
        <w:rPr>
          <w:rFonts w:hint="eastAsia" w:ascii="仿宋_GB2312" w:eastAsia="仿宋_GB2312" w:cs="仿宋_GB2312"/>
          <w:color w:val="000000"/>
          <w:sz w:val="32"/>
          <w:szCs w:val="32"/>
        </w:rPr>
        <w:t>；医疗卫生（类）支出</w:t>
      </w:r>
      <w:r>
        <w:rPr>
          <w:rFonts w:ascii="仿宋_GB2312" w:eastAsia="仿宋_GB2312" w:cs="仿宋_GB2312"/>
          <w:color w:val="000000"/>
          <w:sz w:val="32"/>
          <w:szCs w:val="32"/>
        </w:rPr>
        <w:t>14.82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4%</w:t>
      </w:r>
      <w:r>
        <w:rPr>
          <w:rFonts w:hint="eastAsia" w:ascii="仿宋_GB2312" w:eastAsia="仿宋_GB2312" w:cs="仿宋_GB2312"/>
          <w:color w:val="000000"/>
          <w:sz w:val="32"/>
          <w:szCs w:val="32"/>
        </w:rPr>
        <w:t>；住房保障（类）支出</w:t>
      </w:r>
      <w:r>
        <w:rPr>
          <w:rFonts w:ascii="仿宋_GB2312" w:eastAsia="仿宋_GB2312" w:cs="仿宋_GB2312"/>
          <w:color w:val="000000"/>
          <w:sz w:val="32"/>
          <w:szCs w:val="32"/>
        </w:rPr>
        <w:t>22.19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6%</w:t>
      </w:r>
      <w:r>
        <w:rPr>
          <w:rFonts w:hint="eastAsia" w:ascii="仿宋_GB2312" w:eastAsia="仿宋_GB2312" w:cs="仿宋_GB2312"/>
          <w:color w:val="000000"/>
          <w:sz w:val="32"/>
          <w:szCs w:val="32"/>
        </w:rPr>
        <w:t>。</w:t>
      </w:r>
    </w:p>
    <w:p>
      <w:pPr>
        <w:spacing w:line="600" w:lineRule="exact"/>
        <w:ind w:firstLine="640"/>
        <w:jc w:val="center"/>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图</w:t>
      </w:r>
      <w:r>
        <w:rPr>
          <w:rFonts w:ascii="仿宋_GB2312" w:hAnsi="仿宋" w:eastAsia="仿宋_GB2312" w:cs="仿宋_GB2312"/>
          <w:b/>
          <w:bCs/>
          <w:color w:val="000000"/>
          <w:sz w:val="32"/>
          <w:szCs w:val="32"/>
        </w:rPr>
        <w:t>6</w:t>
      </w:r>
      <w:r>
        <w:rPr>
          <w:rFonts w:hint="eastAsia" w:ascii="仿宋_GB2312" w:hAnsi="仿宋" w:eastAsia="仿宋_GB2312" w:cs="仿宋_GB2312"/>
          <w:b/>
          <w:bCs/>
          <w:color w:val="000000"/>
          <w:sz w:val="32"/>
          <w:szCs w:val="32"/>
        </w:rPr>
        <w:t>：一般公共预算财政拨款支出决算结构</w:t>
      </w:r>
    </w:p>
    <w:p>
      <w:pPr>
        <w:spacing w:line="600" w:lineRule="exact"/>
        <w:ind w:firstLine="640"/>
        <w:rPr>
          <w:rFonts w:ascii="楷体" w:hAnsi="楷体" w:eastAsia="楷体"/>
          <w:b/>
          <w:bCs/>
          <w:color w:val="000000"/>
          <w:sz w:val="32"/>
          <w:szCs w:val="32"/>
        </w:rPr>
      </w:pPr>
      <w:r>
        <w:pict>
          <v:shape id="_x0000_s1033" o:spid="_x0000_s1033" o:spt="75" type="#_x0000_t75" style="position:absolute;left:0pt;margin-left:26.6pt;margin-top:3.55pt;height:234.25pt;width:384.95pt;mso-wrap-distance-left:9pt;mso-wrap-distance-right:9pt;z-index:-251653120;mso-width-relative:page;mso-height-relative:page;" o:ole="t" filled="f" o:preferrelative="t" stroked="f" coordsize="21600,21600" wrapcoords="126 346 126 21185 21389 21185 21389 346 126 346">
            <v:path/>
            <v:fill on="f" focussize="0,0"/>
            <v:stroke on="f" joinstyle="miter"/>
            <v:imagedata r:id="rId23" o:title=""/>
            <o:lock v:ext="edit" aspectratio="t"/>
            <w10:wrap type="tight"/>
          </v:shape>
          <o:OLEObject Type="Embed" ProgID="Excel.Chart.8" ShapeID="_x0000_s1033" DrawAspect="Content" ObjectID="_1468075730" r:id="rId22">
            <o:LockedField>false</o:LockedField>
          </o:OLEObject>
        </w:pict>
      </w:r>
      <w:bookmarkStart w:id="36" w:name="_Toc15377212"/>
      <w:r>
        <w:rPr>
          <w:rFonts w:hint="eastAsia" w:ascii="楷体" w:hAnsi="楷体" w:eastAsia="楷体" w:cs="楷体"/>
          <w:b/>
          <w:bCs/>
          <w:color w:val="000000"/>
          <w:sz w:val="32"/>
          <w:szCs w:val="32"/>
        </w:rPr>
        <w:t>（三）一般公共预算财政拨款支出决算具体情况</w:t>
      </w:r>
      <w:bookmarkEnd w:id="36"/>
    </w:p>
    <w:p>
      <w:pPr>
        <w:spacing w:line="600" w:lineRule="exact"/>
        <w:ind w:firstLine="640" w:firstLineChars="200"/>
        <w:outlineLvl w:val="2"/>
        <w:rPr>
          <w:rFonts w:ascii="仿宋_GB2312" w:hAnsi="仿宋" w:eastAsia="仿宋_GB2312"/>
          <w:color w:val="FF0000"/>
          <w:sz w:val="32"/>
          <w:szCs w:val="32"/>
        </w:rPr>
      </w:pPr>
      <w:bookmarkStart w:id="37" w:name="_Toc15378460"/>
      <w:bookmarkStart w:id="38" w:name="_Toc15377444"/>
      <w:bookmarkStart w:id="39" w:name="_Toc15377213"/>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年般公共预算支出决算数为</w:t>
      </w:r>
      <w:r>
        <w:rPr>
          <w:rFonts w:ascii="仿宋_GB2312" w:hAnsi="仿宋" w:eastAsia="仿宋_GB2312" w:cs="仿宋_GB2312"/>
          <w:color w:val="000000"/>
          <w:sz w:val="32"/>
          <w:szCs w:val="32"/>
        </w:rPr>
        <w:t>379.5</w:t>
      </w:r>
      <w:r>
        <w:rPr>
          <w:rFonts w:hint="eastAsia" w:ascii="仿宋_GB2312" w:hAnsi="仿宋" w:eastAsia="仿宋_GB2312" w:cs="仿宋_GB2312"/>
          <w:color w:val="000000"/>
          <w:sz w:val="32"/>
          <w:szCs w:val="32"/>
        </w:rPr>
        <w:t>4万元，</w:t>
      </w:r>
      <w:r>
        <w:rPr>
          <w:rStyle w:val="14"/>
          <w:rFonts w:hint="eastAsia" w:ascii="仿宋_GB2312" w:hAnsi="仿宋" w:eastAsia="仿宋_GB2312" w:cs="仿宋_GB2312"/>
          <w:b w:val="0"/>
          <w:bCs w:val="0"/>
          <w:color w:val="000000"/>
          <w:sz w:val="32"/>
          <w:szCs w:val="32"/>
        </w:rPr>
        <w:t>完成预算</w:t>
      </w:r>
      <w:r>
        <w:rPr>
          <w:rStyle w:val="14"/>
          <w:rFonts w:ascii="仿宋_GB2312" w:hAnsi="仿宋" w:eastAsia="仿宋_GB2312" w:cs="仿宋_GB2312"/>
          <w:b w:val="0"/>
          <w:bCs w:val="0"/>
          <w:color w:val="000000"/>
          <w:sz w:val="32"/>
          <w:szCs w:val="32"/>
        </w:rPr>
        <w:t>100%</w:t>
      </w:r>
      <w:r>
        <w:rPr>
          <w:rStyle w:val="14"/>
          <w:rFonts w:hint="eastAsia" w:ascii="仿宋_GB2312" w:hAnsi="仿宋" w:eastAsia="仿宋_GB2312" w:cs="仿宋_GB2312"/>
          <w:b w:val="0"/>
          <w:bCs w:val="0"/>
          <w:color w:val="000000"/>
          <w:sz w:val="32"/>
          <w:szCs w:val="32"/>
        </w:rPr>
        <w:t>。其中：</w:t>
      </w:r>
      <w:bookmarkEnd w:id="37"/>
      <w:bookmarkEnd w:id="38"/>
      <w:bookmarkEnd w:id="39"/>
    </w:p>
    <w:p>
      <w:pPr>
        <w:spacing w:line="600" w:lineRule="exact"/>
        <w:ind w:firstLine="643"/>
        <w:rPr>
          <w:rStyle w:val="14"/>
          <w:rFonts w:ascii="仿宋_GB2312" w:hAnsi="仿宋" w:eastAsia="仿宋_GB2312"/>
          <w:b w:val="0"/>
          <w:bCs w:val="0"/>
          <w:color w:val="000000"/>
          <w:sz w:val="32"/>
          <w:szCs w:val="32"/>
        </w:rPr>
      </w:pPr>
      <w:r>
        <w:rPr>
          <w:rStyle w:val="14"/>
          <w:rFonts w:ascii="仿宋_GB2312" w:hAnsi="仿宋" w:eastAsia="仿宋_GB2312" w:cs="仿宋_GB2312"/>
          <w:color w:val="000000"/>
          <w:sz w:val="32"/>
          <w:szCs w:val="32"/>
        </w:rPr>
        <w:t>1.</w:t>
      </w:r>
      <w:r>
        <w:rPr>
          <w:rStyle w:val="14"/>
          <w:rFonts w:hint="eastAsia" w:ascii="仿宋_GB2312" w:hAnsi="仿宋" w:eastAsia="仿宋_GB2312" w:cs="仿宋_GB2312"/>
          <w:color w:val="000000"/>
          <w:sz w:val="32"/>
          <w:szCs w:val="32"/>
        </w:rPr>
        <w:t>公共安全支出</w:t>
      </w:r>
      <w:r>
        <w:rPr>
          <w:rStyle w:val="14"/>
          <w:rFonts w:ascii="仿宋_GB2312" w:hAnsi="仿宋" w:eastAsia="仿宋_GB2312" w:cs="仿宋_GB2312"/>
          <w:color w:val="000000"/>
          <w:sz w:val="32"/>
          <w:szCs w:val="32"/>
        </w:rPr>
        <w:t>(</w:t>
      </w:r>
      <w:r>
        <w:rPr>
          <w:rStyle w:val="14"/>
          <w:rFonts w:hint="eastAsia" w:ascii="仿宋_GB2312" w:hAnsi="仿宋" w:eastAsia="仿宋_GB2312" w:cs="仿宋_GB2312"/>
          <w:color w:val="000000"/>
          <w:sz w:val="32"/>
          <w:szCs w:val="32"/>
        </w:rPr>
        <w:t>类</w:t>
      </w:r>
      <w:r>
        <w:rPr>
          <w:rStyle w:val="14"/>
          <w:rFonts w:ascii="仿宋_GB2312" w:hAnsi="仿宋" w:eastAsia="仿宋_GB2312" w:cs="仿宋_GB2312"/>
          <w:color w:val="000000"/>
          <w:sz w:val="32"/>
          <w:szCs w:val="32"/>
        </w:rPr>
        <w:t>)</w:t>
      </w:r>
      <w:r>
        <w:rPr>
          <w:rStyle w:val="14"/>
          <w:rFonts w:hint="eastAsia" w:ascii="仿宋_GB2312" w:hAnsi="仿宋" w:eastAsia="仿宋_GB2312" w:cs="仿宋_GB2312"/>
          <w:color w:val="000000"/>
          <w:sz w:val="32"/>
          <w:szCs w:val="32"/>
        </w:rPr>
        <w:t>公安（款）行政运行（项）</w:t>
      </w:r>
      <w:r>
        <w:rPr>
          <w:rStyle w:val="14"/>
          <w:rFonts w:ascii="仿宋_GB2312" w:hAnsi="仿宋" w:eastAsia="仿宋_GB2312" w:cs="仿宋_GB2312"/>
          <w:color w:val="000000"/>
          <w:sz w:val="32"/>
          <w:szCs w:val="32"/>
        </w:rPr>
        <w:t>:</w:t>
      </w:r>
      <w:r>
        <w:rPr>
          <w:rStyle w:val="14"/>
          <w:rFonts w:ascii="仿宋_GB2312" w:hAnsi="仿宋" w:eastAsia="仿宋_GB2312" w:cs="仿宋_GB2312"/>
          <w:b w:val="0"/>
          <w:bCs w:val="0"/>
          <w:color w:val="000000"/>
          <w:sz w:val="32"/>
          <w:szCs w:val="32"/>
        </w:rPr>
        <w:t xml:space="preserve"> </w:t>
      </w:r>
      <w:r>
        <w:rPr>
          <w:rStyle w:val="14"/>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295.98</w:t>
      </w:r>
      <w:r>
        <w:rPr>
          <w:rFonts w:hint="eastAsia" w:ascii="仿宋_GB2312" w:eastAsia="仿宋_GB2312" w:cs="仿宋_GB2312"/>
          <w:color w:val="000000"/>
          <w:sz w:val="32"/>
          <w:szCs w:val="32"/>
        </w:rPr>
        <w:t>万元</w:t>
      </w:r>
      <w:r>
        <w:rPr>
          <w:rStyle w:val="14"/>
          <w:rFonts w:hint="eastAsia" w:ascii="仿宋_GB2312" w:hAnsi="仿宋" w:eastAsia="仿宋_GB2312" w:cs="仿宋_GB2312"/>
          <w:b w:val="0"/>
          <w:bCs w:val="0"/>
          <w:color w:val="000000"/>
          <w:sz w:val="32"/>
          <w:szCs w:val="32"/>
        </w:rPr>
        <w:t>，完成预算</w:t>
      </w:r>
      <w:r>
        <w:rPr>
          <w:rStyle w:val="14"/>
          <w:rFonts w:ascii="仿宋_GB2312" w:hAnsi="仿宋" w:eastAsia="仿宋_GB2312" w:cs="仿宋_GB2312"/>
          <w:b w:val="0"/>
          <w:bCs w:val="0"/>
          <w:color w:val="000000"/>
          <w:sz w:val="32"/>
          <w:szCs w:val="32"/>
        </w:rPr>
        <w:t>100%</w:t>
      </w:r>
      <w:r>
        <w:rPr>
          <w:rStyle w:val="14"/>
          <w:rFonts w:hint="eastAsia" w:ascii="仿宋_GB2312" w:hAnsi="仿宋" w:eastAsia="仿宋_GB2312" w:cs="仿宋_GB2312"/>
          <w:b w:val="0"/>
          <w:bCs w:val="0"/>
          <w:color w:val="000000"/>
          <w:sz w:val="32"/>
          <w:szCs w:val="32"/>
        </w:rPr>
        <w:t>。</w:t>
      </w:r>
    </w:p>
    <w:p>
      <w:pPr>
        <w:spacing w:line="600" w:lineRule="exact"/>
        <w:ind w:firstLine="643"/>
        <w:rPr>
          <w:rStyle w:val="14"/>
          <w:rFonts w:ascii="仿宋_GB2312" w:hAnsi="仿宋" w:eastAsia="仿宋_GB2312"/>
          <w:b w:val="0"/>
          <w:bCs w:val="0"/>
          <w:color w:val="000000"/>
          <w:sz w:val="32"/>
          <w:szCs w:val="32"/>
        </w:rPr>
      </w:pPr>
      <w:r>
        <w:rPr>
          <w:rStyle w:val="14"/>
          <w:rFonts w:ascii="仿宋_GB2312" w:hAnsi="仿宋" w:eastAsia="仿宋_GB2312" w:cs="仿宋_GB2312"/>
          <w:color w:val="000000"/>
          <w:sz w:val="32"/>
          <w:szCs w:val="32"/>
        </w:rPr>
        <w:t>2.</w:t>
      </w:r>
      <w:r>
        <w:rPr>
          <w:rStyle w:val="14"/>
          <w:rFonts w:hint="eastAsia" w:ascii="仿宋_GB2312" w:hAnsi="仿宋" w:eastAsia="仿宋_GB2312" w:cs="仿宋_GB2312"/>
          <w:color w:val="000000"/>
          <w:sz w:val="32"/>
          <w:szCs w:val="32"/>
        </w:rPr>
        <w:t>公共安全支出</w:t>
      </w:r>
      <w:r>
        <w:rPr>
          <w:rStyle w:val="14"/>
          <w:rFonts w:ascii="仿宋_GB2312" w:hAnsi="仿宋" w:eastAsia="仿宋_GB2312" w:cs="仿宋_GB2312"/>
          <w:color w:val="000000"/>
          <w:sz w:val="32"/>
          <w:szCs w:val="32"/>
        </w:rPr>
        <w:t>(</w:t>
      </w:r>
      <w:r>
        <w:rPr>
          <w:rStyle w:val="14"/>
          <w:rFonts w:hint="eastAsia" w:ascii="仿宋_GB2312" w:hAnsi="仿宋" w:eastAsia="仿宋_GB2312" w:cs="仿宋_GB2312"/>
          <w:color w:val="000000"/>
          <w:sz w:val="32"/>
          <w:szCs w:val="32"/>
        </w:rPr>
        <w:t>类</w:t>
      </w:r>
      <w:r>
        <w:rPr>
          <w:rStyle w:val="14"/>
          <w:rFonts w:ascii="仿宋_GB2312" w:hAnsi="仿宋" w:eastAsia="仿宋_GB2312" w:cs="仿宋_GB2312"/>
          <w:color w:val="000000"/>
          <w:sz w:val="32"/>
          <w:szCs w:val="32"/>
        </w:rPr>
        <w:t>)</w:t>
      </w:r>
      <w:r>
        <w:rPr>
          <w:rStyle w:val="14"/>
          <w:rFonts w:hint="eastAsia" w:ascii="仿宋_GB2312" w:hAnsi="仿宋" w:eastAsia="仿宋_GB2312" w:cs="仿宋_GB2312"/>
          <w:color w:val="000000"/>
          <w:sz w:val="32"/>
          <w:szCs w:val="32"/>
        </w:rPr>
        <w:t>公安（款）一般行政管理事务（项）：</w:t>
      </w:r>
      <w:r>
        <w:rPr>
          <w:rStyle w:val="14"/>
          <w:rFonts w:hint="eastAsia" w:ascii="仿宋_GB2312" w:hAnsi="仿宋" w:eastAsia="仿宋_GB2312" w:cs="仿宋_GB2312"/>
          <w:b w:val="0"/>
          <w:bCs w:val="0"/>
          <w:color w:val="000000"/>
          <w:sz w:val="32"/>
          <w:szCs w:val="32"/>
        </w:rPr>
        <w:t>支出决算为</w:t>
      </w:r>
      <w:r>
        <w:rPr>
          <w:rStyle w:val="14"/>
          <w:rFonts w:ascii="仿宋_GB2312" w:hAnsi="仿宋" w:eastAsia="仿宋_GB2312" w:cs="仿宋_GB2312"/>
          <w:b w:val="0"/>
          <w:bCs w:val="0"/>
          <w:color w:val="000000"/>
          <w:sz w:val="32"/>
          <w:szCs w:val="32"/>
        </w:rPr>
        <w:t>7.92</w:t>
      </w:r>
      <w:r>
        <w:rPr>
          <w:rStyle w:val="14"/>
          <w:rFonts w:hint="eastAsia" w:ascii="仿宋_GB2312" w:hAnsi="仿宋" w:eastAsia="仿宋_GB2312" w:cs="仿宋_GB2312"/>
          <w:b w:val="0"/>
          <w:bCs w:val="0"/>
          <w:color w:val="000000"/>
          <w:sz w:val="32"/>
          <w:szCs w:val="32"/>
        </w:rPr>
        <w:t>万元，完成预算</w:t>
      </w:r>
      <w:r>
        <w:rPr>
          <w:rStyle w:val="14"/>
          <w:rFonts w:ascii="仿宋_GB2312" w:hAnsi="仿宋" w:eastAsia="仿宋_GB2312" w:cs="仿宋_GB2312"/>
          <w:b w:val="0"/>
          <w:bCs w:val="0"/>
          <w:color w:val="000000"/>
          <w:sz w:val="32"/>
          <w:szCs w:val="32"/>
        </w:rPr>
        <w:t>100%</w:t>
      </w:r>
      <w:r>
        <w:rPr>
          <w:rStyle w:val="14"/>
          <w:rFonts w:hint="eastAsia" w:ascii="仿宋_GB2312" w:hAnsi="仿宋" w:eastAsia="仿宋_GB2312" w:cs="仿宋_GB2312"/>
          <w:b w:val="0"/>
          <w:bCs w:val="0"/>
          <w:color w:val="000000"/>
          <w:sz w:val="32"/>
          <w:szCs w:val="32"/>
        </w:rPr>
        <w:t>。</w:t>
      </w:r>
    </w:p>
    <w:p>
      <w:pPr>
        <w:spacing w:line="600" w:lineRule="exact"/>
        <w:ind w:firstLine="643" w:firstLineChars="200"/>
        <w:rPr>
          <w:rStyle w:val="14"/>
          <w:rFonts w:ascii="仿宋_GB2312" w:hAnsi="仿宋" w:eastAsia="仿宋_GB2312"/>
          <w:b w:val="0"/>
          <w:bCs w:val="0"/>
          <w:color w:val="000000"/>
          <w:sz w:val="32"/>
          <w:szCs w:val="32"/>
        </w:rPr>
      </w:pPr>
      <w:r>
        <w:rPr>
          <w:rStyle w:val="14"/>
          <w:rFonts w:ascii="仿宋_GB2312" w:hAnsi="仿宋" w:eastAsia="仿宋_GB2312" w:cs="仿宋_GB2312"/>
          <w:color w:val="000000"/>
          <w:sz w:val="32"/>
          <w:szCs w:val="32"/>
        </w:rPr>
        <w:t>3.</w:t>
      </w:r>
      <w:r>
        <w:rPr>
          <w:rStyle w:val="14"/>
          <w:rFonts w:hint="eastAsia" w:ascii="仿宋_GB2312" w:hAnsi="仿宋" w:eastAsia="仿宋_GB2312" w:cs="仿宋_GB2312"/>
          <w:color w:val="000000"/>
          <w:sz w:val="32"/>
          <w:szCs w:val="32"/>
        </w:rPr>
        <w:t>社会保障和就业支出（类）行政事业单位离退休（款）机关事业单位基本养老保险缴费支出（项）</w:t>
      </w:r>
      <w:r>
        <w:rPr>
          <w:rStyle w:val="14"/>
          <w:rFonts w:ascii="仿宋_GB2312" w:hAnsi="仿宋" w:eastAsia="仿宋_GB2312" w:cs="仿宋_GB2312"/>
          <w:color w:val="000000"/>
          <w:sz w:val="32"/>
          <w:szCs w:val="32"/>
        </w:rPr>
        <w:t xml:space="preserve">: </w:t>
      </w:r>
      <w:r>
        <w:rPr>
          <w:rStyle w:val="14"/>
          <w:rFonts w:hint="eastAsia" w:ascii="仿宋_GB2312" w:hAnsi="仿宋" w:eastAsia="仿宋_GB2312" w:cs="仿宋_GB2312"/>
          <w:b w:val="0"/>
          <w:bCs w:val="0"/>
          <w:color w:val="000000"/>
          <w:sz w:val="32"/>
          <w:szCs w:val="32"/>
        </w:rPr>
        <w:t>支出决算为</w:t>
      </w:r>
      <w:r>
        <w:rPr>
          <w:rStyle w:val="14"/>
          <w:rFonts w:ascii="仿宋_GB2312" w:hAnsi="仿宋" w:eastAsia="仿宋_GB2312" w:cs="仿宋_GB2312"/>
          <w:b w:val="0"/>
          <w:bCs w:val="0"/>
          <w:color w:val="000000"/>
          <w:sz w:val="32"/>
          <w:szCs w:val="32"/>
        </w:rPr>
        <w:t>27.6</w:t>
      </w:r>
      <w:r>
        <w:rPr>
          <w:rStyle w:val="14"/>
          <w:rFonts w:hint="eastAsia" w:ascii="仿宋_GB2312" w:hAnsi="仿宋" w:eastAsia="仿宋_GB2312" w:cs="仿宋_GB2312"/>
          <w:b w:val="0"/>
          <w:bCs w:val="0"/>
          <w:color w:val="000000"/>
          <w:sz w:val="32"/>
          <w:szCs w:val="32"/>
        </w:rPr>
        <w:t>万元，完成预算</w:t>
      </w:r>
      <w:r>
        <w:rPr>
          <w:rStyle w:val="14"/>
          <w:rFonts w:ascii="仿宋_GB2312" w:hAnsi="仿宋" w:eastAsia="仿宋_GB2312" w:cs="仿宋_GB2312"/>
          <w:b w:val="0"/>
          <w:bCs w:val="0"/>
          <w:color w:val="000000"/>
          <w:sz w:val="32"/>
          <w:szCs w:val="32"/>
        </w:rPr>
        <w:t>100%</w:t>
      </w:r>
      <w:r>
        <w:rPr>
          <w:rStyle w:val="14"/>
          <w:rFonts w:hint="eastAsia" w:ascii="仿宋_GB2312" w:hAnsi="仿宋" w:eastAsia="仿宋_GB2312" w:cs="仿宋_GB2312"/>
          <w:b w:val="0"/>
          <w:bCs w:val="0"/>
          <w:color w:val="000000"/>
          <w:sz w:val="32"/>
          <w:szCs w:val="32"/>
        </w:rPr>
        <w:t>。</w:t>
      </w:r>
    </w:p>
    <w:p>
      <w:pPr>
        <w:spacing w:line="600" w:lineRule="exact"/>
        <w:ind w:firstLine="643" w:firstLineChars="200"/>
        <w:rPr>
          <w:rFonts w:ascii="仿宋_GB2312" w:hAnsi="仿宋" w:eastAsia="仿宋_GB2312"/>
          <w:color w:val="000000"/>
          <w:sz w:val="32"/>
          <w:szCs w:val="32"/>
        </w:rPr>
      </w:pPr>
      <w:r>
        <w:rPr>
          <w:rStyle w:val="14"/>
          <w:rFonts w:ascii="仿宋_GB2312" w:hAnsi="仿宋" w:eastAsia="仿宋_GB2312" w:cs="仿宋_GB2312"/>
          <w:color w:val="000000"/>
          <w:sz w:val="32"/>
          <w:szCs w:val="32"/>
        </w:rPr>
        <w:t>4.</w:t>
      </w:r>
      <w:r>
        <w:rPr>
          <w:rStyle w:val="14"/>
          <w:rFonts w:hint="eastAsia" w:ascii="仿宋_GB2312" w:hAnsi="仿宋" w:eastAsia="仿宋_GB2312" w:cs="仿宋_GB2312"/>
          <w:color w:val="000000"/>
          <w:sz w:val="32"/>
          <w:szCs w:val="32"/>
        </w:rPr>
        <w:t>社会保障和就业支出（类）行政事业单位离退休（款）机关事业单位职业年金缴费支出（项）</w:t>
      </w:r>
      <w:r>
        <w:rPr>
          <w:rStyle w:val="14"/>
          <w:rFonts w:ascii="仿宋_GB2312" w:hAnsi="仿宋" w:eastAsia="仿宋_GB2312" w:cs="仿宋_GB2312"/>
          <w:color w:val="000000"/>
          <w:sz w:val="32"/>
          <w:szCs w:val="32"/>
        </w:rPr>
        <w:t>:</w:t>
      </w:r>
      <w:r>
        <w:rPr>
          <w:rStyle w:val="14"/>
          <w:rFonts w:ascii="仿宋_GB2312" w:hAnsi="仿宋" w:eastAsia="仿宋_GB2312" w:cs="仿宋_GB2312"/>
          <w:b w:val="0"/>
          <w:bCs w:val="0"/>
          <w:color w:val="000000"/>
          <w:sz w:val="32"/>
          <w:szCs w:val="32"/>
        </w:rPr>
        <w:t xml:space="preserve"> </w:t>
      </w:r>
      <w:r>
        <w:rPr>
          <w:rStyle w:val="14"/>
          <w:rFonts w:hint="eastAsia" w:ascii="仿宋_GB2312" w:hAnsi="仿宋" w:eastAsia="仿宋_GB2312" w:cs="仿宋_GB2312"/>
          <w:b w:val="0"/>
          <w:bCs w:val="0"/>
          <w:color w:val="000000"/>
          <w:sz w:val="32"/>
          <w:szCs w:val="32"/>
        </w:rPr>
        <w:t>支出决算为</w:t>
      </w:r>
      <w:r>
        <w:rPr>
          <w:rStyle w:val="14"/>
          <w:rFonts w:ascii="仿宋_GB2312" w:hAnsi="仿宋" w:eastAsia="仿宋_GB2312" w:cs="仿宋_GB2312"/>
          <w:b w:val="0"/>
          <w:bCs w:val="0"/>
          <w:color w:val="000000"/>
          <w:sz w:val="32"/>
          <w:szCs w:val="32"/>
        </w:rPr>
        <w:t>11.04</w:t>
      </w:r>
      <w:r>
        <w:rPr>
          <w:rStyle w:val="14"/>
          <w:rFonts w:hint="eastAsia" w:ascii="仿宋_GB2312" w:hAnsi="仿宋" w:eastAsia="仿宋_GB2312" w:cs="仿宋_GB2312"/>
          <w:b w:val="0"/>
          <w:bCs w:val="0"/>
          <w:color w:val="000000"/>
          <w:sz w:val="32"/>
          <w:szCs w:val="32"/>
        </w:rPr>
        <w:t>万元，完成预算</w:t>
      </w:r>
      <w:r>
        <w:rPr>
          <w:rStyle w:val="14"/>
          <w:rFonts w:ascii="仿宋_GB2312" w:hAnsi="仿宋" w:eastAsia="仿宋_GB2312" w:cs="仿宋_GB2312"/>
          <w:b w:val="0"/>
          <w:bCs w:val="0"/>
          <w:color w:val="000000"/>
          <w:sz w:val="32"/>
          <w:szCs w:val="32"/>
        </w:rPr>
        <w:t>100%</w:t>
      </w:r>
      <w:r>
        <w:rPr>
          <w:rStyle w:val="14"/>
          <w:rFonts w:hint="eastAsia" w:ascii="仿宋_GB2312" w:hAnsi="仿宋" w:eastAsia="仿宋_GB2312" w:cs="仿宋_GB2312"/>
          <w:b w:val="0"/>
          <w:bCs w:val="0"/>
          <w:color w:val="000000"/>
          <w:sz w:val="32"/>
          <w:szCs w:val="32"/>
        </w:rPr>
        <w:t>。</w:t>
      </w:r>
    </w:p>
    <w:p>
      <w:pPr>
        <w:spacing w:line="600" w:lineRule="exact"/>
        <w:ind w:firstLine="643" w:firstLineChars="200"/>
        <w:rPr>
          <w:rStyle w:val="14"/>
          <w:rFonts w:ascii="仿宋_GB2312" w:hAnsi="仿宋" w:eastAsia="仿宋_GB2312"/>
          <w:b w:val="0"/>
          <w:bCs w:val="0"/>
          <w:color w:val="000000"/>
          <w:sz w:val="32"/>
          <w:szCs w:val="32"/>
        </w:rPr>
      </w:pPr>
      <w:r>
        <w:rPr>
          <w:rStyle w:val="14"/>
          <w:rFonts w:ascii="仿宋_GB2312" w:hAnsi="仿宋" w:eastAsia="仿宋_GB2312" w:cs="仿宋_GB2312"/>
          <w:color w:val="000000"/>
          <w:sz w:val="32"/>
          <w:szCs w:val="32"/>
        </w:rPr>
        <w:t>5.</w:t>
      </w:r>
      <w:r>
        <w:rPr>
          <w:rStyle w:val="14"/>
          <w:rFonts w:hint="eastAsia" w:ascii="仿宋_GB2312" w:hAnsi="仿宋" w:eastAsia="仿宋_GB2312" w:cs="仿宋_GB2312"/>
          <w:color w:val="000000"/>
          <w:sz w:val="32"/>
          <w:szCs w:val="32"/>
        </w:rPr>
        <w:t>医疗卫生与计划生育支出（类）行政事业单位医疗（款）行政单位医疗（项）</w:t>
      </w:r>
      <w:r>
        <w:rPr>
          <w:rStyle w:val="14"/>
          <w:rFonts w:ascii="仿宋_GB2312" w:hAnsi="仿宋" w:eastAsia="仿宋_GB2312" w:cs="仿宋_GB2312"/>
          <w:color w:val="000000"/>
          <w:sz w:val="32"/>
          <w:szCs w:val="32"/>
        </w:rPr>
        <w:t>:</w:t>
      </w:r>
      <w:r>
        <w:rPr>
          <w:rStyle w:val="14"/>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14.82</w:t>
      </w:r>
      <w:r>
        <w:rPr>
          <w:rStyle w:val="14"/>
          <w:rFonts w:hint="eastAsia" w:ascii="仿宋_GB2312" w:hAnsi="仿宋" w:eastAsia="仿宋_GB2312" w:cs="仿宋_GB2312"/>
          <w:b w:val="0"/>
          <w:bCs w:val="0"/>
          <w:color w:val="000000"/>
          <w:sz w:val="32"/>
          <w:szCs w:val="32"/>
        </w:rPr>
        <w:t>万元，完成预算</w:t>
      </w:r>
      <w:r>
        <w:rPr>
          <w:rStyle w:val="14"/>
          <w:rFonts w:ascii="仿宋_GB2312" w:hAnsi="仿宋" w:eastAsia="仿宋_GB2312" w:cs="仿宋_GB2312"/>
          <w:b w:val="0"/>
          <w:bCs w:val="0"/>
          <w:color w:val="000000"/>
          <w:sz w:val="32"/>
          <w:szCs w:val="32"/>
        </w:rPr>
        <w:t>100%</w:t>
      </w:r>
      <w:r>
        <w:rPr>
          <w:rStyle w:val="14"/>
          <w:rFonts w:hint="eastAsia" w:ascii="仿宋_GB2312" w:hAnsi="仿宋" w:eastAsia="仿宋_GB2312" w:cs="仿宋_GB2312"/>
          <w:b w:val="0"/>
          <w:bCs w:val="0"/>
          <w:color w:val="000000"/>
          <w:sz w:val="32"/>
          <w:szCs w:val="32"/>
        </w:rPr>
        <w:t>。</w:t>
      </w:r>
    </w:p>
    <w:p>
      <w:pPr>
        <w:spacing w:line="600" w:lineRule="exact"/>
        <w:ind w:firstLine="643" w:firstLineChars="200"/>
        <w:rPr>
          <w:rFonts w:ascii="仿宋_GB2312" w:hAnsi="仿宋" w:eastAsia="仿宋_GB2312"/>
          <w:color w:val="000000"/>
          <w:sz w:val="32"/>
          <w:szCs w:val="32"/>
        </w:rPr>
      </w:pPr>
      <w:r>
        <w:rPr>
          <w:rStyle w:val="14"/>
          <w:rFonts w:ascii="仿宋_GB2312" w:hAnsi="仿宋" w:eastAsia="仿宋_GB2312" w:cs="仿宋_GB2312"/>
          <w:color w:val="000000"/>
          <w:sz w:val="32"/>
          <w:szCs w:val="32"/>
        </w:rPr>
        <w:t>6</w:t>
      </w:r>
      <w:r>
        <w:rPr>
          <w:rStyle w:val="14"/>
          <w:rFonts w:hint="eastAsia" w:ascii="仿宋_GB2312" w:hAnsi="仿宋" w:eastAsia="仿宋_GB2312" w:cs="仿宋_GB2312"/>
          <w:color w:val="000000"/>
          <w:sz w:val="32"/>
          <w:szCs w:val="32"/>
        </w:rPr>
        <w:t>、</w:t>
      </w:r>
      <w:r>
        <w:rPr>
          <w:rStyle w:val="14"/>
          <w:rFonts w:hint="eastAsia" w:ascii="仿宋_GB2312" w:hAnsi="仿宋" w:eastAsia="仿宋_GB2312" w:cs="仿宋_GB2312"/>
          <w:sz w:val="32"/>
          <w:szCs w:val="32"/>
        </w:rPr>
        <w:t>住房保障支出（类）住房改革支出（款）住房公积金（项）</w:t>
      </w:r>
      <w:r>
        <w:rPr>
          <w:rStyle w:val="14"/>
          <w:rFonts w:ascii="仿宋_GB2312" w:hAnsi="仿宋" w:eastAsia="仿宋_GB2312" w:cs="仿宋_GB2312"/>
          <w:sz w:val="32"/>
          <w:szCs w:val="32"/>
        </w:rPr>
        <w:t>:</w:t>
      </w:r>
      <w:r>
        <w:rPr>
          <w:rStyle w:val="14"/>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22.19</w:t>
      </w:r>
      <w:r>
        <w:rPr>
          <w:rFonts w:hint="eastAsia" w:ascii="仿宋_GB2312" w:eastAsia="仿宋_GB2312" w:cs="仿宋_GB2312"/>
          <w:color w:val="000000"/>
          <w:sz w:val="32"/>
          <w:szCs w:val="32"/>
        </w:rPr>
        <w:t>万元，</w:t>
      </w:r>
      <w:r>
        <w:rPr>
          <w:rStyle w:val="14"/>
          <w:rFonts w:hint="eastAsia" w:ascii="仿宋_GB2312" w:hAnsi="仿宋" w:eastAsia="仿宋_GB2312" w:cs="仿宋_GB2312"/>
          <w:b w:val="0"/>
          <w:bCs w:val="0"/>
          <w:color w:val="000000"/>
          <w:sz w:val="32"/>
          <w:szCs w:val="32"/>
        </w:rPr>
        <w:t>完成预算</w:t>
      </w:r>
      <w:r>
        <w:rPr>
          <w:rStyle w:val="14"/>
          <w:rFonts w:ascii="仿宋_GB2312" w:hAnsi="仿宋" w:eastAsia="仿宋_GB2312" w:cs="仿宋_GB2312"/>
          <w:b w:val="0"/>
          <w:bCs w:val="0"/>
          <w:color w:val="000000"/>
          <w:sz w:val="32"/>
          <w:szCs w:val="32"/>
        </w:rPr>
        <w:t>100%</w:t>
      </w:r>
      <w:r>
        <w:rPr>
          <w:rStyle w:val="14"/>
          <w:rFonts w:hint="eastAsia" w:ascii="仿宋_GB2312" w:hAnsi="仿宋" w:eastAsia="仿宋_GB2312" w:cs="仿宋_GB2312"/>
          <w:b w:val="0"/>
          <w:bCs w:val="0"/>
          <w:color w:val="000000"/>
          <w:sz w:val="32"/>
          <w:szCs w:val="32"/>
        </w:rPr>
        <w:t>。</w:t>
      </w:r>
    </w:p>
    <w:p>
      <w:pPr>
        <w:pStyle w:val="3"/>
        <w:spacing w:before="0" w:after="0" w:line="576" w:lineRule="exact"/>
        <w:ind w:firstLine="640" w:firstLineChars="200"/>
        <w:rPr>
          <w:rStyle w:val="17"/>
          <w:rFonts w:cs="Times New Roman"/>
          <w:b/>
          <w:bCs/>
        </w:rPr>
      </w:pPr>
      <w:bookmarkStart w:id="40" w:name="_Toc15377214"/>
      <w:bookmarkStart w:id="41" w:name="_Toc15396608"/>
      <w:r>
        <w:rPr>
          <w:rFonts w:hint="eastAsia" w:ascii="黑体" w:eastAsia="黑体" w:cs="黑体"/>
          <w:b w:val="0"/>
          <w:bCs w:val="0"/>
          <w:color w:val="000000"/>
        </w:rPr>
        <w:t>六、</w:t>
      </w:r>
      <w:r>
        <w:rPr>
          <w:rFonts w:hint="eastAsia" w:ascii="黑体" w:hAnsi="黑体" w:eastAsia="黑体" w:cs="黑体"/>
          <w:color w:val="000000"/>
        </w:rPr>
        <w:t>一</w:t>
      </w:r>
      <w:r>
        <w:rPr>
          <w:rStyle w:val="17"/>
          <w:rFonts w:hint="eastAsia" w:ascii="黑体" w:hAnsi="黑体" w:eastAsia="黑体" w:cs="黑体"/>
          <w:b w:val="0"/>
          <w:bCs w:val="0"/>
        </w:rPr>
        <w:t>般公共预算财政拨款基本支出决算情况说明</w:t>
      </w:r>
      <w:bookmarkEnd w:id="40"/>
      <w:bookmarkEnd w:id="41"/>
    </w:p>
    <w:p>
      <w:pPr>
        <w:spacing w:line="576" w:lineRule="exact"/>
        <w:ind w:firstLine="645"/>
        <w:rPr>
          <w:rFonts w:ascii="仿宋_GB2312" w:hAnsi="仿宋" w:eastAsia="仿宋_GB2312"/>
          <w:color w:val="000000"/>
          <w:sz w:val="32"/>
          <w:szCs w:val="32"/>
        </w:rPr>
      </w:pP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年一般公共预算财政拨款基本支出</w:t>
      </w:r>
      <w:r>
        <w:rPr>
          <w:rFonts w:hint="eastAsia" w:ascii="仿宋_GB2312" w:hAnsi="仿宋" w:eastAsia="仿宋_GB2312" w:cs="仿宋_GB2312"/>
          <w:color w:val="000000"/>
          <w:sz w:val="32"/>
          <w:szCs w:val="32"/>
          <w:lang w:val="en-US" w:eastAsia="zh-CN"/>
        </w:rPr>
        <w:t>371.62</w:t>
      </w:r>
      <w:r>
        <w:rPr>
          <w:rFonts w:hint="eastAsia" w:ascii="仿宋_GB2312" w:hAnsi="仿宋" w:eastAsia="仿宋_GB2312" w:cs="仿宋_GB2312"/>
          <w:color w:val="000000"/>
          <w:sz w:val="32"/>
          <w:szCs w:val="32"/>
        </w:rPr>
        <w:t>万元，其中：</w:t>
      </w:r>
    </w:p>
    <w:p>
      <w:pPr>
        <w:spacing w:line="576" w:lineRule="exact"/>
        <w:ind w:firstLine="645"/>
        <w:rPr>
          <w:rFonts w:ascii="仿宋_GB2312" w:hAnsi="仿宋" w:eastAsia="仿宋_GB2312"/>
          <w:color w:val="000000"/>
          <w:sz w:val="32"/>
          <w:szCs w:val="32"/>
        </w:rPr>
      </w:pPr>
      <w:r>
        <w:rPr>
          <w:rFonts w:hint="eastAsia" w:ascii="仿宋_GB2312" w:hAnsi="仿宋" w:eastAsia="仿宋_GB2312" w:cs="仿宋_GB2312"/>
          <w:color w:val="000000"/>
          <w:sz w:val="32"/>
          <w:szCs w:val="32"/>
        </w:rPr>
        <w:t>人员经费</w:t>
      </w:r>
      <w:r>
        <w:rPr>
          <w:rFonts w:ascii="仿宋_GB2312" w:hAnsi="仿宋" w:eastAsia="仿宋_GB2312" w:cs="仿宋_GB2312"/>
          <w:sz w:val="32"/>
          <w:szCs w:val="32"/>
        </w:rPr>
        <w:t>331.08</w:t>
      </w:r>
      <w:r>
        <w:rPr>
          <w:rFonts w:hint="eastAsia" w:ascii="仿宋_GB2312" w:hAnsi="仿宋" w:eastAsia="仿宋_GB2312" w:cs="仿宋_GB2312"/>
          <w:color w:val="000000"/>
          <w:sz w:val="32"/>
          <w:szCs w:val="32"/>
        </w:rPr>
        <w:t>万元，主要包括：基本工资</w:t>
      </w:r>
      <w:bookmarkStart w:id="74" w:name="_GoBack"/>
      <w:bookmarkEnd w:id="74"/>
      <w:r>
        <w:rPr>
          <w:rFonts w:hint="eastAsia" w:ascii="仿宋_GB2312" w:hAnsi="仿宋" w:eastAsia="仿宋_GB2312" w:cs="仿宋_GB2312"/>
          <w:color w:val="000000"/>
          <w:sz w:val="32"/>
          <w:szCs w:val="32"/>
        </w:rPr>
        <w:t>、津贴补贴、奖金、伙食补助费、绩效工资、机关事业单位基本养老保险缴费、职业年金缴费、其他社会保障缴费、其他工资福利支出、退休费、抚恤金、生活补助、医疗费、奖励金、住房公积金、其他对个人和家庭的补助支出等。</w:t>
      </w:r>
      <w:r>
        <w:rPr>
          <w:rFonts w:ascii="仿宋_GB2312" w:hAnsi="仿宋" w:eastAsia="仿宋_GB2312"/>
          <w:color w:val="000000"/>
          <w:sz w:val="32"/>
          <w:szCs w:val="32"/>
        </w:rPr>
        <w:br w:type="textWrapping"/>
      </w:r>
      <w:r>
        <w:rPr>
          <w:rFonts w:hint="eastAsia" w:ascii="仿宋_GB2312" w:hAnsi="仿宋" w:eastAsia="仿宋_GB2312" w:cs="仿宋_GB2312"/>
          <w:color w:val="000000"/>
          <w:sz w:val="32"/>
          <w:szCs w:val="32"/>
        </w:rPr>
        <w:t>　　公用经费</w:t>
      </w:r>
      <w:r>
        <w:rPr>
          <w:rFonts w:ascii="仿宋_GB2312" w:hAnsi="仿宋" w:eastAsia="仿宋_GB2312" w:cs="仿宋_GB2312"/>
          <w:sz w:val="32"/>
          <w:szCs w:val="32"/>
        </w:rPr>
        <w:t>40.54</w:t>
      </w:r>
      <w:r>
        <w:rPr>
          <w:rFonts w:hint="eastAsia" w:ascii="仿宋_GB2312" w:hAnsi="仿宋" w:eastAsia="仿宋_GB2312" w:cs="仿宋_GB2312"/>
          <w:color w:val="000000"/>
          <w:sz w:val="32"/>
          <w:szCs w:val="32"/>
        </w:rPr>
        <w:t>万元，主要包括：办公费、印刷费、水费、电费、邮电费、物业管理费、差旅费、维修（护）费、会议费、培训费、公务接待费、工会经费、其他交通费、其他商品和服务支出、办公设备购置、专用设备购置、其他资本性支出等。</w:t>
      </w:r>
      <w:bookmarkStart w:id="42" w:name="_Toc15377215"/>
      <w:bookmarkStart w:id="43" w:name="_Toc15396609"/>
    </w:p>
    <w:p>
      <w:pPr>
        <w:spacing w:line="576" w:lineRule="exact"/>
        <w:ind w:firstLine="645"/>
        <w:rPr>
          <w:rStyle w:val="17"/>
          <w:rFonts w:ascii="黑体" w:hAnsi="黑体" w:eastAsia="黑体" w:cs="Times New Roman"/>
          <w:b w:val="0"/>
          <w:bCs w:val="0"/>
          <w:color w:val="FF0000"/>
        </w:rPr>
      </w:pPr>
      <w:r>
        <w:rPr>
          <w:rStyle w:val="17"/>
          <w:rFonts w:hint="eastAsia" w:ascii="黑体" w:hAnsi="黑体" w:eastAsia="黑体" w:cs="黑体"/>
          <w:b w:val="0"/>
          <w:bCs w:val="0"/>
        </w:rPr>
        <w:t>七、“三公”经费财政拨款支出决算情况说明</w:t>
      </w:r>
      <w:bookmarkEnd w:id="42"/>
      <w:bookmarkEnd w:id="43"/>
    </w:p>
    <w:p>
      <w:pPr>
        <w:spacing w:line="576" w:lineRule="exact"/>
        <w:ind w:firstLine="643" w:firstLineChars="200"/>
        <w:outlineLvl w:val="1"/>
        <w:rPr>
          <w:rFonts w:ascii="楷体" w:hAnsi="楷体" w:eastAsia="楷体"/>
          <w:b/>
          <w:bCs/>
          <w:color w:val="000000"/>
          <w:sz w:val="32"/>
          <w:szCs w:val="32"/>
        </w:rPr>
      </w:pPr>
      <w:bookmarkStart w:id="44" w:name="_Toc15377216"/>
      <w:r>
        <w:rPr>
          <w:rFonts w:hint="eastAsia" w:ascii="楷体" w:hAnsi="楷体" w:eastAsia="楷体" w:cs="楷体"/>
          <w:b/>
          <w:bCs/>
          <w:color w:val="000000"/>
          <w:sz w:val="32"/>
          <w:szCs w:val="32"/>
        </w:rPr>
        <w:t>（一）“三公”经费财政拨款支出决算总体情况说明</w:t>
      </w:r>
      <w:bookmarkEnd w:id="44"/>
    </w:p>
    <w:p>
      <w:pPr>
        <w:spacing w:line="576" w:lineRule="exact"/>
        <w:ind w:firstLine="640"/>
        <w:rPr>
          <w:rFonts w:ascii="仿宋_GB2312" w:hAnsi="仿宋" w:eastAsia="仿宋_GB2312"/>
          <w:color w:val="000000"/>
          <w:sz w:val="32"/>
          <w:szCs w:val="32"/>
        </w:rPr>
      </w:pP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年“三公”经费财政拨款支出决算为</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万元，完成预算</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，按照中央八项规定要求缩减“三公”经费开支。</w:t>
      </w:r>
    </w:p>
    <w:p>
      <w:pPr>
        <w:spacing w:line="576" w:lineRule="exact"/>
        <w:ind w:firstLine="643" w:firstLineChars="200"/>
        <w:outlineLvl w:val="1"/>
        <w:rPr>
          <w:rFonts w:ascii="楷体" w:hAnsi="楷体" w:eastAsia="楷体"/>
          <w:b/>
          <w:bCs/>
          <w:color w:val="000000"/>
          <w:sz w:val="32"/>
          <w:szCs w:val="32"/>
        </w:rPr>
      </w:pPr>
      <w:bookmarkStart w:id="45" w:name="_Toc15377217"/>
      <w:r>
        <w:rPr>
          <w:rFonts w:hint="eastAsia" w:ascii="楷体" w:hAnsi="楷体" w:eastAsia="楷体" w:cs="楷体"/>
          <w:b/>
          <w:bCs/>
          <w:color w:val="000000"/>
          <w:sz w:val="32"/>
          <w:szCs w:val="32"/>
        </w:rPr>
        <w:t>（二）“三公”经费财政拨款支出决算具体情况说明</w:t>
      </w:r>
      <w:bookmarkEnd w:id="45"/>
    </w:p>
    <w:p>
      <w:pPr>
        <w:spacing w:line="576" w:lineRule="exact"/>
        <w:ind w:firstLine="640"/>
        <w:rPr>
          <w:rFonts w:ascii="仿宋" w:hAnsi="仿宋" w:eastAsia="仿宋"/>
          <w:color w:val="000000"/>
          <w:sz w:val="32"/>
          <w:szCs w:val="32"/>
        </w:rPr>
      </w:pPr>
      <w:r>
        <w:rPr>
          <w:rFonts w:ascii="仿宋_GB2312" w:hAnsi="仿宋" w:eastAsia="仿宋_GB2312" w:cs="仿宋_GB2312"/>
          <w:color w:val="000000"/>
          <w:sz w:val="32"/>
          <w:szCs w:val="32"/>
        </w:rPr>
        <w:t>2018</w:t>
      </w:r>
      <w:r>
        <w:rPr>
          <w:rFonts w:hint="eastAsia" w:ascii="仿宋_GB2312" w:hAnsi="仿宋" w:eastAsia="仿宋_GB2312" w:cs="仿宋_GB2312"/>
          <w:color w:val="000000"/>
          <w:sz w:val="32"/>
          <w:szCs w:val="32"/>
        </w:rPr>
        <w:t>年“三公”经费财政拨款支出决算中，因公出国（境）费支出决算</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；公务用车购置及运行维护费支出决算</w:t>
      </w:r>
      <w:r>
        <w:rPr>
          <w:rFonts w:hint="eastAsia" w:ascii="仿宋_GB2312" w:hAnsi="仿宋" w:eastAsia="仿宋_GB2312" w:cs="仿宋_GB2312"/>
          <w:color w:val="000000"/>
          <w:sz w:val="32"/>
          <w:szCs w:val="32"/>
          <w:lang w:val="en-US" w:eastAsia="zh-CN"/>
        </w:rPr>
        <w:t>0</w:t>
      </w:r>
      <w:r>
        <w:rPr>
          <w:rFonts w:hint="eastAsia" w:ascii="仿宋_GB2312" w:hAnsi="仿宋" w:eastAsia="仿宋_GB2312" w:cs="仿宋_GB2312"/>
          <w:color w:val="000000"/>
          <w:sz w:val="32"/>
          <w:szCs w:val="32"/>
        </w:rPr>
        <w:t>万元，占</w:t>
      </w:r>
      <w:r>
        <w:rPr>
          <w:rFonts w:hint="eastAsia" w:ascii="仿宋_GB2312" w:hAnsi="仿宋" w:eastAsia="仿宋_GB2312" w:cs="仿宋_GB2312"/>
          <w:color w:val="000000"/>
          <w:sz w:val="32"/>
          <w:szCs w:val="32"/>
          <w:lang w:val="en-US" w:eastAsia="zh-CN"/>
        </w:rPr>
        <w:t>0</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；公务接待费支出决算</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。具体情况如下：</w:t>
      </w:r>
    </w:p>
    <w:p>
      <w:pPr>
        <w:spacing w:line="576" w:lineRule="exact"/>
        <w:ind w:firstLine="641"/>
        <w:rPr>
          <w:rFonts w:ascii="仿宋_GB2312" w:hAnsi="楷体" w:eastAsia="仿宋_GB2312"/>
          <w:color w:val="000000"/>
          <w:sz w:val="32"/>
          <w:szCs w:val="32"/>
        </w:rPr>
      </w:pPr>
      <w:r>
        <w:rPr>
          <w:rFonts w:ascii="仿宋_GB2312" w:hAnsi="楷体" w:eastAsia="仿宋_GB2312" w:cs="仿宋_GB2312"/>
          <w:b/>
          <w:bCs/>
          <w:color w:val="000000"/>
          <w:sz w:val="32"/>
          <w:szCs w:val="32"/>
        </w:rPr>
        <w:t>1.</w:t>
      </w:r>
      <w:r>
        <w:rPr>
          <w:rFonts w:hint="eastAsia" w:ascii="仿宋_GB2312" w:hAnsi="楷体" w:eastAsia="仿宋_GB2312" w:cs="仿宋_GB2312"/>
          <w:b/>
          <w:bCs/>
          <w:color w:val="000000"/>
          <w:sz w:val="32"/>
          <w:szCs w:val="32"/>
        </w:rPr>
        <w:t>因公出国（境）经费支出</w:t>
      </w:r>
      <w:r>
        <w:rPr>
          <w:rFonts w:ascii="仿宋_GB2312" w:hAnsi="楷体" w:eastAsia="仿宋_GB2312" w:cs="仿宋_GB2312"/>
          <w:b/>
          <w:bCs/>
          <w:color w:val="000000"/>
          <w:sz w:val="32"/>
          <w:szCs w:val="32"/>
        </w:rPr>
        <w:t>0</w:t>
      </w:r>
      <w:r>
        <w:rPr>
          <w:rFonts w:hint="eastAsia" w:ascii="仿宋_GB2312" w:hAnsi="楷体" w:eastAsia="仿宋_GB2312" w:cs="仿宋_GB2312"/>
          <w:b/>
          <w:bCs/>
          <w:color w:val="000000"/>
          <w:sz w:val="32"/>
          <w:szCs w:val="32"/>
        </w:rPr>
        <w:t>万元，</w:t>
      </w:r>
      <w:r>
        <w:rPr>
          <w:rStyle w:val="14"/>
          <w:rFonts w:hint="eastAsia" w:ascii="仿宋_GB2312" w:hAnsi="楷体" w:eastAsia="仿宋_GB2312" w:cs="仿宋_GB2312"/>
          <w:color w:val="000000"/>
          <w:sz w:val="32"/>
          <w:szCs w:val="32"/>
        </w:rPr>
        <w:t>完成预算</w:t>
      </w:r>
      <w:r>
        <w:rPr>
          <w:rStyle w:val="14"/>
          <w:rFonts w:ascii="仿宋_GB2312" w:hAnsi="楷体" w:eastAsia="仿宋_GB2312" w:cs="仿宋_GB2312"/>
          <w:color w:val="000000"/>
          <w:sz w:val="32"/>
          <w:szCs w:val="32"/>
        </w:rPr>
        <w:t>0%</w:t>
      </w:r>
      <w:r>
        <w:rPr>
          <w:rStyle w:val="14"/>
          <w:rFonts w:hint="eastAsia" w:ascii="仿宋_GB2312" w:hAnsi="楷体" w:eastAsia="仿宋_GB2312" w:cs="仿宋_GB2312"/>
          <w:color w:val="000000"/>
          <w:sz w:val="32"/>
          <w:szCs w:val="32"/>
        </w:rPr>
        <w:t>。</w:t>
      </w:r>
      <w:r>
        <w:rPr>
          <w:rFonts w:hint="eastAsia" w:ascii="仿宋_GB2312" w:hAnsi="楷体" w:eastAsia="仿宋_GB2312" w:cs="仿宋_GB2312"/>
          <w:color w:val="000000"/>
          <w:sz w:val="32"/>
          <w:szCs w:val="32"/>
        </w:rPr>
        <w:t>全年安排因公出国（境）团组</w:t>
      </w:r>
      <w:r>
        <w:rPr>
          <w:rFonts w:ascii="仿宋_GB2312" w:hAnsi="楷体" w:eastAsia="仿宋_GB2312" w:cs="仿宋_GB2312"/>
          <w:color w:val="000000"/>
          <w:sz w:val="32"/>
          <w:szCs w:val="32"/>
        </w:rPr>
        <w:t>0</w:t>
      </w:r>
      <w:r>
        <w:rPr>
          <w:rFonts w:hint="eastAsia" w:ascii="仿宋_GB2312" w:hAnsi="楷体" w:eastAsia="仿宋_GB2312" w:cs="仿宋_GB2312"/>
          <w:color w:val="000000"/>
          <w:sz w:val="32"/>
          <w:szCs w:val="32"/>
        </w:rPr>
        <w:t>次，出国（境）</w:t>
      </w:r>
      <w:r>
        <w:rPr>
          <w:rFonts w:ascii="仿宋_GB2312" w:hAnsi="楷体" w:eastAsia="仿宋_GB2312" w:cs="仿宋_GB2312"/>
          <w:color w:val="000000"/>
          <w:sz w:val="32"/>
          <w:szCs w:val="32"/>
        </w:rPr>
        <w:t>0</w:t>
      </w:r>
      <w:r>
        <w:rPr>
          <w:rFonts w:hint="eastAsia" w:ascii="仿宋_GB2312" w:hAnsi="楷体" w:eastAsia="仿宋_GB2312" w:cs="仿宋_GB2312"/>
          <w:color w:val="000000"/>
          <w:sz w:val="32"/>
          <w:szCs w:val="32"/>
        </w:rPr>
        <w:t>人。</w:t>
      </w:r>
    </w:p>
    <w:p>
      <w:pPr>
        <w:spacing w:line="576" w:lineRule="exact"/>
        <w:ind w:firstLine="641"/>
        <w:rPr>
          <w:rFonts w:ascii="仿宋_GB2312" w:hAnsi="楷体" w:eastAsia="仿宋_GB2312"/>
          <w:b/>
          <w:bCs/>
          <w:color w:val="000000"/>
          <w:sz w:val="32"/>
          <w:szCs w:val="32"/>
        </w:rPr>
      </w:pPr>
      <w:r>
        <w:rPr>
          <w:rFonts w:ascii="仿宋_GB2312" w:hAnsi="楷体" w:eastAsia="仿宋_GB2312" w:cs="仿宋_GB2312"/>
          <w:b/>
          <w:bCs/>
          <w:color w:val="000000"/>
          <w:sz w:val="32"/>
          <w:szCs w:val="32"/>
        </w:rPr>
        <w:t>2.</w:t>
      </w:r>
      <w:r>
        <w:rPr>
          <w:rFonts w:hint="eastAsia" w:ascii="仿宋_GB2312" w:hAnsi="楷体" w:eastAsia="仿宋_GB2312" w:cs="仿宋_GB2312"/>
          <w:b/>
          <w:bCs/>
          <w:color w:val="000000"/>
          <w:sz w:val="32"/>
          <w:szCs w:val="32"/>
        </w:rPr>
        <w:t>公务用车购置及运行维护费支出</w:t>
      </w:r>
      <w:r>
        <w:rPr>
          <w:rFonts w:hint="eastAsia" w:ascii="仿宋_GB2312" w:hAnsi="楷体" w:eastAsia="仿宋_GB2312" w:cs="仿宋_GB2312"/>
          <w:b/>
          <w:bCs/>
          <w:color w:val="000000"/>
          <w:sz w:val="32"/>
          <w:szCs w:val="32"/>
          <w:lang w:val="en-US" w:eastAsia="zh-CN"/>
        </w:rPr>
        <w:t>0</w:t>
      </w:r>
      <w:r>
        <w:rPr>
          <w:rFonts w:hint="eastAsia" w:ascii="仿宋_GB2312" w:hAnsi="楷体" w:eastAsia="仿宋_GB2312" w:cs="仿宋_GB2312"/>
          <w:b/>
          <w:bCs/>
          <w:color w:val="000000"/>
          <w:sz w:val="32"/>
          <w:szCs w:val="32"/>
        </w:rPr>
        <w:t>万元</w:t>
      </w:r>
      <w:r>
        <w:rPr>
          <w:rStyle w:val="14"/>
          <w:rFonts w:hint="eastAsia" w:ascii="仿宋_GB2312" w:hAnsi="楷体" w:eastAsia="仿宋_GB2312" w:cs="仿宋_GB2312"/>
          <w:color w:val="000000"/>
          <w:sz w:val="32"/>
          <w:szCs w:val="32"/>
        </w:rPr>
        <w:t>。</w:t>
      </w:r>
      <w:r>
        <w:rPr>
          <w:rFonts w:hint="eastAsia" w:ascii="仿宋_GB2312" w:hAnsi="楷体" w:eastAsia="仿宋_GB2312" w:cs="仿宋_GB2312"/>
          <w:color w:val="000000"/>
          <w:sz w:val="32"/>
          <w:szCs w:val="32"/>
        </w:rPr>
        <w:t>主要原因是</w:t>
      </w:r>
      <w:r>
        <w:rPr>
          <w:rFonts w:hint="eastAsia" w:ascii="仿宋_GB2312" w:hAnsi="楷体" w:eastAsia="仿宋_GB2312" w:cs="仿宋_GB2312"/>
          <w:color w:val="000000"/>
          <w:sz w:val="32"/>
          <w:szCs w:val="32"/>
          <w:lang w:eastAsia="zh-CN"/>
        </w:rPr>
        <w:t>我单位两辆先用车辆均为借用县公安局</w:t>
      </w:r>
      <w:r>
        <w:rPr>
          <w:rFonts w:hint="eastAsia" w:ascii="仿宋_GB2312" w:hAnsi="楷体" w:eastAsia="仿宋_GB2312" w:cs="仿宋_GB2312"/>
          <w:color w:val="000000"/>
          <w:sz w:val="32"/>
          <w:szCs w:val="32"/>
        </w:rPr>
        <w:t>。</w:t>
      </w:r>
    </w:p>
    <w:p>
      <w:pPr>
        <w:spacing w:line="576" w:lineRule="exact"/>
        <w:ind w:firstLine="641"/>
        <w:rPr>
          <w:rFonts w:ascii="仿宋_GB2312" w:hAnsi="楷体" w:eastAsia="仿宋_GB2312"/>
          <w:b/>
          <w:bCs/>
          <w:color w:val="000000"/>
          <w:sz w:val="32"/>
          <w:szCs w:val="32"/>
        </w:rPr>
      </w:pPr>
      <w:r>
        <w:rPr>
          <w:rFonts w:hint="eastAsia" w:ascii="仿宋_GB2312" w:hAnsi="楷体" w:eastAsia="仿宋_GB2312" w:cs="仿宋_GB2312"/>
          <w:color w:val="000000"/>
          <w:sz w:val="32"/>
          <w:szCs w:val="32"/>
        </w:rPr>
        <w:t>其中：公务用车购置支出</w:t>
      </w:r>
      <w:r>
        <w:rPr>
          <w:rFonts w:ascii="仿宋_GB2312" w:hAnsi="楷体" w:eastAsia="仿宋_GB2312" w:cs="仿宋_GB2312"/>
          <w:color w:val="000000"/>
          <w:sz w:val="32"/>
          <w:szCs w:val="32"/>
        </w:rPr>
        <w:t>0</w:t>
      </w:r>
      <w:r>
        <w:rPr>
          <w:rFonts w:hint="eastAsia" w:ascii="仿宋_GB2312" w:hAnsi="楷体" w:eastAsia="仿宋_GB2312" w:cs="仿宋_GB2312"/>
          <w:color w:val="000000"/>
          <w:sz w:val="32"/>
          <w:szCs w:val="32"/>
        </w:rPr>
        <w:t>万元。全年按规定更新购置公务用车</w:t>
      </w:r>
      <w:r>
        <w:rPr>
          <w:rFonts w:ascii="仿宋_GB2312" w:hAnsi="楷体" w:eastAsia="仿宋_GB2312" w:cs="仿宋_GB2312"/>
          <w:color w:val="000000"/>
          <w:sz w:val="32"/>
          <w:szCs w:val="32"/>
        </w:rPr>
        <w:t>0</w:t>
      </w:r>
      <w:r>
        <w:rPr>
          <w:rFonts w:hint="eastAsia" w:ascii="仿宋_GB2312" w:hAnsi="楷体" w:eastAsia="仿宋_GB2312" w:cs="仿宋_GB2312"/>
          <w:color w:val="000000"/>
          <w:sz w:val="32"/>
          <w:szCs w:val="32"/>
        </w:rPr>
        <w:t>辆。</w:t>
      </w:r>
    </w:p>
    <w:p>
      <w:pPr>
        <w:spacing w:line="576" w:lineRule="exact"/>
        <w:ind w:firstLine="641"/>
        <w:rPr>
          <w:rFonts w:ascii="仿宋_GB2312" w:hAnsi="楷体" w:eastAsia="仿宋_GB2312"/>
          <w:color w:val="000000"/>
          <w:sz w:val="32"/>
          <w:szCs w:val="32"/>
        </w:rPr>
      </w:pPr>
      <w:r>
        <w:rPr>
          <w:rFonts w:ascii="仿宋_GB2312" w:hAnsi="楷体" w:eastAsia="仿宋_GB2312" w:cs="仿宋_GB2312"/>
          <w:b/>
          <w:bCs/>
          <w:color w:val="000000"/>
          <w:sz w:val="32"/>
          <w:szCs w:val="32"/>
        </w:rPr>
        <w:t>3.</w:t>
      </w:r>
      <w:r>
        <w:rPr>
          <w:rFonts w:hint="eastAsia" w:ascii="仿宋_GB2312" w:hAnsi="楷体" w:eastAsia="仿宋_GB2312" w:cs="仿宋_GB2312"/>
          <w:b/>
          <w:bCs/>
          <w:color w:val="000000"/>
          <w:sz w:val="32"/>
          <w:szCs w:val="32"/>
        </w:rPr>
        <w:t>公务接待费支出</w:t>
      </w:r>
      <w:r>
        <w:rPr>
          <w:rFonts w:ascii="仿宋_GB2312" w:hAnsi="楷体" w:eastAsia="仿宋_GB2312" w:cs="仿宋_GB2312"/>
          <w:b/>
          <w:bCs/>
          <w:color w:val="000000"/>
          <w:sz w:val="32"/>
          <w:szCs w:val="32"/>
        </w:rPr>
        <w:t>0</w:t>
      </w:r>
      <w:r>
        <w:rPr>
          <w:rFonts w:hint="eastAsia" w:ascii="仿宋_GB2312" w:hAnsi="楷体" w:eastAsia="仿宋_GB2312" w:cs="仿宋_GB2312"/>
          <w:b/>
          <w:bCs/>
          <w:color w:val="000000"/>
          <w:sz w:val="32"/>
          <w:szCs w:val="32"/>
        </w:rPr>
        <w:t>万元，</w:t>
      </w:r>
      <w:r>
        <w:rPr>
          <w:rStyle w:val="14"/>
          <w:rFonts w:hint="eastAsia" w:ascii="仿宋_GB2312" w:hAnsi="楷体" w:eastAsia="仿宋_GB2312" w:cs="仿宋_GB2312"/>
          <w:color w:val="000000"/>
          <w:sz w:val="32"/>
          <w:szCs w:val="32"/>
        </w:rPr>
        <w:t>完成预算</w:t>
      </w:r>
      <w:r>
        <w:rPr>
          <w:rStyle w:val="14"/>
          <w:rFonts w:ascii="仿宋_GB2312" w:hAnsi="楷体" w:eastAsia="仿宋_GB2312" w:cs="仿宋_GB2312"/>
          <w:color w:val="000000"/>
          <w:sz w:val="32"/>
          <w:szCs w:val="32"/>
        </w:rPr>
        <w:t>0%</w:t>
      </w:r>
      <w:r>
        <w:rPr>
          <w:rStyle w:val="14"/>
          <w:rFonts w:hint="eastAsia" w:ascii="仿宋_GB2312" w:hAnsi="楷体" w:eastAsia="仿宋_GB2312" w:cs="仿宋_GB2312"/>
          <w:color w:val="000000"/>
          <w:sz w:val="32"/>
          <w:szCs w:val="32"/>
        </w:rPr>
        <w:t>。</w:t>
      </w:r>
      <w:r>
        <w:rPr>
          <w:rFonts w:hint="eastAsia" w:ascii="仿宋_GB2312" w:hAnsi="楷体" w:eastAsia="仿宋_GB2312" w:cs="仿宋_GB2312"/>
          <w:color w:val="000000"/>
          <w:sz w:val="32"/>
          <w:szCs w:val="32"/>
        </w:rPr>
        <w:t>公务接待费支出决算比</w:t>
      </w:r>
      <w:r>
        <w:rPr>
          <w:rFonts w:ascii="仿宋_GB2312" w:hAnsi="楷体" w:eastAsia="仿宋_GB2312" w:cs="仿宋_GB2312"/>
          <w:color w:val="000000"/>
          <w:sz w:val="32"/>
          <w:szCs w:val="32"/>
        </w:rPr>
        <w:t>2017</w:t>
      </w:r>
      <w:r>
        <w:rPr>
          <w:rFonts w:hint="eastAsia" w:ascii="仿宋_GB2312" w:hAnsi="楷体" w:eastAsia="仿宋_GB2312" w:cs="仿宋_GB2312"/>
          <w:color w:val="000000"/>
          <w:sz w:val="32"/>
          <w:szCs w:val="32"/>
        </w:rPr>
        <w:t>年减少</w:t>
      </w:r>
      <w:r>
        <w:rPr>
          <w:rFonts w:ascii="仿宋_GB2312" w:hAnsi="楷体" w:eastAsia="仿宋_GB2312" w:cs="仿宋_GB2312"/>
          <w:color w:val="000000"/>
          <w:sz w:val="32"/>
          <w:szCs w:val="32"/>
        </w:rPr>
        <w:t>4.22</w:t>
      </w:r>
      <w:r>
        <w:rPr>
          <w:rFonts w:hint="eastAsia" w:ascii="仿宋_GB2312" w:hAnsi="楷体" w:eastAsia="仿宋_GB2312" w:cs="仿宋_GB2312"/>
          <w:color w:val="000000"/>
          <w:sz w:val="32"/>
          <w:szCs w:val="32"/>
        </w:rPr>
        <w:t>万元，下降</w:t>
      </w:r>
      <w:r>
        <w:rPr>
          <w:rFonts w:ascii="仿宋_GB2312" w:hAnsi="楷体" w:eastAsia="仿宋_GB2312" w:cs="仿宋_GB2312"/>
          <w:color w:val="000000"/>
          <w:sz w:val="32"/>
          <w:szCs w:val="32"/>
        </w:rPr>
        <w:t>100%</w:t>
      </w:r>
      <w:r>
        <w:rPr>
          <w:rFonts w:hint="eastAsia" w:ascii="仿宋_GB2312" w:hAnsi="楷体" w:eastAsia="仿宋_GB2312" w:cs="仿宋_GB2312"/>
          <w:color w:val="000000"/>
          <w:sz w:val="32"/>
          <w:szCs w:val="32"/>
        </w:rPr>
        <w:t>。主要原因是按照中央八项规定要求，公务接待减少。</w:t>
      </w:r>
    </w:p>
    <w:p>
      <w:pPr>
        <w:pStyle w:val="3"/>
        <w:spacing w:before="0" w:after="0" w:line="576" w:lineRule="exact"/>
        <w:ind w:firstLine="641"/>
        <w:rPr>
          <w:rStyle w:val="17"/>
          <w:rFonts w:ascii="黑体" w:hAnsi="黑体" w:eastAsia="黑体" w:cs="Times New Roman"/>
          <w:b w:val="0"/>
          <w:bCs w:val="0"/>
        </w:rPr>
      </w:pPr>
      <w:bookmarkStart w:id="46" w:name="_Toc15377218"/>
      <w:bookmarkStart w:id="47" w:name="_Toc15396610"/>
      <w:r>
        <w:rPr>
          <w:rFonts w:hint="eastAsia" w:ascii="黑体" w:eastAsia="黑体" w:cs="黑体"/>
          <w:b w:val="0"/>
          <w:bCs w:val="0"/>
          <w:color w:val="000000"/>
        </w:rPr>
        <w:t>八、</w:t>
      </w:r>
      <w:r>
        <w:rPr>
          <w:rStyle w:val="17"/>
          <w:rFonts w:hint="eastAsia" w:ascii="黑体" w:hAnsi="黑体" w:eastAsia="黑体" w:cs="黑体"/>
          <w:b w:val="0"/>
          <w:bCs w:val="0"/>
        </w:rPr>
        <w:t>政府性基金预算支出决算情况说明</w:t>
      </w:r>
      <w:bookmarkEnd w:id="46"/>
      <w:bookmarkEnd w:id="47"/>
    </w:p>
    <w:p>
      <w:pPr>
        <w:spacing w:line="576" w:lineRule="exact"/>
        <w:ind w:firstLine="641"/>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年无政府性基金预算拨款支出。</w:t>
      </w:r>
    </w:p>
    <w:p>
      <w:pPr>
        <w:pStyle w:val="3"/>
        <w:spacing w:before="0" w:after="0" w:line="576" w:lineRule="exact"/>
        <w:ind w:firstLine="641"/>
        <w:rPr>
          <w:rStyle w:val="17"/>
          <w:rFonts w:ascii="黑体" w:hAnsi="黑体" w:eastAsia="黑体" w:cs="Times New Roman"/>
          <w:b w:val="0"/>
          <w:bCs w:val="0"/>
        </w:rPr>
      </w:pPr>
      <w:bookmarkStart w:id="48" w:name="_Toc15377219"/>
      <w:bookmarkStart w:id="49" w:name="_Toc15396611"/>
      <w:r>
        <w:rPr>
          <w:rStyle w:val="17"/>
          <w:rFonts w:hint="eastAsia" w:ascii="黑体" w:hAnsi="黑体" w:eastAsia="黑体" w:cs="黑体"/>
          <w:b w:val="0"/>
          <w:bCs w:val="0"/>
        </w:rPr>
        <w:t>九、国有资本经营预算支出决算情况说明</w:t>
      </w:r>
      <w:bookmarkEnd w:id="48"/>
      <w:bookmarkEnd w:id="49"/>
    </w:p>
    <w:p>
      <w:pPr>
        <w:spacing w:line="576" w:lineRule="exact"/>
        <w:ind w:firstLine="641"/>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年无国有资本经营预算拨款支出。</w:t>
      </w:r>
    </w:p>
    <w:p>
      <w:pPr>
        <w:pStyle w:val="3"/>
        <w:spacing w:before="0" w:after="0" w:line="576" w:lineRule="exact"/>
        <w:ind w:firstLine="641"/>
        <w:rPr>
          <w:rStyle w:val="17"/>
          <w:rFonts w:ascii="黑体" w:hAnsi="黑体" w:eastAsia="黑体" w:cs="Times New Roman"/>
          <w:b w:val="0"/>
          <w:bCs w:val="0"/>
        </w:rPr>
      </w:pPr>
      <w:r>
        <w:rPr>
          <w:rStyle w:val="17"/>
          <w:rFonts w:hint="eastAsia" w:ascii="黑体" w:hAnsi="黑体" w:eastAsia="黑体" w:cs="黑体"/>
          <w:b w:val="0"/>
          <w:bCs w:val="0"/>
        </w:rPr>
        <w:t>十、预算绩效情况说明</w:t>
      </w:r>
    </w:p>
    <w:p>
      <w:pPr>
        <w:spacing w:line="576" w:lineRule="exact"/>
        <w:ind w:firstLine="640" w:firstLineChars="200"/>
        <w:rPr>
          <w:rFonts w:hint="eastAsia" w:ascii="仿宋_GB2312" w:hAnsi="仿宋_GB2312" w:eastAsia="仿宋_GB2312"/>
          <w:sz w:val="32"/>
          <w:szCs w:val="32"/>
        </w:rPr>
      </w:pPr>
      <w:r>
        <w:rPr>
          <w:rFonts w:hint="eastAsia" w:ascii="仿宋_GB2312" w:hAnsi="楷体" w:eastAsia="仿宋_GB2312" w:cs="楷体"/>
          <w:bCs/>
          <w:sz w:val="32"/>
          <w:szCs w:val="32"/>
        </w:rPr>
        <w:t>本单位2018年无预算绩效。</w:t>
      </w:r>
    </w:p>
    <w:p>
      <w:pPr>
        <w:spacing w:line="600" w:lineRule="exact"/>
        <w:ind w:firstLine="800" w:firstLineChars="250"/>
        <w:outlineLvl w:val="1"/>
        <w:rPr>
          <w:rStyle w:val="17"/>
          <w:rFonts w:ascii="黑体" w:hAnsi="黑体" w:eastAsia="黑体" w:cs="Times New Roman"/>
        </w:rPr>
      </w:pPr>
      <w:bookmarkStart w:id="50" w:name="_Toc15396612"/>
      <w:bookmarkStart w:id="51" w:name="_Toc15377221"/>
      <w:r>
        <w:rPr>
          <w:rFonts w:hint="eastAsia" w:ascii="黑体" w:hAnsi="黑体" w:eastAsia="黑体" w:cs="黑体"/>
          <w:color w:val="000000"/>
          <w:sz w:val="32"/>
          <w:szCs w:val="32"/>
        </w:rPr>
        <w:t>十</w:t>
      </w:r>
      <w:r>
        <w:rPr>
          <w:rStyle w:val="17"/>
          <w:rFonts w:hint="eastAsia" w:ascii="黑体" w:hAnsi="黑体" w:eastAsia="黑体" w:cs="黑体"/>
        </w:rPr>
        <w:t>一、</w:t>
      </w:r>
      <w:r>
        <w:rPr>
          <w:rStyle w:val="17"/>
          <w:rFonts w:hint="eastAsia" w:ascii="黑体" w:hAnsi="黑体" w:eastAsia="黑体" w:cs="黑体"/>
          <w:b w:val="0"/>
          <w:bCs w:val="0"/>
        </w:rPr>
        <w:t>其他重要事项的情况说明</w:t>
      </w:r>
      <w:bookmarkEnd w:id="50"/>
      <w:bookmarkEnd w:id="51"/>
    </w:p>
    <w:p>
      <w:pPr>
        <w:spacing w:line="576" w:lineRule="exact"/>
        <w:ind w:firstLine="643" w:firstLineChars="200"/>
        <w:outlineLvl w:val="2"/>
        <w:rPr>
          <w:rFonts w:ascii="楷体" w:hAnsi="楷体" w:eastAsia="楷体"/>
          <w:color w:val="000000"/>
          <w:sz w:val="32"/>
          <w:szCs w:val="32"/>
        </w:rPr>
      </w:pPr>
      <w:bookmarkStart w:id="52" w:name="_Toc15377222"/>
      <w:r>
        <w:rPr>
          <w:rFonts w:hint="eastAsia" w:ascii="楷体" w:hAnsi="楷体" w:eastAsia="楷体" w:cs="楷体"/>
          <w:b/>
          <w:bCs/>
          <w:color w:val="000000"/>
          <w:sz w:val="32"/>
          <w:szCs w:val="32"/>
        </w:rPr>
        <w:t>（一）机关运行经费支出情况</w:t>
      </w:r>
      <w:bookmarkEnd w:id="52"/>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年，政法委机关运行经费支出</w:t>
      </w:r>
      <w:r>
        <w:rPr>
          <w:rFonts w:ascii="仿宋_GB2312" w:eastAsia="仿宋_GB2312" w:cs="仿宋_GB2312"/>
          <w:color w:val="000000"/>
          <w:sz w:val="32"/>
          <w:szCs w:val="32"/>
        </w:rPr>
        <w:t>40.54</w:t>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0.28</w:t>
      </w:r>
      <w:r>
        <w:rPr>
          <w:rFonts w:hint="eastAsia" w:ascii="仿宋_GB2312" w:eastAsia="仿宋_GB2312" w:cs="仿宋_GB2312"/>
          <w:color w:val="000000"/>
          <w:sz w:val="32"/>
          <w:szCs w:val="32"/>
        </w:rPr>
        <w:t>万元，增长</w:t>
      </w:r>
      <w:r>
        <w:rPr>
          <w:rFonts w:ascii="仿宋_GB2312" w:eastAsia="仿宋_GB2312" w:cs="仿宋_GB2312"/>
          <w:color w:val="000000"/>
          <w:sz w:val="32"/>
          <w:szCs w:val="32"/>
        </w:rPr>
        <w:t>0.6%</w:t>
      </w:r>
      <w:r>
        <w:rPr>
          <w:rFonts w:hint="eastAsia" w:ascii="仿宋_GB2312" w:eastAsia="仿宋_GB2312" w:cs="仿宋_GB2312"/>
          <w:color w:val="000000"/>
          <w:sz w:val="32"/>
          <w:szCs w:val="32"/>
        </w:rPr>
        <w:t>。主要原因是资料费增加。</w:t>
      </w:r>
    </w:p>
    <w:p>
      <w:pPr>
        <w:spacing w:line="576" w:lineRule="exact"/>
        <w:ind w:firstLine="643" w:firstLineChars="200"/>
        <w:outlineLvl w:val="1"/>
        <w:rPr>
          <w:rFonts w:ascii="楷体" w:hAnsi="楷体" w:eastAsia="楷体"/>
          <w:b/>
          <w:bCs/>
          <w:color w:val="000000"/>
          <w:sz w:val="32"/>
          <w:szCs w:val="32"/>
        </w:rPr>
      </w:pPr>
      <w:bookmarkStart w:id="53" w:name="_Toc15377223"/>
      <w:r>
        <w:rPr>
          <w:rFonts w:hint="eastAsia" w:ascii="楷体" w:hAnsi="楷体" w:eastAsia="楷体" w:cs="楷体"/>
          <w:b/>
          <w:bCs/>
          <w:color w:val="000000"/>
          <w:sz w:val="32"/>
          <w:szCs w:val="32"/>
        </w:rPr>
        <w:t>（二）政府采购支出情况</w:t>
      </w:r>
      <w:bookmarkEnd w:id="53"/>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年，政法委无政府采购支出。</w:t>
      </w:r>
    </w:p>
    <w:p>
      <w:pPr>
        <w:spacing w:line="576" w:lineRule="exact"/>
        <w:ind w:firstLine="643" w:firstLineChars="200"/>
        <w:outlineLvl w:val="1"/>
        <w:rPr>
          <w:rFonts w:ascii="楷体" w:hAnsi="楷体" w:eastAsia="楷体"/>
          <w:b/>
          <w:bCs/>
          <w:color w:val="000000"/>
          <w:sz w:val="32"/>
          <w:szCs w:val="32"/>
        </w:rPr>
      </w:pPr>
      <w:bookmarkStart w:id="54" w:name="_Toc15377224"/>
      <w:r>
        <w:rPr>
          <w:rFonts w:hint="eastAsia" w:ascii="楷体" w:hAnsi="楷体" w:eastAsia="楷体" w:cs="楷体"/>
          <w:b/>
          <w:bCs/>
          <w:color w:val="000000"/>
          <w:sz w:val="32"/>
          <w:szCs w:val="32"/>
        </w:rPr>
        <w:t>（三）国有资产占有使用情况</w:t>
      </w:r>
      <w:bookmarkEnd w:id="54"/>
    </w:p>
    <w:p>
      <w:pPr>
        <w:spacing w:line="576" w:lineRule="exact"/>
        <w:ind w:firstLine="640" w:firstLineChars="200"/>
        <w:rPr>
          <w:rFonts w:ascii="仿宋_GB2312" w:eastAsia="仿宋_GB2312"/>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w:t>
      </w:r>
      <w:r>
        <w:rPr>
          <w:rFonts w:hint="eastAsia" w:ascii="仿宋_GB2312" w:eastAsia="仿宋_GB2312" w:cs="仿宋_GB2312"/>
          <w:sz w:val="32"/>
          <w:szCs w:val="32"/>
        </w:rPr>
        <w:t>政法委公有车辆</w:t>
      </w:r>
      <w:r>
        <w:rPr>
          <w:rFonts w:ascii="仿宋_GB2312" w:eastAsia="仿宋_GB2312" w:cs="仿宋_GB2312"/>
          <w:sz w:val="32"/>
          <w:szCs w:val="32"/>
        </w:rPr>
        <w:t>0</w:t>
      </w:r>
      <w:r>
        <w:rPr>
          <w:rFonts w:hint="eastAsia" w:ascii="仿宋_GB2312" w:eastAsia="仿宋_GB2312" w:cs="仿宋_GB2312"/>
          <w:sz w:val="32"/>
          <w:szCs w:val="32"/>
        </w:rPr>
        <w:t>辆，单价</w:t>
      </w:r>
      <w:r>
        <w:rPr>
          <w:rFonts w:ascii="仿宋_GB2312" w:eastAsia="仿宋_GB2312" w:cs="仿宋_GB2312"/>
          <w:sz w:val="32"/>
          <w:szCs w:val="32"/>
        </w:rPr>
        <w:t>50</w:t>
      </w:r>
      <w:r>
        <w:rPr>
          <w:rFonts w:hint="eastAsia" w:ascii="仿宋_GB2312" w:eastAsia="仿宋_GB2312" w:cs="仿宋_GB2312"/>
          <w:sz w:val="32"/>
          <w:szCs w:val="32"/>
        </w:rPr>
        <w:t>万元以上通用设备</w:t>
      </w:r>
      <w:r>
        <w:rPr>
          <w:rFonts w:ascii="仿宋_GB2312" w:eastAsia="仿宋_GB2312" w:cs="仿宋_GB2312"/>
          <w:sz w:val="32"/>
          <w:szCs w:val="32"/>
        </w:rPr>
        <w:t>0</w:t>
      </w:r>
      <w:r>
        <w:rPr>
          <w:rFonts w:hint="eastAsia" w:ascii="仿宋_GB2312" w:eastAsia="仿宋_GB2312" w:cs="仿宋_GB2312"/>
          <w:sz w:val="32"/>
          <w:szCs w:val="32"/>
        </w:rPr>
        <w:t>台（套），单价</w:t>
      </w:r>
      <w:r>
        <w:rPr>
          <w:rFonts w:ascii="仿宋_GB2312" w:eastAsia="仿宋_GB2312" w:cs="仿宋_GB2312"/>
          <w:sz w:val="32"/>
          <w:szCs w:val="32"/>
        </w:rPr>
        <w:t>100</w:t>
      </w:r>
      <w:r>
        <w:rPr>
          <w:rFonts w:hint="eastAsia" w:ascii="仿宋_GB2312" w:eastAsia="仿宋_GB2312" w:cs="仿宋_GB2312"/>
          <w:sz w:val="32"/>
          <w:szCs w:val="32"/>
        </w:rPr>
        <w:t>万元以上专用设备</w:t>
      </w:r>
      <w:r>
        <w:rPr>
          <w:rFonts w:ascii="仿宋_GB2312" w:eastAsia="仿宋_GB2312" w:cs="仿宋_GB2312"/>
          <w:sz w:val="32"/>
          <w:szCs w:val="32"/>
        </w:rPr>
        <w:t>0</w:t>
      </w:r>
      <w:r>
        <w:rPr>
          <w:rFonts w:hint="eastAsia" w:ascii="仿宋_GB2312" w:eastAsia="仿宋_GB2312" w:cs="仿宋_GB2312"/>
          <w:sz w:val="32"/>
          <w:szCs w:val="32"/>
        </w:rPr>
        <w:t>台（套）。</w:t>
      </w:r>
    </w:p>
    <w:p>
      <w:pPr>
        <w:widowControl/>
        <w:jc w:val="center"/>
        <w:rPr>
          <w:rStyle w:val="16"/>
          <w:rFonts w:ascii="仿宋_GB2312" w:eastAsia="仿宋_GB2312"/>
          <w:color w:val="000000"/>
          <w:kern w:val="2"/>
          <w:sz w:val="32"/>
          <w:szCs w:val="32"/>
        </w:rPr>
      </w:pPr>
      <w:r>
        <w:rPr>
          <w:rFonts w:ascii="仿宋_GB2312" w:eastAsia="仿宋_GB2312"/>
          <w:b/>
          <w:bCs/>
          <w:color w:val="000000"/>
          <w:sz w:val="32"/>
          <w:szCs w:val="32"/>
        </w:rPr>
        <w:br w:type="page"/>
      </w:r>
      <w:bookmarkStart w:id="55" w:name="_Toc15377225"/>
      <w:bookmarkStart w:id="56" w:name="_Toc15396613"/>
      <w:r>
        <w:rPr>
          <w:rFonts w:hint="eastAsia" w:ascii="黑体" w:hAnsi="黑体" w:eastAsia="黑体" w:cs="黑体"/>
          <w:color w:val="000000"/>
          <w:sz w:val="44"/>
          <w:szCs w:val="44"/>
        </w:rPr>
        <w:t>第三部分</w:t>
      </w:r>
      <w:r>
        <w:rPr>
          <w:rFonts w:ascii="黑体" w:hAnsi="黑体" w:eastAsia="黑体" w:cs="黑体"/>
          <w:color w:val="000000"/>
          <w:sz w:val="44"/>
          <w:szCs w:val="44"/>
        </w:rPr>
        <w:t xml:space="preserve">  </w:t>
      </w:r>
      <w:r>
        <w:rPr>
          <w:rFonts w:hint="eastAsia" w:ascii="黑体" w:hAnsi="黑体" w:eastAsia="黑体" w:cs="黑体"/>
          <w:color w:val="000000"/>
          <w:sz w:val="44"/>
          <w:szCs w:val="44"/>
        </w:rPr>
        <w:t>名</w:t>
      </w:r>
      <w:r>
        <w:rPr>
          <w:rStyle w:val="16"/>
          <w:rFonts w:hint="eastAsia" w:ascii="黑体" w:hAnsi="黑体" w:eastAsia="黑体" w:cs="黑体"/>
          <w:b w:val="0"/>
          <w:bCs w:val="0"/>
        </w:rPr>
        <w:t>词解释</w:t>
      </w:r>
      <w:bookmarkEnd w:id="55"/>
      <w:bookmarkEnd w:id="56"/>
    </w:p>
    <w:p>
      <w:pPr>
        <w:spacing w:line="600" w:lineRule="exact"/>
        <w:jc w:val="left"/>
        <w:rPr>
          <w:rFonts w:ascii="宋体"/>
          <w:b/>
          <w:bCs/>
          <w:color w:val="000000"/>
          <w:sz w:val="44"/>
          <w:szCs w:val="44"/>
        </w:rPr>
      </w:pP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事业收入：指事业单位开展专业业务活动及辅助活动取得的收入。如…（二级预算单位事业收入情况）等。</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其他收入：指单位取得的除上述收入以外的各项收入。主要是…（收入类型）等。</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年初结转和结余：指以前年度尚未完成、结转到本年按有关规定继续使用的资金。</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年末结转和结余：指单位按有关规定结转到下年或以后年度继续使用的资金。</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公共安全支出</w:t>
      </w:r>
      <w:r>
        <w:rPr>
          <w:rFonts w:ascii="仿宋_GB2312" w:eastAsia="仿宋_GB2312" w:cs="仿宋_GB2312"/>
          <w:sz w:val="32"/>
          <w:szCs w:val="32"/>
        </w:rPr>
        <w:t>(</w:t>
      </w:r>
      <w:r>
        <w:rPr>
          <w:rFonts w:hint="eastAsia" w:ascii="仿宋_GB2312" w:eastAsia="仿宋_GB2312" w:cs="仿宋_GB2312"/>
          <w:sz w:val="32"/>
          <w:szCs w:val="32"/>
        </w:rPr>
        <w:t>类</w:t>
      </w:r>
      <w:r>
        <w:rPr>
          <w:rFonts w:ascii="仿宋_GB2312" w:eastAsia="仿宋_GB2312" w:cs="仿宋_GB2312"/>
          <w:sz w:val="32"/>
          <w:szCs w:val="32"/>
        </w:rPr>
        <w:t>)</w:t>
      </w:r>
      <w:r>
        <w:rPr>
          <w:rFonts w:hint="eastAsia" w:ascii="仿宋_GB2312" w:eastAsia="仿宋_GB2312" w:cs="仿宋_GB2312"/>
          <w:sz w:val="32"/>
          <w:szCs w:val="32"/>
        </w:rPr>
        <w:t>公安（款）行政运行（项）指公安事务及管理支出，行政单位（包括实行公务员管理的事业单位）的基本支出。</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公共安全支出</w:t>
      </w:r>
      <w:r>
        <w:rPr>
          <w:rFonts w:ascii="仿宋_GB2312" w:eastAsia="仿宋_GB2312" w:cs="仿宋_GB2312"/>
          <w:sz w:val="32"/>
          <w:szCs w:val="32"/>
        </w:rPr>
        <w:t>(</w:t>
      </w:r>
      <w:r>
        <w:rPr>
          <w:rFonts w:hint="eastAsia" w:ascii="仿宋_GB2312" w:eastAsia="仿宋_GB2312" w:cs="仿宋_GB2312"/>
          <w:sz w:val="32"/>
          <w:szCs w:val="32"/>
        </w:rPr>
        <w:t>类</w:t>
      </w:r>
      <w:r>
        <w:rPr>
          <w:rFonts w:ascii="仿宋_GB2312" w:eastAsia="仿宋_GB2312" w:cs="仿宋_GB2312"/>
          <w:sz w:val="32"/>
          <w:szCs w:val="32"/>
        </w:rPr>
        <w:t>)</w:t>
      </w:r>
      <w:r>
        <w:rPr>
          <w:rFonts w:hint="eastAsia" w:ascii="仿宋_GB2312" w:eastAsia="仿宋_GB2312" w:cs="仿宋_GB2312"/>
          <w:sz w:val="32"/>
          <w:szCs w:val="32"/>
        </w:rPr>
        <w:t>公安（款）一般行政管理事务（项）：指公安事务及管理支出，行政单位（包括实行公务员管理的事业单位）未单独设置顶级科目的其他项目支出。</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社会保障和就业支出（类）行政事业单位离退休（款）机关事业单位基本养老保险缴费支出（项）</w:t>
      </w:r>
      <w:r>
        <w:rPr>
          <w:rFonts w:ascii="仿宋_GB2312" w:eastAsia="仿宋_GB2312" w:cs="仿宋_GB2312"/>
          <w:sz w:val="32"/>
          <w:szCs w:val="32"/>
        </w:rPr>
        <w:t>:</w:t>
      </w:r>
      <w:r>
        <w:rPr>
          <w:rFonts w:hint="eastAsia" w:ascii="仿宋_GB2312" w:eastAsia="仿宋_GB2312" w:cs="仿宋_GB2312"/>
          <w:sz w:val="32"/>
          <w:szCs w:val="32"/>
        </w:rPr>
        <w:t>指机关事业单位实施养老保险制度由单位缴纳的基本养老保险费支出。</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9.</w:t>
      </w:r>
      <w:r>
        <w:rPr>
          <w:rFonts w:hint="eastAsia" w:ascii="仿宋_GB2312" w:eastAsia="仿宋_GB2312" w:cs="仿宋_GB2312"/>
          <w:sz w:val="32"/>
          <w:szCs w:val="32"/>
        </w:rPr>
        <w:t>社会保障和就业支出（类）行政事业单位离退休（款）机关事业单位职业年金缴费支出（项）</w:t>
      </w:r>
      <w:r>
        <w:rPr>
          <w:rFonts w:ascii="仿宋_GB2312" w:eastAsia="仿宋_GB2312" w:cs="仿宋_GB2312"/>
          <w:sz w:val="32"/>
          <w:szCs w:val="32"/>
        </w:rPr>
        <w:t>:</w:t>
      </w:r>
      <w:r>
        <w:rPr>
          <w:rFonts w:hint="eastAsia" w:ascii="仿宋_GB2312" w:eastAsia="仿宋_GB2312" w:cs="仿宋_GB2312"/>
          <w:sz w:val="32"/>
          <w:szCs w:val="32"/>
        </w:rPr>
        <w:t>指</w:t>
      </w:r>
      <w:r>
        <w:rPr>
          <w:rFonts w:ascii="仿宋_GB2312" w:eastAsia="仿宋_GB2312" w:cs="仿宋_GB2312"/>
          <w:sz w:val="32"/>
          <w:szCs w:val="32"/>
        </w:rPr>
        <w:t xml:space="preserve"> </w:t>
      </w:r>
      <w:r>
        <w:rPr>
          <w:rFonts w:hint="eastAsia" w:ascii="仿宋_GB2312" w:eastAsia="仿宋_GB2312" w:cs="仿宋_GB2312"/>
          <w:sz w:val="32"/>
          <w:szCs w:val="32"/>
        </w:rPr>
        <w:t>机关事业单位实施养老保险制度由单位缴纳的职业年金支出。</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10.</w:t>
      </w:r>
      <w:r>
        <w:rPr>
          <w:rFonts w:hint="eastAsia" w:ascii="仿宋_GB2312" w:eastAsia="仿宋_GB2312" w:cs="仿宋_GB2312"/>
          <w:sz w:val="32"/>
          <w:szCs w:val="32"/>
        </w:rPr>
        <w:t>医疗卫生与计划生育支出（类）行政事业单位医疗（款）行政单位医疗（项）</w:t>
      </w:r>
      <w:r>
        <w:rPr>
          <w:rFonts w:ascii="仿宋_GB2312" w:eastAsia="仿宋_GB2312" w:cs="仿宋_GB2312"/>
          <w:sz w:val="32"/>
          <w:szCs w:val="32"/>
        </w:rPr>
        <w:t>:</w:t>
      </w:r>
      <w:r>
        <w:rPr>
          <w:rFonts w:hint="eastAsia" w:ascii="仿宋_GB2312" w:eastAsia="仿宋_GB2312" w:cs="仿宋_GB2312"/>
          <w:sz w:val="32"/>
          <w:szCs w:val="32"/>
        </w:rPr>
        <w:t>指财政部门集中安排的行政单位基本医疗保险缴费经费，未参加医疗保险的行政单位的公费医疗经费，按国家规定享受离休人员、红军老战士待遇人员的医疗经费。</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11.</w:t>
      </w:r>
      <w:r>
        <w:rPr>
          <w:rFonts w:hint="eastAsia" w:ascii="仿宋_GB2312" w:eastAsia="仿宋_GB2312" w:cs="仿宋_GB2312"/>
          <w:sz w:val="32"/>
          <w:szCs w:val="32"/>
        </w:rPr>
        <w:t>住房保障支出（类）住房改革支出（款）住房公积金（项）</w:t>
      </w:r>
      <w:r>
        <w:rPr>
          <w:rFonts w:ascii="仿宋_GB2312" w:eastAsia="仿宋_GB2312" w:cs="仿宋_GB2312"/>
          <w:sz w:val="32"/>
          <w:szCs w:val="32"/>
        </w:rPr>
        <w:t>:</w:t>
      </w:r>
      <w:r>
        <w:rPr>
          <w:rFonts w:hint="eastAsia" w:ascii="仿宋_GB2312" w:eastAsia="仿宋_GB2312" w:cs="仿宋_GB2312"/>
          <w:sz w:val="32"/>
          <w:szCs w:val="32"/>
        </w:rPr>
        <w:t>行政事业单位按人力资源和社会保障部、财政部规定的基本工资和津贴补贴以及规定比例为职工缴纳的住房公积金。</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Fonts w:hint="eastAsia" w:ascii="仿宋_GB2312" w:eastAsia="仿宋_GB2312" w:cs="仿宋_GB2312"/>
          <w:color w:val="000000"/>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eastAsia="仿宋_GB2312" w:cs="仿宋_GB2312"/>
          <w:color w:val="000000"/>
          <w:sz w:val="32"/>
          <w:szCs w:val="32"/>
        </w:rPr>
        <w:t>项目支出：指在基本支出之外为完成特定行政任务和事业发展目标所发生的支出。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15.</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16.</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6" w:lineRule="exact"/>
        <w:jc w:val="center"/>
        <w:outlineLvl w:val="0"/>
        <w:rPr>
          <w:rFonts w:ascii="方正小标宋简体" w:eastAsia="方正小标宋简体"/>
          <w:color w:val="000000"/>
          <w:sz w:val="44"/>
          <w:szCs w:val="44"/>
        </w:rPr>
      </w:pPr>
      <w:bookmarkStart w:id="57" w:name="_Toc15396614"/>
      <w:bookmarkStart w:id="58" w:name="_Toc15377226"/>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Fonts w:ascii="方正小标宋简体" w:eastAsia="方正小标宋简体"/>
          <w:color w:val="000000"/>
          <w:sz w:val="44"/>
          <w:szCs w:val="44"/>
        </w:rPr>
      </w:pPr>
    </w:p>
    <w:p>
      <w:pPr>
        <w:spacing w:line="576" w:lineRule="exact"/>
        <w:jc w:val="center"/>
        <w:outlineLvl w:val="0"/>
        <w:rPr>
          <w:rStyle w:val="16"/>
          <w:rFonts w:ascii="方正小标宋简体" w:hAnsi="黑体" w:eastAsia="方正小标宋简体"/>
          <w:b w:val="0"/>
          <w:bCs w:val="0"/>
        </w:rPr>
      </w:pPr>
      <w:r>
        <w:rPr>
          <w:rFonts w:hint="eastAsia" w:ascii="方正小标宋简体" w:eastAsia="方正小标宋简体" w:cs="方正小标宋简体"/>
          <w:color w:val="000000"/>
          <w:sz w:val="44"/>
          <w:szCs w:val="44"/>
        </w:rPr>
        <w:t>第四部分</w:t>
      </w:r>
      <w:r>
        <w:rPr>
          <w:rStyle w:val="16"/>
          <w:rFonts w:hint="eastAsia" w:ascii="方正小标宋简体" w:hAnsi="黑体" w:eastAsia="方正小标宋简体" w:cs="方正小标宋简体"/>
          <w:b w:val="0"/>
          <w:bCs w:val="0"/>
        </w:rPr>
        <w:t>附件</w:t>
      </w:r>
      <w:bookmarkEnd w:id="57"/>
    </w:p>
    <w:p>
      <w:pPr>
        <w:spacing w:line="576" w:lineRule="exact"/>
        <w:outlineLvl w:val="0"/>
        <w:rPr>
          <w:rStyle w:val="16"/>
          <w:rFonts w:ascii="方正小标宋简体" w:hAnsi="黑体" w:eastAsia="方正小标宋简体"/>
          <w:b w:val="0"/>
          <w:bCs w:val="0"/>
        </w:rPr>
      </w:pPr>
    </w:p>
    <w:p>
      <w:pPr>
        <w:spacing w:line="576" w:lineRule="exact"/>
        <w:jc w:val="center"/>
        <w:outlineLvl w:val="0"/>
        <w:rPr>
          <w:rFonts w:ascii="方正小标宋简体" w:hAnsi="黑体" w:eastAsia="方正小标宋简体"/>
          <w:sz w:val="44"/>
          <w:szCs w:val="44"/>
        </w:rPr>
      </w:pPr>
      <w:bookmarkStart w:id="59" w:name="_Toc15396616"/>
      <w:r>
        <w:rPr>
          <w:rFonts w:hint="eastAsia" w:ascii="方正小标宋简体" w:hAnsi="黑体" w:eastAsia="方正小标宋简体" w:cs="方正小标宋简体"/>
          <w:sz w:val="44"/>
          <w:szCs w:val="44"/>
        </w:rPr>
        <w:t>政法委部门</w:t>
      </w:r>
      <w:r>
        <w:rPr>
          <w:rFonts w:ascii="方正小标宋简体" w:hAnsi="黑体" w:eastAsia="方正小标宋简体" w:cs="方正小标宋简体"/>
          <w:sz w:val="44"/>
          <w:szCs w:val="44"/>
        </w:rPr>
        <w:t>2018</w:t>
      </w:r>
      <w:r>
        <w:rPr>
          <w:rFonts w:hint="eastAsia" w:ascii="方正小标宋简体" w:hAnsi="黑体" w:eastAsia="方正小标宋简体" w:cs="方正小标宋简体"/>
          <w:sz w:val="44"/>
          <w:szCs w:val="44"/>
        </w:rPr>
        <w:t>年部门整体支出</w:t>
      </w:r>
    </w:p>
    <w:p>
      <w:pPr>
        <w:spacing w:line="576" w:lineRule="exact"/>
        <w:jc w:val="center"/>
        <w:outlineLvl w:val="0"/>
        <w:rPr>
          <w:rFonts w:ascii="方正小标宋简体" w:hAnsi="黑体" w:eastAsia="方正小标宋简体"/>
          <w:sz w:val="44"/>
          <w:szCs w:val="44"/>
        </w:rPr>
      </w:pPr>
      <w:r>
        <w:rPr>
          <w:rFonts w:hint="eastAsia" w:ascii="方正小标宋简体" w:hAnsi="黑体" w:eastAsia="方正小标宋简体" w:cs="方正小标宋简体"/>
          <w:sz w:val="44"/>
          <w:szCs w:val="44"/>
        </w:rPr>
        <w:t>绩效评价报告</w:t>
      </w:r>
      <w:bookmarkEnd w:id="59"/>
    </w:p>
    <w:p>
      <w:pPr>
        <w:pStyle w:val="3"/>
        <w:spacing w:before="0" w:after="0" w:line="576" w:lineRule="exact"/>
        <w:rPr>
          <w:rFonts w:ascii="黑体" w:hAnsi="黑体" w:eastAsia="黑体" w:cs="Times New Roman"/>
          <w:b w:val="0"/>
          <w:bCs w:val="0"/>
        </w:rPr>
      </w:pPr>
    </w:p>
    <w:p>
      <w:pPr>
        <w:pStyle w:val="3"/>
        <w:spacing w:before="0" w:after="0" w:line="576" w:lineRule="exact"/>
        <w:ind w:firstLine="640" w:firstLineChars="200"/>
        <w:rPr>
          <w:rFonts w:ascii="仿宋" w:hAnsi="仿宋" w:eastAsia="仿宋" w:cs="Times New Roman"/>
          <w:b w:val="0"/>
          <w:bCs w:val="0"/>
          <w:color w:val="000000"/>
        </w:rPr>
      </w:pPr>
      <w:r>
        <w:rPr>
          <w:rFonts w:hint="eastAsia" w:ascii="黑体" w:hAnsi="黑体" w:eastAsia="黑体" w:cs="黑体"/>
          <w:b w:val="0"/>
          <w:bCs w:val="0"/>
        </w:rPr>
        <w:t>一、部门（单位）概况</w:t>
      </w:r>
    </w:p>
    <w:p>
      <w:pPr>
        <w:spacing w:line="576" w:lineRule="exact"/>
        <w:ind w:firstLine="643" w:firstLineChars="200"/>
        <w:rPr>
          <w:rFonts w:ascii="仿宋_GB2312" w:hAnsi="仿宋" w:eastAsia="仿宋_GB2312"/>
          <w:sz w:val="32"/>
          <w:szCs w:val="32"/>
        </w:rPr>
      </w:pPr>
      <w:r>
        <w:rPr>
          <w:rFonts w:hint="eastAsia" w:ascii="楷体" w:hAnsi="楷体" w:eastAsia="楷体" w:cs="楷体"/>
          <w:b/>
          <w:bCs/>
          <w:sz w:val="32"/>
          <w:szCs w:val="32"/>
        </w:rPr>
        <w:t>（一）机构组成</w:t>
      </w:r>
    </w:p>
    <w:p>
      <w:pPr>
        <w:spacing w:line="576" w:lineRule="exact"/>
        <w:ind w:firstLine="640" w:firstLineChars="200"/>
        <w:rPr>
          <w:rFonts w:ascii="仿宋_GB2312" w:hAnsi="仿宋_GB2312" w:eastAsia="仿宋_GB2312"/>
        </w:rPr>
      </w:pPr>
      <w:r>
        <w:rPr>
          <w:rFonts w:hint="eastAsia" w:ascii="仿宋_GB2312" w:hAnsi="仿宋_GB2312" w:eastAsia="仿宋_GB2312" w:cs="仿宋_GB2312"/>
          <w:sz w:val="32"/>
          <w:szCs w:val="32"/>
        </w:rPr>
        <w:t>中共茂县县委政法委员会机关成立于</w:t>
      </w:r>
      <w:r>
        <w:rPr>
          <w:rFonts w:ascii="仿宋_GB2312" w:hAnsi="仿宋_GB2312" w:eastAsia="仿宋_GB2312" w:cs="仿宋_GB2312"/>
          <w:sz w:val="32"/>
          <w:szCs w:val="32"/>
        </w:rPr>
        <w:t>1982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日，是县委领导政法工作的工作部门，县委政法委员会与县综治办合署办公，挂县</w:t>
      </w:r>
      <w:r>
        <w:rPr>
          <w:rFonts w:ascii="仿宋_GB2312" w:hAnsi="仿宋_GB2312" w:eastAsia="仿宋_GB2312" w:cs="仿宋_GB2312"/>
          <w:sz w:val="32"/>
          <w:szCs w:val="32"/>
        </w:rPr>
        <w:t>610</w:t>
      </w:r>
      <w:r>
        <w:rPr>
          <w:rFonts w:hint="eastAsia" w:ascii="仿宋_GB2312" w:hAnsi="仿宋_GB2312" w:eastAsia="仿宋_GB2312" w:cs="仿宋_GB2312"/>
          <w:sz w:val="32"/>
          <w:szCs w:val="32"/>
        </w:rPr>
        <w:t>办公室牌子，增设县委维护社会稳定领导小组办公室。内设机构有：办公室、政工督查室、维稳办、县</w:t>
      </w:r>
      <w:r>
        <w:rPr>
          <w:rFonts w:ascii="仿宋_GB2312" w:hAnsi="仿宋_GB2312" w:eastAsia="仿宋_GB2312" w:cs="仿宋_GB2312"/>
          <w:sz w:val="32"/>
          <w:szCs w:val="32"/>
        </w:rPr>
        <w:t>610</w:t>
      </w:r>
      <w:r>
        <w:rPr>
          <w:rFonts w:hint="eastAsia" w:ascii="仿宋_GB2312" w:hAnsi="仿宋_GB2312" w:eastAsia="仿宋_GB2312" w:cs="仿宋_GB2312"/>
          <w:sz w:val="32"/>
          <w:szCs w:val="32"/>
        </w:rPr>
        <w:t>办公室。</w:t>
      </w:r>
    </w:p>
    <w:p>
      <w:pPr>
        <w:snapToGrid w:val="0"/>
        <w:spacing w:line="576" w:lineRule="exact"/>
        <w:ind w:firstLine="643" w:firstLineChars="200"/>
        <w:outlineLvl w:val="0"/>
        <w:rPr>
          <w:rFonts w:ascii="楷体" w:hAnsi="楷体" w:eastAsia="楷体"/>
          <w:b/>
          <w:bCs/>
          <w:sz w:val="32"/>
          <w:szCs w:val="32"/>
        </w:rPr>
      </w:pPr>
      <w:r>
        <w:rPr>
          <w:rFonts w:hint="eastAsia" w:ascii="楷体" w:hAnsi="楷体" w:eastAsia="楷体" w:cs="楷体"/>
          <w:b/>
          <w:bCs/>
          <w:sz w:val="32"/>
          <w:szCs w:val="32"/>
        </w:rPr>
        <w:t>（二）机构职能</w:t>
      </w:r>
    </w:p>
    <w:p>
      <w:pPr>
        <w:snapToGrid w:val="0"/>
        <w:spacing w:line="576" w:lineRule="exact"/>
        <w:ind w:firstLine="640" w:firstLineChars="200"/>
        <w:outlineLvl w:val="0"/>
        <w:rPr>
          <w:rFonts w:ascii="仿宋_GB2312" w:hAnsi="仿宋_GB2312" w:eastAsia="仿宋_GB2312"/>
          <w:b/>
          <w:bCs/>
          <w:sz w:val="32"/>
          <w:szCs w:val="32"/>
        </w:rPr>
      </w:pPr>
      <w:r>
        <w:rPr>
          <w:rFonts w:hint="eastAsia" w:ascii="仿宋_GB2312" w:hAnsi="仿宋_GB2312" w:eastAsia="仿宋_GB2312" w:cs="仿宋_GB2312"/>
          <w:sz w:val="32"/>
          <w:szCs w:val="32"/>
        </w:rPr>
        <w:t>根据党的路线方针政策和党委的部署，研究制定贯彻落实的具体措施，统一政法各部门的思想和行动；组织、指导维护社会稳定工作，掌握和分析社会稳定情况，协调处理群体性事件；检查政法部门公正廉洁执法的情况，结合实际，研究制定促进公正廉洁执法的具体办法；大力支持和严格监督政法各部门依法行使职权，指导和协调政法各部门在依法相互制约的同时密切配合，督促大案要案的查处工作；组织、协调社会管理综合治理工作，落实平安建设措施，推进社会管理创新，营造安定的社会环境；组织构建大调解工作体系，排查化解矛盾隐患，指导、协调、推动政法部门做好涉法涉诉信访工作；研究加强政法队伍建设和领导班子建设的措施，协助党委及其组织部门考察、管理政法部门的领导干部；组织、推动政法部门开展党风廉政建设，协助纪检部门查处违纪违法行为；研究分析涉及政法工作的舆论情况和影响社会稳定的舆情信息，指导、协调</w:t>
      </w:r>
      <w:r>
        <w:rPr>
          <w:rFonts w:ascii="仿宋_GB2312" w:hAnsi="仿宋_GB2312" w:eastAsia="仿宋_GB2312"/>
          <w:sz w:val="32"/>
          <w:szCs w:val="32"/>
        </w:rPr>
        <w:tab/>
      </w:r>
      <w:r>
        <w:rPr>
          <w:rFonts w:hint="eastAsia" w:ascii="仿宋_GB2312" w:hAnsi="仿宋_GB2312" w:eastAsia="仿宋_GB2312" w:cs="仿宋_GB2312"/>
          <w:sz w:val="32"/>
          <w:szCs w:val="32"/>
        </w:rPr>
        <w:t>政法综治维稳宣传和舆论引导工作；及时向党委反映政法工作的重大情况，办理党委和上级党委政法委交办的其他事项。</w:t>
      </w:r>
    </w:p>
    <w:p>
      <w:pPr>
        <w:pStyle w:val="5"/>
        <w:adjustRightInd w:val="0"/>
        <w:snapToGrid w:val="0"/>
        <w:spacing w:beforeLines="0" w:line="576" w:lineRule="exact"/>
        <w:ind w:firstLine="675" w:firstLineChars="210"/>
        <w:rPr>
          <w:rFonts w:ascii="楷体" w:hAnsi="楷体" w:eastAsia="楷体" w:cs="Times New Roman"/>
          <w:b/>
          <w:bCs/>
          <w:sz w:val="32"/>
          <w:szCs w:val="32"/>
        </w:rPr>
      </w:pPr>
      <w:r>
        <w:rPr>
          <w:rFonts w:hint="eastAsia" w:ascii="楷体" w:hAnsi="楷体" w:eastAsia="楷体" w:cs="楷体"/>
          <w:b/>
          <w:bCs/>
          <w:sz w:val="32"/>
          <w:szCs w:val="32"/>
        </w:rPr>
        <w:t>（三）人员概况</w:t>
      </w:r>
    </w:p>
    <w:p>
      <w:pPr>
        <w:pStyle w:val="5"/>
        <w:adjustRightInd w:val="0"/>
        <w:snapToGrid w:val="0"/>
        <w:spacing w:beforeLines="0" w:line="576" w:lineRule="exact"/>
        <w:ind w:firstLine="672" w:firstLineChars="210"/>
        <w:rPr>
          <w:rFonts w:cs="Times New Roman"/>
          <w:color w:val="000000"/>
          <w:sz w:val="32"/>
          <w:szCs w:val="32"/>
        </w:rPr>
      </w:pPr>
      <w:r>
        <w:rPr>
          <w:rFonts w:hint="eastAsia"/>
          <w:color w:val="000000"/>
          <w:sz w:val="32"/>
          <w:szCs w:val="32"/>
        </w:rPr>
        <w:t>政法委下属二级单位</w:t>
      </w:r>
      <w:r>
        <w:rPr>
          <w:color w:val="000000"/>
          <w:sz w:val="32"/>
          <w:szCs w:val="32"/>
        </w:rPr>
        <w:t>0</w:t>
      </w:r>
      <w:r>
        <w:rPr>
          <w:rFonts w:hint="eastAsia"/>
          <w:color w:val="000000"/>
          <w:sz w:val="32"/>
          <w:szCs w:val="32"/>
        </w:rPr>
        <w:t>个，其中行政单位</w:t>
      </w:r>
      <w:r>
        <w:rPr>
          <w:color w:val="000000"/>
          <w:sz w:val="32"/>
          <w:szCs w:val="32"/>
        </w:rPr>
        <w:t>0</w:t>
      </w:r>
      <w:r>
        <w:rPr>
          <w:rFonts w:hint="eastAsia"/>
          <w:color w:val="000000"/>
          <w:sz w:val="32"/>
          <w:szCs w:val="32"/>
        </w:rPr>
        <w:t>个，参照公务员法管理的事业单位</w:t>
      </w:r>
      <w:r>
        <w:rPr>
          <w:color w:val="000000"/>
          <w:sz w:val="32"/>
          <w:szCs w:val="32"/>
        </w:rPr>
        <w:t>0</w:t>
      </w:r>
      <w:r>
        <w:rPr>
          <w:rFonts w:hint="eastAsia"/>
          <w:color w:val="000000"/>
          <w:sz w:val="32"/>
          <w:szCs w:val="32"/>
        </w:rPr>
        <w:t>个，其他事业单位</w:t>
      </w:r>
      <w:r>
        <w:rPr>
          <w:color w:val="000000"/>
          <w:sz w:val="32"/>
          <w:szCs w:val="32"/>
        </w:rPr>
        <w:t>0</w:t>
      </w:r>
      <w:r>
        <w:rPr>
          <w:rFonts w:hint="eastAsia"/>
          <w:color w:val="000000"/>
          <w:sz w:val="32"/>
          <w:szCs w:val="32"/>
        </w:rPr>
        <w:t>个。县委政法委总编制</w:t>
      </w:r>
      <w:r>
        <w:rPr>
          <w:color w:val="000000"/>
          <w:sz w:val="32"/>
          <w:szCs w:val="32"/>
        </w:rPr>
        <w:t>15</w:t>
      </w:r>
      <w:r>
        <w:rPr>
          <w:rFonts w:hint="eastAsia"/>
          <w:color w:val="000000"/>
          <w:sz w:val="32"/>
          <w:szCs w:val="32"/>
        </w:rPr>
        <w:t>名，其中：行政编制</w:t>
      </w:r>
      <w:r>
        <w:rPr>
          <w:color w:val="000000"/>
          <w:sz w:val="32"/>
          <w:szCs w:val="32"/>
        </w:rPr>
        <w:t>11</w:t>
      </w:r>
      <w:r>
        <w:rPr>
          <w:rFonts w:hint="eastAsia"/>
          <w:color w:val="000000"/>
          <w:sz w:val="32"/>
          <w:szCs w:val="32"/>
        </w:rPr>
        <w:t>名，其他事业编制</w:t>
      </w:r>
      <w:r>
        <w:rPr>
          <w:color w:val="000000"/>
          <w:sz w:val="32"/>
          <w:szCs w:val="32"/>
        </w:rPr>
        <w:t>4</w:t>
      </w:r>
      <w:r>
        <w:rPr>
          <w:rFonts w:hint="eastAsia"/>
          <w:color w:val="000000"/>
          <w:sz w:val="32"/>
          <w:szCs w:val="32"/>
        </w:rPr>
        <w:t>名。在职人员总数</w:t>
      </w:r>
      <w:r>
        <w:rPr>
          <w:color w:val="000000"/>
          <w:sz w:val="32"/>
          <w:szCs w:val="32"/>
        </w:rPr>
        <w:t>18</w:t>
      </w:r>
      <w:r>
        <w:rPr>
          <w:rFonts w:hint="eastAsia"/>
          <w:color w:val="000000"/>
          <w:sz w:val="32"/>
          <w:szCs w:val="32"/>
        </w:rPr>
        <w:t>人，其中：行政人员</w:t>
      </w:r>
      <w:r>
        <w:rPr>
          <w:color w:val="000000"/>
          <w:sz w:val="32"/>
          <w:szCs w:val="32"/>
        </w:rPr>
        <w:t>14</w:t>
      </w:r>
      <w:r>
        <w:rPr>
          <w:rFonts w:hint="eastAsia"/>
          <w:color w:val="000000"/>
          <w:sz w:val="32"/>
          <w:szCs w:val="32"/>
        </w:rPr>
        <w:t>人，其他事业人员</w:t>
      </w:r>
      <w:r>
        <w:rPr>
          <w:color w:val="000000"/>
          <w:sz w:val="32"/>
          <w:szCs w:val="32"/>
        </w:rPr>
        <w:t>4</w:t>
      </w:r>
      <w:r>
        <w:rPr>
          <w:rFonts w:hint="eastAsia"/>
          <w:color w:val="000000"/>
          <w:sz w:val="32"/>
          <w:szCs w:val="32"/>
        </w:rPr>
        <w:t>人。退休人员</w:t>
      </w:r>
      <w:r>
        <w:rPr>
          <w:color w:val="000000"/>
          <w:sz w:val="32"/>
          <w:szCs w:val="32"/>
        </w:rPr>
        <w:t>6</w:t>
      </w:r>
      <w:r>
        <w:rPr>
          <w:rFonts w:hint="eastAsia"/>
          <w:color w:val="000000"/>
          <w:sz w:val="32"/>
          <w:szCs w:val="32"/>
        </w:rPr>
        <w:t>人。</w:t>
      </w:r>
    </w:p>
    <w:p>
      <w:pPr>
        <w:pStyle w:val="3"/>
        <w:spacing w:before="0" w:after="0" w:line="576" w:lineRule="exact"/>
        <w:ind w:firstLine="640" w:firstLineChars="200"/>
        <w:rPr>
          <w:rFonts w:ascii="仿宋" w:hAnsi="仿宋" w:eastAsia="仿宋" w:cs="Times New Roman"/>
          <w:b w:val="0"/>
          <w:bCs w:val="0"/>
          <w:color w:val="000000"/>
        </w:rPr>
      </w:pPr>
      <w:r>
        <w:rPr>
          <w:rFonts w:hint="eastAsia" w:ascii="黑体" w:hAnsi="黑体" w:eastAsia="黑体" w:cs="黑体"/>
          <w:b w:val="0"/>
          <w:bCs w:val="0"/>
        </w:rPr>
        <w:t>二、部门财政资金收支情况</w:t>
      </w:r>
    </w:p>
    <w:p>
      <w:pPr>
        <w:spacing w:line="576" w:lineRule="exact"/>
        <w:ind w:firstLine="643" w:firstLineChars="200"/>
        <w:rPr>
          <w:rFonts w:ascii="楷体" w:hAnsi="楷体" w:eastAsia="楷体"/>
          <w:b/>
          <w:bCs/>
          <w:sz w:val="32"/>
          <w:szCs w:val="32"/>
        </w:rPr>
      </w:pPr>
      <w:r>
        <w:rPr>
          <w:rFonts w:hint="eastAsia" w:ascii="楷体" w:hAnsi="楷体" w:eastAsia="楷体" w:cs="楷体"/>
          <w:b/>
          <w:bCs/>
          <w:sz w:val="32"/>
          <w:szCs w:val="32"/>
        </w:rPr>
        <w:t>（一）部门财政资金收入情况</w:t>
      </w:r>
    </w:p>
    <w:p>
      <w:pPr>
        <w:spacing w:line="576" w:lineRule="exact"/>
        <w:ind w:firstLine="640" w:firstLineChars="200"/>
        <w:rPr>
          <w:rFonts w:ascii="仿宋_GB2312" w:eastAsia="仿宋_GB2312"/>
          <w:color w:val="000000"/>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年度公共预算财政拨款收入</w:t>
      </w:r>
      <w:r>
        <w:rPr>
          <w:rFonts w:hint="eastAsia" w:ascii="仿宋_GB2312" w:eastAsia="仿宋_GB2312" w:cs="仿宋_GB2312"/>
          <w:color w:val="000000"/>
          <w:sz w:val="32"/>
          <w:szCs w:val="32"/>
        </w:rPr>
        <w:t>合计</w:t>
      </w:r>
      <w:r>
        <w:rPr>
          <w:rFonts w:ascii="仿宋_GB2312" w:eastAsia="仿宋_GB2312" w:cs="仿宋_GB2312"/>
          <w:color w:val="000000"/>
          <w:sz w:val="32"/>
          <w:szCs w:val="32"/>
        </w:rPr>
        <w:t>371.63</w:t>
      </w:r>
      <w:r>
        <w:rPr>
          <w:rFonts w:hint="eastAsia" w:ascii="仿宋_GB2312" w:eastAsia="仿宋_GB2312" w:cs="仿宋_GB2312"/>
          <w:color w:val="000000"/>
          <w:sz w:val="32"/>
          <w:szCs w:val="32"/>
        </w:rPr>
        <w:t>万元</w:t>
      </w:r>
      <w:r>
        <w:rPr>
          <w:rFonts w:hint="eastAsia" w:ascii="仿宋_GB2312" w:hAnsi="仿宋_GB2312" w:eastAsia="仿宋_GB2312" w:cs="仿宋_GB2312"/>
          <w:color w:val="000000"/>
          <w:sz w:val="32"/>
          <w:szCs w:val="32"/>
        </w:rPr>
        <w:t>，</w:t>
      </w:r>
      <w:r>
        <w:rPr>
          <w:rFonts w:hint="eastAsia" w:ascii="仿宋_GB2312" w:eastAsia="仿宋_GB2312" w:cs="仿宋_GB2312"/>
          <w:color w:val="000000"/>
          <w:sz w:val="32"/>
          <w:szCs w:val="32"/>
        </w:rPr>
        <w:t>其中：财政拨款收入</w:t>
      </w:r>
      <w:r>
        <w:rPr>
          <w:rFonts w:ascii="仿宋_GB2312" w:eastAsia="仿宋_GB2312" w:cs="仿宋_GB2312"/>
          <w:color w:val="000000"/>
          <w:sz w:val="32"/>
          <w:szCs w:val="32"/>
        </w:rPr>
        <w:t>371.63</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；事业收</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万元；经营收入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万元；附属单位上缴收入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万元；其他收入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年政法委本年支出合计</w:t>
      </w:r>
      <w:r>
        <w:rPr>
          <w:rFonts w:ascii="仿宋_GB2312" w:eastAsia="仿宋_GB2312" w:cs="仿宋_GB2312"/>
          <w:color w:val="000000"/>
          <w:sz w:val="32"/>
          <w:szCs w:val="32"/>
        </w:rPr>
        <w:t>379.5</w:t>
      </w:r>
      <w:r>
        <w:rPr>
          <w:rFonts w:hint="eastAsia" w:ascii="仿宋_GB2312" w:eastAsia="仿宋_GB2312" w:cs="仿宋_GB2312"/>
          <w:color w:val="000000"/>
          <w:sz w:val="32"/>
          <w:szCs w:val="32"/>
        </w:rPr>
        <w:t>4万元，其中：基本支出</w:t>
      </w:r>
      <w:r>
        <w:rPr>
          <w:rFonts w:ascii="仿宋_GB2312" w:eastAsia="仿宋_GB2312" w:cs="仿宋_GB2312"/>
          <w:color w:val="000000"/>
          <w:sz w:val="32"/>
          <w:szCs w:val="32"/>
        </w:rPr>
        <w:t>371.63</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98%</w:t>
      </w:r>
      <w:r>
        <w:rPr>
          <w:rFonts w:hint="eastAsia" w:ascii="仿宋_GB2312" w:eastAsia="仿宋_GB2312" w:cs="仿宋_GB2312"/>
          <w:color w:val="000000"/>
          <w:sz w:val="32"/>
          <w:szCs w:val="32"/>
        </w:rPr>
        <w:t>；项目支出</w:t>
      </w:r>
      <w:r>
        <w:rPr>
          <w:rFonts w:ascii="仿宋_GB2312" w:eastAsia="仿宋_GB2312" w:cs="仿宋_GB2312"/>
          <w:color w:val="000000"/>
          <w:sz w:val="32"/>
          <w:szCs w:val="32"/>
        </w:rPr>
        <w:t>7.92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2%</w:t>
      </w:r>
      <w:r>
        <w:rPr>
          <w:rFonts w:hint="eastAsia" w:ascii="仿宋_GB2312" w:eastAsia="仿宋_GB2312" w:cs="仿宋_GB2312"/>
          <w:color w:val="000000"/>
          <w:sz w:val="32"/>
          <w:szCs w:val="32"/>
        </w:rPr>
        <w:t>；上缴上级支出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万元；经营支出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万元；对附属单位补助支出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spacing w:line="576" w:lineRule="exact"/>
        <w:ind w:firstLine="643" w:firstLineChars="200"/>
        <w:rPr>
          <w:rFonts w:ascii="楷体" w:hAnsi="楷体" w:eastAsia="楷体"/>
          <w:b/>
          <w:bCs/>
          <w:sz w:val="32"/>
          <w:szCs w:val="32"/>
        </w:rPr>
      </w:pPr>
      <w:r>
        <w:rPr>
          <w:rFonts w:hint="eastAsia" w:ascii="楷体" w:hAnsi="楷体" w:eastAsia="楷体" w:cs="楷体"/>
          <w:b/>
          <w:bCs/>
          <w:sz w:val="32"/>
          <w:szCs w:val="32"/>
        </w:rPr>
        <w:t>（二）部门财政资金支出情况</w:t>
      </w:r>
    </w:p>
    <w:p>
      <w:pPr>
        <w:spacing w:line="576"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政法委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年一般公共预算财政拨款支出</w:t>
      </w:r>
      <w:r>
        <w:rPr>
          <w:rFonts w:ascii="仿宋_GB2312" w:eastAsia="仿宋_GB2312" w:cs="仿宋_GB2312"/>
          <w:color w:val="000000"/>
          <w:sz w:val="32"/>
          <w:szCs w:val="32"/>
        </w:rPr>
        <w:t>379.5</w:t>
      </w:r>
      <w:r>
        <w:rPr>
          <w:rFonts w:hint="eastAsia" w:ascii="仿宋_GB2312" w:eastAsia="仿宋_GB2312" w:cs="仿宋_GB2312"/>
          <w:color w:val="000000"/>
          <w:sz w:val="32"/>
          <w:szCs w:val="32"/>
        </w:rPr>
        <w:t>4万元，主要用于以下方面</w:t>
      </w:r>
      <w:r>
        <w:rPr>
          <w:rFonts w:ascii="仿宋_GB2312" w:eastAsia="仿宋_GB2312" w:cs="仿宋_GB2312"/>
          <w:color w:val="000000"/>
          <w:sz w:val="32"/>
          <w:szCs w:val="32"/>
        </w:rPr>
        <w:t>:</w:t>
      </w:r>
      <w:r>
        <w:rPr>
          <w:rFonts w:hint="eastAsia" w:ascii="仿宋_GB2312" w:eastAsia="仿宋_GB2312" w:cs="仿宋_GB2312"/>
          <w:color w:val="000000"/>
          <w:sz w:val="32"/>
          <w:szCs w:val="32"/>
        </w:rPr>
        <w:t>公共安全支出</w:t>
      </w:r>
      <w:r>
        <w:rPr>
          <w:rFonts w:ascii="仿宋_GB2312" w:eastAsia="仿宋_GB2312" w:cs="仿宋_GB2312"/>
          <w:color w:val="000000"/>
          <w:sz w:val="32"/>
          <w:szCs w:val="32"/>
        </w:rPr>
        <w:t>303.89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80%</w:t>
      </w:r>
      <w:r>
        <w:rPr>
          <w:rFonts w:hint="eastAsia" w:ascii="仿宋_GB2312" w:eastAsia="仿宋_GB2312" w:cs="仿宋_GB2312"/>
          <w:color w:val="000000"/>
          <w:sz w:val="32"/>
          <w:szCs w:val="32"/>
        </w:rPr>
        <w:t>；教育支出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万元；社会保障和就业支出</w:t>
      </w:r>
      <w:r>
        <w:rPr>
          <w:rFonts w:ascii="仿宋_GB2312" w:eastAsia="仿宋_GB2312" w:cs="仿宋_GB2312"/>
          <w:color w:val="000000"/>
          <w:sz w:val="32"/>
          <w:szCs w:val="32"/>
        </w:rPr>
        <w:t>38.64</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10%</w:t>
      </w:r>
      <w:r>
        <w:rPr>
          <w:rFonts w:hint="eastAsia" w:ascii="仿宋_GB2312" w:eastAsia="仿宋_GB2312" w:cs="仿宋_GB2312"/>
          <w:color w:val="000000"/>
          <w:sz w:val="32"/>
          <w:szCs w:val="32"/>
        </w:rPr>
        <w:t>；医疗卫生支出</w:t>
      </w:r>
      <w:r>
        <w:rPr>
          <w:rFonts w:ascii="仿宋_GB2312" w:eastAsia="仿宋_GB2312" w:cs="仿宋_GB2312"/>
          <w:color w:val="000000"/>
          <w:sz w:val="32"/>
          <w:szCs w:val="32"/>
        </w:rPr>
        <w:t>14.82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4%</w:t>
      </w:r>
      <w:r>
        <w:rPr>
          <w:rFonts w:hint="eastAsia" w:ascii="仿宋_GB2312" w:eastAsia="仿宋_GB2312" w:cs="仿宋_GB2312"/>
          <w:color w:val="000000"/>
          <w:sz w:val="32"/>
          <w:szCs w:val="32"/>
        </w:rPr>
        <w:t>；住房保障支出</w:t>
      </w:r>
      <w:r>
        <w:rPr>
          <w:rFonts w:ascii="仿宋_GB2312" w:eastAsia="仿宋_GB2312" w:cs="仿宋_GB2312"/>
          <w:color w:val="000000"/>
          <w:sz w:val="32"/>
          <w:szCs w:val="32"/>
        </w:rPr>
        <w:t>22.19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6%</w:t>
      </w:r>
      <w:r>
        <w:rPr>
          <w:rFonts w:hint="eastAsia" w:ascii="仿宋_GB2312" w:eastAsia="仿宋_GB2312" w:cs="仿宋_GB2312"/>
          <w:color w:val="000000"/>
          <w:sz w:val="32"/>
          <w:szCs w:val="32"/>
        </w:rPr>
        <w:t>。</w:t>
      </w:r>
    </w:p>
    <w:p>
      <w:pPr>
        <w:snapToGrid w:val="0"/>
        <w:spacing w:line="576" w:lineRule="exact"/>
        <w:ind w:firstLine="640" w:firstLineChars="200"/>
        <w:rPr>
          <w:rFonts w:ascii="仿宋_GB2312" w:hAnsi="仿宋" w:eastAsia="仿宋_GB2312"/>
          <w:sz w:val="32"/>
          <w:szCs w:val="32"/>
        </w:rPr>
      </w:pPr>
      <w:r>
        <w:rPr>
          <w:rFonts w:hint="eastAsia" w:ascii="仿宋_GB2312" w:eastAsia="仿宋_GB2312" w:cs="仿宋_GB2312"/>
          <w:color w:val="000000"/>
          <w:sz w:val="32"/>
          <w:szCs w:val="32"/>
        </w:rPr>
        <w:t>政法委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年一般公共预算财政拨款收入</w:t>
      </w:r>
      <w:r>
        <w:rPr>
          <w:rFonts w:ascii="仿宋_GB2312" w:eastAsia="仿宋_GB2312" w:cs="仿宋_GB2312"/>
          <w:color w:val="000000"/>
          <w:sz w:val="32"/>
          <w:szCs w:val="32"/>
        </w:rPr>
        <w:t>371.63</w:t>
      </w:r>
      <w:r>
        <w:rPr>
          <w:rFonts w:hint="eastAsia" w:ascii="仿宋_GB2312" w:eastAsia="仿宋_GB2312" w:cs="仿宋_GB2312"/>
          <w:color w:val="000000"/>
          <w:sz w:val="32"/>
          <w:szCs w:val="32"/>
        </w:rPr>
        <w:t>万元，比上年增加</w:t>
      </w:r>
      <w:r>
        <w:rPr>
          <w:rFonts w:ascii="仿宋_GB2312" w:eastAsia="仿宋_GB2312" w:cs="仿宋_GB2312"/>
          <w:color w:val="000000"/>
          <w:sz w:val="32"/>
          <w:szCs w:val="32"/>
        </w:rPr>
        <w:t>46.53%</w:t>
      </w:r>
      <w:r>
        <w:rPr>
          <w:rFonts w:hint="eastAsia" w:ascii="仿宋_GB2312" w:eastAsia="仿宋_GB2312" w:cs="仿宋_GB2312"/>
          <w:color w:val="000000"/>
          <w:sz w:val="32"/>
          <w:szCs w:val="32"/>
        </w:rPr>
        <w:t>；</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年本年支出</w:t>
      </w:r>
      <w:r>
        <w:rPr>
          <w:rFonts w:ascii="仿宋_GB2312" w:eastAsia="仿宋_GB2312" w:cs="仿宋_GB2312"/>
          <w:color w:val="000000"/>
          <w:sz w:val="32"/>
          <w:szCs w:val="32"/>
        </w:rPr>
        <w:t>379.5</w:t>
      </w:r>
      <w:r>
        <w:rPr>
          <w:rFonts w:hint="eastAsia" w:ascii="仿宋_GB2312" w:eastAsia="仿宋_GB2312" w:cs="仿宋_GB2312"/>
          <w:color w:val="000000"/>
          <w:sz w:val="32"/>
          <w:szCs w:val="32"/>
        </w:rPr>
        <w:t>4万元，比上年增加</w:t>
      </w:r>
      <w:r>
        <w:rPr>
          <w:rFonts w:ascii="仿宋_GB2312" w:eastAsia="仿宋_GB2312" w:cs="仿宋_GB2312"/>
          <w:color w:val="000000"/>
          <w:sz w:val="32"/>
          <w:szCs w:val="32"/>
        </w:rPr>
        <w:t>41.78%</w:t>
      </w:r>
      <w:r>
        <w:rPr>
          <w:rFonts w:hint="eastAsia" w:ascii="仿宋_GB2312" w:eastAsia="仿宋_GB2312" w:cs="仿宋_GB2312"/>
          <w:color w:val="000000"/>
          <w:sz w:val="32"/>
          <w:szCs w:val="32"/>
        </w:rPr>
        <w:t>。其中：</w:t>
      </w:r>
      <w:r>
        <w:rPr>
          <w:rFonts w:hint="eastAsia" w:ascii="仿宋_GB2312" w:hAnsi="仿宋" w:eastAsia="仿宋_GB2312" w:cs="仿宋_GB2312"/>
          <w:sz w:val="32"/>
          <w:szCs w:val="32"/>
        </w:rPr>
        <w:t>基本支出</w:t>
      </w:r>
      <w:r>
        <w:rPr>
          <w:rFonts w:ascii="仿宋_GB2312" w:hAnsi="仿宋" w:eastAsia="仿宋_GB2312" w:cs="仿宋_GB2312"/>
          <w:sz w:val="32"/>
          <w:szCs w:val="32"/>
        </w:rPr>
        <w:t>371.63</w:t>
      </w:r>
      <w:r>
        <w:rPr>
          <w:rFonts w:hint="eastAsia" w:ascii="仿宋_GB2312" w:hAnsi="仿宋" w:eastAsia="仿宋_GB2312" w:cs="仿宋_GB2312"/>
          <w:sz w:val="32"/>
          <w:szCs w:val="32"/>
        </w:rPr>
        <w:t>万元（人员经费</w:t>
      </w:r>
      <w:r>
        <w:rPr>
          <w:rFonts w:ascii="仿宋_GB2312" w:hAnsi="仿宋" w:eastAsia="仿宋_GB2312" w:cs="仿宋_GB2312"/>
          <w:sz w:val="32"/>
          <w:szCs w:val="32"/>
        </w:rPr>
        <w:t>331.08</w:t>
      </w:r>
      <w:r>
        <w:rPr>
          <w:rFonts w:hint="eastAsia" w:ascii="仿宋_GB2312" w:hAnsi="仿宋" w:eastAsia="仿宋_GB2312" w:cs="仿宋_GB2312"/>
          <w:sz w:val="32"/>
          <w:szCs w:val="32"/>
        </w:rPr>
        <w:t>万元，日常公用经费</w:t>
      </w:r>
      <w:r>
        <w:rPr>
          <w:rFonts w:ascii="仿宋_GB2312" w:hAnsi="仿宋" w:eastAsia="仿宋_GB2312" w:cs="仿宋_GB2312"/>
          <w:sz w:val="32"/>
          <w:szCs w:val="32"/>
        </w:rPr>
        <w:t>40.54</w:t>
      </w:r>
      <w:r>
        <w:rPr>
          <w:rFonts w:hint="eastAsia" w:ascii="仿宋_GB2312" w:hAnsi="仿宋" w:eastAsia="仿宋_GB2312" w:cs="仿宋_GB2312"/>
          <w:sz w:val="32"/>
          <w:szCs w:val="32"/>
        </w:rPr>
        <w:t>万元），项目支出</w:t>
      </w:r>
      <w:r>
        <w:rPr>
          <w:rFonts w:ascii="仿宋_GB2312" w:hAnsi="仿宋" w:eastAsia="仿宋_GB2312" w:cs="仿宋_GB2312"/>
          <w:sz w:val="32"/>
          <w:szCs w:val="32"/>
        </w:rPr>
        <w:t>7.91</w:t>
      </w:r>
      <w:r>
        <w:rPr>
          <w:rFonts w:hint="eastAsia" w:ascii="仿宋_GB2312" w:hAnsi="仿宋" w:eastAsia="仿宋_GB2312" w:cs="仿宋_GB2312"/>
          <w:sz w:val="32"/>
          <w:szCs w:val="32"/>
        </w:rPr>
        <w:t>万元。</w:t>
      </w:r>
    </w:p>
    <w:p>
      <w:pPr>
        <w:snapToGrid w:val="0"/>
        <w:spacing w:line="576" w:lineRule="exact"/>
        <w:ind w:firstLine="640" w:firstLineChars="200"/>
        <w:rPr>
          <w:rFonts w:ascii="黑体" w:hAnsi="黑体" w:eastAsia="黑体"/>
          <w:sz w:val="32"/>
          <w:szCs w:val="32"/>
        </w:rPr>
      </w:pPr>
      <w:r>
        <w:rPr>
          <w:rFonts w:hint="eastAsia" w:ascii="黑体" w:hAnsi="黑体" w:eastAsia="黑体" w:cs="黑体"/>
          <w:sz w:val="32"/>
          <w:szCs w:val="32"/>
        </w:rPr>
        <w:t>三、部门整体预算绩效管理情况</w:t>
      </w:r>
    </w:p>
    <w:p>
      <w:pPr>
        <w:snapToGrid w:val="0"/>
        <w:spacing w:line="576" w:lineRule="exact"/>
        <w:ind w:firstLine="643" w:firstLineChars="200"/>
        <w:rPr>
          <w:rFonts w:ascii="楷体" w:hAnsi="楷体" w:eastAsia="楷体"/>
          <w:b/>
          <w:bCs/>
          <w:sz w:val="32"/>
          <w:szCs w:val="32"/>
        </w:rPr>
      </w:pPr>
      <w:r>
        <w:rPr>
          <w:rFonts w:hint="eastAsia" w:ascii="楷体" w:hAnsi="楷体" w:eastAsia="楷体" w:cs="楷体"/>
          <w:b/>
          <w:bCs/>
          <w:sz w:val="32"/>
          <w:szCs w:val="32"/>
        </w:rPr>
        <w:t>（一）部门预算管理</w:t>
      </w:r>
    </w:p>
    <w:p>
      <w:pPr>
        <w:snapToGrid w:val="0"/>
        <w:spacing w:line="576" w:lineRule="exact"/>
        <w:ind w:firstLine="640" w:firstLineChars="200"/>
        <w:rPr>
          <w:rFonts w:ascii="仿宋_GB2312" w:hAnsi="仿宋" w:eastAsia="仿宋_GB2312"/>
          <w:b/>
          <w:bCs/>
          <w:sz w:val="32"/>
          <w:szCs w:val="32"/>
        </w:rPr>
      </w:pPr>
      <w:r>
        <w:rPr>
          <w:rFonts w:hint="eastAsia" w:ascii="仿宋_GB2312" w:hAnsi="仿宋_GB2312" w:eastAsia="仿宋_GB2312" w:cs="仿宋_GB2312"/>
          <w:kern w:val="0"/>
          <w:sz w:val="32"/>
          <w:szCs w:val="32"/>
        </w:rPr>
        <w:t>根据茂县财政局《关于开展的通知》文件精神，政法委严格按照预算编制的基本要求和时间节点认真编制</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部门预算。在预算编制中进一步夯实预算编制基础，及时更新相关基础数据，强化非税收入管理和政府采购预算编制工作，严格控制“三公”经费、会议费和培训费预算，预算编制做到了及时、完整、准确、合理、高效。</w:t>
      </w:r>
      <w:r>
        <w:rPr>
          <w:rFonts w:ascii="仿宋_GB2312" w:hAnsi="仿宋_GB2312" w:eastAsia="仿宋_GB2312"/>
          <w:kern w:val="0"/>
          <w:sz w:val="32"/>
          <w:szCs w:val="32"/>
        </w:rPr>
        <w:br w:type="textWrapping"/>
      </w:r>
      <w:r>
        <w:rPr>
          <w:rFonts w:ascii="楷体" w:hAnsi="楷体" w:eastAsia="楷体" w:cs="楷体"/>
          <w:b/>
          <w:bCs/>
          <w:sz w:val="32"/>
          <w:szCs w:val="32"/>
        </w:rPr>
        <w:t xml:space="preserve"> </w:t>
      </w:r>
      <w:r>
        <w:rPr>
          <w:rFonts w:hint="eastAsia" w:ascii="楷体" w:hAnsi="楷体" w:eastAsia="楷体" w:cs="楷体"/>
          <w:b/>
          <w:bCs/>
          <w:sz w:val="32"/>
          <w:szCs w:val="32"/>
        </w:rPr>
        <w:t>（二）专项预算管理</w:t>
      </w:r>
    </w:p>
    <w:p>
      <w:pPr>
        <w:snapToGrid w:val="0"/>
        <w:spacing w:line="576"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我委十分重视预算执行管理工作，加强省级财政支出预算执行管理，努力提高财政资金使用绩效。一是强化预算刚性约束，严格按照批复的部门支出预算执行，没有随意改变专项资金规定用途和自行扩大支出范围和提高支出标准的行为。严格预算调整程序，所属单位确因特殊原因需要调整预算的，严格按照调整事项所涉及的管理权限履行相关报批和备案手续。二是狠抓预算执行进度管理，在</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月之前提前统计分析各单位预算执行进度情况，并召开专题会议会商各单位预算执行中存在的困难和问题，确保预算执行达到相关进度要求。三是严格控制“三公”经费、会议费和培训费支出，认真落实厉行节约相关规定。</w:t>
      </w:r>
    </w:p>
    <w:p>
      <w:pPr>
        <w:spacing w:line="576" w:lineRule="exact"/>
        <w:ind w:firstLine="643" w:firstLineChars="200"/>
        <w:rPr>
          <w:rFonts w:ascii="楷体" w:hAnsi="楷体" w:eastAsia="楷体"/>
          <w:b/>
          <w:bCs/>
          <w:sz w:val="32"/>
          <w:szCs w:val="32"/>
        </w:rPr>
      </w:pPr>
      <w:r>
        <w:rPr>
          <w:rFonts w:hint="eastAsia" w:ascii="楷体" w:hAnsi="楷体" w:eastAsia="楷体" w:cs="楷体"/>
          <w:b/>
          <w:bCs/>
          <w:sz w:val="32"/>
          <w:szCs w:val="32"/>
        </w:rPr>
        <w:t>（三）结果应用情况</w:t>
      </w:r>
    </w:p>
    <w:p>
      <w:pPr>
        <w:spacing w:line="576" w:lineRule="exact"/>
        <w:ind w:firstLine="640" w:firstLineChars="200"/>
        <w:rPr>
          <w:rFonts w:ascii="仿宋_GB2312" w:hAnsi="仿宋" w:eastAsia="仿宋_GB2312"/>
          <w:b/>
          <w:bCs/>
          <w:kern w:val="0"/>
          <w:sz w:val="32"/>
          <w:szCs w:val="32"/>
        </w:rPr>
      </w:pPr>
      <w:r>
        <w:rPr>
          <w:rFonts w:hint="eastAsia" w:ascii="仿宋_GB2312" w:hAnsi="仿宋_GB2312" w:eastAsia="仿宋_GB2312" w:cs="仿宋_GB2312"/>
          <w:kern w:val="0"/>
          <w:sz w:val="32"/>
          <w:szCs w:val="32"/>
        </w:rPr>
        <w:t>总体来看，基本支出和运转类专项保障了机关正常运转，确保了政法委履行职能职责。从实际支出的决算数据看，政法委机关认真执行厉行节约相关规章制度，严格控制和压缩“三公经费”和会议费支出。</w:t>
      </w:r>
      <w:r>
        <w:rPr>
          <w:rFonts w:hint="eastAsia" w:ascii="仿宋_GB2312" w:hAnsi="仿宋_GB2312" w:eastAsia="仿宋_GB2312" w:cs="仿宋_GB2312"/>
          <w:sz w:val="32"/>
          <w:szCs w:val="32"/>
        </w:rPr>
        <w:t>我委认真按照中央“八项规定和六项禁令</w:t>
      </w:r>
      <w:r>
        <w:rPr>
          <w:rFonts w:hint="eastAsia" w:ascii="仿宋_GB2312" w:hAnsi="仿宋" w:eastAsia="仿宋_GB2312" w:cs="仿宋_GB2312"/>
          <w:sz w:val="32"/>
          <w:szCs w:val="32"/>
        </w:rPr>
        <w:t>”、省委省政府“十项规定”和州委州政府“八条意见”及县委有关规定开展工作，改进工作作风，严肃财经纪律，维护了财经秩序。</w:t>
      </w:r>
      <w:r>
        <w:rPr>
          <w:rFonts w:hint="eastAsia" w:ascii="仿宋_GB2312" w:hAnsi="仿宋_GB2312" w:eastAsia="仿宋_GB2312" w:cs="仿宋_GB2312"/>
          <w:kern w:val="0"/>
          <w:sz w:val="32"/>
          <w:szCs w:val="32"/>
        </w:rPr>
        <w:t>根据文件精神，我委及时将此项工作进行部署和安排，按照</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部门整体支出绩效评价指标体系结合年初预算设定的绩效目标完成情况进行自评打分，自评情况和年初绩效目标完成情况进行了汇总，最后我委自评得分</w:t>
      </w:r>
      <w:r>
        <w:rPr>
          <w:rFonts w:ascii="仿宋_GB2312" w:hAnsi="仿宋_GB2312" w:eastAsia="仿宋_GB2312" w:cs="仿宋_GB2312"/>
          <w:kern w:val="0"/>
          <w:sz w:val="32"/>
          <w:szCs w:val="32"/>
        </w:rPr>
        <w:t>98</w:t>
      </w:r>
      <w:r>
        <w:rPr>
          <w:rFonts w:hint="eastAsia" w:ascii="仿宋_GB2312" w:hAnsi="仿宋_GB2312" w:eastAsia="仿宋_GB2312" w:cs="仿宋_GB2312"/>
          <w:kern w:val="0"/>
          <w:sz w:val="32"/>
          <w:szCs w:val="32"/>
        </w:rPr>
        <w:t>分。</w:t>
      </w:r>
    </w:p>
    <w:p>
      <w:pPr>
        <w:pStyle w:val="3"/>
        <w:spacing w:before="0" w:after="0" w:line="576" w:lineRule="exact"/>
        <w:ind w:firstLine="640" w:firstLineChars="200"/>
        <w:rPr>
          <w:rFonts w:ascii="黑体" w:hAnsi="黑体" w:eastAsia="黑体" w:cs="Times New Roman"/>
          <w:b w:val="0"/>
          <w:bCs w:val="0"/>
        </w:rPr>
      </w:pPr>
      <w:r>
        <w:rPr>
          <w:rFonts w:hint="eastAsia" w:ascii="黑体" w:hAnsi="黑体" w:eastAsia="黑体" w:cs="黑体"/>
          <w:b w:val="0"/>
          <w:bCs w:val="0"/>
        </w:rPr>
        <w:t>四、评价结论及建议</w:t>
      </w:r>
    </w:p>
    <w:p>
      <w:pPr>
        <w:autoSpaceDE w:val="0"/>
        <w:spacing w:line="576" w:lineRule="exact"/>
        <w:ind w:firstLine="643" w:firstLineChars="200"/>
        <w:rPr>
          <w:rFonts w:ascii="仿宋_GB2312" w:hAnsi="仿宋_GB2312" w:eastAsia="仿宋_GB2312"/>
          <w:kern w:val="0"/>
          <w:sz w:val="32"/>
          <w:szCs w:val="32"/>
        </w:rPr>
      </w:pPr>
      <w:r>
        <w:rPr>
          <w:rFonts w:hint="eastAsia" w:ascii="楷体" w:hAnsi="楷体" w:eastAsia="楷体" w:cs="楷体"/>
          <w:b/>
          <w:bCs/>
          <w:sz w:val="32"/>
          <w:szCs w:val="32"/>
        </w:rPr>
        <w:t>（一）评价结论</w:t>
      </w:r>
      <w:r>
        <w:rPr>
          <w:rFonts w:ascii="仿宋_GB2312" w:hAnsi="楷体" w:eastAsia="仿宋_GB2312"/>
          <w:b/>
          <w:bCs/>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_GB2312" w:eastAsia="仿宋_GB2312" w:cs="仿宋_GB2312"/>
          <w:kern w:val="0"/>
          <w:sz w:val="32"/>
          <w:szCs w:val="32"/>
        </w:rPr>
        <w:t>　从自评情况来看，政法委机关支出绩效水平较高，整体上完成了年初设定的绩效目标，保障了单位的正常运转，降低了行政运行成本，促进了社会和谐稳定，充分发挥了财政资金的经济效益、社会效益。</w:t>
      </w:r>
      <w:r>
        <w:rPr>
          <w:rFonts w:ascii="仿宋_GB2312" w:hAnsi="仿宋_GB2312" w:eastAsia="仿宋_GB2312"/>
          <w:kern w:val="0"/>
          <w:sz w:val="32"/>
          <w:szCs w:val="32"/>
        </w:rPr>
        <w:br w:type="textWrapping"/>
      </w:r>
      <w:r>
        <w:rPr>
          <w:rFonts w:hint="eastAsia" w:ascii="仿宋_GB2312" w:hAnsi="仿宋" w:eastAsia="仿宋_GB2312" w:cs="仿宋_GB2312"/>
          <w:kern w:val="0"/>
          <w:sz w:val="32"/>
          <w:szCs w:val="32"/>
        </w:rPr>
        <w:t>　　</w:t>
      </w:r>
      <w:r>
        <w:rPr>
          <w:rFonts w:hint="eastAsia" w:ascii="楷体" w:hAnsi="楷体" w:eastAsia="楷体" w:cs="楷体"/>
          <w:b/>
          <w:bCs/>
          <w:sz w:val="32"/>
          <w:szCs w:val="32"/>
        </w:rPr>
        <w:t>（二）存在问题</w:t>
      </w:r>
      <w:r>
        <w:rPr>
          <w:rFonts w:ascii="仿宋_GB2312" w:hAnsi="仿宋" w:eastAsia="仿宋_GB2312"/>
          <w:b/>
          <w:bCs/>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_GB2312" w:eastAsia="仿宋_GB2312" w:cs="仿宋_GB2312"/>
          <w:kern w:val="0"/>
          <w:sz w:val="32"/>
          <w:szCs w:val="32"/>
        </w:rPr>
        <w:t>　从绩效评价看，部门支出预算和绩效评价工作还存在一些具体问题，一是水电节约不好落实的问题，综合大楼单位多，各单位办公场所交叉，水电节约的问题难以落到实处。二是单位对部门支出绩效评价工作的认识理解不够，年初预设的绩效指标不合适、指标较粗；二是公共管理无法用量化指标来进行考评；三是单位在预算编制时经济科目使用不当，造成预算执行时存在跨科目执行的情况。</w:t>
      </w:r>
      <w:r>
        <w:rPr>
          <w:rFonts w:ascii="仿宋_GB2312" w:hAnsi="仿宋_GB2312" w:eastAsia="仿宋_GB2312"/>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 w:eastAsia="仿宋_GB2312" w:cs="仿宋_GB2312"/>
          <w:b/>
          <w:bCs/>
          <w:kern w:val="0"/>
          <w:sz w:val="32"/>
          <w:szCs w:val="32"/>
        </w:rPr>
        <w:t>　</w:t>
      </w:r>
      <w:r>
        <w:rPr>
          <w:rFonts w:hint="eastAsia" w:ascii="楷体" w:hAnsi="楷体" w:eastAsia="楷体" w:cs="楷体"/>
          <w:b/>
          <w:bCs/>
          <w:sz w:val="32"/>
          <w:szCs w:val="32"/>
        </w:rPr>
        <w:t>（三）改进建议</w:t>
      </w:r>
      <w:r>
        <w:rPr>
          <w:rFonts w:ascii="仿宋_GB2312" w:hAnsi="仿宋" w:eastAsia="仿宋_GB2312"/>
          <w:b/>
          <w:bCs/>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_GB2312" w:eastAsia="仿宋_GB2312" w:cs="仿宋_GB2312"/>
          <w:kern w:val="0"/>
          <w:sz w:val="32"/>
          <w:szCs w:val="32"/>
        </w:rPr>
        <w:t>绩效评价是深入贯彻落实新《预算法》要求的各项重要内容，建议财政加强对绩效评价工作的培训和指导，进一步优化绩效考核指标体系，做到合理性与可操作性的有机统一。</w:t>
      </w:r>
    </w:p>
    <w:p>
      <w:pPr>
        <w:autoSpaceDE w:val="0"/>
        <w:spacing w:line="576" w:lineRule="exact"/>
        <w:ind w:firstLine="640" w:firstLineChars="200"/>
        <w:rPr>
          <w:rFonts w:ascii="仿宋_GB2312" w:hAnsi="仿宋_GB2312" w:eastAsia="仿宋_GB2312"/>
          <w:kern w:val="0"/>
          <w:sz w:val="32"/>
          <w:szCs w:val="32"/>
        </w:rPr>
      </w:pPr>
    </w:p>
    <w:p>
      <w:pPr>
        <w:autoSpaceDE w:val="0"/>
        <w:spacing w:line="576" w:lineRule="exact"/>
        <w:ind w:firstLine="640" w:firstLineChars="200"/>
        <w:rPr>
          <w:rFonts w:ascii="仿宋_GB2312" w:hAnsi="仿宋_GB2312" w:eastAsia="仿宋_GB2312"/>
          <w:kern w:val="0"/>
          <w:sz w:val="32"/>
          <w:szCs w:val="32"/>
        </w:rPr>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pPr>
      <w:r>
        <w:rPr>
          <w:rFonts w:hint="eastAsia" w:ascii="仿宋_GB2312" w:hAnsi="仿宋_GB2312" w:eastAsia="仿宋_GB2312" w:cs="仿宋_GB2312"/>
          <w:kern w:val="0"/>
          <w:sz w:val="32"/>
          <w:szCs w:val="32"/>
        </w:rPr>
        <w:t>附件：</w:t>
      </w:r>
      <w:r>
        <w:rPr>
          <w:rFonts w:ascii="仿宋_GB2312" w:hAnsi="宋体" w:eastAsia="仿宋_GB2312" w:cs="仿宋_GB2312"/>
          <w:color w:val="000000"/>
          <w:sz w:val="32"/>
          <w:szCs w:val="32"/>
          <w:shd w:val="clear" w:color="auto" w:fill="FFFFFF"/>
        </w:rPr>
        <w:t>2018</w:t>
      </w:r>
      <w:r>
        <w:rPr>
          <w:rFonts w:hint="eastAsia" w:ascii="仿宋_GB2312" w:hAnsi="宋体" w:eastAsia="仿宋_GB2312" w:cs="仿宋_GB2312"/>
          <w:color w:val="000000"/>
          <w:sz w:val="32"/>
          <w:szCs w:val="32"/>
          <w:shd w:val="clear" w:color="auto" w:fill="FFFFFF"/>
        </w:rPr>
        <w:t>年县级部门整体支出绩效评价指标体系</w:t>
      </w:r>
    </w:p>
    <w:p>
      <w:pPr>
        <w:autoSpaceDE w:val="0"/>
        <w:spacing w:after="220" w:line="576" w:lineRule="exact"/>
        <w:rPr>
          <w:rFonts w:ascii="仿宋_GB2312" w:hAnsi="仿宋_GB2312" w:eastAsia="仿宋_GB2312"/>
          <w:kern w:val="0"/>
          <w:sz w:val="32"/>
          <w:szCs w:val="32"/>
        </w:rPr>
      </w:pPr>
      <w:r>
        <w:rPr>
          <w:rFonts w:hint="eastAsia" w:ascii="仿宋_GB2312" w:hAnsi="仿宋_GB2312" w:eastAsia="仿宋_GB2312" w:cs="仿宋_GB2312"/>
          <w:kern w:val="0"/>
          <w:sz w:val="32"/>
          <w:szCs w:val="32"/>
        </w:rPr>
        <w:t>附件：</w:t>
      </w:r>
    </w:p>
    <w:p>
      <w:pPr>
        <w:spacing w:line="576" w:lineRule="exact"/>
        <w:jc w:val="center"/>
        <w:rPr>
          <w:rFonts w:ascii="仿宋_GB2312" w:hAnsi="仿宋_GB2312" w:eastAsia="仿宋_GB2312"/>
          <w:kern w:val="0"/>
          <w:sz w:val="32"/>
          <w:szCs w:val="32"/>
        </w:rPr>
      </w:pPr>
      <w:r>
        <w:rPr>
          <w:rFonts w:ascii="仿宋_GB2312" w:hAnsi="仿宋_GB2312" w:eastAsia="仿宋_GB2312" w:cs="仿宋_GB2312"/>
          <w:b/>
          <w:bCs/>
          <w:color w:val="000000"/>
          <w:sz w:val="32"/>
          <w:szCs w:val="32"/>
        </w:rPr>
        <w:t>2018</w:t>
      </w:r>
      <w:r>
        <w:rPr>
          <w:rFonts w:hint="eastAsia" w:ascii="仿宋_GB2312" w:hAnsi="仿宋_GB2312" w:eastAsia="仿宋_GB2312" w:cs="仿宋_GB2312"/>
          <w:b/>
          <w:bCs/>
          <w:color w:val="000000"/>
          <w:sz w:val="32"/>
          <w:szCs w:val="32"/>
        </w:rPr>
        <w:t>年县级部门整体支出绩效评价指标体系</w:t>
      </w:r>
    </w:p>
    <w:tbl>
      <w:tblPr>
        <w:tblStyle w:val="12"/>
        <w:tblW w:w="13988" w:type="dxa"/>
        <w:tblInd w:w="2" w:type="dxa"/>
        <w:tblLayout w:type="fixed"/>
        <w:tblCellMar>
          <w:top w:w="0" w:type="dxa"/>
          <w:left w:w="0" w:type="dxa"/>
          <w:bottom w:w="0" w:type="dxa"/>
          <w:right w:w="0" w:type="dxa"/>
        </w:tblCellMar>
      </w:tblPr>
      <w:tblGrid>
        <w:gridCol w:w="919"/>
        <w:gridCol w:w="1268"/>
        <w:gridCol w:w="1636"/>
        <w:gridCol w:w="3396"/>
        <w:gridCol w:w="695"/>
        <w:gridCol w:w="941"/>
        <w:gridCol w:w="5133"/>
      </w:tblGrid>
      <w:tr>
        <w:tblPrEx>
          <w:tblCellMar>
            <w:top w:w="0" w:type="dxa"/>
            <w:left w:w="0" w:type="dxa"/>
            <w:bottom w:w="0" w:type="dxa"/>
            <w:right w:w="0" w:type="dxa"/>
          </w:tblCellMar>
        </w:tblPrEx>
        <w:trPr>
          <w:trHeight w:val="420" w:hRule="atLeast"/>
        </w:trPr>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20"/>
                <w:szCs w:val="20"/>
              </w:rPr>
            </w:pPr>
            <w:r>
              <w:rPr>
                <w:rFonts w:hint="eastAsia" w:ascii="宋体" w:hAnsi="宋体" w:cs="宋体"/>
                <w:b/>
                <w:bCs/>
                <w:color w:val="000000"/>
                <w:kern w:val="0"/>
                <w:sz w:val="20"/>
                <w:szCs w:val="20"/>
              </w:rPr>
              <w:t>一级指标</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20"/>
                <w:szCs w:val="20"/>
              </w:rPr>
            </w:pPr>
            <w:r>
              <w:rPr>
                <w:rFonts w:hint="eastAsia" w:ascii="宋体" w:hAnsi="宋体" w:cs="宋体"/>
                <w:b/>
                <w:bCs/>
                <w:color w:val="000000"/>
                <w:kern w:val="0"/>
                <w:sz w:val="20"/>
                <w:szCs w:val="20"/>
              </w:rPr>
              <w:t>二级指标</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20"/>
                <w:szCs w:val="20"/>
              </w:rPr>
            </w:pPr>
            <w:r>
              <w:rPr>
                <w:rFonts w:hint="eastAsia" w:ascii="宋体" w:hAnsi="宋体" w:cs="宋体"/>
                <w:b/>
                <w:bCs/>
                <w:color w:val="000000"/>
                <w:kern w:val="0"/>
                <w:sz w:val="20"/>
                <w:szCs w:val="20"/>
              </w:rPr>
              <w:t>三级指标</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20"/>
                <w:szCs w:val="20"/>
              </w:rPr>
            </w:pPr>
            <w:r>
              <w:rPr>
                <w:rFonts w:hint="eastAsia" w:ascii="宋体" w:hAnsi="宋体" w:cs="宋体"/>
                <w:b/>
                <w:bCs/>
                <w:color w:val="000000"/>
                <w:kern w:val="0"/>
                <w:sz w:val="20"/>
                <w:szCs w:val="20"/>
              </w:rPr>
              <w:t>指标解释</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bCs/>
                <w:color w:val="000000"/>
                <w:sz w:val="20"/>
                <w:szCs w:val="20"/>
              </w:rPr>
            </w:pPr>
            <w:r>
              <w:rPr>
                <w:rFonts w:hint="eastAsia" w:ascii="宋体" w:hAnsi="宋体" w:cs="宋体"/>
                <w:b/>
                <w:bCs/>
                <w:color w:val="000000"/>
                <w:kern w:val="0"/>
                <w:sz w:val="20"/>
                <w:szCs w:val="20"/>
              </w:rPr>
              <w:t>扣分</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bCs/>
                <w:color w:val="000000"/>
                <w:sz w:val="20"/>
                <w:szCs w:val="20"/>
              </w:rPr>
            </w:pPr>
            <w:r>
              <w:rPr>
                <w:rFonts w:hint="eastAsia" w:ascii="宋体" w:hAnsi="宋体" w:cs="宋体"/>
                <w:b/>
                <w:bCs/>
                <w:color w:val="000000"/>
                <w:kern w:val="0"/>
                <w:sz w:val="20"/>
                <w:szCs w:val="20"/>
              </w:rPr>
              <w:t>扣分理由</w:t>
            </w: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bCs/>
                <w:color w:val="000000"/>
                <w:sz w:val="20"/>
                <w:szCs w:val="20"/>
              </w:rPr>
            </w:pPr>
            <w:r>
              <w:rPr>
                <w:rFonts w:hint="eastAsia" w:ascii="宋体" w:hAnsi="宋体" w:cs="宋体"/>
                <w:b/>
                <w:bCs/>
                <w:color w:val="000000"/>
                <w:kern w:val="0"/>
                <w:sz w:val="20"/>
                <w:szCs w:val="20"/>
              </w:rPr>
              <w:t>计分标准（备注）</w:t>
            </w:r>
          </w:p>
        </w:tc>
      </w:tr>
      <w:tr>
        <w:tblPrEx>
          <w:tblCellMar>
            <w:top w:w="0" w:type="dxa"/>
            <w:left w:w="0" w:type="dxa"/>
            <w:bottom w:w="0" w:type="dxa"/>
            <w:right w:w="0" w:type="dxa"/>
          </w:tblCellMar>
        </w:tblPrEx>
        <w:trPr>
          <w:trHeight w:val="700" w:hRule="atLeast"/>
        </w:trPr>
        <w:tc>
          <w:tcPr>
            <w:tcW w:w="91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预算编制</w:t>
            </w:r>
            <w:r>
              <w:rPr>
                <w:rFonts w:ascii="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报送时效</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基础信息更新</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部门是否按照县级部门预算编制通知和有关要求，按时完成基础库、项目库报送工作</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超过规定</w:t>
            </w:r>
            <w:r>
              <w:rPr>
                <w:rFonts w:ascii="宋体" w:hAnsi="宋体" w:cs="宋体"/>
                <w:color w:val="000000"/>
                <w:kern w:val="0"/>
                <w:sz w:val="20"/>
                <w:szCs w:val="20"/>
              </w:rPr>
              <w:t>5</w:t>
            </w:r>
            <w:r>
              <w:rPr>
                <w:rFonts w:hint="eastAsia" w:ascii="宋体" w:hAnsi="宋体" w:cs="宋体"/>
                <w:color w:val="000000"/>
                <w:kern w:val="0"/>
                <w:sz w:val="20"/>
                <w:szCs w:val="20"/>
              </w:rPr>
              <w:t>个工作日扣</w:t>
            </w:r>
            <w:r>
              <w:rPr>
                <w:rFonts w:ascii="宋体" w:hAnsi="宋体" w:cs="宋体"/>
                <w:color w:val="000000"/>
                <w:kern w:val="0"/>
                <w:sz w:val="20"/>
                <w:szCs w:val="20"/>
              </w:rPr>
              <w:t>0.5</w:t>
            </w:r>
            <w:r>
              <w:rPr>
                <w:rFonts w:hint="eastAsia" w:ascii="宋体" w:hAnsi="宋体" w:cs="宋体"/>
                <w:color w:val="000000"/>
                <w:kern w:val="0"/>
                <w:sz w:val="20"/>
                <w:szCs w:val="20"/>
              </w:rPr>
              <w:t>分，</w:t>
            </w:r>
            <w:r>
              <w:rPr>
                <w:rFonts w:ascii="宋体" w:hAnsi="宋体" w:cs="宋体"/>
                <w:color w:val="000000"/>
                <w:kern w:val="0"/>
                <w:sz w:val="20"/>
                <w:szCs w:val="20"/>
              </w:rPr>
              <w:t>10</w:t>
            </w:r>
            <w:r>
              <w:rPr>
                <w:rFonts w:hint="eastAsia" w:ascii="宋体" w:hAnsi="宋体" w:cs="宋体"/>
                <w:color w:val="000000"/>
                <w:kern w:val="0"/>
                <w:sz w:val="20"/>
                <w:szCs w:val="20"/>
              </w:rPr>
              <w:t>个工作日扣</w:t>
            </w:r>
            <w:r>
              <w:rPr>
                <w:rFonts w:ascii="宋体" w:hAnsi="宋体" w:cs="宋体"/>
                <w:color w:val="000000"/>
                <w:kern w:val="0"/>
                <w:sz w:val="20"/>
                <w:szCs w:val="20"/>
              </w:rPr>
              <w:t>1</w:t>
            </w:r>
            <w:r>
              <w:rPr>
                <w:rFonts w:hint="eastAsia" w:ascii="宋体" w:hAnsi="宋体" w:cs="宋体"/>
                <w:color w:val="000000"/>
                <w:kern w:val="0"/>
                <w:sz w:val="20"/>
                <w:szCs w:val="20"/>
              </w:rPr>
              <w:t>分，以此类推，直至扣完</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编制质量</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预算编制准确</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（预算资金总来源</w:t>
            </w:r>
            <w:r>
              <w:rPr>
                <w:rFonts w:ascii="宋体" w:cs="宋体"/>
                <w:color w:val="000000"/>
                <w:kern w:val="0"/>
                <w:sz w:val="20"/>
                <w:szCs w:val="20"/>
              </w:rPr>
              <w:t>-</w:t>
            </w:r>
            <w:r>
              <w:rPr>
                <w:rFonts w:hint="eastAsia" w:ascii="宋体" w:hAnsi="宋体" w:cs="宋体"/>
                <w:color w:val="000000"/>
                <w:kern w:val="0"/>
                <w:sz w:val="20"/>
                <w:szCs w:val="20"/>
              </w:rPr>
              <w:t>中期评估调整取消资金</w:t>
            </w:r>
            <w:r>
              <w:rPr>
                <w:rFonts w:ascii="宋体" w:cs="宋体"/>
                <w:color w:val="000000"/>
                <w:kern w:val="0"/>
                <w:sz w:val="20"/>
                <w:szCs w:val="20"/>
              </w:rPr>
              <w:t>-</w:t>
            </w:r>
            <w:r>
              <w:rPr>
                <w:rFonts w:hint="eastAsia" w:ascii="宋体" w:hAnsi="宋体" w:cs="宋体"/>
                <w:color w:val="000000"/>
                <w:kern w:val="0"/>
                <w:sz w:val="20"/>
                <w:szCs w:val="20"/>
              </w:rPr>
              <w:t>预算结余注销资金）÷预算资金总来源</w:t>
            </w:r>
            <w:r>
              <w:rPr>
                <w:rFonts w:ascii="宋体" w:hAnsi="宋体" w:cs="宋体"/>
                <w:color w:val="000000"/>
                <w:kern w:val="0"/>
                <w:sz w:val="20"/>
                <w:szCs w:val="20"/>
              </w:rPr>
              <w:t>*</w:t>
            </w:r>
            <w:r>
              <w:rPr>
                <w:rFonts w:hint="eastAsia" w:ascii="宋体" w:hAnsi="宋体" w:cs="宋体"/>
                <w:color w:val="000000"/>
                <w:kern w:val="0"/>
                <w:sz w:val="20"/>
                <w:szCs w:val="20"/>
              </w:rPr>
              <w:t>指标分值</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其中：预算资金总来源是指县级年初预算与执行中追加预算（不含当年专款）总和</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部门预算审查</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根据县人大财经委对预算草案审查结果进行考核</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对财经委审查后提出并确需修改的问题，每个问题扣</w:t>
            </w:r>
            <w:r>
              <w:rPr>
                <w:rFonts w:ascii="宋体" w:hAnsi="宋体" w:cs="宋体"/>
                <w:color w:val="000000"/>
                <w:kern w:val="0"/>
                <w:sz w:val="20"/>
                <w:szCs w:val="20"/>
              </w:rPr>
              <w:t>0.02</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绩效目标</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部门整体绩效目标（</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部门整体绩效目标编制完整、合理</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部门整体绩效目标能完整、合理反映部门年度职责履行情况的得分，否则不得分</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重点项目绩效目标（</w:t>
            </w:r>
            <w:r>
              <w:rPr>
                <w:rFonts w:ascii="宋体" w:hAnsi="宋体" w:cs="宋体"/>
                <w:color w:val="000000"/>
                <w:kern w:val="0"/>
                <w:sz w:val="20"/>
                <w:szCs w:val="20"/>
              </w:rPr>
              <w:t>3</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项目绩效目标编制明确、量化</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项目支出绩效目标编制不明确和量化的发现一个扣</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700" w:hRule="atLeast"/>
        </w:trPr>
        <w:tc>
          <w:tcPr>
            <w:tcW w:w="9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预算执行</w:t>
            </w:r>
            <w:r>
              <w:rPr>
                <w:rFonts w:ascii="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分）</w:t>
            </w: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执行进度</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财力专项预算分配时限（</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按规定及时分配财力专项预算</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按《预算法》规定时限完成分配的考核得分，否则不得分</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部门预算执行进度（</w:t>
            </w:r>
            <w:r>
              <w:rPr>
                <w:rFonts w:ascii="宋体" w:hAnsi="宋体" w:cs="宋体"/>
                <w:color w:val="000000"/>
                <w:kern w:val="0"/>
                <w:sz w:val="20"/>
                <w:szCs w:val="20"/>
              </w:rPr>
              <w:t>6</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部门按要求严格预算执行管理</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部门预算实际列支数÷部门预算总额</w:t>
            </w:r>
            <w:r>
              <w:rPr>
                <w:rFonts w:ascii="宋体" w:hAnsi="宋体" w:cs="宋体"/>
                <w:color w:val="000000"/>
                <w:kern w:val="0"/>
                <w:sz w:val="20"/>
                <w:szCs w:val="20"/>
              </w:rPr>
              <w:t>*</w:t>
            </w:r>
            <w:r>
              <w:rPr>
                <w:rFonts w:hint="eastAsia" w:ascii="宋体" w:hAnsi="宋体" w:cs="宋体"/>
                <w:color w:val="000000"/>
                <w:kern w:val="0"/>
                <w:sz w:val="20"/>
                <w:szCs w:val="20"/>
              </w:rPr>
              <w:t>指标分值</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预算调整</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执行中期评估</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部门中期评估调整取消资金÷</w:t>
            </w:r>
            <w:r>
              <w:rPr>
                <w:rFonts w:ascii="宋体" w:hAnsi="宋体" w:cs="宋体"/>
                <w:color w:val="000000"/>
                <w:kern w:val="0"/>
                <w:sz w:val="20"/>
                <w:szCs w:val="20"/>
              </w:rPr>
              <w:t>(</w:t>
            </w:r>
            <w:r>
              <w:rPr>
                <w:rFonts w:hint="eastAsia" w:ascii="宋体" w:hAnsi="宋体" w:cs="宋体"/>
                <w:color w:val="000000"/>
                <w:kern w:val="0"/>
                <w:sz w:val="20"/>
                <w:szCs w:val="20"/>
              </w:rPr>
              <w:t>中期评估调整取消资金</w:t>
            </w:r>
            <w:r>
              <w:rPr>
                <w:rFonts w:ascii="宋体" w:hAnsi="宋体" w:cs="宋体"/>
                <w:color w:val="000000"/>
                <w:kern w:val="0"/>
                <w:sz w:val="20"/>
                <w:szCs w:val="20"/>
              </w:rPr>
              <w:t>+</w:t>
            </w:r>
            <w:r>
              <w:rPr>
                <w:rFonts w:hint="eastAsia" w:ascii="宋体" w:hAnsi="宋体" w:cs="宋体"/>
                <w:color w:val="000000"/>
                <w:kern w:val="0"/>
                <w:sz w:val="20"/>
                <w:szCs w:val="20"/>
              </w:rPr>
              <w:t>预算结余注销资金）</w:t>
            </w:r>
            <w:r>
              <w:rPr>
                <w:rFonts w:ascii="宋体" w:hAnsi="宋体" w:cs="宋体"/>
                <w:color w:val="000000"/>
                <w:kern w:val="0"/>
                <w:sz w:val="20"/>
                <w:szCs w:val="20"/>
              </w:rPr>
              <w:t>*</w:t>
            </w:r>
            <w:r>
              <w:rPr>
                <w:rFonts w:hint="eastAsia" w:ascii="宋体" w:hAnsi="宋体" w:cs="宋体"/>
                <w:color w:val="000000"/>
                <w:kern w:val="0"/>
                <w:sz w:val="20"/>
                <w:szCs w:val="20"/>
              </w:rPr>
              <w:t>指标分值</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r>
              <w:rPr>
                <w:rFonts w:ascii="宋体" w:hAnsi="宋体" w:cs="宋体"/>
                <w:color w:val="000000"/>
                <w:sz w:val="20"/>
                <w:szCs w:val="20"/>
              </w:rPr>
              <w:t>1</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当中期评估调整取消资金与结余注销资金之和为零时，得满分</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行政成本</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6</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三公经费（</w:t>
            </w:r>
            <w:r>
              <w:rPr>
                <w:rFonts w:ascii="宋体" w:hAnsi="宋体" w:cs="宋体"/>
                <w:color w:val="000000"/>
                <w:kern w:val="0"/>
                <w:sz w:val="20"/>
                <w:szCs w:val="20"/>
              </w:rPr>
              <w:t>6</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严格执行“三公经费”预算</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部门“三公”经费决算数一项超预算扣</w:t>
            </w:r>
            <w:r>
              <w:rPr>
                <w:rFonts w:ascii="宋体" w:hAnsi="宋体" w:cs="宋体"/>
                <w:color w:val="000000"/>
                <w:kern w:val="0"/>
                <w:sz w:val="20"/>
                <w:szCs w:val="20"/>
              </w:rPr>
              <w:t>1</w:t>
            </w:r>
            <w:r>
              <w:rPr>
                <w:rFonts w:hint="eastAsia" w:ascii="宋体" w:hAnsi="宋体" w:cs="宋体"/>
                <w:color w:val="000000"/>
                <w:kern w:val="0"/>
                <w:sz w:val="20"/>
                <w:szCs w:val="20"/>
              </w:rPr>
              <w:t>分，两项超预算扣</w:t>
            </w:r>
            <w:r>
              <w:rPr>
                <w:rFonts w:ascii="宋体" w:hAnsi="宋体" w:cs="宋体"/>
                <w:color w:val="000000"/>
                <w:kern w:val="0"/>
                <w:sz w:val="20"/>
                <w:szCs w:val="20"/>
              </w:rPr>
              <w:t>2</w:t>
            </w:r>
            <w:r>
              <w:rPr>
                <w:rFonts w:hint="eastAsia" w:ascii="宋体" w:hAnsi="宋体" w:cs="宋体"/>
                <w:color w:val="000000"/>
                <w:kern w:val="0"/>
                <w:sz w:val="20"/>
                <w:szCs w:val="20"/>
              </w:rPr>
              <w:t>分，以此类推，直至扣完</w:t>
            </w:r>
          </w:p>
        </w:tc>
      </w:tr>
      <w:tr>
        <w:tblPrEx>
          <w:tblCellMar>
            <w:top w:w="0" w:type="dxa"/>
            <w:left w:w="0" w:type="dxa"/>
            <w:bottom w:w="0" w:type="dxa"/>
            <w:right w:w="0" w:type="dxa"/>
          </w:tblCellMar>
        </w:tblPrEx>
        <w:trPr>
          <w:trHeight w:val="700" w:hRule="atLeast"/>
        </w:trPr>
        <w:tc>
          <w:tcPr>
            <w:tcW w:w="91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综合管理</w:t>
            </w:r>
            <w:r>
              <w:rPr>
                <w:rFonts w:ascii="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40</w:t>
            </w:r>
            <w:r>
              <w:rPr>
                <w:rFonts w:hint="eastAsia" w:ascii="宋体" w:hAnsi="宋体" w:cs="宋体"/>
                <w:color w:val="000000"/>
                <w:kern w:val="0"/>
                <w:sz w:val="20"/>
                <w:szCs w:val="20"/>
              </w:rPr>
              <w:t>分）</w:t>
            </w: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政府采购实施计划（</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政府采购实施计划编制（</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实施计划与政府采购预算的一致性</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调整或细化资金</w:t>
            </w:r>
            <w:r>
              <w:rPr>
                <w:rFonts w:ascii="宋体" w:hAnsi="宋体" w:cs="宋体"/>
                <w:color w:val="000000"/>
                <w:kern w:val="0"/>
                <w:sz w:val="20"/>
                <w:szCs w:val="20"/>
              </w:rPr>
              <w:t>/</w:t>
            </w:r>
            <w:r>
              <w:rPr>
                <w:rFonts w:hint="eastAsia" w:ascii="宋体" w:hAnsi="宋体" w:cs="宋体"/>
                <w:color w:val="000000"/>
                <w:kern w:val="0"/>
                <w:sz w:val="20"/>
                <w:szCs w:val="20"/>
              </w:rPr>
              <w:t>政府采购预算资金）</w:t>
            </w:r>
            <w:r>
              <w:rPr>
                <w:rFonts w:ascii="宋体" w:hAnsi="宋体" w:cs="宋体"/>
                <w:color w:val="000000"/>
                <w:kern w:val="0"/>
                <w:sz w:val="20"/>
                <w:szCs w:val="20"/>
              </w:rPr>
              <w:t>*</w:t>
            </w:r>
            <w:r>
              <w:rPr>
                <w:rFonts w:hint="eastAsia" w:ascii="宋体" w:hAnsi="宋体" w:cs="宋体"/>
                <w:color w:val="000000"/>
                <w:kern w:val="0"/>
                <w:sz w:val="20"/>
                <w:szCs w:val="20"/>
              </w:rPr>
              <w:t>分值</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政府采购实施计划的执行（</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执行的实施计划与备案的实施计划的一致性</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实施计划备案后的调整或细化资金</w:t>
            </w:r>
            <w:r>
              <w:rPr>
                <w:rFonts w:ascii="宋体" w:hAnsi="宋体" w:cs="宋体"/>
                <w:color w:val="000000"/>
                <w:kern w:val="0"/>
                <w:sz w:val="20"/>
                <w:szCs w:val="20"/>
              </w:rPr>
              <w:t>/</w:t>
            </w:r>
            <w:r>
              <w:rPr>
                <w:rFonts w:hint="eastAsia" w:ascii="宋体" w:hAnsi="宋体" w:cs="宋体"/>
                <w:color w:val="000000"/>
                <w:kern w:val="0"/>
                <w:sz w:val="20"/>
                <w:szCs w:val="20"/>
              </w:rPr>
              <w:t>实施计划备案后的资金）</w:t>
            </w:r>
            <w:r>
              <w:rPr>
                <w:rFonts w:ascii="宋体" w:hAnsi="宋体" w:cs="宋体"/>
                <w:color w:val="000000"/>
                <w:kern w:val="0"/>
                <w:sz w:val="20"/>
                <w:szCs w:val="20"/>
              </w:rPr>
              <w:t>*</w:t>
            </w:r>
            <w:r>
              <w:rPr>
                <w:rFonts w:hint="eastAsia" w:ascii="宋体" w:hAnsi="宋体" w:cs="宋体"/>
                <w:color w:val="000000"/>
                <w:kern w:val="0"/>
                <w:sz w:val="20"/>
                <w:szCs w:val="20"/>
              </w:rPr>
              <w:t>分值</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资产管理</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6</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资产管理信息系统建设情况（</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考核部门和单位将国有资产纳入资产信息系统管理情况</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①未将所属单位国有资产纳入系统管理，每少一个单位扣</w:t>
            </w:r>
            <w:r>
              <w:rPr>
                <w:rFonts w:ascii="宋体" w:hAnsi="宋体" w:cs="宋体"/>
                <w:color w:val="000000"/>
                <w:kern w:val="0"/>
                <w:sz w:val="20"/>
                <w:szCs w:val="20"/>
              </w:rPr>
              <w:t>1</w:t>
            </w:r>
            <w:r>
              <w:rPr>
                <w:rFonts w:hint="eastAsia" w:ascii="宋体" w:hAnsi="宋体" w:cs="宋体"/>
                <w:color w:val="000000"/>
                <w:kern w:val="0"/>
                <w:sz w:val="20"/>
                <w:szCs w:val="20"/>
              </w:rPr>
              <w:t>分。②未将资产变动情况及时录入系统，每次扣</w:t>
            </w:r>
            <w:r>
              <w:rPr>
                <w:rFonts w:ascii="宋体" w:hAnsi="宋体" w:cs="宋体"/>
                <w:color w:val="000000"/>
                <w:kern w:val="0"/>
                <w:sz w:val="20"/>
                <w:szCs w:val="20"/>
              </w:rPr>
              <w:t>0.5</w:t>
            </w:r>
            <w:r>
              <w:rPr>
                <w:rFonts w:hint="eastAsia" w:ascii="宋体" w:hAnsi="宋体" w:cs="宋体"/>
                <w:color w:val="000000"/>
                <w:kern w:val="0"/>
                <w:sz w:val="20"/>
                <w:szCs w:val="20"/>
              </w:rPr>
              <w:t>分。③未落实人员负责管理系统，扣</w:t>
            </w:r>
            <w:r>
              <w:rPr>
                <w:rFonts w:ascii="宋体" w:hAnsi="宋体" w:cs="宋体"/>
                <w:color w:val="000000"/>
                <w:kern w:val="0"/>
                <w:sz w:val="20"/>
                <w:szCs w:val="20"/>
              </w:rPr>
              <w:t>1</w:t>
            </w:r>
            <w:r>
              <w:rPr>
                <w:rFonts w:hint="eastAsia" w:ascii="宋体" w:hAnsi="宋体" w:cs="宋体"/>
                <w:color w:val="000000"/>
                <w:kern w:val="0"/>
                <w:sz w:val="20"/>
                <w:szCs w:val="20"/>
              </w:rPr>
              <w:t>分。</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行政事业单位资产清查开展情况</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考核行政事业单位按要求及时、准确、全面开展资产清查工作情况</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①未在规定时间内完成资产清查任务扣</w:t>
            </w:r>
            <w:r>
              <w:rPr>
                <w:rFonts w:ascii="宋体" w:hAnsi="宋体" w:cs="宋体"/>
                <w:color w:val="000000"/>
                <w:kern w:val="0"/>
                <w:sz w:val="20"/>
                <w:szCs w:val="20"/>
              </w:rPr>
              <w:t>1</w:t>
            </w:r>
            <w:r>
              <w:rPr>
                <w:rFonts w:hint="eastAsia" w:ascii="宋体" w:hAnsi="宋体" w:cs="宋体"/>
                <w:color w:val="000000"/>
                <w:kern w:val="0"/>
                <w:sz w:val="20"/>
                <w:szCs w:val="20"/>
              </w:rPr>
              <w:t>分。②资产清查结果与财政组织复核的结果误差超过</w:t>
            </w:r>
            <w:r>
              <w:rPr>
                <w:rFonts w:ascii="宋体" w:hAnsi="宋体" w:cs="宋体"/>
                <w:color w:val="000000"/>
                <w:kern w:val="0"/>
                <w:sz w:val="20"/>
                <w:szCs w:val="20"/>
              </w:rPr>
              <w:t>10%</w:t>
            </w:r>
            <w:r>
              <w:rPr>
                <w:rFonts w:hint="eastAsia" w:ascii="宋体" w:hAnsi="宋体" w:cs="宋体"/>
                <w:color w:val="000000"/>
                <w:kern w:val="0"/>
                <w:sz w:val="20"/>
                <w:szCs w:val="20"/>
              </w:rPr>
              <w:t>的扣</w:t>
            </w:r>
            <w:r>
              <w:rPr>
                <w:rFonts w:ascii="宋体" w:hAnsi="宋体" w:cs="宋体"/>
                <w:color w:val="000000"/>
                <w:kern w:val="0"/>
                <w:sz w:val="20"/>
                <w:szCs w:val="20"/>
              </w:rPr>
              <w:t>1</w:t>
            </w:r>
            <w:r>
              <w:rPr>
                <w:rFonts w:hint="eastAsia" w:ascii="宋体" w:hAnsi="宋体" w:cs="宋体"/>
                <w:color w:val="000000"/>
                <w:kern w:val="0"/>
                <w:sz w:val="20"/>
                <w:szCs w:val="20"/>
              </w:rPr>
              <w:t>分。③未及时按批复的清查结果进行账务调整扣</w:t>
            </w:r>
            <w:r>
              <w:rPr>
                <w:rFonts w:ascii="宋体" w:hAnsi="宋体" w:cs="宋体"/>
                <w:color w:val="000000"/>
                <w:kern w:val="0"/>
                <w:sz w:val="20"/>
                <w:szCs w:val="20"/>
              </w:rPr>
              <w:t>1</w:t>
            </w:r>
            <w:r>
              <w:rPr>
                <w:rFonts w:hint="eastAsia" w:ascii="宋体" w:hAnsi="宋体" w:cs="宋体"/>
                <w:color w:val="000000"/>
                <w:kern w:val="0"/>
                <w:sz w:val="20"/>
                <w:szCs w:val="20"/>
              </w:rPr>
              <w:t>分。④未及时更新资产管理信息系统，导致系统资产数据与上报财政的资产清查结果不一致扣</w:t>
            </w:r>
            <w:r>
              <w:rPr>
                <w:rFonts w:ascii="宋体" w:hAnsi="宋体" w:cs="宋体"/>
                <w:color w:val="000000"/>
                <w:kern w:val="0"/>
                <w:sz w:val="20"/>
                <w:szCs w:val="20"/>
              </w:rPr>
              <w:t>1</w:t>
            </w:r>
            <w:r>
              <w:rPr>
                <w:rFonts w:hint="eastAsia" w:ascii="宋体" w:hAnsi="宋体" w:cs="宋体"/>
                <w:color w:val="000000"/>
                <w:kern w:val="0"/>
                <w:sz w:val="20"/>
                <w:szCs w:val="20"/>
              </w:rPr>
              <w:t>分。</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行政事业单位资产报表上报情况</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考核行政事业单位上报国有资产报表数据的真实性、准确性、全面性</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①未落实专人负责资产报表，未及时上报资产报表扣</w:t>
            </w:r>
            <w:r>
              <w:rPr>
                <w:rFonts w:ascii="宋体" w:hAnsi="宋体" w:cs="宋体"/>
                <w:color w:val="000000"/>
                <w:kern w:val="0"/>
                <w:sz w:val="20"/>
                <w:szCs w:val="20"/>
              </w:rPr>
              <w:t>1</w:t>
            </w:r>
            <w:r>
              <w:rPr>
                <w:rFonts w:hint="eastAsia" w:ascii="宋体" w:hAnsi="宋体" w:cs="宋体"/>
                <w:color w:val="000000"/>
                <w:kern w:val="0"/>
                <w:sz w:val="20"/>
                <w:szCs w:val="20"/>
              </w:rPr>
              <w:t>分。②报表填报不规范，内容不完整，数据不真实，扣</w:t>
            </w:r>
            <w:r>
              <w:rPr>
                <w:rFonts w:ascii="宋体" w:hAnsi="宋体" w:cs="宋体"/>
                <w:color w:val="000000"/>
                <w:kern w:val="0"/>
                <w:sz w:val="20"/>
                <w:szCs w:val="20"/>
              </w:rPr>
              <w:t>1</w:t>
            </w:r>
            <w:r>
              <w:rPr>
                <w:rFonts w:hint="eastAsia" w:ascii="宋体" w:hAnsi="宋体" w:cs="宋体"/>
                <w:color w:val="000000"/>
                <w:kern w:val="0"/>
                <w:sz w:val="20"/>
                <w:szCs w:val="20"/>
              </w:rPr>
              <w:t>分。③未提交分析报告，对资产变动情况未作分析说明，扣</w:t>
            </w:r>
            <w:r>
              <w:rPr>
                <w:rFonts w:ascii="宋体" w:hAnsi="宋体" w:cs="宋体"/>
                <w:color w:val="000000"/>
                <w:kern w:val="0"/>
                <w:sz w:val="20"/>
                <w:szCs w:val="20"/>
              </w:rPr>
              <w:t>1</w:t>
            </w:r>
            <w:r>
              <w:rPr>
                <w:rFonts w:hint="eastAsia" w:ascii="宋体" w:hAnsi="宋体" w:cs="宋体"/>
                <w:color w:val="000000"/>
                <w:kern w:val="0"/>
                <w:sz w:val="20"/>
                <w:szCs w:val="20"/>
              </w:rPr>
              <w:t>分。</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内控制度管理（</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内部控制度健全完整（</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考核部门内部控制制度的设置和执行情况</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r>
              <w:rPr>
                <w:rFonts w:ascii="宋体" w:hAnsi="宋体" w:cs="宋体"/>
                <w:color w:val="000000"/>
                <w:sz w:val="20"/>
                <w:szCs w:val="20"/>
              </w:rPr>
              <w:t>1</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内部控制制度健全完整并执行良好的得分，否则不得分。在本年度内因内控制度不健全或执行不到位，造成单位出现廉政风险或发生重大责任事故的不得分。</w:t>
            </w:r>
          </w:p>
        </w:tc>
      </w:tr>
      <w:tr>
        <w:tblPrEx>
          <w:tblCellMar>
            <w:top w:w="0" w:type="dxa"/>
            <w:left w:w="0" w:type="dxa"/>
            <w:bottom w:w="0" w:type="dxa"/>
            <w:right w:w="0" w:type="dxa"/>
          </w:tblCellMar>
        </w:tblPrEx>
        <w:trPr>
          <w:trHeight w:val="84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信息公开</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预算公开（</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除涉密信息外，各部门要在财政部门批复后二十日内向社会公开本部门预算（含所有财政资金安排的“三公”经费、机关运行经费的安排、使用情况等）</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按县财政通知要求公开预算，未按要求公开的，发现一处扣</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82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决算公开（</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除涉密信息外，各部门要在财政部门批复二十日内向社会公开本部门决算（含所有财政资金安排的“三公”经费、机关运行经费的安排、使用情况等）</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未按要求公开的，发现一处问题</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绩效信息公开</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按要求公开部门整体支出绩效自评报告及其他按要求应公开的绩效信息</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未按要求公开的，发现一处问题</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82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绩效评价</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评价项目覆盖率</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部门实施绩效评价项目数量占部门管理专项预算项目数量的比重，部门申报绩效目标项目数量的比重，用以反映和考核部门实施绩效评价项目资金覆盖情况</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评价覆盖率</w:t>
            </w:r>
            <w:r>
              <w:rPr>
                <w:rFonts w:ascii="宋体" w:hAnsi="宋体" w:cs="宋体"/>
                <w:color w:val="000000"/>
                <w:kern w:val="0"/>
                <w:sz w:val="20"/>
                <w:szCs w:val="20"/>
              </w:rPr>
              <w:t>=</w:t>
            </w:r>
            <w:r>
              <w:rPr>
                <w:rFonts w:hint="eastAsia" w:ascii="宋体" w:hAnsi="宋体" w:cs="宋体"/>
                <w:color w:val="000000"/>
                <w:kern w:val="0"/>
                <w:sz w:val="20"/>
                <w:szCs w:val="20"/>
              </w:rPr>
              <w:t>实施绩效评价项目数量</w:t>
            </w:r>
            <w:r>
              <w:rPr>
                <w:rFonts w:ascii="宋体" w:hAnsi="宋体" w:cs="宋体"/>
                <w:color w:val="000000"/>
                <w:kern w:val="0"/>
                <w:sz w:val="20"/>
                <w:szCs w:val="20"/>
              </w:rPr>
              <w:t>/</w:t>
            </w:r>
            <w:r>
              <w:rPr>
                <w:rFonts w:hint="eastAsia" w:ascii="宋体" w:hAnsi="宋体" w:cs="宋体"/>
                <w:color w:val="000000"/>
                <w:kern w:val="0"/>
                <w:sz w:val="20"/>
                <w:szCs w:val="20"/>
              </w:rPr>
              <w:t>部门管理专项预算项目数量×</w:t>
            </w:r>
            <w:r>
              <w:rPr>
                <w:rFonts w:ascii="宋体" w:hAnsi="宋体" w:cs="宋体"/>
                <w:color w:val="000000"/>
                <w:kern w:val="0"/>
                <w:sz w:val="20"/>
                <w:szCs w:val="20"/>
              </w:rPr>
              <w:t>100%</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评价层次（</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部门（单位）是否对单位内部股室开展整体绩效评价</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对单位内部实施评价的得分，否则不得分</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kern w:val="0"/>
                <w:sz w:val="20"/>
                <w:szCs w:val="20"/>
              </w:rPr>
            </w:pPr>
            <w:r>
              <w:rPr>
                <w:rFonts w:hint="eastAsia" w:ascii="宋体" w:hAnsi="宋体" w:cs="宋体"/>
                <w:color w:val="000000"/>
                <w:kern w:val="0"/>
                <w:sz w:val="20"/>
                <w:szCs w:val="20"/>
              </w:rPr>
              <w:t>评价结果报告</w:t>
            </w:r>
          </w:p>
          <w:p>
            <w:pPr>
              <w:widowControl/>
              <w:jc w:val="left"/>
              <w:textAlignment w:val="center"/>
              <w:rPr>
                <w:rFonts w:ascii="宋体"/>
                <w:color w:val="00000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部门是否按要求向财政部门报告自评报告等相关绩效信息</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未按要求报送的，发现一处扣</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整改完成率（</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部门是否按要求针对绩效评价发现问题制定整改措施，并整改落实到位</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完成率</w:t>
            </w:r>
            <w:r>
              <w:rPr>
                <w:rFonts w:ascii="宋体" w:hAnsi="宋体" w:cs="宋体"/>
                <w:color w:val="000000"/>
                <w:kern w:val="0"/>
                <w:sz w:val="20"/>
                <w:szCs w:val="20"/>
              </w:rPr>
              <w:t>=</w:t>
            </w:r>
            <w:r>
              <w:rPr>
                <w:rFonts w:hint="eastAsia" w:ascii="宋体" w:hAnsi="宋体" w:cs="宋体"/>
                <w:color w:val="000000"/>
                <w:kern w:val="0"/>
                <w:sz w:val="20"/>
                <w:szCs w:val="20"/>
              </w:rPr>
              <w:t>应制定整改措施的项目数量</w:t>
            </w:r>
            <w:r>
              <w:rPr>
                <w:rFonts w:ascii="宋体" w:hAnsi="宋体" w:cs="宋体"/>
                <w:color w:val="000000"/>
                <w:kern w:val="0"/>
                <w:sz w:val="20"/>
                <w:szCs w:val="20"/>
              </w:rPr>
              <w:t>/</w:t>
            </w:r>
            <w:r>
              <w:rPr>
                <w:rFonts w:hint="eastAsia" w:ascii="宋体" w:hAnsi="宋体" w:cs="宋体"/>
                <w:color w:val="000000"/>
                <w:kern w:val="0"/>
                <w:sz w:val="20"/>
                <w:szCs w:val="20"/>
              </w:rPr>
              <w:t>部门实际制定整改措施项目数量×</w:t>
            </w:r>
            <w:r>
              <w:rPr>
                <w:rFonts w:ascii="宋体" w:hAnsi="宋体" w:cs="宋体"/>
                <w:color w:val="000000"/>
                <w:kern w:val="0"/>
                <w:sz w:val="20"/>
                <w:szCs w:val="20"/>
              </w:rPr>
              <w:t>100%</w:t>
            </w:r>
            <w:r>
              <w:rPr>
                <w:rFonts w:hint="eastAsia" w:ascii="宋体" w:hAnsi="宋体" w:cs="宋体"/>
                <w:color w:val="000000"/>
                <w:kern w:val="0"/>
                <w:sz w:val="20"/>
                <w:szCs w:val="20"/>
              </w:rPr>
              <w:t>。</w:t>
            </w:r>
          </w:p>
        </w:tc>
      </w:tr>
      <w:tr>
        <w:tblPrEx>
          <w:tblCellMar>
            <w:top w:w="0" w:type="dxa"/>
            <w:left w:w="0" w:type="dxa"/>
            <w:bottom w:w="0" w:type="dxa"/>
            <w:right w:w="0" w:type="dxa"/>
          </w:tblCellMar>
        </w:tblPrEx>
        <w:trPr>
          <w:trHeight w:val="98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依法接受财政监督（</w:t>
            </w:r>
            <w:r>
              <w:rPr>
                <w:rFonts w:ascii="宋体" w:hAnsi="宋体" w:cs="宋体"/>
                <w:color w:val="000000"/>
                <w:kern w:val="0"/>
                <w:sz w:val="20"/>
                <w:szCs w:val="20"/>
              </w:rPr>
              <w:t>6</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是否按要求开展自查自纠（</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根据相关自查自纠报告、报表报送时效和质量进行考核</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未在规定时间内报送自查自纠相关材料（包括：纸质和电子版）的，扣</w:t>
            </w:r>
            <w:r>
              <w:rPr>
                <w:rFonts w:ascii="宋体" w:hAnsi="宋体" w:cs="宋体"/>
                <w:color w:val="000000"/>
                <w:kern w:val="0"/>
                <w:sz w:val="20"/>
                <w:szCs w:val="20"/>
              </w:rPr>
              <w:t>0.5</w:t>
            </w:r>
            <w:r>
              <w:rPr>
                <w:rFonts w:hint="eastAsia" w:ascii="宋体" w:hAnsi="宋体" w:cs="宋体"/>
                <w:color w:val="000000"/>
                <w:kern w:val="0"/>
                <w:sz w:val="20"/>
                <w:szCs w:val="20"/>
              </w:rPr>
              <w:t>分；报告内容不完整，扣</w:t>
            </w:r>
            <w:r>
              <w:rPr>
                <w:rFonts w:ascii="宋体" w:hAnsi="宋体" w:cs="宋体"/>
                <w:color w:val="000000"/>
                <w:kern w:val="0"/>
                <w:sz w:val="20"/>
                <w:szCs w:val="20"/>
              </w:rPr>
              <w:t>1</w:t>
            </w:r>
            <w:r>
              <w:rPr>
                <w:rFonts w:hint="eastAsia" w:ascii="宋体" w:hAnsi="宋体" w:cs="宋体"/>
                <w:color w:val="000000"/>
                <w:kern w:val="0"/>
                <w:sz w:val="20"/>
                <w:szCs w:val="20"/>
              </w:rPr>
              <w:t>分；报表质量差（如：数据、逻辑、勾稽关系错误）等扣</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重点检查发现违规违纪问题（</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根据检查组提供的工作底稿、检查报告等资料进行考核</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专项检查发现的违纪违规问题，每个问题扣</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700" w:hRule="atLeast"/>
        </w:trPr>
        <w:tc>
          <w:tcPr>
            <w:tcW w:w="91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存在问题整改是否到位（</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根据相关整改报告、凭证依据等相关证明材料进行考核</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未在规定时间内完成整改，并提供相关证明材料的，每个问题</w:t>
            </w:r>
            <w:r>
              <w:rPr>
                <w:rFonts w:ascii="宋体" w:hAnsi="宋体" w:cs="宋体"/>
                <w:color w:val="000000"/>
                <w:kern w:val="0"/>
                <w:sz w:val="20"/>
                <w:szCs w:val="20"/>
              </w:rPr>
              <w:t>0.5</w:t>
            </w:r>
            <w:r>
              <w:rPr>
                <w:rFonts w:hint="eastAsia" w:ascii="宋体" w:hAnsi="宋体" w:cs="宋体"/>
                <w:color w:val="000000"/>
                <w:kern w:val="0"/>
                <w:sz w:val="20"/>
                <w:szCs w:val="20"/>
              </w:rPr>
              <w:t>分，直至扣完</w:t>
            </w:r>
          </w:p>
        </w:tc>
      </w:tr>
      <w:tr>
        <w:tblPrEx>
          <w:tblCellMar>
            <w:top w:w="0" w:type="dxa"/>
            <w:left w:w="0" w:type="dxa"/>
            <w:bottom w:w="0" w:type="dxa"/>
            <w:right w:w="0" w:type="dxa"/>
          </w:tblCellMar>
        </w:tblPrEx>
        <w:trPr>
          <w:trHeight w:val="700" w:hRule="atLeast"/>
        </w:trPr>
        <w:tc>
          <w:tcPr>
            <w:tcW w:w="9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整体效益</w:t>
            </w:r>
            <w:r>
              <w:rPr>
                <w:rFonts w:ascii="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30</w:t>
            </w:r>
            <w:r>
              <w:rPr>
                <w:rFonts w:hint="eastAsia" w:ascii="宋体" w:hAnsi="宋体" w:cs="宋体"/>
                <w:color w:val="000000"/>
                <w:kern w:val="0"/>
                <w:sz w:val="20"/>
                <w:szCs w:val="20"/>
              </w:rPr>
              <w:t>分）</w:t>
            </w: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部门整体绩效（</w:t>
            </w:r>
            <w:r>
              <w:rPr>
                <w:rFonts w:ascii="宋体" w:hAnsi="宋体" w:cs="宋体"/>
                <w:color w:val="000000"/>
                <w:kern w:val="0"/>
                <w:sz w:val="20"/>
                <w:szCs w:val="20"/>
              </w:rPr>
              <w:t>30</w:t>
            </w:r>
            <w:r>
              <w:rPr>
                <w:rFonts w:hint="eastAsia" w:ascii="宋体" w:hAnsi="宋体" w:cs="宋体"/>
                <w:color w:val="000000"/>
                <w:kern w:val="0"/>
                <w:sz w:val="20"/>
                <w:szCs w:val="20"/>
              </w:rPr>
              <w:t>分）</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重点项目绩效评价结果（</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33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部门实施重大项目的经济、社会效益</w:t>
            </w:r>
          </w:p>
        </w:tc>
        <w:tc>
          <w:tcPr>
            <w:tcW w:w="6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color w:val="000000"/>
                <w:sz w:val="20"/>
                <w:szCs w:val="20"/>
              </w:rPr>
            </w:pPr>
          </w:p>
        </w:tc>
        <w:tc>
          <w:tcPr>
            <w:tcW w:w="5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根据县财政组织实施项目绩效评价结果换算</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部门职能完成情况特性指标（</w:t>
            </w:r>
            <w:r>
              <w:rPr>
                <w:rFonts w:ascii="宋体" w:hAnsi="宋体" w:cs="宋体"/>
                <w:color w:val="000000"/>
                <w:kern w:val="0"/>
                <w:sz w:val="20"/>
                <w:szCs w:val="20"/>
              </w:rPr>
              <w:t>20</w:t>
            </w:r>
            <w:r>
              <w:rPr>
                <w:rFonts w:hint="eastAsia" w:ascii="宋体" w:hAnsi="宋体" w:cs="宋体"/>
                <w:color w:val="000000"/>
                <w:kern w:val="0"/>
                <w:sz w:val="20"/>
                <w:szCs w:val="20"/>
              </w:rPr>
              <w:t>分）</w:t>
            </w:r>
          </w:p>
        </w:tc>
        <w:tc>
          <w:tcPr>
            <w:tcW w:w="33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根据部门职能职责、州级主管部门和县委县政府安排的各项专项工作任务及其他年度重点工作任务等，汇总梳理形成能够量化衡量且全面反映部门职能工作完成情况的若干指标。</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51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olor w:val="000000"/>
                <w:sz w:val="20"/>
                <w:szCs w:val="20"/>
              </w:rPr>
            </w:pPr>
            <w:r>
              <w:rPr>
                <w:rFonts w:hint="eastAsia" w:ascii="宋体" w:hAnsi="宋体" w:cs="宋体"/>
                <w:color w:val="000000"/>
                <w:kern w:val="0"/>
                <w:sz w:val="20"/>
                <w:szCs w:val="20"/>
              </w:rPr>
              <w:t>部门和评价组根据部门实际设置</w:t>
            </w:r>
          </w:p>
        </w:tc>
      </w:tr>
      <w:tr>
        <w:tblPrEx>
          <w:tblCellMar>
            <w:top w:w="0" w:type="dxa"/>
            <w:left w:w="0" w:type="dxa"/>
            <w:bottom w:w="0" w:type="dxa"/>
            <w:right w:w="0" w:type="dxa"/>
          </w:tblCellMar>
        </w:tblPrEx>
        <w:trPr>
          <w:trHeight w:val="700" w:hRule="atLeast"/>
        </w:trPr>
        <w:tc>
          <w:tcPr>
            <w:tcW w:w="9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olor w:val="000000"/>
                <w:sz w:val="20"/>
                <w:szCs w:val="20"/>
              </w:rPr>
            </w:pPr>
          </w:p>
        </w:tc>
        <w:tc>
          <w:tcPr>
            <w:tcW w:w="1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olor w:val="000000"/>
                <w:sz w:val="20"/>
                <w:szCs w:val="20"/>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olor w:val="000000"/>
                <w:sz w:val="20"/>
                <w:szCs w:val="20"/>
              </w:rPr>
            </w:pPr>
          </w:p>
        </w:tc>
        <w:tc>
          <w:tcPr>
            <w:tcW w:w="51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olor w:val="000000"/>
                <w:sz w:val="20"/>
                <w:szCs w:val="20"/>
              </w:rPr>
            </w:pPr>
          </w:p>
        </w:tc>
      </w:tr>
    </w:tbl>
    <w:p>
      <w:pPr>
        <w:autoSpaceDE w:val="0"/>
        <w:spacing w:after="220" w:line="576" w:lineRule="exact"/>
        <w:ind w:firstLine="640" w:firstLineChars="200"/>
        <w:rPr>
          <w:rFonts w:ascii="仿宋_GB2312" w:hAnsi="仿宋_GB2312" w:eastAsia="仿宋_GB2312"/>
          <w:kern w:val="0"/>
          <w:sz w:val="32"/>
          <w:szCs w:val="32"/>
        </w:rPr>
        <w:sectPr>
          <w:footerReference r:id="rId8" w:type="first"/>
          <w:footerReference r:id="rId7" w:type="default"/>
          <w:pgSz w:w="16838" w:h="11906" w:orient="landscape"/>
          <w:pgMar w:top="1800" w:right="1440" w:bottom="1800" w:left="1440" w:header="851" w:footer="992" w:gutter="0"/>
          <w:pgNumType w:start="23"/>
          <w:cols w:space="425" w:num="1"/>
          <w:titlePg/>
          <w:docGrid w:type="lines" w:linePitch="312" w:charSpace="0"/>
        </w:sectPr>
      </w:pPr>
    </w:p>
    <w:p>
      <w:pPr>
        <w:widowControl/>
        <w:jc w:val="center"/>
        <w:rPr>
          <w:rStyle w:val="16"/>
          <w:rFonts w:ascii="方正小标宋简体" w:hAnsi="黑体" w:eastAsia="方正小标宋简体"/>
          <w:b w:val="0"/>
          <w:bCs w:val="0"/>
        </w:rPr>
      </w:pPr>
      <w:bookmarkStart w:id="60" w:name="_Toc15396618"/>
      <w:r>
        <w:rPr>
          <w:rFonts w:hint="eastAsia" w:ascii="方正小标宋简体" w:hAnsi="黑体" w:eastAsia="方正小标宋简体" w:cs="方正小标宋简体"/>
          <w:color w:val="000000"/>
          <w:sz w:val="44"/>
          <w:szCs w:val="44"/>
        </w:rPr>
        <w:t>第</w:t>
      </w:r>
      <w:r>
        <w:rPr>
          <w:rStyle w:val="16"/>
          <w:rFonts w:hint="eastAsia" w:ascii="方正小标宋简体" w:hAnsi="黑体" w:eastAsia="方正小标宋简体" w:cs="方正小标宋简体"/>
          <w:b w:val="0"/>
          <w:bCs w:val="0"/>
        </w:rPr>
        <w:t>五部分</w:t>
      </w:r>
      <w:r>
        <w:rPr>
          <w:rStyle w:val="16"/>
          <w:rFonts w:ascii="方正小标宋简体" w:hAnsi="黑体" w:eastAsia="方正小标宋简体" w:cs="方正小标宋简体"/>
          <w:b w:val="0"/>
          <w:bCs w:val="0"/>
        </w:rPr>
        <w:t xml:space="preserve">  </w:t>
      </w:r>
      <w:r>
        <w:rPr>
          <w:rStyle w:val="16"/>
          <w:rFonts w:hint="eastAsia" w:ascii="方正小标宋简体" w:hAnsi="黑体" w:eastAsia="方正小标宋简体" w:cs="方正小标宋简体"/>
          <w:b w:val="0"/>
          <w:bCs w:val="0"/>
        </w:rPr>
        <w:t>附表</w:t>
      </w:r>
      <w:bookmarkEnd w:id="58"/>
      <w:bookmarkEnd w:id="60"/>
    </w:p>
    <w:p>
      <w:pPr>
        <w:pStyle w:val="3"/>
        <w:spacing w:before="0" w:after="0" w:line="576" w:lineRule="exact"/>
        <w:rPr>
          <w:rFonts w:ascii="仿宋_GB2312" w:hAnsi="仿宋" w:eastAsia="仿宋_GB2312" w:cs="Times New Roman"/>
          <w:b w:val="0"/>
          <w:bCs w:val="0"/>
          <w:color w:val="000000"/>
        </w:rPr>
      </w:pPr>
      <w:bookmarkStart w:id="61" w:name="_Toc15396619"/>
    </w:p>
    <w:p>
      <w:pPr>
        <w:pStyle w:val="3"/>
        <w:spacing w:before="0" w:after="0" w:line="576" w:lineRule="exact"/>
        <w:rPr>
          <w:rFonts w:ascii="仿宋_GB2312" w:hAnsi="仿宋" w:eastAsia="仿宋_GB2312" w:cs="Times New Roman"/>
          <w:color w:val="000000"/>
        </w:rPr>
      </w:pPr>
      <w:r>
        <w:rPr>
          <w:rFonts w:hint="eastAsia" w:ascii="仿宋_GB2312" w:hAnsi="仿宋" w:eastAsia="仿宋_GB2312" w:cs="仿宋_GB2312"/>
          <w:b w:val="0"/>
          <w:bCs w:val="0"/>
          <w:color w:val="000000"/>
        </w:rPr>
        <w:t>一、收</w:t>
      </w:r>
      <w:r>
        <w:rPr>
          <w:rStyle w:val="17"/>
          <w:rFonts w:hint="eastAsia" w:ascii="仿宋_GB2312" w:hAnsi="仿宋" w:eastAsia="仿宋_GB2312" w:cs="仿宋_GB2312"/>
          <w:b w:val="0"/>
          <w:bCs w:val="0"/>
        </w:rPr>
        <w:t>入支出决算总表</w:t>
      </w:r>
      <w:bookmarkEnd w:id="61"/>
    </w:p>
    <w:p>
      <w:pPr>
        <w:pStyle w:val="3"/>
        <w:spacing w:before="0" w:after="0" w:line="576" w:lineRule="exact"/>
        <w:rPr>
          <w:rFonts w:ascii="仿宋_GB2312" w:hAnsi="仿宋" w:eastAsia="仿宋_GB2312" w:cs="Times New Roman"/>
          <w:color w:val="000000"/>
        </w:rPr>
      </w:pPr>
      <w:bookmarkStart w:id="62" w:name="_Toc15396620"/>
      <w:r>
        <w:rPr>
          <w:rFonts w:hint="eastAsia" w:ascii="仿宋_GB2312" w:hAnsi="仿宋" w:eastAsia="仿宋_GB2312" w:cs="仿宋_GB2312"/>
          <w:b w:val="0"/>
          <w:bCs w:val="0"/>
          <w:color w:val="000000"/>
        </w:rPr>
        <w:t>二、收</w:t>
      </w:r>
      <w:r>
        <w:rPr>
          <w:rStyle w:val="17"/>
          <w:rFonts w:hint="eastAsia" w:ascii="仿宋_GB2312" w:hAnsi="仿宋" w:eastAsia="仿宋_GB2312" w:cs="仿宋_GB2312"/>
          <w:b w:val="0"/>
          <w:bCs w:val="0"/>
        </w:rPr>
        <w:t>入总表</w:t>
      </w:r>
      <w:bookmarkEnd w:id="62"/>
    </w:p>
    <w:p>
      <w:pPr>
        <w:pStyle w:val="3"/>
        <w:spacing w:before="0" w:after="0" w:line="576" w:lineRule="exact"/>
        <w:rPr>
          <w:rFonts w:ascii="仿宋_GB2312" w:hAnsi="仿宋" w:eastAsia="仿宋_GB2312" w:cs="Times New Roman"/>
          <w:color w:val="000000"/>
        </w:rPr>
      </w:pPr>
      <w:bookmarkStart w:id="63" w:name="_Toc15396621"/>
      <w:r>
        <w:rPr>
          <w:rStyle w:val="17"/>
          <w:rFonts w:hint="eastAsia" w:ascii="仿宋_GB2312" w:hAnsi="仿宋" w:eastAsia="仿宋_GB2312" w:cs="仿宋_GB2312"/>
          <w:b w:val="0"/>
          <w:bCs w:val="0"/>
        </w:rPr>
        <w:t>三、</w:t>
      </w:r>
      <w:r>
        <w:rPr>
          <w:rFonts w:hint="eastAsia" w:ascii="仿宋_GB2312" w:hAnsi="仿宋" w:eastAsia="仿宋_GB2312" w:cs="仿宋_GB2312"/>
          <w:b w:val="0"/>
          <w:bCs w:val="0"/>
          <w:color w:val="000000"/>
        </w:rPr>
        <w:t>支</w:t>
      </w:r>
      <w:r>
        <w:rPr>
          <w:rStyle w:val="17"/>
          <w:rFonts w:hint="eastAsia" w:ascii="仿宋_GB2312" w:hAnsi="仿宋" w:eastAsia="仿宋_GB2312" w:cs="仿宋_GB2312"/>
          <w:b w:val="0"/>
          <w:bCs w:val="0"/>
        </w:rPr>
        <w:t>出总表</w:t>
      </w:r>
      <w:bookmarkEnd w:id="63"/>
    </w:p>
    <w:p>
      <w:pPr>
        <w:pStyle w:val="3"/>
        <w:spacing w:before="0" w:after="0" w:line="576" w:lineRule="exact"/>
        <w:rPr>
          <w:rFonts w:ascii="仿宋_GB2312" w:hAnsi="仿宋" w:eastAsia="仿宋_GB2312" w:cs="Times New Roman"/>
          <w:b w:val="0"/>
          <w:bCs w:val="0"/>
          <w:color w:val="000000"/>
        </w:rPr>
      </w:pPr>
      <w:bookmarkStart w:id="64" w:name="_Toc15396622"/>
      <w:r>
        <w:rPr>
          <w:rStyle w:val="17"/>
          <w:rFonts w:hint="eastAsia" w:ascii="仿宋_GB2312" w:hAnsi="仿宋" w:eastAsia="仿宋_GB2312" w:cs="仿宋_GB2312"/>
          <w:b w:val="0"/>
          <w:bCs w:val="0"/>
        </w:rPr>
        <w:t>四、</w:t>
      </w:r>
      <w:r>
        <w:rPr>
          <w:rFonts w:hint="eastAsia" w:ascii="仿宋_GB2312" w:hAnsi="仿宋" w:eastAsia="仿宋_GB2312" w:cs="仿宋_GB2312"/>
          <w:b w:val="0"/>
          <w:bCs w:val="0"/>
          <w:color w:val="000000"/>
        </w:rPr>
        <w:t>财</w:t>
      </w:r>
      <w:r>
        <w:rPr>
          <w:rStyle w:val="17"/>
          <w:rFonts w:hint="eastAsia" w:ascii="仿宋_GB2312" w:hAnsi="仿宋" w:eastAsia="仿宋_GB2312" w:cs="仿宋_GB2312"/>
          <w:b w:val="0"/>
          <w:bCs w:val="0"/>
        </w:rPr>
        <w:t>政拨款收入支出决算总表</w:t>
      </w:r>
      <w:bookmarkEnd w:id="64"/>
    </w:p>
    <w:p>
      <w:pPr>
        <w:pStyle w:val="3"/>
        <w:spacing w:before="0" w:after="0" w:line="576" w:lineRule="exact"/>
        <w:rPr>
          <w:rFonts w:ascii="仿宋_GB2312" w:hAnsi="仿宋" w:eastAsia="仿宋_GB2312" w:cs="Times New Roman"/>
          <w:color w:val="000000"/>
        </w:rPr>
      </w:pPr>
      <w:bookmarkStart w:id="65" w:name="_Toc15396623"/>
      <w:r>
        <w:rPr>
          <w:rStyle w:val="17"/>
          <w:rFonts w:hint="eastAsia" w:ascii="仿宋_GB2312" w:hAnsi="仿宋" w:eastAsia="仿宋_GB2312" w:cs="仿宋_GB2312"/>
          <w:b w:val="0"/>
          <w:bCs w:val="0"/>
        </w:rPr>
        <w:t>五、</w:t>
      </w:r>
      <w:r>
        <w:rPr>
          <w:rFonts w:hint="eastAsia" w:ascii="仿宋_GB2312" w:hAnsi="仿宋" w:eastAsia="仿宋_GB2312" w:cs="仿宋_GB2312"/>
          <w:b w:val="0"/>
          <w:bCs w:val="0"/>
          <w:color w:val="000000"/>
        </w:rPr>
        <w:t>财</w:t>
      </w:r>
      <w:r>
        <w:rPr>
          <w:rStyle w:val="17"/>
          <w:rFonts w:hint="eastAsia" w:ascii="仿宋_GB2312" w:hAnsi="仿宋" w:eastAsia="仿宋_GB2312" w:cs="仿宋_GB2312"/>
          <w:b w:val="0"/>
          <w:bCs w:val="0"/>
        </w:rPr>
        <w:t>政拨款支出决算明细表（政府经济分类科目）</w:t>
      </w:r>
      <w:bookmarkEnd w:id="65"/>
    </w:p>
    <w:p>
      <w:pPr>
        <w:pStyle w:val="3"/>
        <w:spacing w:before="0" w:after="0" w:line="576" w:lineRule="exact"/>
        <w:rPr>
          <w:rFonts w:ascii="仿宋_GB2312" w:hAnsi="仿宋" w:eastAsia="仿宋_GB2312" w:cs="Times New Roman"/>
          <w:color w:val="000000"/>
        </w:rPr>
      </w:pPr>
      <w:bookmarkStart w:id="66" w:name="_Toc15396624"/>
      <w:r>
        <w:rPr>
          <w:rStyle w:val="17"/>
          <w:rFonts w:hint="eastAsia" w:ascii="仿宋_GB2312" w:hAnsi="仿宋" w:eastAsia="仿宋_GB2312" w:cs="仿宋_GB2312"/>
          <w:b w:val="0"/>
          <w:bCs w:val="0"/>
        </w:rPr>
        <w:t>六、</w:t>
      </w:r>
      <w:r>
        <w:rPr>
          <w:rFonts w:hint="eastAsia" w:ascii="仿宋_GB2312" w:hAnsi="仿宋" w:eastAsia="仿宋_GB2312" w:cs="仿宋_GB2312"/>
          <w:b w:val="0"/>
          <w:bCs w:val="0"/>
          <w:color w:val="000000"/>
        </w:rPr>
        <w:t>一</w:t>
      </w:r>
      <w:r>
        <w:rPr>
          <w:rStyle w:val="17"/>
          <w:rFonts w:hint="eastAsia" w:ascii="仿宋_GB2312" w:hAnsi="仿宋" w:eastAsia="仿宋_GB2312" w:cs="仿宋_GB2312"/>
          <w:b w:val="0"/>
          <w:bCs w:val="0"/>
        </w:rPr>
        <w:t>般公共预算财政拨款支出决算表</w:t>
      </w:r>
      <w:bookmarkEnd w:id="66"/>
    </w:p>
    <w:p>
      <w:pPr>
        <w:pStyle w:val="3"/>
        <w:spacing w:before="0" w:after="0" w:line="576" w:lineRule="exact"/>
        <w:rPr>
          <w:rFonts w:ascii="仿宋_GB2312" w:hAnsi="仿宋" w:eastAsia="仿宋_GB2312" w:cs="Times New Roman"/>
          <w:color w:val="000000"/>
        </w:rPr>
      </w:pPr>
      <w:bookmarkStart w:id="67" w:name="_Toc15396625"/>
      <w:r>
        <w:rPr>
          <w:rStyle w:val="17"/>
          <w:rFonts w:hint="eastAsia" w:ascii="仿宋_GB2312" w:hAnsi="仿宋" w:eastAsia="仿宋_GB2312" w:cs="仿宋_GB2312"/>
          <w:b w:val="0"/>
          <w:bCs w:val="0"/>
        </w:rPr>
        <w:t>七、</w:t>
      </w:r>
      <w:r>
        <w:rPr>
          <w:rFonts w:hint="eastAsia" w:ascii="仿宋_GB2312" w:hAnsi="仿宋" w:eastAsia="仿宋_GB2312" w:cs="仿宋_GB2312"/>
          <w:b w:val="0"/>
          <w:bCs w:val="0"/>
          <w:color w:val="000000"/>
        </w:rPr>
        <w:t>一</w:t>
      </w:r>
      <w:r>
        <w:rPr>
          <w:rStyle w:val="17"/>
          <w:rFonts w:hint="eastAsia" w:ascii="仿宋_GB2312" w:hAnsi="仿宋" w:eastAsia="仿宋_GB2312" w:cs="仿宋_GB2312"/>
          <w:b w:val="0"/>
          <w:bCs w:val="0"/>
        </w:rPr>
        <w:t>般公共预算财政拨款支出决算明细表</w:t>
      </w:r>
      <w:bookmarkEnd w:id="67"/>
    </w:p>
    <w:p>
      <w:pPr>
        <w:pStyle w:val="3"/>
        <w:spacing w:before="0" w:after="0" w:line="576" w:lineRule="exact"/>
        <w:rPr>
          <w:rFonts w:ascii="仿宋_GB2312" w:hAnsi="仿宋" w:eastAsia="仿宋_GB2312" w:cs="Times New Roman"/>
          <w:color w:val="000000"/>
        </w:rPr>
      </w:pPr>
      <w:bookmarkStart w:id="68" w:name="_Toc15396626"/>
      <w:r>
        <w:rPr>
          <w:rStyle w:val="17"/>
          <w:rFonts w:hint="eastAsia" w:ascii="仿宋_GB2312" w:hAnsi="仿宋" w:eastAsia="仿宋_GB2312" w:cs="仿宋_GB2312"/>
          <w:b w:val="0"/>
          <w:bCs w:val="0"/>
        </w:rPr>
        <w:t>八、</w:t>
      </w:r>
      <w:r>
        <w:rPr>
          <w:rFonts w:hint="eastAsia" w:ascii="仿宋_GB2312" w:hAnsi="仿宋" w:eastAsia="仿宋_GB2312" w:cs="仿宋_GB2312"/>
          <w:b w:val="0"/>
          <w:bCs w:val="0"/>
          <w:color w:val="000000"/>
        </w:rPr>
        <w:t>一</w:t>
      </w:r>
      <w:r>
        <w:rPr>
          <w:rStyle w:val="17"/>
          <w:rFonts w:hint="eastAsia" w:ascii="仿宋_GB2312" w:hAnsi="仿宋" w:eastAsia="仿宋_GB2312" w:cs="仿宋_GB2312"/>
          <w:b w:val="0"/>
          <w:bCs w:val="0"/>
        </w:rPr>
        <w:t>般公共预算财政拨款基本支出决算表</w:t>
      </w:r>
      <w:bookmarkEnd w:id="68"/>
    </w:p>
    <w:p>
      <w:pPr>
        <w:pStyle w:val="3"/>
        <w:spacing w:before="0" w:after="0" w:line="576" w:lineRule="exact"/>
        <w:rPr>
          <w:rFonts w:ascii="仿宋_GB2312" w:hAnsi="仿宋" w:eastAsia="仿宋_GB2312" w:cs="Times New Roman"/>
          <w:color w:val="000000"/>
        </w:rPr>
      </w:pPr>
      <w:bookmarkStart w:id="69" w:name="_Toc15396627"/>
      <w:r>
        <w:rPr>
          <w:rStyle w:val="17"/>
          <w:rFonts w:hint="eastAsia" w:ascii="仿宋_GB2312" w:hAnsi="仿宋" w:eastAsia="仿宋_GB2312" w:cs="仿宋_GB2312"/>
          <w:b w:val="0"/>
          <w:bCs w:val="0"/>
        </w:rPr>
        <w:t>九、</w:t>
      </w:r>
      <w:r>
        <w:rPr>
          <w:rFonts w:hint="eastAsia" w:ascii="仿宋_GB2312" w:hAnsi="仿宋" w:eastAsia="仿宋_GB2312" w:cs="仿宋_GB2312"/>
          <w:b w:val="0"/>
          <w:bCs w:val="0"/>
          <w:color w:val="000000"/>
        </w:rPr>
        <w:t>一</w:t>
      </w:r>
      <w:r>
        <w:rPr>
          <w:rStyle w:val="17"/>
          <w:rFonts w:hint="eastAsia" w:ascii="仿宋_GB2312" w:hAnsi="仿宋" w:eastAsia="仿宋_GB2312" w:cs="仿宋_GB2312"/>
          <w:b w:val="0"/>
          <w:bCs w:val="0"/>
        </w:rPr>
        <w:t>般公共预算财政拨款项目支出决算表</w:t>
      </w:r>
      <w:bookmarkEnd w:id="69"/>
    </w:p>
    <w:p>
      <w:pPr>
        <w:pStyle w:val="3"/>
        <w:spacing w:before="0" w:after="0" w:line="576" w:lineRule="exact"/>
        <w:rPr>
          <w:rFonts w:ascii="仿宋_GB2312" w:hAnsi="仿宋" w:eastAsia="仿宋_GB2312" w:cs="Times New Roman"/>
          <w:color w:val="000000"/>
        </w:rPr>
      </w:pPr>
      <w:bookmarkStart w:id="70" w:name="_Toc15396628"/>
      <w:r>
        <w:rPr>
          <w:rStyle w:val="17"/>
          <w:rFonts w:hint="eastAsia" w:ascii="仿宋_GB2312" w:hAnsi="仿宋" w:eastAsia="仿宋_GB2312" w:cs="仿宋_GB2312"/>
          <w:b w:val="0"/>
          <w:bCs w:val="0"/>
        </w:rPr>
        <w:t>十、</w:t>
      </w:r>
      <w:r>
        <w:rPr>
          <w:rFonts w:hint="eastAsia" w:ascii="仿宋_GB2312" w:hAnsi="仿宋" w:eastAsia="仿宋_GB2312" w:cs="仿宋_GB2312"/>
          <w:b w:val="0"/>
          <w:bCs w:val="0"/>
          <w:color w:val="000000"/>
        </w:rPr>
        <w:t>一</w:t>
      </w:r>
      <w:r>
        <w:rPr>
          <w:rStyle w:val="17"/>
          <w:rFonts w:hint="eastAsia" w:ascii="仿宋_GB2312" w:hAnsi="仿宋" w:eastAsia="仿宋_GB2312" w:cs="仿宋_GB2312"/>
          <w:b w:val="0"/>
          <w:bCs w:val="0"/>
        </w:rPr>
        <w:t>般公共预算财政拨款“三公”经费支出决算表</w:t>
      </w:r>
      <w:bookmarkEnd w:id="70"/>
    </w:p>
    <w:p>
      <w:pPr>
        <w:pStyle w:val="3"/>
        <w:spacing w:before="0" w:after="0" w:line="576" w:lineRule="exact"/>
        <w:rPr>
          <w:rFonts w:ascii="仿宋_GB2312" w:hAnsi="仿宋" w:eastAsia="仿宋_GB2312" w:cs="Times New Roman"/>
          <w:color w:val="000000"/>
        </w:rPr>
      </w:pPr>
      <w:bookmarkStart w:id="71" w:name="_Toc15396629"/>
      <w:r>
        <w:rPr>
          <w:rStyle w:val="17"/>
          <w:rFonts w:hint="eastAsia" w:ascii="仿宋_GB2312" w:hAnsi="仿宋" w:eastAsia="仿宋_GB2312" w:cs="仿宋_GB2312"/>
          <w:b w:val="0"/>
          <w:bCs w:val="0"/>
        </w:rPr>
        <w:t>十一、</w:t>
      </w:r>
      <w:r>
        <w:rPr>
          <w:rFonts w:hint="eastAsia" w:ascii="仿宋_GB2312" w:hAnsi="仿宋" w:eastAsia="仿宋_GB2312" w:cs="仿宋_GB2312"/>
          <w:b w:val="0"/>
          <w:bCs w:val="0"/>
          <w:color w:val="000000"/>
        </w:rPr>
        <w:t>政</w:t>
      </w:r>
      <w:r>
        <w:rPr>
          <w:rStyle w:val="17"/>
          <w:rFonts w:hint="eastAsia" w:ascii="仿宋_GB2312" w:hAnsi="仿宋" w:eastAsia="仿宋_GB2312" w:cs="仿宋_GB2312"/>
          <w:b w:val="0"/>
          <w:bCs w:val="0"/>
        </w:rPr>
        <w:t>府性基金预算财政拨款收入支出决算表</w:t>
      </w:r>
      <w:bookmarkEnd w:id="71"/>
    </w:p>
    <w:p>
      <w:pPr>
        <w:pStyle w:val="3"/>
        <w:spacing w:before="0" w:after="0" w:line="576" w:lineRule="exact"/>
        <w:rPr>
          <w:rFonts w:ascii="仿宋_GB2312" w:hAnsi="仿宋" w:eastAsia="仿宋_GB2312" w:cs="Times New Roman"/>
          <w:color w:val="000000"/>
        </w:rPr>
      </w:pPr>
      <w:bookmarkStart w:id="72" w:name="_Toc15396630"/>
      <w:r>
        <w:rPr>
          <w:rStyle w:val="17"/>
          <w:rFonts w:hint="eastAsia" w:ascii="仿宋_GB2312" w:hAnsi="仿宋" w:eastAsia="仿宋_GB2312" w:cs="仿宋_GB2312"/>
          <w:b w:val="0"/>
          <w:bCs w:val="0"/>
        </w:rPr>
        <w:t>十二、</w:t>
      </w:r>
      <w:r>
        <w:rPr>
          <w:rFonts w:hint="eastAsia" w:ascii="仿宋_GB2312" w:hAnsi="仿宋" w:eastAsia="仿宋_GB2312" w:cs="仿宋_GB2312"/>
          <w:b w:val="0"/>
          <w:bCs w:val="0"/>
          <w:color w:val="000000"/>
        </w:rPr>
        <w:t>政</w:t>
      </w:r>
      <w:r>
        <w:rPr>
          <w:rStyle w:val="17"/>
          <w:rFonts w:hint="eastAsia" w:ascii="仿宋_GB2312" w:hAnsi="仿宋" w:eastAsia="仿宋_GB2312" w:cs="仿宋_GB2312"/>
          <w:b w:val="0"/>
          <w:bCs w:val="0"/>
        </w:rPr>
        <w:t>府性基金预算财政拨款“三公”经费支出决算表</w:t>
      </w:r>
      <w:bookmarkEnd w:id="72"/>
    </w:p>
    <w:p>
      <w:pPr>
        <w:pStyle w:val="3"/>
        <w:spacing w:before="0" w:after="0" w:line="576" w:lineRule="exact"/>
        <w:rPr>
          <w:rStyle w:val="17"/>
          <w:rFonts w:ascii="仿宋_GB2312" w:hAnsi="仿宋" w:eastAsia="仿宋_GB2312" w:cs="Times New Roman"/>
          <w:b w:val="0"/>
          <w:bCs w:val="0"/>
        </w:rPr>
      </w:pPr>
      <w:bookmarkStart w:id="73" w:name="_Toc15396631"/>
      <w:r>
        <w:rPr>
          <w:rStyle w:val="17"/>
          <w:rFonts w:hint="eastAsia" w:ascii="仿宋_GB2312" w:hAnsi="仿宋" w:eastAsia="仿宋_GB2312" w:cs="仿宋_GB2312"/>
          <w:b w:val="0"/>
          <w:bCs w:val="0"/>
        </w:rPr>
        <w:t>十三、</w:t>
      </w:r>
      <w:r>
        <w:rPr>
          <w:rFonts w:hint="eastAsia" w:ascii="仿宋_GB2312" w:hAnsi="仿宋" w:eastAsia="仿宋_GB2312" w:cs="仿宋_GB2312"/>
          <w:b w:val="0"/>
          <w:bCs w:val="0"/>
          <w:color w:val="000000"/>
        </w:rPr>
        <w:t>国</w:t>
      </w:r>
      <w:r>
        <w:rPr>
          <w:rStyle w:val="17"/>
          <w:rFonts w:hint="eastAsia" w:ascii="仿宋_GB2312" w:hAnsi="仿宋" w:eastAsia="仿宋_GB2312" w:cs="仿宋_GB2312"/>
          <w:b w:val="0"/>
          <w:bCs w:val="0"/>
        </w:rPr>
        <w:t>有资本经营预算支出决算表</w:t>
      </w:r>
      <w:bookmarkEnd w:id="73"/>
    </w:p>
    <w:p>
      <w:pPr>
        <w:rPr>
          <w:rFonts w:eastAsia="仿宋"/>
          <w:b/>
          <w:bCs/>
        </w:rPr>
      </w:pPr>
    </w:p>
    <w:sectPr>
      <w:footerReference r:id="rId10" w:type="first"/>
      <w:footerReference r:id="rId9" w:type="default"/>
      <w:pgSz w:w="11906" w:h="16838"/>
      <w:pgMar w:top="1440" w:right="1800" w:bottom="1440" w:left="1800" w:header="851" w:footer="992" w:gutter="0"/>
      <w:pgNumType w:start="27"/>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jc w:val="center"/>
                </w:pPr>
                <w:r>
                  <w:fldChar w:fldCharType="begin"/>
                </w:r>
                <w:r>
                  <w:instrText xml:space="preserve">PAGE   \* MERGEFORMAT</w:instrText>
                </w:r>
                <w:r>
                  <w:fldChar w:fldCharType="separate"/>
                </w:r>
                <w:r>
                  <w:rPr>
                    <w:lang w:val="zh-CN"/>
                  </w:rPr>
                  <w:t>14</w:t>
                </w:r>
                <w:r>
                  <w:rPr>
                    <w:lang w:val="zh-CN"/>
                  </w:rPr>
                  <w:fldChar w:fldCharType="end"/>
                </w:r>
              </w:p>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8"/>
                  <w:jc w:val="center"/>
                </w:pPr>
                <w:r>
                  <w:fldChar w:fldCharType="begin"/>
                </w:r>
                <w:r>
                  <w:instrText xml:space="preserve">PAGE   \* MERGEFORMAT</w:instrText>
                </w:r>
                <w:r>
                  <w:fldChar w:fldCharType="separate"/>
                </w:r>
                <w:r>
                  <w:rPr>
                    <w:lang w:val="zh-CN"/>
                  </w:rPr>
                  <w:t>26</w:t>
                </w:r>
                <w:r>
                  <w:rPr>
                    <w:lang w:val="zh-CN"/>
                  </w:rPr>
                  <w:fldChar w:fldCharType="end"/>
                </w:r>
              </w:p>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2" o:spid="_x0000_s205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53" o:spid="_x0000_s2053"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8"/>
                  <w:jc w:val="center"/>
                </w:pPr>
                <w:r>
                  <w:fldChar w:fldCharType="begin"/>
                </w:r>
                <w:r>
                  <w:instrText xml:space="preserve">PAGE   \* MERGEFORMAT</w:instrText>
                </w:r>
                <w:r>
                  <w:fldChar w:fldCharType="separate"/>
                </w:r>
                <w:r>
                  <w:rPr>
                    <w:lang w:val="zh-CN"/>
                  </w:rPr>
                  <w:t>4</w:t>
                </w:r>
                <w:r>
                  <w:fldChar w:fldCharType="end"/>
                </w:r>
              </w:p>
              <w:p/>
            </w:txbxContent>
          </v:textbox>
        </v:shape>
      </w:pic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4" o:spid="_x0000_s2054"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110EB"/>
    <w:rsid w:val="000222C6"/>
    <w:rsid w:val="0002549F"/>
    <w:rsid w:val="000518C8"/>
    <w:rsid w:val="00062A48"/>
    <w:rsid w:val="0006487A"/>
    <w:rsid w:val="00065578"/>
    <w:rsid w:val="00065F8F"/>
    <w:rsid w:val="000768F2"/>
    <w:rsid w:val="00084398"/>
    <w:rsid w:val="0009184B"/>
    <w:rsid w:val="0009593C"/>
    <w:rsid w:val="000A07BA"/>
    <w:rsid w:val="000B047F"/>
    <w:rsid w:val="000B5923"/>
    <w:rsid w:val="000B5A48"/>
    <w:rsid w:val="000B6FF3"/>
    <w:rsid w:val="000C3467"/>
    <w:rsid w:val="000C3CA6"/>
    <w:rsid w:val="000D1267"/>
    <w:rsid w:val="000D1D50"/>
    <w:rsid w:val="000D5782"/>
    <w:rsid w:val="000E5279"/>
    <w:rsid w:val="000E6613"/>
    <w:rsid w:val="000E7119"/>
    <w:rsid w:val="00114E9B"/>
    <w:rsid w:val="00117F80"/>
    <w:rsid w:val="0014729F"/>
    <w:rsid w:val="00157BAB"/>
    <w:rsid w:val="001654D1"/>
    <w:rsid w:val="0018106D"/>
    <w:rsid w:val="001846E5"/>
    <w:rsid w:val="001877A7"/>
    <w:rsid w:val="00191536"/>
    <w:rsid w:val="00196687"/>
    <w:rsid w:val="001A5464"/>
    <w:rsid w:val="001C0962"/>
    <w:rsid w:val="001C53DB"/>
    <w:rsid w:val="001D7531"/>
    <w:rsid w:val="001E737D"/>
    <w:rsid w:val="001F0592"/>
    <w:rsid w:val="001F45CA"/>
    <w:rsid w:val="001F7506"/>
    <w:rsid w:val="002006CD"/>
    <w:rsid w:val="00202B36"/>
    <w:rsid w:val="00204B7A"/>
    <w:rsid w:val="0021101A"/>
    <w:rsid w:val="00220536"/>
    <w:rsid w:val="00235629"/>
    <w:rsid w:val="00240D02"/>
    <w:rsid w:val="002418E4"/>
    <w:rsid w:val="00252A0E"/>
    <w:rsid w:val="002600C5"/>
    <w:rsid w:val="00260C38"/>
    <w:rsid w:val="002616C0"/>
    <w:rsid w:val="002662AA"/>
    <w:rsid w:val="00270496"/>
    <w:rsid w:val="00280496"/>
    <w:rsid w:val="00295495"/>
    <w:rsid w:val="002B2613"/>
    <w:rsid w:val="002D3345"/>
    <w:rsid w:val="002F1818"/>
    <w:rsid w:val="002F567B"/>
    <w:rsid w:val="0030127E"/>
    <w:rsid w:val="003060F0"/>
    <w:rsid w:val="0031782B"/>
    <w:rsid w:val="003216A9"/>
    <w:rsid w:val="0037013F"/>
    <w:rsid w:val="00380A68"/>
    <w:rsid w:val="00380C92"/>
    <w:rsid w:val="003A484F"/>
    <w:rsid w:val="003B0BE0"/>
    <w:rsid w:val="003B0C1B"/>
    <w:rsid w:val="003B688C"/>
    <w:rsid w:val="003C0291"/>
    <w:rsid w:val="003C39AE"/>
    <w:rsid w:val="003C7B60"/>
    <w:rsid w:val="003D1FB2"/>
    <w:rsid w:val="003D2B09"/>
    <w:rsid w:val="003D40B1"/>
    <w:rsid w:val="003D66DA"/>
    <w:rsid w:val="003E0380"/>
    <w:rsid w:val="003E1310"/>
    <w:rsid w:val="003E6F55"/>
    <w:rsid w:val="003F2C53"/>
    <w:rsid w:val="00406254"/>
    <w:rsid w:val="004071D6"/>
    <w:rsid w:val="004133D6"/>
    <w:rsid w:val="00420299"/>
    <w:rsid w:val="004223DE"/>
    <w:rsid w:val="00433347"/>
    <w:rsid w:val="00434489"/>
    <w:rsid w:val="00437085"/>
    <w:rsid w:val="00443880"/>
    <w:rsid w:val="004464F4"/>
    <w:rsid w:val="00454BE0"/>
    <w:rsid w:val="00470A04"/>
    <w:rsid w:val="00471401"/>
    <w:rsid w:val="00473F31"/>
    <w:rsid w:val="0048263A"/>
    <w:rsid w:val="00487E5D"/>
    <w:rsid w:val="004A711F"/>
    <w:rsid w:val="004B199D"/>
    <w:rsid w:val="004B4690"/>
    <w:rsid w:val="004B62EE"/>
    <w:rsid w:val="004E0A2D"/>
    <w:rsid w:val="004E206B"/>
    <w:rsid w:val="004E6DF7"/>
    <w:rsid w:val="004F0FBD"/>
    <w:rsid w:val="004F5D9B"/>
    <w:rsid w:val="00505A47"/>
    <w:rsid w:val="0050649E"/>
    <w:rsid w:val="00512FDA"/>
    <w:rsid w:val="00515BEC"/>
    <w:rsid w:val="00517C44"/>
    <w:rsid w:val="00520DA0"/>
    <w:rsid w:val="00523328"/>
    <w:rsid w:val="00535BC0"/>
    <w:rsid w:val="00552099"/>
    <w:rsid w:val="005664BB"/>
    <w:rsid w:val="005710BD"/>
    <w:rsid w:val="0057481D"/>
    <w:rsid w:val="0058486E"/>
    <w:rsid w:val="005B1C93"/>
    <w:rsid w:val="005C4352"/>
    <w:rsid w:val="005D1C8B"/>
    <w:rsid w:val="005D5CED"/>
    <w:rsid w:val="005E4768"/>
    <w:rsid w:val="005F1A4C"/>
    <w:rsid w:val="00605688"/>
    <w:rsid w:val="006070AF"/>
    <w:rsid w:val="00607E6C"/>
    <w:rsid w:val="006101B1"/>
    <w:rsid w:val="00614E44"/>
    <w:rsid w:val="0061527D"/>
    <w:rsid w:val="006172B7"/>
    <w:rsid w:val="00622830"/>
    <w:rsid w:val="00623CED"/>
    <w:rsid w:val="006262FE"/>
    <w:rsid w:val="00630AEF"/>
    <w:rsid w:val="006325F8"/>
    <w:rsid w:val="00634A82"/>
    <w:rsid w:val="00634C9A"/>
    <w:rsid w:val="006440E4"/>
    <w:rsid w:val="0066343B"/>
    <w:rsid w:val="00664777"/>
    <w:rsid w:val="0067120B"/>
    <w:rsid w:val="006748A4"/>
    <w:rsid w:val="00674E2B"/>
    <w:rsid w:val="00683E73"/>
    <w:rsid w:val="00685372"/>
    <w:rsid w:val="006910E3"/>
    <w:rsid w:val="00695345"/>
    <w:rsid w:val="006970BB"/>
    <w:rsid w:val="006A3141"/>
    <w:rsid w:val="006A5E34"/>
    <w:rsid w:val="006B2422"/>
    <w:rsid w:val="006B2B9A"/>
    <w:rsid w:val="006C1937"/>
    <w:rsid w:val="006E5981"/>
    <w:rsid w:val="006E5E94"/>
    <w:rsid w:val="006F020C"/>
    <w:rsid w:val="006F778E"/>
    <w:rsid w:val="00701E01"/>
    <w:rsid w:val="00711F64"/>
    <w:rsid w:val="007127B7"/>
    <w:rsid w:val="00727895"/>
    <w:rsid w:val="007416B6"/>
    <w:rsid w:val="00746F48"/>
    <w:rsid w:val="0075404D"/>
    <w:rsid w:val="0076182A"/>
    <w:rsid w:val="00767B7E"/>
    <w:rsid w:val="007770C3"/>
    <w:rsid w:val="00784D24"/>
    <w:rsid w:val="00785FBA"/>
    <w:rsid w:val="00786E4A"/>
    <w:rsid w:val="007875EB"/>
    <w:rsid w:val="00787C2A"/>
    <w:rsid w:val="0079426B"/>
    <w:rsid w:val="007A683D"/>
    <w:rsid w:val="007B63DA"/>
    <w:rsid w:val="007D1E6B"/>
    <w:rsid w:val="007D312A"/>
    <w:rsid w:val="007D3F19"/>
    <w:rsid w:val="007D7806"/>
    <w:rsid w:val="007E23B0"/>
    <w:rsid w:val="007F1991"/>
    <w:rsid w:val="007F2C2F"/>
    <w:rsid w:val="007F55FC"/>
    <w:rsid w:val="007F5665"/>
    <w:rsid w:val="00800112"/>
    <w:rsid w:val="008253BB"/>
    <w:rsid w:val="0083706E"/>
    <w:rsid w:val="008423A5"/>
    <w:rsid w:val="00850625"/>
    <w:rsid w:val="00853718"/>
    <w:rsid w:val="00855221"/>
    <w:rsid w:val="00860645"/>
    <w:rsid w:val="00863CAE"/>
    <w:rsid w:val="00871F71"/>
    <w:rsid w:val="00876A6C"/>
    <w:rsid w:val="00881C13"/>
    <w:rsid w:val="00885AF4"/>
    <w:rsid w:val="0088740B"/>
    <w:rsid w:val="008939CD"/>
    <w:rsid w:val="00893C35"/>
    <w:rsid w:val="008A26D3"/>
    <w:rsid w:val="008B768C"/>
    <w:rsid w:val="008C4DB1"/>
    <w:rsid w:val="008C4EAF"/>
    <w:rsid w:val="008C5176"/>
    <w:rsid w:val="008C7FD0"/>
    <w:rsid w:val="008E1DE7"/>
    <w:rsid w:val="008E707C"/>
    <w:rsid w:val="008F3747"/>
    <w:rsid w:val="00900B08"/>
    <w:rsid w:val="00902155"/>
    <w:rsid w:val="00902FA3"/>
    <w:rsid w:val="00923564"/>
    <w:rsid w:val="0092392E"/>
    <w:rsid w:val="00930E68"/>
    <w:rsid w:val="009315F9"/>
    <w:rsid w:val="0093176D"/>
    <w:rsid w:val="00935F15"/>
    <w:rsid w:val="00946945"/>
    <w:rsid w:val="00951248"/>
    <w:rsid w:val="0095152F"/>
    <w:rsid w:val="00954C49"/>
    <w:rsid w:val="009637C9"/>
    <w:rsid w:val="0097099F"/>
    <w:rsid w:val="00971997"/>
    <w:rsid w:val="00971FFC"/>
    <w:rsid w:val="00981A03"/>
    <w:rsid w:val="0098660A"/>
    <w:rsid w:val="00987C9F"/>
    <w:rsid w:val="009931C3"/>
    <w:rsid w:val="009B2C43"/>
    <w:rsid w:val="009B4EAE"/>
    <w:rsid w:val="009B7573"/>
    <w:rsid w:val="009C22F4"/>
    <w:rsid w:val="009C2E98"/>
    <w:rsid w:val="009C58C1"/>
    <w:rsid w:val="009D3447"/>
    <w:rsid w:val="009D4711"/>
    <w:rsid w:val="009F1185"/>
    <w:rsid w:val="009F18CD"/>
    <w:rsid w:val="009F2A13"/>
    <w:rsid w:val="00A04EB0"/>
    <w:rsid w:val="00A10421"/>
    <w:rsid w:val="00A13CC1"/>
    <w:rsid w:val="00A16847"/>
    <w:rsid w:val="00A237D8"/>
    <w:rsid w:val="00A268C4"/>
    <w:rsid w:val="00A307CD"/>
    <w:rsid w:val="00A318E1"/>
    <w:rsid w:val="00A40A00"/>
    <w:rsid w:val="00A4142F"/>
    <w:rsid w:val="00A46781"/>
    <w:rsid w:val="00A56DF2"/>
    <w:rsid w:val="00A67AB5"/>
    <w:rsid w:val="00A83F35"/>
    <w:rsid w:val="00A91760"/>
    <w:rsid w:val="00A93B00"/>
    <w:rsid w:val="00A93C21"/>
    <w:rsid w:val="00AA2D0B"/>
    <w:rsid w:val="00AB7919"/>
    <w:rsid w:val="00AC3C6A"/>
    <w:rsid w:val="00AD5620"/>
    <w:rsid w:val="00AD7C1B"/>
    <w:rsid w:val="00AE16BA"/>
    <w:rsid w:val="00AE1EBE"/>
    <w:rsid w:val="00B03C9D"/>
    <w:rsid w:val="00B060AE"/>
    <w:rsid w:val="00B10517"/>
    <w:rsid w:val="00B13363"/>
    <w:rsid w:val="00B14E76"/>
    <w:rsid w:val="00B161B8"/>
    <w:rsid w:val="00B2048C"/>
    <w:rsid w:val="00B310B9"/>
    <w:rsid w:val="00B34429"/>
    <w:rsid w:val="00B35F3F"/>
    <w:rsid w:val="00B36CBB"/>
    <w:rsid w:val="00B41EBE"/>
    <w:rsid w:val="00B425E0"/>
    <w:rsid w:val="00B42676"/>
    <w:rsid w:val="00B440AA"/>
    <w:rsid w:val="00B44B70"/>
    <w:rsid w:val="00B53C56"/>
    <w:rsid w:val="00B56A92"/>
    <w:rsid w:val="00B71786"/>
    <w:rsid w:val="00B77EA6"/>
    <w:rsid w:val="00B81598"/>
    <w:rsid w:val="00B841F1"/>
    <w:rsid w:val="00B944D6"/>
    <w:rsid w:val="00BB4DF0"/>
    <w:rsid w:val="00BC289F"/>
    <w:rsid w:val="00BC5361"/>
    <w:rsid w:val="00BC5460"/>
    <w:rsid w:val="00BC6B50"/>
    <w:rsid w:val="00BD0E25"/>
    <w:rsid w:val="00BF5BD6"/>
    <w:rsid w:val="00BF6F26"/>
    <w:rsid w:val="00C03E31"/>
    <w:rsid w:val="00C33E72"/>
    <w:rsid w:val="00C354B2"/>
    <w:rsid w:val="00C35554"/>
    <w:rsid w:val="00C42709"/>
    <w:rsid w:val="00C533CC"/>
    <w:rsid w:val="00C56DE1"/>
    <w:rsid w:val="00C5751C"/>
    <w:rsid w:val="00C61BFC"/>
    <w:rsid w:val="00C62B85"/>
    <w:rsid w:val="00C65438"/>
    <w:rsid w:val="00C86404"/>
    <w:rsid w:val="00C91CBB"/>
    <w:rsid w:val="00CB5C73"/>
    <w:rsid w:val="00CC09B6"/>
    <w:rsid w:val="00CC666F"/>
    <w:rsid w:val="00CD1E3F"/>
    <w:rsid w:val="00CE44F6"/>
    <w:rsid w:val="00CE49DA"/>
    <w:rsid w:val="00CE7675"/>
    <w:rsid w:val="00CE76D3"/>
    <w:rsid w:val="00CE7B61"/>
    <w:rsid w:val="00D00095"/>
    <w:rsid w:val="00D204C8"/>
    <w:rsid w:val="00D20620"/>
    <w:rsid w:val="00D24BE6"/>
    <w:rsid w:val="00D26091"/>
    <w:rsid w:val="00D34E7C"/>
    <w:rsid w:val="00D35489"/>
    <w:rsid w:val="00D51276"/>
    <w:rsid w:val="00D61597"/>
    <w:rsid w:val="00D7035F"/>
    <w:rsid w:val="00D729BF"/>
    <w:rsid w:val="00D971A9"/>
    <w:rsid w:val="00DA65AC"/>
    <w:rsid w:val="00DB1913"/>
    <w:rsid w:val="00DC410D"/>
    <w:rsid w:val="00DC68CA"/>
    <w:rsid w:val="00DC7CBA"/>
    <w:rsid w:val="00DD30DB"/>
    <w:rsid w:val="00DD73B7"/>
    <w:rsid w:val="00DF28BC"/>
    <w:rsid w:val="00DF34B9"/>
    <w:rsid w:val="00E01053"/>
    <w:rsid w:val="00E0385C"/>
    <w:rsid w:val="00E07ACF"/>
    <w:rsid w:val="00E12496"/>
    <w:rsid w:val="00E27730"/>
    <w:rsid w:val="00E33030"/>
    <w:rsid w:val="00E331A1"/>
    <w:rsid w:val="00E33202"/>
    <w:rsid w:val="00E336A9"/>
    <w:rsid w:val="00E41157"/>
    <w:rsid w:val="00E50624"/>
    <w:rsid w:val="00E52953"/>
    <w:rsid w:val="00E568DF"/>
    <w:rsid w:val="00E64269"/>
    <w:rsid w:val="00E75CE5"/>
    <w:rsid w:val="00E82267"/>
    <w:rsid w:val="00E96614"/>
    <w:rsid w:val="00EA010F"/>
    <w:rsid w:val="00ED1B63"/>
    <w:rsid w:val="00ED3C1F"/>
    <w:rsid w:val="00ED4085"/>
    <w:rsid w:val="00ED420E"/>
    <w:rsid w:val="00EE2F57"/>
    <w:rsid w:val="00EF4C34"/>
    <w:rsid w:val="00EF77C6"/>
    <w:rsid w:val="00F05438"/>
    <w:rsid w:val="00F1361C"/>
    <w:rsid w:val="00F160C7"/>
    <w:rsid w:val="00F36D8F"/>
    <w:rsid w:val="00F417B1"/>
    <w:rsid w:val="00F454BD"/>
    <w:rsid w:val="00F521AB"/>
    <w:rsid w:val="00F5434A"/>
    <w:rsid w:val="00F602DF"/>
    <w:rsid w:val="00F7148D"/>
    <w:rsid w:val="00F81FD9"/>
    <w:rsid w:val="00F841AA"/>
    <w:rsid w:val="00FA0FAA"/>
    <w:rsid w:val="00FA23E8"/>
    <w:rsid w:val="00FD2A3E"/>
    <w:rsid w:val="00FD3CC1"/>
    <w:rsid w:val="00FF1E02"/>
    <w:rsid w:val="00FF30B4"/>
    <w:rsid w:val="00FF31D1"/>
    <w:rsid w:val="00FF7DDC"/>
    <w:rsid w:val="10C055FF"/>
    <w:rsid w:val="12487FC9"/>
    <w:rsid w:val="16BB723D"/>
    <w:rsid w:val="16FD4321"/>
    <w:rsid w:val="19A87CA6"/>
    <w:rsid w:val="232170B8"/>
    <w:rsid w:val="240371BF"/>
    <w:rsid w:val="29D23E1C"/>
    <w:rsid w:val="29FD04D3"/>
    <w:rsid w:val="318A4EF1"/>
    <w:rsid w:val="319F7F4E"/>
    <w:rsid w:val="36140248"/>
    <w:rsid w:val="3C2E1A26"/>
    <w:rsid w:val="3CA146B8"/>
    <w:rsid w:val="451F5975"/>
    <w:rsid w:val="4E0074C9"/>
    <w:rsid w:val="502C318C"/>
    <w:rsid w:val="5F984663"/>
    <w:rsid w:val="62400EBA"/>
    <w:rsid w:val="66B722A2"/>
    <w:rsid w:val="6FEE620E"/>
    <w:rsid w:val="75531F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uiPriority w:val="99"/>
    <w:pPr>
      <w:spacing w:beforeLines="30"/>
    </w:pPr>
    <w:rPr>
      <w:rFonts w:ascii="仿宋_GB2312" w:eastAsia="仿宋_GB2312" w:cs="仿宋_GB2312"/>
      <w:kern w:val="0"/>
      <w:sz w:val="24"/>
      <w:szCs w:val="24"/>
    </w:rPr>
  </w:style>
  <w:style w:type="paragraph" w:styleId="6">
    <w:name w:val="toc 3"/>
    <w:basedOn w:val="1"/>
    <w:next w:val="1"/>
    <w:semiHidden/>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uiPriority w:val="99"/>
    <w:pPr>
      <w:tabs>
        <w:tab w:val="right" w:leader="dot" w:pos="8296"/>
      </w:tabs>
      <w:ind w:left="420" w:leftChars="200"/>
    </w:pPr>
  </w:style>
  <w:style w:type="character" w:styleId="14">
    <w:name w:val="Strong"/>
    <w:basedOn w:val="13"/>
    <w:qFormat/>
    <w:uiPriority w:val="99"/>
    <w:rPr>
      <w:b/>
      <w:bCs/>
    </w:rPr>
  </w:style>
  <w:style w:type="character" w:styleId="15">
    <w:name w:val="Hyperlink"/>
    <w:basedOn w:val="13"/>
    <w:qFormat/>
    <w:uiPriority w:val="99"/>
    <w:rPr>
      <w:color w:val="0000FF"/>
      <w:u w:val="single"/>
    </w:rPr>
  </w:style>
  <w:style w:type="character" w:customStyle="1" w:styleId="16">
    <w:name w:val="标题 1 Char"/>
    <w:basedOn w:val="13"/>
    <w:link w:val="2"/>
    <w:qFormat/>
    <w:locked/>
    <w:uiPriority w:val="99"/>
    <w:rPr>
      <w:rFonts w:ascii="Times New Roman" w:hAnsi="Times New Roman" w:cs="Times New Roman"/>
      <w:b/>
      <w:bCs/>
      <w:kern w:val="44"/>
      <w:sz w:val="44"/>
      <w:szCs w:val="44"/>
    </w:rPr>
  </w:style>
  <w:style w:type="character" w:customStyle="1" w:styleId="17">
    <w:name w:val="标题 2 Char"/>
    <w:basedOn w:val="13"/>
    <w:link w:val="3"/>
    <w:qFormat/>
    <w:locked/>
    <w:uiPriority w:val="99"/>
    <w:rPr>
      <w:rFonts w:ascii="Cambria" w:hAnsi="Cambria" w:eastAsia="宋体" w:cs="Cambria"/>
      <w:b/>
      <w:bCs/>
      <w:kern w:val="2"/>
      <w:sz w:val="32"/>
      <w:szCs w:val="32"/>
    </w:rPr>
  </w:style>
  <w:style w:type="character" w:customStyle="1" w:styleId="18">
    <w:name w:val="标题 3 Char"/>
    <w:basedOn w:val="13"/>
    <w:link w:val="4"/>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uiPriority w:val="99"/>
    <w:rPr>
      <w:rFonts w:ascii="Times New Roman" w:hAnsi="Times New Roman" w:cs="Times New Roman"/>
      <w:sz w:val="24"/>
      <w:szCs w:val="24"/>
    </w:rPr>
  </w:style>
  <w:style w:type="character" w:customStyle="1" w:styleId="20">
    <w:name w:val="批注框文本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页眉 Char"/>
    <w:link w:val="9"/>
    <w:semiHidden/>
    <w:locked/>
    <w:uiPriority w:val="99"/>
    <w:rPr>
      <w:sz w:val="18"/>
      <w:szCs w:val="18"/>
    </w:rPr>
  </w:style>
  <w:style w:type="character" w:customStyle="1" w:styleId="24">
    <w:name w:val="页脚 Char"/>
    <w:link w:val="8"/>
    <w:qFormat/>
    <w:locked/>
    <w:uiPriority w:val="99"/>
    <w:rPr>
      <w:sz w:val="18"/>
      <w:szCs w:val="18"/>
    </w:rPr>
  </w:style>
  <w:style w:type="character" w:customStyle="1" w:styleId="25">
    <w:name w:val="正文文本 Char"/>
    <w:link w:val="5"/>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9">
    <w:name w:val="info1"/>
    <w:basedOn w:val="13"/>
    <w:qFormat/>
    <w:uiPriority w:val="99"/>
    <w:rPr>
      <w:spacing w:val="10"/>
      <w:sz w:val="14"/>
      <w:szCs w:val="14"/>
    </w:rPr>
  </w:style>
  <w:style w:type="character" w:customStyle="1" w:styleId="30">
    <w:name w:val="ca-1"/>
    <w:basedOn w:val="13"/>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emf"/><Relationship Id="rId22" Type="http://schemas.openxmlformats.org/officeDocument/2006/relationships/oleObject" Target="embeddings/oleObject6.bin"/><Relationship Id="rId21" Type="http://schemas.openxmlformats.org/officeDocument/2006/relationships/image" Target="media/image5.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4.bin"/><Relationship Id="rId17" Type="http://schemas.openxmlformats.org/officeDocument/2006/relationships/image" Target="media/image3.e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9544</Words>
  <Characters>2890</Characters>
  <Lines>24</Lines>
  <Paragraphs>24</Paragraphs>
  <TotalTime>118</TotalTime>
  <ScaleCrop>false</ScaleCrop>
  <LinksUpToDate>false</LinksUpToDate>
  <CharactersWithSpaces>12410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2019-09-20T03:22:00Z</dcterms:created>
  <dc:creator>张彬茜</dc:creator>
  <cp:lastModifiedBy>王琴</cp:lastModifiedBy>
  <cp:lastPrinted>2019-09-25T02:07:00Z</cp:lastPrinted>
  <dcterms:modified xsi:type="dcterms:W3CDTF">2021-06-04T08:02:42Z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