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outlineLvl w:val="0"/>
        <w:rPr>
          <w:rFonts w:ascii="方正小标宋简体" w:hAnsi="宋体" w:eastAsia="方正小标宋简体"/>
          <w:color w:val="000000"/>
          <w:sz w:val="72"/>
          <w:szCs w:val="72"/>
        </w:rPr>
      </w:pPr>
      <w:bookmarkStart w:id="0" w:name="_Toc15306267"/>
    </w:p>
    <w:p>
      <w:pPr>
        <w:spacing w:line="576" w:lineRule="exact"/>
        <w:jc w:val="center"/>
        <w:outlineLvl w:val="0"/>
        <w:rPr>
          <w:rFonts w:ascii="方正小标宋简体" w:hAnsi="宋体" w:eastAsia="方正小标宋简体"/>
          <w:color w:val="000000"/>
          <w:sz w:val="72"/>
          <w:szCs w:val="72"/>
        </w:rPr>
      </w:pPr>
    </w:p>
    <w:p>
      <w:pPr>
        <w:spacing w:line="576" w:lineRule="exact"/>
        <w:jc w:val="center"/>
        <w:outlineLvl w:val="0"/>
        <w:rPr>
          <w:rFonts w:ascii="方正小标宋简体" w:hAnsi="宋体" w:eastAsia="方正小标宋简体"/>
          <w:color w:val="000000"/>
          <w:sz w:val="72"/>
          <w:szCs w:val="72"/>
        </w:rPr>
      </w:pPr>
    </w:p>
    <w:p>
      <w:pPr>
        <w:jc w:val="center"/>
        <w:outlineLvl w:val="0"/>
        <w:rPr>
          <w:rFonts w:ascii="方正小标宋简体" w:hAnsi="宋体" w:eastAsia="方正小标宋简体"/>
          <w:color w:val="000000"/>
          <w:sz w:val="72"/>
          <w:szCs w:val="72"/>
        </w:rPr>
      </w:pPr>
    </w:p>
    <w:p>
      <w:pPr>
        <w:adjustRightInd w:val="0"/>
        <w:snapToGrid w:val="0"/>
        <w:jc w:val="center"/>
        <w:outlineLvl w:val="0"/>
        <w:rPr>
          <w:rFonts w:ascii="方正小标宋简体" w:hAnsi="宋体" w:eastAsia="方正小标宋简体"/>
          <w:color w:val="000000"/>
          <w:sz w:val="44"/>
          <w:szCs w:val="44"/>
        </w:rPr>
      </w:pPr>
      <w:bookmarkStart w:id="1" w:name="_Toc15377425"/>
      <w:bookmarkStart w:id="2" w:name="_Toc15378441"/>
      <w:bookmarkStart w:id="3" w:name="_Toc15396475"/>
      <w:bookmarkStart w:id="4" w:name="_Toc585"/>
      <w:bookmarkStart w:id="5" w:name="_Toc15396597"/>
      <w:bookmarkStart w:id="6" w:name="_Toc15377193"/>
      <w:r>
        <w:rPr>
          <w:rFonts w:ascii="黑体" w:hAnsi="黑体" w:eastAsia="黑体" w:cs="黑体"/>
          <w:color w:val="000000"/>
          <w:sz w:val="44"/>
          <w:szCs w:val="44"/>
        </w:rPr>
        <w:t>2020</w:t>
      </w:r>
      <w:r>
        <w:rPr>
          <w:rFonts w:hint="eastAsia" w:ascii="方正小标宋简体" w:hAnsi="宋体" w:eastAsia="方正小标宋简体" w:cs="方正小标宋简体"/>
          <w:color w:val="000000"/>
          <w:sz w:val="44"/>
          <w:szCs w:val="44"/>
        </w:rPr>
        <w:t>年度</w:t>
      </w:r>
      <w:bookmarkEnd w:id="1"/>
      <w:bookmarkEnd w:id="2"/>
      <w:bookmarkEnd w:id="3"/>
      <w:bookmarkEnd w:id="4"/>
      <w:bookmarkEnd w:id="5"/>
      <w:bookmarkEnd w:id="6"/>
      <w:bookmarkStart w:id="7" w:name="_Toc15377426"/>
      <w:bookmarkStart w:id="8" w:name="_Toc28937"/>
      <w:bookmarkStart w:id="9" w:name="_Toc15396598"/>
      <w:bookmarkStart w:id="10" w:name="_Toc15377194"/>
      <w:bookmarkStart w:id="11" w:name="_Toc15396476"/>
      <w:bookmarkStart w:id="12" w:name="_Toc15378442"/>
      <w:r>
        <w:rPr>
          <w:rFonts w:hint="eastAsia" w:ascii="方正小标宋简体" w:hAnsi="宋体" w:eastAsia="方正小标宋简体" w:cs="方正小标宋简体"/>
          <w:color w:val="000000"/>
          <w:sz w:val="44"/>
          <w:szCs w:val="44"/>
        </w:rPr>
        <w:t>四川省阿坝州</w:t>
      </w:r>
      <w:bookmarkEnd w:id="0"/>
      <w:bookmarkStart w:id="13" w:name="_Toc15306268"/>
      <w:r>
        <w:rPr>
          <w:rFonts w:hint="eastAsia" w:ascii="方正小标宋简体" w:hAnsi="宋体" w:eastAsia="方正小标宋简体" w:cs="方正小标宋简体"/>
          <w:color w:val="000000"/>
          <w:sz w:val="44"/>
          <w:szCs w:val="44"/>
        </w:rPr>
        <w:t>茂县政法委</w:t>
      </w:r>
    </w:p>
    <w:p>
      <w:pPr>
        <w:adjustRightInd w:val="0"/>
        <w:snapToGrid w:val="0"/>
        <w:jc w:val="center"/>
        <w:outlineLvl w:val="0"/>
        <w:rPr>
          <w:rFonts w:ascii="方正小标宋简体" w:hAnsi="宋体" w:eastAsia="方正小标宋简体"/>
          <w:color w:val="000000"/>
          <w:sz w:val="44"/>
          <w:szCs w:val="44"/>
        </w:rPr>
      </w:pPr>
      <w:r>
        <w:rPr>
          <w:rFonts w:hint="eastAsia" w:ascii="方正小标宋简体" w:hAnsi="宋体" w:eastAsia="方正小标宋简体" w:cs="方正小标宋简体"/>
          <w:color w:val="000000"/>
          <w:sz w:val="44"/>
          <w:szCs w:val="44"/>
        </w:rPr>
        <w:t>部门决算</w:t>
      </w:r>
      <w:bookmarkEnd w:id="7"/>
      <w:bookmarkEnd w:id="8"/>
      <w:bookmarkEnd w:id="9"/>
      <w:bookmarkEnd w:id="10"/>
      <w:bookmarkEnd w:id="11"/>
      <w:bookmarkEnd w:id="12"/>
      <w:bookmarkEnd w:id="13"/>
    </w:p>
    <w:p>
      <w:pPr>
        <w:widowControl/>
        <w:jc w:val="center"/>
        <w:rPr>
          <w:rFonts w:ascii="方正小标宋简体" w:hAnsi="宋体" w:eastAsia="方正小标宋简体"/>
          <w:color w:val="000000"/>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spacing w:line="576" w:lineRule="exact"/>
        <w:rPr>
          <w:rFonts w:ascii="方正小标宋简体" w:hAnsi="宋体" w:eastAsia="方正小标宋简体"/>
          <w:sz w:val="36"/>
          <w:szCs w:val="36"/>
        </w:rPr>
      </w:pPr>
    </w:p>
    <w:p>
      <w:pPr>
        <w:autoSpaceDE w:val="0"/>
        <w:autoSpaceDN w:val="0"/>
        <w:adjustRightInd w:val="0"/>
        <w:spacing w:line="576" w:lineRule="exact"/>
        <w:ind w:firstLine="1276"/>
        <w:jc w:val="left"/>
        <w:rPr>
          <w:rFonts w:eastAsia="仿宋_GB2312"/>
          <w:sz w:val="32"/>
          <w:szCs w:val="32"/>
        </w:rPr>
      </w:pPr>
      <w:r>
        <w:rPr>
          <w:rFonts w:hint="eastAsia" w:ascii="仿宋_GB2312" w:hAnsi="Calibri" w:eastAsia="仿宋_GB2312" w:cs="仿宋_GB2312"/>
          <w:sz w:val="32"/>
          <w:szCs w:val="32"/>
        </w:rPr>
        <w:t>保密审查情况：</w:t>
      </w:r>
    </w:p>
    <w:p>
      <w:pPr>
        <w:autoSpaceDE w:val="0"/>
        <w:autoSpaceDN w:val="0"/>
        <w:adjustRightInd w:val="0"/>
        <w:spacing w:line="576" w:lineRule="exact"/>
        <w:ind w:firstLine="1276"/>
        <w:jc w:val="left"/>
        <w:rPr>
          <w:rFonts w:eastAsia="仿宋_GB2312"/>
          <w:sz w:val="32"/>
          <w:szCs w:val="32"/>
        </w:rPr>
      </w:pPr>
      <w:r>
        <w:rPr>
          <w:rFonts w:hint="eastAsia" w:ascii="仿宋_GB2312" w:eastAsia="仿宋_GB2312" w:cs="仿宋_GB2312"/>
          <w:sz w:val="32"/>
          <w:szCs w:val="32"/>
        </w:rPr>
        <w:t>部门主要负责人审签情况：</w:t>
      </w:r>
    </w:p>
    <w:p>
      <w:pPr>
        <w:widowControl/>
        <w:spacing w:line="576" w:lineRule="exact"/>
        <w:jc w:val="center"/>
        <w:rPr>
          <w:rFonts w:ascii="方正小标宋简体" w:hAnsi="宋体" w:eastAsia="方正小标宋简体"/>
          <w:sz w:val="36"/>
          <w:szCs w:val="36"/>
        </w:rPr>
      </w:pPr>
    </w:p>
    <w:p>
      <w:pPr>
        <w:widowControl/>
        <w:spacing w:line="576" w:lineRule="exact"/>
        <w:jc w:val="center"/>
        <w:rPr>
          <w:rFonts w:ascii="黑体" w:hAnsi="黑体" w:eastAsia="黑体"/>
          <w:sz w:val="28"/>
          <w:szCs w:val="28"/>
        </w:rPr>
      </w:pPr>
      <w:r>
        <w:rPr>
          <w:rFonts w:ascii="方正小标宋简体" w:hAnsi="宋体" w:eastAsia="方正小标宋简体"/>
          <w:sz w:val="36"/>
          <w:szCs w:val="36"/>
        </w:rPr>
        <w:br w:type="page"/>
      </w:r>
      <w:r>
        <w:rPr>
          <w:rFonts w:hint="eastAsia" w:ascii="黑体" w:hAnsi="黑体" w:eastAsia="黑体" w:cs="黑体"/>
          <w:color w:val="000000"/>
          <w:sz w:val="48"/>
          <w:szCs w:val="48"/>
        </w:rPr>
        <w:t>目录</w:t>
      </w:r>
    </w:p>
    <w:p>
      <w:pPr>
        <w:spacing w:line="576" w:lineRule="exact"/>
        <w:jc w:val="center"/>
      </w:pPr>
      <w:r>
        <w:rPr>
          <w:rFonts w:hint="eastAsia" w:cs="宋体"/>
        </w:rPr>
        <w:t>公开时间：</w:t>
      </w:r>
      <w:r>
        <w:t>2021</w:t>
      </w:r>
      <w:r>
        <w:rPr>
          <w:rFonts w:hint="eastAsia" w:cs="宋体"/>
        </w:rPr>
        <w:t>年</w:t>
      </w:r>
      <w:r>
        <w:t>9</w:t>
      </w:r>
      <w:r>
        <w:rPr>
          <w:rFonts w:hint="eastAsia" w:cs="宋体"/>
        </w:rPr>
        <w:t>月</w:t>
      </w:r>
      <w:r>
        <w:t>22</w:t>
      </w:r>
      <w:r>
        <w:rPr>
          <w:rFonts w:hint="eastAsia" w:cs="宋体"/>
        </w:rPr>
        <w:t>日</w:t>
      </w:r>
    </w:p>
    <w:p>
      <w:pPr>
        <w:spacing w:line="576" w:lineRule="exact"/>
        <w:jc w:val="center"/>
        <w:rPr>
          <w:sz w:val="28"/>
          <w:szCs w:val="28"/>
        </w:rPr>
      </w:pPr>
      <w:bookmarkStart w:id="14" w:name="_Toc15396599"/>
      <w:bookmarkStart w:id="15" w:name="_Toc15377196"/>
    </w:p>
    <w:p>
      <w:pPr>
        <w:pStyle w:val="12"/>
        <w:tabs>
          <w:tab w:val="right" w:leader="dot" w:pos="8306"/>
          <w:tab w:val="clear" w:pos="8296"/>
        </w:tabs>
        <w:spacing w:before="0" w:line="576" w:lineRule="exact"/>
        <w:jc w:val="both"/>
        <w:rPr>
          <w:rFonts w:ascii="仿宋_GB2312" w:hAnsi="仿宋_GB2312" w:eastAsia="仿宋_GB2312" w:cs="Times New Roman"/>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TOC \o "1-3" \h \u </w:instrText>
      </w:r>
      <w:r>
        <w:rPr>
          <w:rFonts w:ascii="仿宋_GB2312" w:hAnsi="仿宋_GB2312" w:eastAsia="仿宋_GB2312" w:cs="仿宋_GB2312"/>
          <w:sz w:val="32"/>
          <w:szCs w:val="32"/>
        </w:rPr>
        <w:fldChar w:fldCharType="separate"/>
      </w:r>
      <w:r>
        <w:fldChar w:fldCharType="begin"/>
      </w:r>
      <w:r>
        <w:instrText xml:space="preserve"> HYPERLINK \l "_Toc912" </w:instrText>
      </w:r>
      <w:r>
        <w:fldChar w:fldCharType="separate"/>
      </w:r>
      <w:r>
        <w:rPr>
          <w:rFonts w:hint="eastAsia" w:ascii="仿宋_GB2312" w:hAnsi="仿宋_GB2312" w:eastAsia="仿宋_GB2312" w:cs="仿宋_GB2312"/>
          <w:sz w:val="32"/>
          <w:szCs w:val="32"/>
        </w:rPr>
        <w:t>第一部分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部门概况</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_Toc912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"_Toc23702" </w:instrText>
      </w:r>
      <w:r>
        <w:fldChar w:fldCharType="separate"/>
      </w:r>
      <w:r>
        <w:rPr>
          <w:rFonts w:hint="eastAsia" w:ascii="仿宋_GB2312" w:hAnsi="仿宋_GB2312" w:eastAsia="仿宋_GB2312" w:cs="仿宋_GB2312"/>
          <w:sz w:val="32"/>
          <w:szCs w:val="32"/>
        </w:rPr>
        <w:t>一、基本职能及主要工作</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_Toc23702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"_Toc19805" </w:instrText>
      </w:r>
      <w:r>
        <w:fldChar w:fldCharType="separate"/>
      </w:r>
      <w:r>
        <w:rPr>
          <w:rFonts w:hint="eastAsia" w:ascii="仿宋_GB2312" w:hAnsi="仿宋_GB2312" w:eastAsia="仿宋_GB2312" w:cs="仿宋_GB2312"/>
          <w:sz w:val="32"/>
          <w:szCs w:val="32"/>
        </w:rPr>
        <w:t>二、机构设置</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_Toc19805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5</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 w:val="clear" w:pos="8296"/>
        </w:tabs>
        <w:spacing w:before="0" w:line="576" w:lineRule="exact"/>
        <w:rPr>
          <w:rFonts w:ascii="仿宋_GB2312" w:hAnsi="仿宋_GB2312" w:eastAsia="仿宋_GB2312" w:cs="Times New Roman"/>
          <w:sz w:val="32"/>
          <w:szCs w:val="32"/>
        </w:rPr>
      </w:pPr>
      <w:r>
        <w:fldChar w:fldCharType="begin"/>
      </w:r>
      <w:r>
        <w:instrText xml:space="preserve"> HYPERLINK \l "_Toc11714" </w:instrText>
      </w:r>
      <w:r>
        <w:fldChar w:fldCharType="separate"/>
      </w:r>
      <w:r>
        <w:rPr>
          <w:rFonts w:hint="eastAsia" w:ascii="仿宋_GB2312" w:hAnsi="仿宋_GB2312" w:eastAsia="仿宋_GB2312" w:cs="仿宋_GB2312"/>
          <w:sz w:val="32"/>
          <w:szCs w:val="32"/>
        </w:rPr>
        <w:t>第二部分</w:t>
      </w:r>
      <w:r>
        <w:rPr>
          <w:rFonts w:ascii="仿宋_GB2312" w:hAnsi="仿宋_GB2312" w:eastAsia="仿宋_GB2312" w:cs="仿宋_GB2312"/>
          <w:sz w:val="32"/>
          <w:szCs w:val="32"/>
        </w:rPr>
        <w:t xml:space="preserve"> 2020</w:t>
      </w:r>
      <w:r>
        <w:rPr>
          <w:rFonts w:hint="eastAsia" w:ascii="仿宋_GB2312" w:hAnsi="仿宋_GB2312" w:eastAsia="仿宋_GB2312" w:cs="仿宋_GB2312"/>
          <w:sz w:val="32"/>
          <w:szCs w:val="32"/>
        </w:rPr>
        <w:t>年度部门决算情况说明</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_Toc11714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"_Toc16617" </w:instrText>
      </w:r>
      <w:r>
        <w:fldChar w:fldCharType="separate"/>
      </w:r>
      <w:r>
        <w:rPr>
          <w:rFonts w:hint="eastAsia" w:ascii="仿宋_GB2312" w:hAnsi="仿宋_GB2312" w:eastAsia="仿宋_GB2312" w:cs="仿宋_GB2312"/>
          <w:sz w:val="32"/>
          <w:szCs w:val="32"/>
        </w:rPr>
        <w:t>一、收入支出决算总体情况说明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_Toc16617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"_Toc25056" </w:instrText>
      </w:r>
      <w:r>
        <w:fldChar w:fldCharType="separate"/>
      </w:r>
      <w:r>
        <w:rPr>
          <w:rFonts w:hint="eastAsia" w:ascii="仿宋_GB2312" w:hAnsi="仿宋_GB2312" w:eastAsia="仿宋_GB2312" w:cs="仿宋_GB2312"/>
          <w:sz w:val="32"/>
          <w:szCs w:val="32"/>
        </w:rPr>
        <w:t>二、收入决算情况说明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_Toc25056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"_Toc26221" </w:instrText>
      </w:r>
      <w:r>
        <w:fldChar w:fldCharType="separate"/>
      </w:r>
      <w:r>
        <w:rPr>
          <w:rFonts w:hint="eastAsia" w:ascii="仿宋_GB2312" w:hAnsi="仿宋_GB2312" w:eastAsia="仿宋_GB2312" w:cs="仿宋_GB2312"/>
          <w:sz w:val="32"/>
          <w:szCs w:val="32"/>
        </w:rPr>
        <w:t>三、支出决算情况说明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_Toc26221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"_Toc356" </w:instrText>
      </w:r>
      <w:r>
        <w:fldChar w:fldCharType="separate"/>
      </w:r>
      <w:r>
        <w:rPr>
          <w:rFonts w:hint="eastAsia" w:ascii="仿宋_GB2312" w:hAnsi="仿宋_GB2312" w:eastAsia="仿宋_GB2312" w:cs="仿宋_GB2312"/>
          <w:sz w:val="32"/>
          <w:szCs w:val="32"/>
        </w:rPr>
        <w:t>四、财政拨款收入支出决算总体情况说明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_Toc356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7</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"_Toc32326" </w:instrText>
      </w:r>
      <w:r>
        <w:fldChar w:fldCharType="separate"/>
      </w:r>
      <w:r>
        <w:rPr>
          <w:rFonts w:hint="eastAsia" w:ascii="仿宋_GB2312" w:hAnsi="仿宋_GB2312" w:eastAsia="仿宋_GB2312" w:cs="仿宋_GB2312"/>
          <w:sz w:val="32"/>
          <w:szCs w:val="32"/>
        </w:rPr>
        <w:t>六、一般公共预算财政拨款基本支出决算情况说明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_Toc32326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10</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"_Toc2209" </w:instrText>
      </w:r>
      <w:r>
        <w:fldChar w:fldCharType="separate"/>
      </w:r>
      <w:r>
        <w:rPr>
          <w:rFonts w:hint="eastAsia" w:ascii="仿宋_GB2312" w:hAnsi="仿宋_GB2312" w:eastAsia="仿宋_GB2312" w:cs="仿宋_GB2312"/>
          <w:sz w:val="32"/>
          <w:szCs w:val="32"/>
        </w:rPr>
        <w:t>七、“三公”经费财政拨款支出决算情况说明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_Toc2209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"_Toc17606" </w:instrText>
      </w:r>
      <w:r>
        <w:fldChar w:fldCharType="separate"/>
      </w:r>
      <w:r>
        <w:rPr>
          <w:rFonts w:hint="eastAsia" w:ascii="仿宋_GB2312" w:hAnsi="仿宋_GB2312" w:eastAsia="仿宋_GB2312" w:cs="仿宋_GB2312"/>
          <w:sz w:val="32"/>
          <w:szCs w:val="32"/>
        </w:rPr>
        <w:t>八、政府性基金预算支出决算情况说明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_Toc17606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12</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"_Toc32323" </w:instrText>
      </w:r>
      <w:r>
        <w:fldChar w:fldCharType="separate"/>
      </w:r>
      <w:r>
        <w:rPr>
          <w:rFonts w:hint="eastAsia" w:ascii="仿宋_GB2312" w:hAnsi="仿宋_GB2312" w:eastAsia="仿宋_GB2312" w:cs="仿宋_GB2312"/>
          <w:sz w:val="32"/>
          <w:szCs w:val="32"/>
        </w:rPr>
        <w:t>九、国有资本经营预算支出决算情况说明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_Toc32323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12</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"_Toc31739" </w:instrText>
      </w:r>
      <w:r>
        <w:fldChar w:fldCharType="separate"/>
      </w:r>
      <w:r>
        <w:rPr>
          <w:rFonts w:hint="eastAsia" w:ascii="仿宋_GB2312" w:hAnsi="仿宋_GB2312" w:eastAsia="仿宋_GB2312" w:cs="仿宋_GB2312"/>
          <w:sz w:val="32"/>
          <w:szCs w:val="32"/>
        </w:rPr>
        <w:t>十、其他重要事项的情况说明</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_Toc31739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12</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 w:val="clear" w:pos="8296"/>
        </w:tabs>
        <w:spacing w:before="0" w:line="576" w:lineRule="exact"/>
        <w:rPr>
          <w:rFonts w:ascii="仿宋_GB2312" w:hAnsi="仿宋_GB2312" w:eastAsia="仿宋_GB2312" w:cs="Times New Roman"/>
          <w:sz w:val="32"/>
          <w:szCs w:val="32"/>
        </w:rPr>
      </w:pPr>
      <w:r>
        <w:fldChar w:fldCharType="begin"/>
      </w:r>
      <w:r>
        <w:instrText xml:space="preserve"> HYPERLINK \l "_Toc28895" </w:instrText>
      </w:r>
      <w:r>
        <w:fldChar w:fldCharType="separate"/>
      </w:r>
      <w:r>
        <w:rPr>
          <w:rFonts w:hint="eastAsia" w:ascii="仿宋_GB2312" w:hAnsi="仿宋_GB2312" w:eastAsia="仿宋_GB2312" w:cs="仿宋_GB2312"/>
          <w:sz w:val="32"/>
          <w:szCs w:val="32"/>
        </w:rPr>
        <w:t>第三部分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名词解释</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_Toc28895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14</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 w:val="clear" w:pos="8296"/>
        </w:tabs>
        <w:spacing w:before="0" w:line="576" w:lineRule="exact"/>
        <w:jc w:val="both"/>
        <w:rPr>
          <w:rFonts w:ascii="仿宋_GB2312" w:hAnsi="仿宋_GB2312" w:eastAsia="仿宋_GB2312" w:cs="Times New Roman"/>
          <w:sz w:val="32"/>
          <w:szCs w:val="32"/>
        </w:rPr>
      </w:pPr>
      <w:r>
        <w:fldChar w:fldCharType="begin"/>
      </w:r>
      <w:r>
        <w:instrText xml:space="preserve"> HYPERLINK \l "_Toc6980" </w:instrText>
      </w:r>
      <w:r>
        <w:fldChar w:fldCharType="separate"/>
      </w:r>
      <w:r>
        <w:rPr>
          <w:rFonts w:hint="eastAsia" w:ascii="仿宋_GB2312" w:hAnsi="仿宋_GB2312" w:eastAsia="仿宋_GB2312" w:cs="仿宋_GB2312"/>
          <w:sz w:val="32"/>
          <w:szCs w:val="32"/>
        </w:rPr>
        <w:t>第四部分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附件</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_Toc6980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 w:val="clear" w:pos="8296"/>
        </w:tabs>
        <w:spacing w:before="0" w:line="576" w:lineRule="exact"/>
        <w:rPr>
          <w:rFonts w:ascii="仿宋_GB2312" w:hAnsi="仿宋_GB2312" w:eastAsia="仿宋_GB2312" w:cs="Times New Roman"/>
          <w:sz w:val="32"/>
          <w:szCs w:val="32"/>
        </w:rPr>
      </w:pPr>
      <w:r>
        <w:fldChar w:fldCharType="begin"/>
      </w:r>
      <w:r>
        <w:instrText xml:space="preserve"> HYPERLINK \l "_Toc14741" </w:instrText>
      </w:r>
      <w:r>
        <w:fldChar w:fldCharType="separate"/>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w:t>
      </w:r>
      <w:r>
        <w:rPr>
          <w:rFonts w:hint="eastAsia" w:ascii="仿宋_GB2312" w:hAnsi="仿宋_GB2312" w:eastAsia="仿宋_GB2312" w:cs="仿宋_GB2312"/>
          <w:sz w:val="32"/>
          <w:szCs w:val="32"/>
          <w:lang w:val="zh-CN"/>
        </w:rPr>
        <w:t>整体支出绩效评价报告</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_Toc14741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16</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2"/>
        <w:tabs>
          <w:tab w:val="right" w:leader="dot" w:pos="8306"/>
          <w:tab w:val="clear" w:pos="8296"/>
        </w:tabs>
        <w:spacing w:before="0" w:line="576" w:lineRule="exact"/>
        <w:rPr>
          <w:rFonts w:ascii="仿宋_GB2312" w:hAnsi="仿宋_GB2312" w:eastAsia="仿宋_GB2312" w:cs="Times New Roman"/>
          <w:sz w:val="32"/>
          <w:szCs w:val="32"/>
        </w:rPr>
      </w:pPr>
      <w:r>
        <w:fldChar w:fldCharType="begin"/>
      </w:r>
      <w:r>
        <w:instrText xml:space="preserve"> HYPERLINK \l "_Toc23252" </w:instrText>
      </w:r>
      <w:r>
        <w:fldChar w:fldCharType="separate"/>
      </w:r>
      <w:r>
        <w:rPr>
          <w:rFonts w:hint="eastAsia" w:ascii="仿宋_GB2312" w:hAnsi="仿宋_GB2312" w:eastAsia="仿宋_GB2312" w:cs="仿宋_GB2312"/>
          <w:sz w:val="32"/>
          <w:szCs w:val="32"/>
        </w:rPr>
        <w:t>第五部分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附表</w:t>
      </w:r>
      <w:r>
        <w:rPr>
          <w:rFonts w:ascii="仿宋_GB2312" w:hAnsi="仿宋_GB2312" w:eastAsia="仿宋_GB2312" w:cs="Times New Roman"/>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_Toc23252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"_Toc6282" </w:instrText>
      </w:r>
      <w:r>
        <w:fldChar w:fldCharType="separate"/>
      </w:r>
      <w:r>
        <w:rPr>
          <w:rFonts w:hint="eastAsia" w:ascii="仿宋_GB2312" w:hAnsi="仿宋_GB2312" w:eastAsia="仿宋_GB2312" w:cs="仿宋_GB2312"/>
          <w:sz w:val="32"/>
          <w:szCs w:val="32"/>
        </w:rPr>
        <w:t>一、收入支出决算总表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_Toc6282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"_Toc11140" </w:instrText>
      </w:r>
      <w:r>
        <w:fldChar w:fldCharType="separate"/>
      </w:r>
      <w:r>
        <w:rPr>
          <w:rFonts w:hint="eastAsia" w:ascii="仿宋_GB2312" w:hAnsi="仿宋_GB2312" w:eastAsia="仿宋_GB2312" w:cs="仿宋_GB2312"/>
          <w:sz w:val="32"/>
          <w:szCs w:val="32"/>
        </w:rPr>
        <w:t>二、收入决算表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_Toc11140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"_Toc29623" </w:instrText>
      </w:r>
      <w:r>
        <w:fldChar w:fldCharType="separate"/>
      </w:r>
      <w:r>
        <w:rPr>
          <w:rFonts w:hint="eastAsia" w:ascii="仿宋_GB2312" w:hAnsi="仿宋_GB2312" w:eastAsia="仿宋_GB2312" w:cs="仿宋_GB2312"/>
          <w:sz w:val="32"/>
          <w:szCs w:val="32"/>
        </w:rPr>
        <w:t>三、支出决算表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_Toc29623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"_Toc10092" </w:instrText>
      </w:r>
      <w:r>
        <w:fldChar w:fldCharType="separate"/>
      </w:r>
      <w:r>
        <w:rPr>
          <w:rFonts w:hint="eastAsia" w:ascii="仿宋_GB2312" w:hAnsi="仿宋_GB2312" w:eastAsia="仿宋_GB2312" w:cs="仿宋_GB2312"/>
          <w:sz w:val="32"/>
          <w:szCs w:val="32"/>
        </w:rPr>
        <w:t>四、财政拨款收入支出决算总表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_Toc10092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"_Toc30798" </w:instrText>
      </w:r>
      <w:r>
        <w:fldChar w:fldCharType="separate"/>
      </w:r>
      <w:r>
        <w:rPr>
          <w:rFonts w:hint="eastAsia" w:ascii="仿宋_GB2312" w:hAnsi="仿宋_GB2312" w:eastAsia="仿宋_GB2312" w:cs="仿宋_GB2312"/>
          <w:sz w:val="32"/>
          <w:szCs w:val="32"/>
        </w:rPr>
        <w:t>五、财政拨款支出决算明细表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_Toc30798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"_Toc20179" </w:instrText>
      </w:r>
      <w:r>
        <w:fldChar w:fldCharType="separate"/>
      </w:r>
      <w:r>
        <w:rPr>
          <w:rFonts w:hint="eastAsia" w:ascii="仿宋_GB2312" w:hAnsi="仿宋_GB2312" w:eastAsia="仿宋_GB2312" w:cs="仿宋_GB2312"/>
          <w:sz w:val="32"/>
          <w:szCs w:val="32"/>
        </w:rPr>
        <w:t>六、一般公共预算财政拨款支出决算表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_Toc20179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"_Toc2099" </w:instrText>
      </w:r>
      <w:r>
        <w:fldChar w:fldCharType="separate"/>
      </w:r>
      <w:r>
        <w:rPr>
          <w:rFonts w:hint="eastAsia" w:ascii="仿宋_GB2312" w:hAnsi="仿宋_GB2312" w:eastAsia="仿宋_GB2312" w:cs="仿宋_GB2312"/>
          <w:sz w:val="32"/>
          <w:szCs w:val="32"/>
        </w:rPr>
        <w:t>七、一般公共预算财政拨款支出决算明细表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_Toc2099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"_Toc7161" </w:instrText>
      </w:r>
      <w:r>
        <w:fldChar w:fldCharType="separate"/>
      </w:r>
      <w:r>
        <w:rPr>
          <w:rFonts w:hint="eastAsia" w:ascii="仿宋_GB2312" w:hAnsi="仿宋_GB2312" w:eastAsia="仿宋_GB2312" w:cs="仿宋_GB2312"/>
          <w:sz w:val="32"/>
          <w:szCs w:val="32"/>
        </w:rPr>
        <w:t>八、一般公共预算财政拨款基本支出决算表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_Toc7161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"_Toc31971" </w:instrText>
      </w:r>
      <w:r>
        <w:fldChar w:fldCharType="separate"/>
      </w:r>
      <w:r>
        <w:rPr>
          <w:rFonts w:hint="eastAsia" w:ascii="仿宋_GB2312" w:hAnsi="仿宋_GB2312" w:eastAsia="仿宋_GB2312" w:cs="仿宋_GB2312"/>
          <w:sz w:val="32"/>
          <w:szCs w:val="32"/>
        </w:rPr>
        <w:t>九、一般公共预算财政拨款项目支出决算表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_Toc31971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"_Toc12702" </w:instrText>
      </w:r>
      <w:r>
        <w:fldChar w:fldCharType="separate"/>
      </w:r>
      <w:r>
        <w:rPr>
          <w:rFonts w:hint="eastAsia" w:ascii="仿宋_GB2312" w:hAnsi="仿宋_GB2312" w:eastAsia="仿宋_GB2312" w:cs="仿宋_GB2312"/>
          <w:sz w:val="32"/>
          <w:szCs w:val="32"/>
        </w:rPr>
        <w:t>十、一般公共预算财政拨款“三公”经费支出决算表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_Toc12702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"_Toc18550" </w:instrText>
      </w:r>
      <w:r>
        <w:fldChar w:fldCharType="separate"/>
      </w:r>
      <w:r>
        <w:rPr>
          <w:rFonts w:hint="eastAsia" w:ascii="仿宋_GB2312" w:hAnsi="仿宋_GB2312" w:eastAsia="仿宋_GB2312" w:cs="仿宋_GB2312"/>
          <w:sz w:val="32"/>
          <w:szCs w:val="32"/>
        </w:rPr>
        <w:t>十一、政府性基金预算财政拨款收入支出决算表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_Toc18550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"_Toc29318" </w:instrText>
      </w:r>
      <w:r>
        <w:fldChar w:fldCharType="separate"/>
      </w:r>
      <w:r>
        <w:rPr>
          <w:rFonts w:hint="eastAsia" w:ascii="仿宋_GB2312" w:hAnsi="仿宋_GB2312" w:eastAsia="仿宋_GB2312" w:cs="仿宋_GB2312"/>
          <w:sz w:val="32"/>
          <w:szCs w:val="32"/>
        </w:rPr>
        <w:t>十二、政府性基金预算财政拨款“三公”经费支出决算表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_Toc29318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pStyle w:val="13"/>
        <w:tabs>
          <w:tab w:val="right" w:leader="dot" w:pos="8306"/>
          <w:tab w:val="clear" w:pos="8296"/>
        </w:tabs>
        <w:spacing w:line="576" w:lineRule="exact"/>
        <w:ind w:left="31680"/>
        <w:rPr>
          <w:rFonts w:ascii="仿宋_GB2312" w:hAnsi="仿宋_GB2312" w:eastAsia="仿宋_GB2312"/>
          <w:sz w:val="32"/>
          <w:szCs w:val="32"/>
        </w:rPr>
      </w:pPr>
      <w:r>
        <w:fldChar w:fldCharType="begin"/>
      </w:r>
      <w:r>
        <w:instrText xml:space="preserve"> HYPERLINK \l "_Toc16252" </w:instrText>
      </w:r>
      <w:r>
        <w:fldChar w:fldCharType="separate"/>
      </w:r>
      <w:r>
        <w:rPr>
          <w:rFonts w:hint="eastAsia" w:ascii="仿宋_GB2312" w:hAnsi="仿宋_GB2312" w:eastAsia="仿宋_GB2312" w:cs="仿宋_GB2312"/>
          <w:sz w:val="32"/>
          <w:szCs w:val="32"/>
        </w:rPr>
        <w:t>十三、国有资本经营预算支出决算表</w:t>
      </w:r>
      <w:r>
        <w:rPr>
          <w:rFonts w:ascii="仿宋_GB2312" w:hAnsi="仿宋_GB2312" w:eastAsia="仿宋_GB2312"/>
          <w:sz w:val="32"/>
          <w:szCs w:val="32"/>
        </w:rPr>
        <w:tab/>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PAGEREF _Toc16252 </w:instrText>
      </w:r>
      <w:r>
        <w:rPr>
          <w:rFonts w:ascii="仿宋_GB2312" w:hAnsi="仿宋_GB2312" w:eastAsia="仿宋_GB2312" w:cs="仿宋_GB2312"/>
          <w:sz w:val="32"/>
          <w:szCs w:val="32"/>
        </w:rPr>
        <w:fldChar w:fldCharType="separate"/>
      </w:r>
      <w:r>
        <w:rPr>
          <w:rFonts w:ascii="仿宋_GB2312" w:hAnsi="仿宋_GB2312" w:eastAsia="仿宋_GB2312" w:cs="仿宋_GB2312"/>
          <w:sz w:val="32"/>
          <w:szCs w:val="32"/>
        </w:rPr>
        <w:t>21</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fldChar w:fldCharType="end"/>
      </w:r>
    </w:p>
    <w:p>
      <w:pPr>
        <w:spacing w:line="576" w:lineRule="exact"/>
        <w:rPr>
          <w:rFonts w:ascii="仿宋_GB2312" w:hAnsi="仿宋_GB2312" w:eastAsia="仿宋_GB2312"/>
          <w:sz w:val="32"/>
          <w:szCs w:val="32"/>
        </w:rPr>
      </w:pP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十四、国有资本经营预算财政拨款支出决算表…………</w:t>
      </w:r>
      <w:r>
        <w:rPr>
          <w:rFonts w:ascii="仿宋_GB2312" w:hAnsi="仿宋_GB2312" w:eastAsia="仿宋_GB2312" w:cs="仿宋_GB2312"/>
          <w:sz w:val="32"/>
          <w:szCs w:val="32"/>
        </w:rPr>
        <w:t>3</w:t>
      </w:r>
    </w:p>
    <w:p>
      <w:pPr>
        <w:widowControl/>
        <w:spacing w:line="576" w:lineRule="exact"/>
        <w:jc w:val="left"/>
        <w:rPr>
          <w:rFonts w:ascii="仿宋" w:hAnsi="仿宋" w:eastAsia="仿宋"/>
          <w:kern w:val="44"/>
          <w:sz w:val="24"/>
          <w:szCs w:val="24"/>
        </w:rPr>
      </w:pPr>
      <w:r>
        <w:rPr>
          <w:rFonts w:ascii="仿宋" w:hAnsi="仿宋" w:eastAsia="仿宋"/>
          <w:b/>
          <w:bCs/>
          <w:sz w:val="24"/>
          <w:szCs w:val="24"/>
        </w:rPr>
        <w:br w:type="page"/>
      </w:r>
    </w:p>
    <w:p>
      <w:pPr>
        <w:pStyle w:val="4"/>
        <w:numPr>
          <w:ilvl w:val="0"/>
          <w:numId w:val="1"/>
        </w:numPr>
        <w:spacing w:before="0" w:after="0" w:line="576" w:lineRule="exact"/>
        <w:jc w:val="center"/>
        <w:rPr>
          <w:rStyle w:val="18"/>
          <w:rFonts w:ascii="黑体" w:hAnsi="黑体" w:eastAsia="黑体"/>
          <w:b w:val="0"/>
          <w:bCs w:val="0"/>
        </w:rPr>
      </w:pPr>
      <w:bookmarkStart w:id="16" w:name="_Toc912"/>
      <w:r>
        <w:rPr>
          <w:rStyle w:val="18"/>
          <w:rFonts w:hint="eastAsia" w:ascii="黑体" w:hAnsi="黑体" w:eastAsia="黑体" w:cs="黑体"/>
          <w:b w:val="0"/>
          <w:bCs w:val="0"/>
        </w:rPr>
        <w:t>部门概况</w:t>
      </w:r>
      <w:bookmarkEnd w:id="14"/>
      <w:bookmarkEnd w:id="15"/>
      <w:bookmarkEnd w:id="16"/>
    </w:p>
    <w:p/>
    <w:p>
      <w:pPr>
        <w:pStyle w:val="5"/>
        <w:spacing w:before="0" w:after="0" w:line="576" w:lineRule="exact"/>
        <w:ind w:firstLine="640" w:firstLineChars="200"/>
        <w:rPr>
          <w:rStyle w:val="19"/>
          <w:rFonts w:ascii="仿宋" w:hAnsi="仿宋" w:eastAsia="仿宋" w:cs="Times New Roman"/>
          <w:b w:val="0"/>
          <w:bCs w:val="0"/>
        </w:rPr>
      </w:pPr>
      <w:bookmarkStart w:id="17" w:name="_Toc15396600"/>
      <w:bookmarkStart w:id="18" w:name="_Toc15377197"/>
      <w:bookmarkStart w:id="19" w:name="_Toc23702"/>
      <w:r>
        <w:rPr>
          <w:rFonts w:hint="eastAsia" w:ascii="黑体" w:hAnsi="黑体" w:eastAsia="黑体" w:cs="黑体"/>
          <w:b w:val="0"/>
          <w:bCs w:val="0"/>
          <w:color w:val="000000"/>
        </w:rPr>
        <w:t>一、基</w:t>
      </w:r>
      <w:r>
        <w:rPr>
          <w:rStyle w:val="19"/>
          <w:rFonts w:hint="eastAsia" w:ascii="黑体" w:hAnsi="黑体" w:eastAsia="黑体" w:cs="黑体"/>
          <w:b w:val="0"/>
          <w:bCs w:val="0"/>
        </w:rPr>
        <w:t>本职能及主要工作</w:t>
      </w:r>
      <w:bookmarkEnd w:id="17"/>
      <w:bookmarkEnd w:id="18"/>
      <w:bookmarkEnd w:id="19"/>
    </w:p>
    <w:p>
      <w:pPr>
        <w:pStyle w:val="7"/>
        <w:adjustRightInd w:val="0"/>
        <w:snapToGrid w:val="0"/>
        <w:spacing w:beforeLines="0" w:line="576" w:lineRule="exact"/>
        <w:ind w:firstLine="675" w:firstLineChars="210"/>
        <w:outlineLvl w:val="2"/>
        <w:rPr>
          <w:rFonts w:ascii="楷体" w:hAnsi="楷体" w:eastAsia="楷体" w:cs="Times New Roman"/>
          <w:b/>
          <w:bCs/>
          <w:color w:val="000000"/>
          <w:sz w:val="32"/>
          <w:szCs w:val="32"/>
        </w:rPr>
      </w:pPr>
      <w:bookmarkStart w:id="20" w:name="_Toc15378445"/>
      <w:bookmarkStart w:id="21" w:name="_Toc22751"/>
      <w:bookmarkStart w:id="22" w:name="_Toc15377198"/>
      <w:r>
        <w:rPr>
          <w:rFonts w:hint="eastAsia" w:ascii="楷体" w:hAnsi="楷体" w:eastAsia="楷体" w:cs="楷体"/>
          <w:b/>
          <w:bCs/>
          <w:color w:val="000000"/>
          <w:sz w:val="32"/>
          <w:szCs w:val="32"/>
        </w:rPr>
        <w:t>（一）主要职能</w:t>
      </w:r>
      <w:bookmarkEnd w:id="20"/>
      <w:bookmarkEnd w:id="21"/>
      <w:bookmarkEnd w:id="22"/>
      <w:bookmarkStart w:id="23" w:name="_Toc15377199"/>
      <w:bookmarkStart w:id="24" w:name="_Toc15378446"/>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1.</w:t>
      </w:r>
      <w:r>
        <w:rPr>
          <w:rFonts w:hint="eastAsia" w:eastAsia="仿宋_GB2312" w:cs="仿宋_GB2312"/>
          <w:sz w:val="32"/>
          <w:szCs w:val="32"/>
        </w:rPr>
        <w:t>深入贯彻党的路线方针政策和决策部署，统一政法各部门思想和行动，坚持党对政法工作的绝对领导，坚决维护党中央权威和集中统一领导。</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2.</w:t>
      </w:r>
      <w:r>
        <w:rPr>
          <w:rFonts w:hint="eastAsia" w:eastAsia="仿宋_GB2312" w:cs="仿宋_GB2312"/>
          <w:sz w:val="32"/>
          <w:szCs w:val="32"/>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3.</w:t>
      </w:r>
      <w:r>
        <w:rPr>
          <w:rFonts w:hint="eastAsia" w:eastAsia="仿宋_GB2312" w:cs="仿宋_GB2312"/>
          <w:sz w:val="32"/>
          <w:szCs w:val="32"/>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4.</w:t>
      </w:r>
      <w:r>
        <w:rPr>
          <w:rFonts w:hint="eastAsia" w:eastAsia="仿宋_GB2312" w:cs="仿宋_GB2312"/>
          <w:sz w:val="32"/>
          <w:szCs w:val="32"/>
        </w:rPr>
        <w:t>加强对政法工作的督查，统筹协调维护政治安全、社会治安综合治理、维护社会稳定、反邪教有关法律法规政策的实施工作。指导全县政法系统网络安全和智能化建设工作。</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5.</w:t>
      </w:r>
      <w:r>
        <w:rPr>
          <w:rFonts w:hint="eastAsia" w:eastAsia="仿宋_GB2312" w:cs="仿宋_GB2312"/>
          <w:sz w:val="32"/>
          <w:szCs w:val="32"/>
        </w:rPr>
        <w:t>组织开展政法领域的调查研究，研究拟订全县政法工作的政策措施，及时向县委提出建议。</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6.</w:t>
      </w:r>
      <w:r>
        <w:rPr>
          <w:rFonts w:hint="eastAsia" w:eastAsia="仿宋_GB2312" w:cs="仿宋_GB2312"/>
          <w:sz w:val="32"/>
          <w:szCs w:val="32"/>
        </w:rPr>
        <w:t>掌握分析政法舆情动态，指导协调政法部门媒体网络宣传工作，指导政法部门做好涉及政法工作的重大宣传和舆论引导工作。</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7.</w:t>
      </w:r>
      <w:r>
        <w:rPr>
          <w:rFonts w:hint="eastAsia" w:eastAsia="仿宋_GB2312" w:cs="仿宋_GB2312"/>
          <w:sz w:val="32"/>
          <w:szCs w:val="32"/>
        </w:rPr>
        <w:t>监督和支持政法各部门依法行使职权，指导和协调政法各部门密切配合，研究和协调重大疑难案件，推进严格执法、公正司法。</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8.</w:t>
      </w:r>
      <w:r>
        <w:rPr>
          <w:rFonts w:hint="eastAsia" w:eastAsia="仿宋_GB2312" w:cs="仿宋_GB2312"/>
          <w:sz w:val="32"/>
          <w:szCs w:val="32"/>
        </w:rPr>
        <w:t>组织研究政法改革中带有方向性、倾向性和普遍性的重大问题，深化政法改革。</w:t>
      </w:r>
    </w:p>
    <w:p>
      <w:pPr>
        <w:spacing w:line="576" w:lineRule="exact"/>
        <w:ind w:firstLine="640" w:firstLineChars="200"/>
        <w:rPr>
          <w:rFonts w:eastAsia="仿宋_GB2312"/>
          <w:sz w:val="32"/>
          <w:szCs w:val="32"/>
        </w:rPr>
      </w:pPr>
      <w:r>
        <w:rPr>
          <w:rFonts w:ascii="仿宋_GB2312" w:hAnsi="仿宋_GB2312" w:eastAsia="仿宋_GB2312" w:cs="仿宋_GB2312"/>
          <w:sz w:val="32"/>
          <w:szCs w:val="32"/>
        </w:rPr>
        <w:t>9.</w:t>
      </w:r>
      <w:r>
        <w:rPr>
          <w:rFonts w:hint="eastAsia" w:eastAsia="仿宋_GB2312" w:cs="仿宋_GB2312"/>
          <w:sz w:val="32"/>
          <w:szCs w:val="32"/>
        </w:rPr>
        <w:t>指导推动政法系统党的建设和政法队伍建设，协同县级有关职能部门管理监督政法领导干部。</w:t>
      </w:r>
    </w:p>
    <w:p>
      <w:pPr>
        <w:spacing w:line="576" w:lineRule="exact"/>
        <w:ind w:firstLine="640" w:firstLineChars="200"/>
        <w:rPr>
          <w:rFonts w:ascii="仿宋" w:hAnsi="仿宋" w:eastAsia="仿宋"/>
          <w:color w:val="000000"/>
          <w:sz w:val="32"/>
          <w:szCs w:val="32"/>
        </w:rPr>
      </w:pPr>
      <w:r>
        <w:rPr>
          <w:rFonts w:ascii="仿宋_GB2312" w:hAnsi="仿宋_GB2312" w:eastAsia="仿宋_GB2312" w:cs="仿宋_GB2312"/>
          <w:sz w:val="32"/>
          <w:szCs w:val="32"/>
        </w:rPr>
        <w:t>10.</w:t>
      </w:r>
      <w:r>
        <w:rPr>
          <w:rFonts w:hint="eastAsia" w:eastAsia="仿宋_GB2312" w:cs="仿宋_GB2312"/>
          <w:sz w:val="32"/>
          <w:szCs w:val="32"/>
        </w:rPr>
        <w:t>完成县委交办的其他任务。</w:t>
      </w:r>
    </w:p>
    <w:p>
      <w:pPr>
        <w:pStyle w:val="7"/>
        <w:adjustRightInd w:val="0"/>
        <w:snapToGrid w:val="0"/>
        <w:spacing w:beforeLines="0" w:line="576" w:lineRule="exact"/>
        <w:ind w:firstLine="675" w:firstLineChars="210"/>
        <w:outlineLvl w:val="2"/>
        <w:rPr>
          <w:rFonts w:ascii="楷体" w:hAnsi="楷体" w:eastAsia="楷体" w:cs="Times New Roman"/>
          <w:b/>
          <w:bCs/>
          <w:color w:val="000000"/>
          <w:sz w:val="32"/>
          <w:szCs w:val="32"/>
        </w:rPr>
      </w:pPr>
      <w:bookmarkStart w:id="25" w:name="_Toc25190"/>
      <w:r>
        <w:rPr>
          <w:rFonts w:hint="eastAsia" w:ascii="楷体" w:hAnsi="楷体" w:eastAsia="楷体" w:cs="楷体"/>
          <w:b/>
          <w:bCs/>
          <w:color w:val="000000"/>
          <w:sz w:val="32"/>
          <w:szCs w:val="32"/>
        </w:rPr>
        <w:t>（二）</w:t>
      </w:r>
      <w:r>
        <w:rPr>
          <w:rFonts w:ascii="楷体" w:hAnsi="楷体" w:eastAsia="楷体" w:cs="楷体"/>
          <w:b/>
          <w:bCs/>
          <w:color w:val="000000"/>
          <w:sz w:val="32"/>
          <w:szCs w:val="32"/>
        </w:rPr>
        <w:t>2020</w:t>
      </w:r>
      <w:r>
        <w:rPr>
          <w:rFonts w:hint="eastAsia" w:ascii="楷体" w:hAnsi="楷体" w:eastAsia="楷体" w:cs="楷体"/>
          <w:b/>
          <w:bCs/>
          <w:color w:val="000000"/>
          <w:sz w:val="32"/>
          <w:szCs w:val="32"/>
        </w:rPr>
        <w:t>年重点工作完成情况</w:t>
      </w:r>
      <w:bookmarkEnd w:id="23"/>
      <w:bookmarkEnd w:id="24"/>
      <w:bookmarkEnd w:id="25"/>
    </w:p>
    <w:p>
      <w:pPr>
        <w:pStyle w:val="2"/>
        <w:spacing w:line="576" w:lineRule="exact"/>
        <w:ind w:firstLine="640" w:firstLineChars="0"/>
        <w:rPr>
          <w:rFonts w:ascii="楷体" w:hAnsi="楷体" w:eastAsia="楷体"/>
          <w:b/>
          <w:bCs/>
          <w:color w:val="000000"/>
        </w:rPr>
      </w:pPr>
      <w:r>
        <w:rPr>
          <w:rFonts w:hint="eastAsia" w:ascii="仿宋_GB2312" w:hAnsi="仿宋_GB2312" w:eastAsia="仿宋_GB2312" w:cs="仿宋_GB2312"/>
          <w:b/>
          <w:bCs/>
        </w:rPr>
        <w:t>一是</w:t>
      </w:r>
      <w:r>
        <w:rPr>
          <w:rFonts w:hint="eastAsia" w:ascii="仿宋_GB2312" w:hAnsi="仿宋_GB2312" w:eastAsia="仿宋_GB2312" w:cs="仿宋_GB2312"/>
        </w:rPr>
        <w:t>坚持全面从严治党管警，努力建设政法铁军。</w:t>
      </w:r>
      <w:r>
        <w:rPr>
          <w:rFonts w:hint="eastAsia" w:ascii="仿宋_GB2312" w:hAnsi="仿宋_GB2312" w:eastAsia="仿宋_GB2312" w:cs="仿宋_GB2312"/>
          <w:b/>
          <w:bCs/>
        </w:rPr>
        <w:t>二是</w:t>
      </w:r>
      <w:r>
        <w:rPr>
          <w:rFonts w:hint="eastAsia" w:ascii="仿宋_GB2312" w:hAnsi="仿宋_GB2312" w:eastAsia="仿宋_GB2312" w:cs="仿宋_GB2312"/>
        </w:rPr>
        <w:t>坚持履职尽责，努力做好全县维护稳定工作。</w:t>
      </w:r>
      <w:r>
        <w:rPr>
          <w:rFonts w:hint="eastAsia" w:ascii="仿宋_GB2312" w:hAnsi="仿宋_GB2312" w:eastAsia="仿宋_GB2312" w:cs="仿宋_GB2312"/>
          <w:b/>
          <w:bCs/>
        </w:rPr>
        <w:t>三是</w:t>
      </w:r>
      <w:r>
        <w:rPr>
          <w:rFonts w:hint="eastAsia" w:ascii="仿宋_GB2312" w:hAnsi="仿宋_GB2312" w:eastAsia="仿宋_GB2312" w:cs="仿宋_GB2312"/>
        </w:rPr>
        <w:t>坚持现代化治理，努力建设平安法治茂县。</w:t>
      </w:r>
    </w:p>
    <w:p>
      <w:pPr>
        <w:pStyle w:val="5"/>
        <w:numPr>
          <w:ilvl w:val="0"/>
          <w:numId w:val="2"/>
        </w:numPr>
        <w:spacing w:before="0" w:after="0" w:line="576" w:lineRule="exact"/>
        <w:ind w:firstLine="640" w:firstLineChars="200"/>
        <w:rPr>
          <w:rStyle w:val="19"/>
          <w:rFonts w:ascii="黑体" w:hAnsi="黑体" w:eastAsia="黑体" w:cs="Times New Roman"/>
          <w:b w:val="0"/>
          <w:bCs w:val="0"/>
        </w:rPr>
      </w:pPr>
      <w:bookmarkStart w:id="26" w:name="_Toc19805"/>
      <w:bookmarkStart w:id="27" w:name="_Toc15377200"/>
      <w:bookmarkStart w:id="28" w:name="_Toc15396601"/>
      <w:r>
        <w:rPr>
          <w:rFonts w:hint="eastAsia" w:ascii="黑体" w:hAnsi="黑体" w:eastAsia="黑体" w:cs="黑体"/>
          <w:b w:val="0"/>
          <w:bCs w:val="0"/>
          <w:color w:val="000000"/>
        </w:rPr>
        <w:t>机</w:t>
      </w:r>
      <w:r>
        <w:rPr>
          <w:rStyle w:val="19"/>
          <w:rFonts w:hint="eastAsia" w:ascii="黑体" w:hAnsi="黑体" w:eastAsia="黑体" w:cs="黑体"/>
          <w:b w:val="0"/>
          <w:bCs w:val="0"/>
        </w:rPr>
        <w:t>构设置</w:t>
      </w:r>
      <w:bookmarkEnd w:id="26"/>
      <w:bookmarkEnd w:id="27"/>
      <w:bookmarkEnd w:id="28"/>
    </w:p>
    <w:p>
      <w:pPr>
        <w:spacing w:line="576" w:lineRule="exact"/>
        <w:ind w:left="210" w:leftChars="100" w:firstLine="640" w:firstLineChars="200"/>
        <w:rPr>
          <w:rFonts w:ascii="仿宋_GB2312" w:eastAsia="仿宋_GB2312"/>
          <w:sz w:val="32"/>
          <w:szCs w:val="32"/>
        </w:rPr>
      </w:pPr>
      <w:r>
        <w:rPr>
          <w:rFonts w:hint="eastAsia" w:ascii="仿宋_GB2312" w:eastAsia="仿宋_GB2312" w:cs="仿宋_GB2312"/>
          <w:sz w:val="32"/>
          <w:szCs w:val="32"/>
        </w:rPr>
        <w:t>茂县县委政法委员会属一级预算单位，下属二级预算单位</w:t>
      </w:r>
      <w:r>
        <w:rPr>
          <w:rFonts w:ascii="仿宋_GB2312" w:eastAsia="仿宋_GB2312" w:cs="仿宋_GB2312"/>
          <w:sz w:val="32"/>
          <w:szCs w:val="32"/>
        </w:rPr>
        <w:t>0</w:t>
      </w:r>
      <w:r>
        <w:rPr>
          <w:rFonts w:hint="eastAsia" w:ascii="仿宋_GB2312" w:eastAsia="仿宋_GB2312" w:cs="仿宋_GB2312"/>
          <w:sz w:val="32"/>
          <w:szCs w:val="32"/>
        </w:rPr>
        <w:t>个，其中：参照公务员法管理的事业单位</w:t>
      </w:r>
      <w:r>
        <w:rPr>
          <w:rFonts w:ascii="仿宋_GB2312" w:eastAsia="仿宋_GB2312" w:cs="仿宋_GB2312"/>
          <w:sz w:val="32"/>
          <w:szCs w:val="32"/>
        </w:rPr>
        <w:t>0</w:t>
      </w:r>
      <w:r>
        <w:rPr>
          <w:rFonts w:hint="eastAsia" w:ascii="仿宋_GB2312" w:eastAsia="仿宋_GB2312" w:cs="仿宋_GB2312"/>
          <w:sz w:val="32"/>
          <w:szCs w:val="32"/>
        </w:rPr>
        <w:t>个，其他事业单位</w:t>
      </w:r>
      <w:r>
        <w:rPr>
          <w:rFonts w:ascii="仿宋_GB2312" w:eastAsia="仿宋_GB2312" w:cs="仿宋_GB2312"/>
          <w:sz w:val="32"/>
          <w:szCs w:val="32"/>
        </w:rPr>
        <w:t>0</w:t>
      </w:r>
      <w:r>
        <w:rPr>
          <w:rFonts w:hint="eastAsia" w:ascii="仿宋_GB2312" w:eastAsia="仿宋_GB2312" w:cs="仿宋_GB2312"/>
          <w:sz w:val="32"/>
          <w:szCs w:val="32"/>
        </w:rPr>
        <w:t>个。</w:t>
      </w:r>
    </w:p>
    <w:p>
      <w:pPr>
        <w:widowControl/>
        <w:spacing w:line="576" w:lineRule="exact"/>
        <w:jc w:val="left"/>
        <w:rPr>
          <w:rFonts w:ascii="仿宋" w:hAnsi="仿宋" w:eastAsia="仿宋"/>
          <w:sz w:val="32"/>
          <w:szCs w:val="32"/>
        </w:rPr>
      </w:pPr>
    </w:p>
    <w:p>
      <w:pPr>
        <w:widowControl/>
        <w:spacing w:line="576" w:lineRule="exact"/>
        <w:jc w:val="left"/>
        <w:rPr>
          <w:rFonts w:ascii="仿宋" w:hAnsi="仿宋" w:eastAsia="仿宋"/>
          <w:sz w:val="32"/>
          <w:szCs w:val="32"/>
        </w:rPr>
      </w:pPr>
    </w:p>
    <w:p>
      <w:pPr>
        <w:widowControl/>
        <w:spacing w:line="576" w:lineRule="exact"/>
        <w:jc w:val="left"/>
        <w:rPr>
          <w:rFonts w:ascii="仿宋" w:hAnsi="仿宋" w:eastAsia="仿宋"/>
          <w:sz w:val="32"/>
          <w:szCs w:val="32"/>
        </w:rPr>
      </w:pPr>
    </w:p>
    <w:p>
      <w:pPr>
        <w:widowControl/>
        <w:spacing w:line="576" w:lineRule="exact"/>
        <w:jc w:val="left"/>
        <w:rPr>
          <w:rFonts w:ascii="仿宋" w:hAnsi="仿宋" w:eastAsia="仿宋"/>
          <w:sz w:val="32"/>
          <w:szCs w:val="32"/>
        </w:rPr>
      </w:pPr>
    </w:p>
    <w:p>
      <w:pPr>
        <w:widowControl/>
        <w:spacing w:line="576" w:lineRule="exact"/>
        <w:jc w:val="left"/>
        <w:rPr>
          <w:rFonts w:ascii="仿宋" w:hAnsi="仿宋" w:eastAsia="仿宋"/>
          <w:sz w:val="32"/>
          <w:szCs w:val="32"/>
        </w:rPr>
      </w:pPr>
    </w:p>
    <w:p>
      <w:pPr>
        <w:widowControl/>
        <w:spacing w:line="576" w:lineRule="exact"/>
        <w:jc w:val="left"/>
        <w:rPr>
          <w:rFonts w:ascii="仿宋" w:hAnsi="仿宋" w:eastAsia="仿宋"/>
          <w:sz w:val="32"/>
          <w:szCs w:val="32"/>
        </w:rPr>
      </w:pPr>
    </w:p>
    <w:p>
      <w:pPr>
        <w:pStyle w:val="4"/>
        <w:spacing w:before="0" w:after="0" w:line="576" w:lineRule="exact"/>
        <w:ind w:right="440"/>
        <w:jc w:val="right"/>
        <w:rPr>
          <w:rStyle w:val="18"/>
          <w:rFonts w:ascii="黑体" w:hAnsi="黑体" w:eastAsia="黑体"/>
          <w:b w:val="0"/>
          <w:bCs w:val="0"/>
        </w:rPr>
      </w:pPr>
      <w:bookmarkStart w:id="29" w:name="_Toc11714"/>
      <w:bookmarkStart w:id="30" w:name="_Toc15377204"/>
      <w:bookmarkStart w:id="31" w:name="_Toc15396602"/>
      <w:r>
        <w:rPr>
          <w:rFonts w:hint="eastAsia" w:ascii="黑体" w:hAnsi="黑体" w:eastAsia="黑体" w:cs="黑体"/>
          <w:b w:val="0"/>
          <w:bCs w:val="0"/>
          <w:color w:val="000000"/>
        </w:rPr>
        <w:t>第二部分</w:t>
      </w:r>
      <w:r>
        <w:rPr>
          <w:rStyle w:val="18"/>
          <w:rFonts w:ascii="黑体" w:hAnsi="黑体" w:eastAsia="黑体" w:cs="黑体"/>
          <w:b w:val="0"/>
          <w:bCs w:val="0"/>
        </w:rPr>
        <w:t>2020</w:t>
      </w:r>
      <w:r>
        <w:rPr>
          <w:rStyle w:val="18"/>
          <w:rFonts w:hint="eastAsia" w:ascii="黑体" w:hAnsi="黑体" w:eastAsia="黑体" w:cs="黑体"/>
          <w:b w:val="0"/>
          <w:bCs w:val="0"/>
        </w:rPr>
        <w:t>年度部门决算情况说明</w:t>
      </w:r>
      <w:bookmarkEnd w:id="29"/>
      <w:bookmarkEnd w:id="30"/>
      <w:bookmarkEnd w:id="31"/>
    </w:p>
    <w:p>
      <w:pPr>
        <w:spacing w:line="576" w:lineRule="exact"/>
      </w:pPr>
    </w:p>
    <w:p>
      <w:pPr>
        <w:pStyle w:val="31"/>
        <w:numPr>
          <w:ilvl w:val="0"/>
          <w:numId w:val="3"/>
        </w:numPr>
        <w:spacing w:line="576" w:lineRule="exact"/>
        <w:ind w:firstLineChars="0"/>
        <w:outlineLvl w:val="1"/>
        <w:rPr>
          <w:rStyle w:val="19"/>
          <w:rFonts w:ascii="黑体" w:hAnsi="黑体" w:eastAsia="黑体" w:cs="Times New Roman"/>
          <w:b w:val="0"/>
          <w:bCs w:val="0"/>
        </w:rPr>
      </w:pPr>
      <w:bookmarkStart w:id="32" w:name="_Toc15377205"/>
      <w:bookmarkStart w:id="33" w:name="_Toc16617"/>
      <w:bookmarkStart w:id="34" w:name="_Toc15396603"/>
      <w:r>
        <w:rPr>
          <w:rFonts w:hint="eastAsia" w:ascii="黑体" w:hAnsi="黑体" w:eastAsia="黑体" w:cs="黑体"/>
          <w:color w:val="000000"/>
          <w:sz w:val="32"/>
          <w:szCs w:val="32"/>
        </w:rPr>
        <w:t>收</w:t>
      </w:r>
      <w:r>
        <w:rPr>
          <w:rStyle w:val="19"/>
          <w:rFonts w:hint="eastAsia" w:ascii="黑体" w:hAnsi="黑体" w:eastAsia="黑体" w:cs="黑体"/>
          <w:b w:val="0"/>
          <w:bCs w:val="0"/>
        </w:rPr>
        <w:t>入支出决算总体情况说明</w:t>
      </w:r>
      <w:bookmarkEnd w:id="32"/>
      <w:bookmarkEnd w:id="33"/>
      <w:bookmarkEnd w:id="34"/>
    </w:p>
    <w:p>
      <w:pPr>
        <w:spacing w:line="576" w:lineRule="exact"/>
        <w:ind w:firstLine="640" w:firstLineChars="200"/>
        <w:rPr>
          <w:rFonts w:ascii="仿宋_GB2312" w:hAnsi="仿宋" w:eastAsia="仿宋_GB2312"/>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年度收、支总计</w:t>
      </w:r>
      <w:r>
        <w:rPr>
          <w:rFonts w:ascii="仿宋" w:hAnsi="仿宋" w:eastAsia="仿宋" w:cs="仿宋"/>
          <w:color w:val="000000"/>
          <w:sz w:val="32"/>
          <w:szCs w:val="32"/>
        </w:rPr>
        <w:t>388.67</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年相比，收、支总计各减少</w:t>
      </w:r>
      <w:r>
        <w:rPr>
          <w:rFonts w:ascii="仿宋" w:hAnsi="仿宋" w:eastAsia="仿宋" w:cs="仿宋"/>
          <w:color w:val="000000"/>
          <w:sz w:val="32"/>
          <w:szCs w:val="32"/>
        </w:rPr>
        <w:t>86.54</w:t>
      </w:r>
      <w:r>
        <w:rPr>
          <w:rFonts w:hint="eastAsia" w:ascii="仿宋" w:hAnsi="仿宋" w:eastAsia="仿宋" w:cs="仿宋"/>
          <w:color w:val="000000"/>
          <w:sz w:val="32"/>
          <w:szCs w:val="32"/>
        </w:rPr>
        <w:t>万元，减少</w:t>
      </w:r>
      <w:r>
        <w:rPr>
          <w:rFonts w:ascii="仿宋" w:hAnsi="仿宋" w:eastAsia="仿宋" w:cs="仿宋"/>
          <w:color w:val="000000"/>
          <w:sz w:val="32"/>
          <w:szCs w:val="32"/>
        </w:rPr>
        <w:t>22.27%</w:t>
      </w:r>
      <w:r>
        <w:rPr>
          <w:rFonts w:hint="eastAsia" w:ascii="仿宋" w:hAnsi="仿宋" w:eastAsia="仿宋" w:cs="仿宋"/>
          <w:color w:val="000000"/>
          <w:sz w:val="32"/>
          <w:szCs w:val="32"/>
        </w:rPr>
        <w:t>。主要变动原因是</w:t>
      </w:r>
      <w:r>
        <w:rPr>
          <w:rFonts w:hint="eastAsia" w:ascii="仿宋_GB2312" w:hAnsi="仿宋" w:eastAsia="仿宋_GB2312" w:cs="仿宋_GB2312"/>
          <w:color w:val="000000"/>
          <w:sz w:val="32"/>
          <w:szCs w:val="32"/>
        </w:rPr>
        <w:t>由于人员减少。</w:t>
      </w:r>
    </w:p>
    <w:p>
      <w:pPr>
        <w:spacing w:line="576" w:lineRule="exact"/>
        <w:ind w:firstLine="643" w:firstLineChars="200"/>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图</w:t>
      </w:r>
      <w:r>
        <w:rPr>
          <w:rFonts w:ascii="仿宋_GB2312" w:hAnsi="仿宋" w:eastAsia="仿宋_GB2312" w:cs="仿宋_GB2312"/>
          <w:b/>
          <w:bCs/>
          <w:color w:val="000000"/>
          <w:sz w:val="32"/>
          <w:szCs w:val="32"/>
        </w:rPr>
        <w:t>1</w:t>
      </w:r>
      <w:r>
        <w:rPr>
          <w:rFonts w:hint="eastAsia" w:ascii="仿宋_GB2312" w:hAnsi="仿宋" w:eastAsia="仿宋_GB2312" w:cs="仿宋_GB2312"/>
          <w:b/>
          <w:bCs/>
          <w:color w:val="000000"/>
          <w:sz w:val="32"/>
          <w:szCs w:val="32"/>
        </w:rPr>
        <w:t>：收、支决算总计变动情况图（单位：万元）</w:t>
      </w:r>
      <w:bookmarkStart w:id="35" w:name="_Toc25056"/>
      <w:bookmarkStart w:id="36" w:name="_Toc15377206"/>
      <w:bookmarkStart w:id="37" w:name="_Toc15396604"/>
    </w:p>
    <w:p>
      <w:pPr>
        <w:spacing w:line="576" w:lineRule="exact"/>
        <w:ind w:firstLine="420" w:firstLineChars="200"/>
        <w:rPr>
          <w:rFonts w:ascii="仿宋_GB2312" w:hAnsi="仿宋" w:eastAsia="仿宋_GB2312"/>
          <w:b/>
          <w:bCs/>
          <w:color w:val="000000"/>
          <w:sz w:val="32"/>
          <w:szCs w:val="32"/>
        </w:rPr>
      </w:pPr>
      <w:r>
        <w:pict>
          <v:shape id="图表 4" o:spid="_x0000_s1026" o:spt="75" type="#_x0000_t75" style="position:absolute;left:0pt;margin-left:36.9pt;margin-top:10.15pt;height:216.5pt;width:361.45pt;mso-wrap-distance-bottom:0pt;mso-wrap-distance-left:9pt;mso-wrap-distance-right:9pt;mso-wrap-distance-top:0pt;z-index:251659264;mso-width-relative:page;mso-height-relative:page;" filled="f" o:preferrelative="t" stroked="f" coordsize="21600,21600">
            <v:path/>
            <v:fill on="f" focussize="0,0"/>
            <v:stroke on="f" joinstyle="miter"/>
            <v:imagedata r:id="rId6" o:title=""/>
            <o:lock v:ext="edit" aspectratio="f"/>
            <w10:wrap type="square"/>
          </v:shape>
        </w:pict>
      </w:r>
    </w:p>
    <w:p>
      <w:pPr>
        <w:spacing w:line="576" w:lineRule="exact"/>
        <w:ind w:firstLine="643" w:firstLineChars="200"/>
        <w:rPr>
          <w:rFonts w:ascii="仿宋_GB2312" w:hAnsi="仿宋" w:eastAsia="仿宋_GB2312"/>
          <w:b/>
          <w:bCs/>
          <w:color w:val="000000"/>
          <w:sz w:val="32"/>
          <w:szCs w:val="32"/>
        </w:rPr>
      </w:pPr>
    </w:p>
    <w:p>
      <w:pPr>
        <w:spacing w:line="576" w:lineRule="exact"/>
        <w:ind w:firstLine="640" w:firstLineChars="200"/>
        <w:rPr>
          <w:rFonts w:ascii="黑体" w:hAnsi="黑体" w:eastAsia="黑体"/>
          <w:color w:val="000000"/>
          <w:sz w:val="32"/>
          <w:szCs w:val="32"/>
        </w:rPr>
      </w:pPr>
    </w:p>
    <w:p>
      <w:pPr>
        <w:spacing w:line="576" w:lineRule="exact"/>
        <w:ind w:firstLine="640" w:firstLineChars="200"/>
        <w:rPr>
          <w:rFonts w:ascii="黑体" w:hAnsi="黑体" w:eastAsia="黑体"/>
          <w:color w:val="000000"/>
          <w:sz w:val="32"/>
          <w:szCs w:val="32"/>
        </w:rPr>
      </w:pPr>
    </w:p>
    <w:p>
      <w:pPr>
        <w:spacing w:line="576" w:lineRule="exact"/>
        <w:ind w:firstLine="640" w:firstLineChars="200"/>
        <w:rPr>
          <w:rFonts w:ascii="黑体" w:hAnsi="黑体" w:eastAsia="黑体"/>
          <w:color w:val="000000"/>
          <w:sz w:val="32"/>
          <w:szCs w:val="32"/>
        </w:rPr>
      </w:pPr>
    </w:p>
    <w:p>
      <w:pPr>
        <w:spacing w:line="576" w:lineRule="exact"/>
        <w:rPr>
          <w:rFonts w:ascii="黑体" w:hAnsi="黑体" w:eastAsia="黑体"/>
          <w:color w:val="000000"/>
          <w:sz w:val="32"/>
          <w:szCs w:val="32"/>
        </w:rPr>
      </w:pPr>
    </w:p>
    <w:p>
      <w:pPr>
        <w:spacing w:line="576" w:lineRule="exact"/>
        <w:rPr>
          <w:rFonts w:ascii="黑体" w:hAnsi="黑体" w:eastAsia="黑体"/>
          <w:color w:val="000000"/>
          <w:sz w:val="32"/>
          <w:szCs w:val="32"/>
        </w:rPr>
      </w:pPr>
    </w:p>
    <w:p>
      <w:pPr>
        <w:spacing w:line="576" w:lineRule="exact"/>
        <w:rPr>
          <w:rFonts w:ascii="黑体" w:hAnsi="黑体" w:eastAsia="黑体"/>
          <w:color w:val="000000"/>
          <w:sz w:val="32"/>
          <w:szCs w:val="32"/>
        </w:rPr>
      </w:pPr>
    </w:p>
    <w:p>
      <w:pPr>
        <w:spacing w:line="576" w:lineRule="exact"/>
        <w:rPr>
          <w:rFonts w:ascii="黑体" w:hAnsi="黑体" w:eastAsia="黑体"/>
          <w:color w:val="000000"/>
          <w:sz w:val="32"/>
          <w:szCs w:val="32"/>
        </w:rPr>
      </w:pPr>
    </w:p>
    <w:p>
      <w:pPr>
        <w:spacing w:line="576" w:lineRule="exact"/>
        <w:ind w:firstLine="640" w:firstLineChars="200"/>
        <w:rPr>
          <w:rStyle w:val="19"/>
          <w:rFonts w:ascii="黑体" w:hAnsi="黑体" w:eastAsia="黑体" w:cs="Times New Roman"/>
          <w:b w:val="0"/>
          <w:bCs w:val="0"/>
        </w:rPr>
      </w:pPr>
      <w:r>
        <w:rPr>
          <w:rFonts w:hint="eastAsia" w:ascii="黑体" w:hAnsi="黑体" w:eastAsia="黑体" w:cs="黑体"/>
          <w:color w:val="000000"/>
          <w:sz w:val="32"/>
          <w:szCs w:val="32"/>
        </w:rPr>
        <w:t>二、收</w:t>
      </w:r>
      <w:r>
        <w:rPr>
          <w:rStyle w:val="19"/>
          <w:rFonts w:hint="eastAsia" w:ascii="黑体" w:hAnsi="黑体" w:eastAsia="黑体" w:cs="黑体"/>
          <w:b w:val="0"/>
          <w:bCs w:val="0"/>
        </w:rPr>
        <w:t>入决算情况说明</w:t>
      </w:r>
      <w:bookmarkEnd w:id="35"/>
      <w:bookmarkEnd w:id="36"/>
      <w:bookmarkEnd w:id="37"/>
    </w:p>
    <w:p>
      <w:pPr>
        <w:spacing w:line="576" w:lineRule="exact"/>
        <w:ind w:firstLine="640" w:firstLineChars="200"/>
        <w:outlineLvl w:val="1"/>
        <w:rPr>
          <w:rFonts w:ascii="仿宋" w:hAnsi="仿宋" w:eastAsia="仿宋"/>
          <w:color w:val="000000"/>
          <w:sz w:val="32"/>
          <w:szCs w:val="32"/>
        </w:rPr>
      </w:pPr>
      <w:bookmarkStart w:id="38" w:name="_Toc18794"/>
      <w:r>
        <w:rPr>
          <w:rFonts w:ascii="仿宋" w:hAnsi="仿宋" w:eastAsia="仿宋" w:cs="仿宋"/>
          <w:color w:val="000000"/>
          <w:sz w:val="32"/>
          <w:szCs w:val="32"/>
        </w:rPr>
        <w:t>2020</w:t>
      </w:r>
      <w:r>
        <w:rPr>
          <w:rFonts w:hint="eastAsia" w:ascii="仿宋" w:hAnsi="仿宋" w:eastAsia="仿宋" w:cs="仿宋"/>
          <w:color w:val="000000"/>
          <w:sz w:val="32"/>
          <w:szCs w:val="32"/>
        </w:rPr>
        <w:t>年本年收入合计</w:t>
      </w:r>
      <w:r>
        <w:rPr>
          <w:rFonts w:ascii="仿宋" w:hAnsi="仿宋" w:eastAsia="仿宋" w:cs="仿宋"/>
          <w:color w:val="000000"/>
          <w:sz w:val="32"/>
          <w:szCs w:val="32"/>
        </w:rPr>
        <w:t>373.67</w:t>
      </w:r>
      <w:r>
        <w:rPr>
          <w:rFonts w:hint="eastAsia" w:ascii="仿宋" w:hAnsi="仿宋" w:eastAsia="仿宋" w:cs="仿宋"/>
          <w:color w:val="000000"/>
          <w:sz w:val="32"/>
          <w:szCs w:val="32"/>
        </w:rPr>
        <w:t>万元，其中：一般公共预算财政拨款收入</w:t>
      </w:r>
      <w:r>
        <w:rPr>
          <w:rFonts w:ascii="仿宋" w:hAnsi="仿宋" w:eastAsia="仿宋" w:cs="仿宋"/>
          <w:color w:val="000000"/>
          <w:sz w:val="32"/>
          <w:szCs w:val="32"/>
        </w:rPr>
        <w:t>373.67</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w:t>
      </w:r>
      <w:bookmarkEnd w:id="38"/>
    </w:p>
    <w:p>
      <w:pPr>
        <w:spacing w:line="576" w:lineRule="exact"/>
        <w:ind w:firstLine="964" w:firstLineChars="30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2</w:t>
      </w:r>
      <w:r>
        <w:rPr>
          <w:rFonts w:hint="eastAsia" w:ascii="仿宋" w:hAnsi="仿宋" w:eastAsia="仿宋" w:cs="仿宋"/>
          <w:b/>
          <w:bCs/>
          <w:color w:val="000000"/>
          <w:sz w:val="32"/>
          <w:szCs w:val="32"/>
        </w:rPr>
        <w:t>：收入决算结构图</w:t>
      </w:r>
    </w:p>
    <w:p>
      <w:pPr>
        <w:spacing w:line="576" w:lineRule="exact"/>
        <w:ind w:firstLine="964" w:firstLineChars="300"/>
        <w:rPr>
          <w:rFonts w:ascii="仿宋" w:hAnsi="仿宋" w:eastAsia="仿宋"/>
          <w:b/>
          <w:bCs/>
          <w:color w:val="000000"/>
          <w:sz w:val="32"/>
          <w:szCs w:val="32"/>
        </w:rPr>
      </w:pPr>
    </w:p>
    <w:p>
      <w:pPr>
        <w:spacing w:line="576" w:lineRule="exact"/>
        <w:ind w:firstLine="630" w:firstLineChars="300"/>
        <w:rPr>
          <w:rFonts w:ascii="仿宋" w:hAnsi="仿宋" w:eastAsia="仿宋"/>
          <w:b/>
          <w:bCs/>
          <w:color w:val="000000"/>
          <w:sz w:val="32"/>
          <w:szCs w:val="32"/>
        </w:rPr>
      </w:pPr>
      <w:r>
        <w:pict>
          <v:shape id="_x0000_s1027" o:spid="_x0000_s1027" o:spt="75" type="#_x0000_t75" style="position:absolute;left:0pt;margin-left:37.8pt;margin-top:9.75pt;height:235.7pt;width:313.45pt;mso-wrap-distance-left:9pt;mso-wrap-distance-right:9pt;z-index:-251656192;mso-width-relative:page;mso-height-relative:page;" o:ole="t" filled="f" o:preferrelative="t" stroked="f" coordsize="21600,21600" wrapcoords="155 344 155 21187 21342 21187 21342 344 155 344">
            <v:path/>
            <v:fill on="f" focussize="0,0"/>
            <v:stroke on="f" joinstyle="miter"/>
            <v:imagedata r:id="rId8" o:title=""/>
            <o:lock v:ext="edit" aspectratio="t"/>
            <w10:wrap type="tight"/>
          </v:shape>
          <o:OLEObject Type="Embed" ProgID="Excel.Chart.8" ShapeID="_x0000_s1027" DrawAspect="Content" ObjectID="_1468075725" r:id="rId7">
            <o:LockedField>false</o:LockedField>
          </o:OLEObject>
        </w:pict>
      </w:r>
    </w:p>
    <w:p>
      <w:pPr>
        <w:spacing w:line="576" w:lineRule="exact"/>
        <w:ind w:firstLine="964" w:firstLineChars="300"/>
        <w:rPr>
          <w:rFonts w:ascii="仿宋" w:hAnsi="仿宋" w:eastAsia="仿宋"/>
          <w:b/>
          <w:bCs/>
          <w:color w:val="000000"/>
          <w:sz w:val="32"/>
          <w:szCs w:val="32"/>
        </w:rPr>
      </w:pPr>
    </w:p>
    <w:p>
      <w:pPr>
        <w:spacing w:line="576" w:lineRule="exact"/>
        <w:ind w:firstLine="964" w:firstLineChars="300"/>
        <w:rPr>
          <w:rFonts w:ascii="仿宋" w:hAnsi="仿宋" w:eastAsia="仿宋"/>
          <w:b/>
          <w:bCs/>
          <w:color w:val="000000"/>
          <w:sz w:val="32"/>
          <w:szCs w:val="32"/>
        </w:rPr>
      </w:pPr>
    </w:p>
    <w:p>
      <w:pPr>
        <w:spacing w:line="576" w:lineRule="exact"/>
        <w:ind w:firstLine="964" w:firstLineChars="300"/>
        <w:rPr>
          <w:rFonts w:ascii="仿宋" w:hAnsi="仿宋" w:eastAsia="仿宋"/>
          <w:b/>
          <w:bCs/>
          <w:color w:val="000000"/>
          <w:sz w:val="32"/>
          <w:szCs w:val="32"/>
        </w:rPr>
      </w:pPr>
    </w:p>
    <w:p>
      <w:pPr>
        <w:spacing w:line="576" w:lineRule="exact"/>
        <w:ind w:firstLine="964" w:firstLineChars="300"/>
        <w:rPr>
          <w:rFonts w:ascii="仿宋" w:hAnsi="仿宋" w:eastAsia="仿宋"/>
          <w:b/>
          <w:bCs/>
          <w:color w:val="000000"/>
          <w:sz w:val="32"/>
          <w:szCs w:val="32"/>
        </w:rPr>
      </w:pPr>
    </w:p>
    <w:p>
      <w:pPr>
        <w:spacing w:line="576" w:lineRule="exact"/>
        <w:ind w:firstLine="964" w:firstLineChars="300"/>
        <w:rPr>
          <w:rFonts w:ascii="仿宋" w:hAnsi="仿宋" w:eastAsia="仿宋"/>
          <w:b/>
          <w:bCs/>
          <w:color w:val="000000"/>
          <w:sz w:val="32"/>
          <w:szCs w:val="32"/>
        </w:rPr>
      </w:pPr>
    </w:p>
    <w:p>
      <w:pPr>
        <w:spacing w:line="576" w:lineRule="exact"/>
        <w:ind w:firstLine="964" w:firstLineChars="300"/>
        <w:rPr>
          <w:rFonts w:ascii="仿宋" w:hAnsi="仿宋" w:eastAsia="仿宋"/>
          <w:b/>
          <w:bCs/>
          <w:color w:val="000000"/>
          <w:sz w:val="32"/>
          <w:szCs w:val="32"/>
        </w:rPr>
      </w:pPr>
    </w:p>
    <w:p>
      <w:pPr>
        <w:spacing w:line="576" w:lineRule="exact"/>
        <w:ind w:firstLine="640" w:firstLineChars="200"/>
        <w:rPr>
          <w:rFonts w:ascii="仿宋_GB2312" w:eastAsia="仿宋_GB2312"/>
          <w:color w:val="FF0000"/>
          <w:sz w:val="32"/>
          <w:szCs w:val="32"/>
        </w:rPr>
      </w:pPr>
    </w:p>
    <w:p>
      <w:pPr>
        <w:pStyle w:val="31"/>
        <w:spacing w:line="576" w:lineRule="exact"/>
        <w:ind w:left="640" w:firstLine="0" w:firstLineChars="0"/>
        <w:outlineLvl w:val="1"/>
        <w:rPr>
          <w:rFonts w:ascii="黑体" w:hAnsi="黑体" w:eastAsia="黑体"/>
          <w:color w:val="000000"/>
          <w:sz w:val="32"/>
          <w:szCs w:val="32"/>
        </w:rPr>
      </w:pPr>
      <w:bookmarkStart w:id="39" w:name="_Toc15377207"/>
      <w:bookmarkStart w:id="40" w:name="_Toc26221"/>
      <w:bookmarkStart w:id="41" w:name="_Toc15396605"/>
    </w:p>
    <w:p>
      <w:pPr>
        <w:pStyle w:val="31"/>
        <w:spacing w:line="576" w:lineRule="exact"/>
        <w:ind w:left="640" w:firstLine="0" w:firstLineChars="0"/>
        <w:outlineLvl w:val="1"/>
        <w:rPr>
          <w:rStyle w:val="19"/>
          <w:rFonts w:ascii="黑体" w:hAnsi="黑体" w:eastAsia="黑体" w:cs="Times New Roman"/>
          <w:b w:val="0"/>
          <w:bCs w:val="0"/>
        </w:rPr>
      </w:pPr>
      <w:r>
        <w:rPr>
          <w:rFonts w:hint="eastAsia" w:ascii="黑体" w:hAnsi="黑体" w:eastAsia="黑体" w:cs="黑体"/>
          <w:color w:val="000000"/>
          <w:sz w:val="32"/>
          <w:szCs w:val="32"/>
        </w:rPr>
        <w:t>三、支</w:t>
      </w:r>
      <w:r>
        <w:rPr>
          <w:rStyle w:val="19"/>
          <w:rFonts w:hint="eastAsia" w:ascii="黑体" w:hAnsi="黑体" w:eastAsia="黑体" w:cs="黑体"/>
          <w:b w:val="0"/>
          <w:bCs w:val="0"/>
        </w:rPr>
        <w:t>出决算情况说明</w:t>
      </w:r>
      <w:bookmarkEnd w:id="39"/>
      <w:bookmarkEnd w:id="40"/>
      <w:bookmarkEnd w:id="41"/>
    </w:p>
    <w:p>
      <w:pPr>
        <w:spacing w:line="576" w:lineRule="exact"/>
        <w:ind w:firstLine="640" w:firstLineChars="200"/>
        <w:outlineLvl w:val="1"/>
        <w:rPr>
          <w:rFonts w:ascii="仿宋" w:hAnsi="仿宋" w:eastAsia="仿宋"/>
          <w:color w:val="000000"/>
          <w:sz w:val="32"/>
          <w:szCs w:val="32"/>
        </w:rPr>
      </w:pPr>
      <w:bookmarkStart w:id="42" w:name="_Toc15282"/>
      <w:r>
        <w:rPr>
          <w:rFonts w:ascii="仿宋" w:hAnsi="仿宋" w:eastAsia="仿宋" w:cs="仿宋"/>
          <w:color w:val="000000"/>
          <w:sz w:val="32"/>
          <w:szCs w:val="32"/>
        </w:rPr>
        <w:t>2020</w:t>
      </w:r>
      <w:r>
        <w:rPr>
          <w:rFonts w:hint="eastAsia" w:ascii="仿宋" w:hAnsi="仿宋" w:eastAsia="仿宋" w:cs="仿宋"/>
          <w:color w:val="000000"/>
          <w:sz w:val="32"/>
          <w:szCs w:val="32"/>
        </w:rPr>
        <w:t>年本年支出合计</w:t>
      </w:r>
      <w:r>
        <w:rPr>
          <w:rFonts w:ascii="仿宋" w:hAnsi="仿宋" w:eastAsia="仿宋" w:cs="仿宋"/>
          <w:color w:val="000000"/>
          <w:sz w:val="32"/>
          <w:szCs w:val="32"/>
        </w:rPr>
        <w:t>353.67</w:t>
      </w:r>
      <w:r>
        <w:rPr>
          <w:rFonts w:hint="eastAsia" w:ascii="仿宋" w:hAnsi="仿宋" w:eastAsia="仿宋" w:cs="仿宋"/>
          <w:color w:val="000000"/>
          <w:sz w:val="32"/>
          <w:szCs w:val="32"/>
        </w:rPr>
        <w:t>万元，其中：基本支出</w:t>
      </w:r>
      <w:r>
        <w:rPr>
          <w:rFonts w:ascii="仿宋" w:hAnsi="仿宋" w:eastAsia="仿宋" w:cs="仿宋"/>
          <w:color w:val="000000"/>
          <w:sz w:val="32"/>
          <w:szCs w:val="32"/>
        </w:rPr>
        <w:t>320.35</w:t>
      </w:r>
      <w:r>
        <w:rPr>
          <w:rFonts w:hint="eastAsia" w:ascii="仿宋" w:hAnsi="仿宋" w:eastAsia="仿宋" w:cs="仿宋"/>
          <w:color w:val="000000"/>
          <w:sz w:val="32"/>
          <w:szCs w:val="32"/>
        </w:rPr>
        <w:t>万元，占</w:t>
      </w:r>
      <w:r>
        <w:rPr>
          <w:rFonts w:ascii="仿宋" w:hAnsi="仿宋" w:eastAsia="仿宋" w:cs="仿宋"/>
          <w:color w:val="000000"/>
          <w:sz w:val="32"/>
          <w:szCs w:val="32"/>
        </w:rPr>
        <w:t>90.58%</w:t>
      </w:r>
      <w:r>
        <w:rPr>
          <w:rFonts w:hint="eastAsia" w:ascii="仿宋" w:hAnsi="仿宋" w:eastAsia="仿宋" w:cs="仿宋"/>
          <w:color w:val="000000"/>
          <w:sz w:val="32"/>
          <w:szCs w:val="32"/>
        </w:rPr>
        <w:t>；项目支出</w:t>
      </w:r>
      <w:r>
        <w:rPr>
          <w:rFonts w:ascii="仿宋" w:hAnsi="仿宋" w:eastAsia="仿宋" w:cs="仿宋"/>
          <w:color w:val="000000"/>
          <w:sz w:val="32"/>
          <w:szCs w:val="32"/>
        </w:rPr>
        <w:t>33.32</w:t>
      </w:r>
      <w:r>
        <w:rPr>
          <w:rFonts w:hint="eastAsia" w:ascii="仿宋" w:hAnsi="仿宋" w:eastAsia="仿宋" w:cs="仿宋"/>
          <w:color w:val="000000"/>
          <w:sz w:val="32"/>
          <w:szCs w:val="32"/>
        </w:rPr>
        <w:t>万元，占</w:t>
      </w:r>
      <w:r>
        <w:rPr>
          <w:rFonts w:ascii="仿宋" w:hAnsi="仿宋" w:eastAsia="仿宋" w:cs="仿宋"/>
          <w:color w:val="000000"/>
          <w:sz w:val="32"/>
          <w:szCs w:val="32"/>
        </w:rPr>
        <w:t>9.42%</w:t>
      </w:r>
      <w:r>
        <w:rPr>
          <w:rFonts w:hint="eastAsia" w:ascii="仿宋" w:hAnsi="仿宋" w:eastAsia="仿宋" w:cs="仿宋"/>
          <w:color w:val="000000"/>
          <w:sz w:val="32"/>
          <w:szCs w:val="32"/>
        </w:rPr>
        <w:t>。</w:t>
      </w:r>
      <w:bookmarkEnd w:id="42"/>
    </w:p>
    <w:p>
      <w:pPr>
        <w:spacing w:line="576" w:lineRule="exact"/>
        <w:ind w:firstLine="643" w:firstLineChars="20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3</w:t>
      </w:r>
      <w:r>
        <w:rPr>
          <w:rFonts w:hint="eastAsia" w:ascii="仿宋" w:hAnsi="仿宋" w:eastAsia="仿宋" w:cs="仿宋"/>
          <w:b/>
          <w:bCs/>
          <w:color w:val="000000"/>
          <w:sz w:val="32"/>
          <w:szCs w:val="32"/>
        </w:rPr>
        <w:t>：支出决算结构图</w:t>
      </w:r>
    </w:p>
    <w:p>
      <w:pPr>
        <w:spacing w:line="576" w:lineRule="exact"/>
        <w:rPr>
          <w:rFonts w:ascii="仿宋_GB2312" w:eastAsia="仿宋_GB2312"/>
          <w:color w:val="FF0000"/>
          <w:sz w:val="32"/>
          <w:szCs w:val="32"/>
        </w:rPr>
      </w:pPr>
      <w:r>
        <w:pict>
          <v:shape id="图表 2" o:spid="_x0000_s1028" o:spt="75" type="#_x0000_t75" style="position:absolute;left:0pt;margin-left:25.65pt;margin-top:18.4pt;height:216.5pt;width:361.45pt;mso-wrap-distance-bottom:0pt;mso-wrap-distance-left:9pt;mso-wrap-distance-right:9pt;mso-wrap-distance-top:0pt;z-index:251655168;mso-width-relative:page;mso-height-relative:page;" filled="f" o:preferrelative="t" stroked="f" coordsize="21600,21600">
            <v:path/>
            <v:fill on="f" focussize="0,0"/>
            <v:stroke on="f" joinstyle="miter"/>
            <v:imagedata r:id="rId9" o:title=""/>
            <o:lock v:ext="edit" aspectratio="f"/>
            <w10:wrap type="square"/>
          </v:shape>
        </w:pict>
      </w:r>
    </w:p>
    <w:p>
      <w:pPr>
        <w:spacing w:line="576" w:lineRule="exact"/>
        <w:ind w:firstLine="640" w:firstLineChars="200"/>
        <w:outlineLvl w:val="1"/>
        <w:rPr>
          <w:rFonts w:ascii="黑体" w:hAnsi="黑体" w:eastAsia="黑体"/>
          <w:color w:val="000000"/>
          <w:sz w:val="32"/>
          <w:szCs w:val="32"/>
        </w:rPr>
      </w:pPr>
      <w:bookmarkStart w:id="43" w:name="_Toc15396606"/>
      <w:bookmarkStart w:id="44" w:name="_Toc15377208"/>
      <w:bookmarkStart w:id="45" w:name="_Toc356"/>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Fonts w:ascii="黑体" w:hAnsi="黑体" w:eastAsia="黑体"/>
          <w:color w:val="000000"/>
          <w:sz w:val="32"/>
          <w:szCs w:val="32"/>
        </w:rPr>
      </w:pPr>
    </w:p>
    <w:p>
      <w:pPr>
        <w:spacing w:line="576" w:lineRule="exact"/>
        <w:ind w:firstLine="640" w:firstLineChars="200"/>
        <w:outlineLvl w:val="1"/>
        <w:rPr>
          <w:rStyle w:val="19"/>
          <w:rFonts w:ascii="黑体" w:hAnsi="黑体" w:eastAsia="黑体" w:cs="Times New Roman"/>
          <w:b w:val="0"/>
          <w:bCs w:val="0"/>
        </w:rPr>
      </w:pPr>
      <w:r>
        <w:rPr>
          <w:rFonts w:hint="eastAsia" w:ascii="黑体" w:hAnsi="黑体" w:eastAsia="黑体" w:cs="黑体"/>
          <w:color w:val="000000"/>
          <w:sz w:val="32"/>
          <w:szCs w:val="32"/>
        </w:rPr>
        <w:t>四、财</w:t>
      </w:r>
      <w:r>
        <w:rPr>
          <w:rStyle w:val="19"/>
          <w:rFonts w:hint="eastAsia" w:ascii="黑体" w:hAnsi="黑体" w:eastAsia="黑体" w:cs="黑体"/>
          <w:b w:val="0"/>
          <w:bCs w:val="0"/>
        </w:rPr>
        <w:t>政拨款收入支出决算总体情况说明</w:t>
      </w:r>
      <w:bookmarkEnd w:id="43"/>
      <w:bookmarkEnd w:id="44"/>
      <w:bookmarkEnd w:id="45"/>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年财政拨款收、支总计</w:t>
      </w:r>
      <w:r>
        <w:rPr>
          <w:rFonts w:ascii="仿宋" w:hAnsi="仿宋" w:eastAsia="仿宋" w:cs="仿宋"/>
          <w:color w:val="000000"/>
          <w:sz w:val="32"/>
          <w:szCs w:val="32"/>
        </w:rPr>
        <w:t>388.67</w:t>
      </w:r>
      <w:r>
        <w:rPr>
          <w:rFonts w:hint="eastAsia" w:ascii="仿宋" w:hAnsi="仿宋" w:eastAsia="仿宋" w:cs="仿宋"/>
          <w:color w:val="000000"/>
          <w:sz w:val="32"/>
          <w:szCs w:val="32"/>
        </w:rPr>
        <w:t>万元。与</w:t>
      </w:r>
      <w:r>
        <w:rPr>
          <w:rFonts w:ascii="仿宋" w:hAnsi="仿宋" w:eastAsia="仿宋" w:cs="仿宋"/>
          <w:color w:val="000000"/>
          <w:sz w:val="32"/>
          <w:szCs w:val="32"/>
        </w:rPr>
        <w:t>2019</w:t>
      </w:r>
      <w:r>
        <w:rPr>
          <w:rFonts w:hint="eastAsia" w:ascii="仿宋" w:hAnsi="仿宋" w:eastAsia="仿宋" w:cs="仿宋"/>
          <w:color w:val="000000"/>
          <w:sz w:val="32"/>
          <w:szCs w:val="32"/>
        </w:rPr>
        <w:t>年相比，财政拨款收、支总计各减少</w:t>
      </w:r>
      <w:r>
        <w:rPr>
          <w:rFonts w:ascii="仿宋" w:hAnsi="仿宋" w:eastAsia="仿宋" w:cs="仿宋"/>
          <w:color w:val="000000"/>
          <w:sz w:val="32"/>
          <w:szCs w:val="32"/>
        </w:rPr>
        <w:t>86.54</w:t>
      </w:r>
      <w:r>
        <w:rPr>
          <w:rFonts w:hint="eastAsia" w:ascii="仿宋" w:hAnsi="仿宋" w:eastAsia="仿宋" w:cs="仿宋"/>
          <w:color w:val="000000"/>
          <w:sz w:val="32"/>
          <w:szCs w:val="32"/>
        </w:rPr>
        <w:t>万元，减少</w:t>
      </w:r>
      <w:r>
        <w:rPr>
          <w:rFonts w:ascii="仿宋" w:hAnsi="仿宋" w:eastAsia="仿宋" w:cs="仿宋"/>
          <w:color w:val="000000"/>
          <w:sz w:val="32"/>
          <w:szCs w:val="32"/>
        </w:rPr>
        <w:t>22.27%</w:t>
      </w:r>
      <w:r>
        <w:rPr>
          <w:rFonts w:hint="eastAsia" w:ascii="仿宋" w:hAnsi="仿宋" w:eastAsia="仿宋" w:cs="仿宋"/>
          <w:color w:val="000000"/>
          <w:sz w:val="32"/>
          <w:szCs w:val="32"/>
        </w:rPr>
        <w:t>。主要变动原因</w:t>
      </w:r>
      <w:r>
        <w:rPr>
          <w:rFonts w:hint="eastAsia" w:ascii="仿宋_GB2312" w:hAnsi="仿宋" w:eastAsia="仿宋_GB2312" w:cs="仿宋_GB2312"/>
          <w:color w:val="000000"/>
          <w:sz w:val="32"/>
          <w:szCs w:val="32"/>
        </w:rPr>
        <w:t>由于人员增减少。</w:t>
      </w:r>
    </w:p>
    <w:p>
      <w:pPr>
        <w:spacing w:line="576" w:lineRule="exact"/>
        <w:ind w:firstLine="643" w:firstLineChars="20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4</w:t>
      </w:r>
      <w:r>
        <w:rPr>
          <w:rFonts w:hint="eastAsia" w:ascii="仿宋" w:hAnsi="仿宋" w:eastAsia="仿宋" w:cs="仿宋"/>
          <w:b/>
          <w:bCs/>
          <w:color w:val="000000"/>
          <w:sz w:val="32"/>
          <w:szCs w:val="32"/>
        </w:rPr>
        <w:t>：财政拨款收、支决算总计变动情况</w:t>
      </w:r>
    </w:p>
    <w:p>
      <w:pPr>
        <w:spacing w:line="576" w:lineRule="exact"/>
        <w:ind w:firstLine="640"/>
        <w:rPr>
          <w:rFonts w:ascii="黑体" w:hAnsi="黑体" w:eastAsia="黑体"/>
          <w:color w:val="000000"/>
          <w:sz w:val="32"/>
          <w:szCs w:val="32"/>
        </w:rPr>
      </w:pPr>
      <w:bookmarkStart w:id="46" w:name="_Toc15396607"/>
      <w:bookmarkStart w:id="47" w:name="_Toc15377209"/>
      <w:r>
        <w:pict>
          <v:shape id="图表 5" o:spid="_x0000_s1029" o:spt="75" type="#_x0000_t75" style="position:absolute;left:0pt;margin-left:23.4pt;margin-top:9.9pt;height:216.5pt;width:361.45pt;mso-wrap-distance-bottom:0pt;mso-wrap-distance-left:9pt;mso-wrap-distance-right:9pt;mso-wrap-distance-top:0pt;z-index:251656192;mso-width-relative:page;mso-height-relative:page;" filled="f" o:preferrelative="t" stroked="f" coordsize="21600,21600">
            <v:path/>
            <v:fill on="f" focussize="0,0"/>
            <v:stroke on="f" joinstyle="miter"/>
            <v:imagedata r:id="rId10" o:title=""/>
            <o:lock v:ext="edit" aspectratio="f"/>
            <w10:wrap type="square"/>
          </v:shape>
        </w:pict>
      </w: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Fonts w:ascii="黑体" w:hAnsi="黑体" w:eastAsia="黑体"/>
          <w:color w:val="000000"/>
          <w:sz w:val="32"/>
          <w:szCs w:val="32"/>
        </w:rPr>
      </w:pPr>
    </w:p>
    <w:p>
      <w:pPr>
        <w:spacing w:line="576" w:lineRule="exact"/>
        <w:ind w:firstLine="640"/>
        <w:rPr>
          <w:rStyle w:val="19"/>
          <w:rFonts w:ascii="黑体" w:hAnsi="黑体" w:eastAsia="黑体" w:cs="Times New Roman"/>
          <w:b w:val="0"/>
          <w:bCs w:val="0"/>
        </w:rPr>
      </w:pPr>
      <w:r>
        <w:rPr>
          <w:rFonts w:hint="eastAsia" w:ascii="黑体" w:hAnsi="黑体" w:eastAsia="黑体" w:cs="黑体"/>
          <w:color w:val="000000"/>
          <w:sz w:val="32"/>
          <w:szCs w:val="32"/>
        </w:rPr>
        <w:t>五、</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般公共预算财政拨款支出决算情况说明</w:t>
      </w:r>
      <w:bookmarkEnd w:id="46"/>
      <w:bookmarkEnd w:id="47"/>
    </w:p>
    <w:p>
      <w:pPr>
        <w:spacing w:line="576" w:lineRule="exact"/>
        <w:ind w:firstLine="643" w:firstLineChars="200"/>
        <w:outlineLvl w:val="2"/>
        <w:rPr>
          <w:rFonts w:ascii="楷体" w:hAnsi="楷体" w:eastAsia="楷体"/>
          <w:b/>
          <w:bCs/>
          <w:color w:val="000000"/>
          <w:sz w:val="32"/>
          <w:szCs w:val="32"/>
        </w:rPr>
      </w:pPr>
      <w:bookmarkStart w:id="48" w:name="_Toc16508"/>
      <w:bookmarkStart w:id="49" w:name="_Toc15377210"/>
      <w:r>
        <w:rPr>
          <w:rFonts w:hint="eastAsia" w:ascii="楷体" w:hAnsi="楷体" w:eastAsia="楷体" w:cs="楷体"/>
          <w:b/>
          <w:bCs/>
          <w:color w:val="000000"/>
          <w:sz w:val="32"/>
          <w:szCs w:val="32"/>
        </w:rPr>
        <w:t>（一）一般公共预算财政拨款支出决算总体情况</w:t>
      </w:r>
      <w:bookmarkEnd w:id="48"/>
      <w:bookmarkEnd w:id="49"/>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年一般公共预算财政拨款支出</w:t>
      </w:r>
      <w:r>
        <w:rPr>
          <w:rFonts w:ascii="仿宋" w:hAnsi="仿宋" w:eastAsia="仿宋" w:cs="仿宋"/>
          <w:color w:val="000000"/>
          <w:sz w:val="32"/>
          <w:szCs w:val="32"/>
        </w:rPr>
        <w:t>353.67</w:t>
      </w:r>
      <w:r>
        <w:rPr>
          <w:rFonts w:hint="eastAsia" w:ascii="仿宋" w:hAnsi="仿宋" w:eastAsia="仿宋" w:cs="仿宋"/>
          <w:color w:val="000000"/>
          <w:sz w:val="32"/>
          <w:szCs w:val="32"/>
        </w:rPr>
        <w:t>万元，占本年支出合计的</w:t>
      </w:r>
      <w:r>
        <w:rPr>
          <w:rFonts w:ascii="仿宋" w:hAnsi="仿宋" w:eastAsia="仿宋" w:cs="仿宋"/>
          <w:color w:val="000000"/>
          <w:sz w:val="32"/>
          <w:szCs w:val="32"/>
        </w:rPr>
        <w:t>100%</w:t>
      </w:r>
      <w:r>
        <w:rPr>
          <w:rFonts w:hint="eastAsia" w:ascii="仿宋" w:hAnsi="仿宋" w:eastAsia="仿宋" w:cs="仿宋"/>
          <w:color w:val="000000"/>
          <w:sz w:val="32"/>
          <w:szCs w:val="32"/>
        </w:rPr>
        <w:t>。与</w:t>
      </w:r>
      <w:r>
        <w:rPr>
          <w:rFonts w:ascii="仿宋" w:hAnsi="仿宋" w:eastAsia="仿宋" w:cs="仿宋"/>
          <w:color w:val="000000"/>
          <w:sz w:val="32"/>
          <w:szCs w:val="32"/>
        </w:rPr>
        <w:t>2019</w:t>
      </w:r>
      <w:r>
        <w:rPr>
          <w:rFonts w:hint="eastAsia" w:ascii="仿宋" w:hAnsi="仿宋" w:eastAsia="仿宋" w:cs="仿宋"/>
          <w:color w:val="000000"/>
          <w:sz w:val="32"/>
          <w:szCs w:val="32"/>
        </w:rPr>
        <w:t>年相比，一般公共预算财政拨款减少</w:t>
      </w:r>
      <w:r>
        <w:rPr>
          <w:rFonts w:ascii="仿宋" w:hAnsi="仿宋" w:eastAsia="仿宋" w:cs="仿宋"/>
          <w:color w:val="000000"/>
          <w:sz w:val="32"/>
          <w:szCs w:val="32"/>
        </w:rPr>
        <w:t>96.53</w:t>
      </w:r>
      <w:r>
        <w:rPr>
          <w:rFonts w:hint="eastAsia" w:ascii="仿宋" w:hAnsi="仿宋" w:eastAsia="仿宋" w:cs="仿宋"/>
          <w:color w:val="000000"/>
          <w:sz w:val="32"/>
          <w:szCs w:val="32"/>
        </w:rPr>
        <w:t>万元，减少</w:t>
      </w:r>
      <w:r>
        <w:rPr>
          <w:rFonts w:ascii="仿宋" w:hAnsi="仿宋" w:eastAsia="仿宋" w:cs="仿宋"/>
          <w:color w:val="000000"/>
          <w:sz w:val="32"/>
          <w:szCs w:val="32"/>
        </w:rPr>
        <w:t>27.29%</w:t>
      </w:r>
      <w:r>
        <w:rPr>
          <w:rFonts w:hint="eastAsia" w:ascii="仿宋" w:hAnsi="仿宋" w:eastAsia="仿宋" w:cs="仿宋"/>
          <w:color w:val="000000"/>
          <w:sz w:val="32"/>
          <w:szCs w:val="32"/>
        </w:rPr>
        <w:t>。主要变动原因是</w:t>
      </w:r>
      <w:r>
        <w:rPr>
          <w:rFonts w:hint="eastAsia" w:ascii="仿宋_GB2312" w:hAnsi="仿宋" w:eastAsia="仿宋_GB2312" w:cs="仿宋_GB2312"/>
          <w:color w:val="000000"/>
          <w:sz w:val="32"/>
          <w:szCs w:val="32"/>
        </w:rPr>
        <w:t>由于人员减少。</w:t>
      </w:r>
    </w:p>
    <w:p>
      <w:pPr>
        <w:spacing w:line="576" w:lineRule="exact"/>
        <w:ind w:firstLine="643" w:firstLineChars="20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5</w:t>
      </w:r>
      <w:r>
        <w:rPr>
          <w:rFonts w:hint="eastAsia" w:ascii="仿宋" w:hAnsi="仿宋" w:eastAsia="仿宋" w:cs="仿宋"/>
          <w:b/>
          <w:bCs/>
          <w:color w:val="000000"/>
          <w:sz w:val="32"/>
          <w:szCs w:val="32"/>
        </w:rPr>
        <w:t>：一般公共预算财政拨款支出决算变动情况</w:t>
      </w:r>
    </w:p>
    <w:p>
      <w:pPr>
        <w:spacing w:line="576" w:lineRule="exact"/>
        <w:ind w:firstLine="643" w:firstLineChars="200"/>
        <w:rPr>
          <w:rFonts w:ascii="仿宋" w:hAnsi="仿宋" w:eastAsia="仿宋"/>
          <w:b/>
          <w:bCs/>
          <w:color w:val="000000"/>
          <w:sz w:val="32"/>
          <w:szCs w:val="32"/>
        </w:rPr>
      </w:pPr>
    </w:p>
    <w:p>
      <w:pPr>
        <w:pStyle w:val="2"/>
        <w:ind w:firstLine="31680"/>
        <w:rPr>
          <w:rFonts w:ascii="仿宋" w:hAnsi="仿宋" w:eastAsia="仿宋"/>
          <w:b/>
          <w:bCs/>
          <w:color w:val="000000"/>
        </w:rPr>
      </w:pPr>
    </w:p>
    <w:p>
      <w:pPr>
        <w:pStyle w:val="2"/>
        <w:ind w:firstLine="31680"/>
        <w:rPr>
          <w:rFonts w:ascii="仿宋" w:hAnsi="仿宋" w:eastAsia="仿宋"/>
          <w:b/>
          <w:bCs/>
          <w:color w:val="000000"/>
        </w:rPr>
      </w:pPr>
    </w:p>
    <w:p>
      <w:pPr>
        <w:pStyle w:val="2"/>
        <w:ind w:firstLine="31680"/>
        <w:rPr>
          <w:rFonts w:ascii="仿宋" w:hAnsi="仿宋" w:eastAsia="仿宋"/>
          <w:b/>
          <w:bCs/>
          <w:color w:val="000000"/>
        </w:rPr>
      </w:pPr>
      <w:r>
        <w:pict>
          <v:shape id="_x0000_s1030" o:spid="_x0000_s1030" o:spt="75" type="#_x0000_t75" style="position:absolute;left:0pt;margin-left:3.9pt;margin-top:20.1pt;height:216.5pt;width:361.45pt;mso-wrap-distance-bottom:0pt;mso-wrap-distance-left:9pt;mso-wrap-distance-right:9pt;mso-wrap-distance-top:0pt;z-index:251657216;mso-width-relative:page;mso-height-relative:page;" filled="f" o:preferrelative="t" stroked="f" coordsize="21600,21600">
            <v:path/>
            <v:fill on="f" focussize="0,0"/>
            <v:stroke on="f" joinstyle="miter"/>
            <v:imagedata r:id="rId11" o:title=""/>
            <o:lock v:ext="edit" aspectratio="f"/>
            <w10:wrap type="square"/>
          </v:shape>
        </w:pict>
      </w:r>
    </w:p>
    <w:p>
      <w:pPr>
        <w:pStyle w:val="2"/>
        <w:ind w:firstLine="31680"/>
        <w:rPr>
          <w:rFonts w:ascii="仿宋" w:hAnsi="仿宋" w:eastAsia="仿宋"/>
          <w:b/>
          <w:bCs/>
          <w:color w:val="000000"/>
        </w:rPr>
      </w:pPr>
    </w:p>
    <w:p>
      <w:pPr>
        <w:pStyle w:val="2"/>
        <w:ind w:firstLine="31680"/>
        <w:rPr>
          <w:rFonts w:ascii="仿宋" w:hAnsi="仿宋" w:eastAsia="仿宋"/>
          <w:b/>
          <w:bCs/>
          <w:color w:val="000000"/>
        </w:rPr>
      </w:pPr>
    </w:p>
    <w:p>
      <w:pPr>
        <w:pStyle w:val="2"/>
        <w:ind w:firstLine="31680"/>
        <w:rPr>
          <w:rFonts w:ascii="仿宋" w:hAnsi="仿宋" w:eastAsia="仿宋"/>
          <w:b/>
          <w:bCs/>
          <w:color w:val="000000"/>
        </w:rPr>
      </w:pPr>
    </w:p>
    <w:p>
      <w:pPr>
        <w:spacing w:line="576" w:lineRule="exact"/>
        <w:ind w:firstLine="643" w:firstLineChars="200"/>
        <w:outlineLvl w:val="2"/>
        <w:rPr>
          <w:rFonts w:ascii="楷体" w:hAnsi="楷体" w:eastAsia="楷体"/>
          <w:b/>
          <w:bCs/>
          <w:color w:val="000000"/>
          <w:sz w:val="32"/>
          <w:szCs w:val="32"/>
        </w:rPr>
      </w:pPr>
      <w:bookmarkStart w:id="50" w:name="_Toc15377211"/>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pStyle w:val="2"/>
        <w:ind w:firstLine="0" w:firstLineChars="0"/>
        <w:rPr>
          <w:rFonts w:ascii="楷体" w:hAnsi="楷体" w:eastAsia="楷体"/>
          <w:b/>
          <w:bCs/>
          <w:color w:val="000000"/>
        </w:rPr>
      </w:pPr>
    </w:p>
    <w:p>
      <w:pPr>
        <w:spacing w:line="576" w:lineRule="exact"/>
        <w:ind w:firstLine="643" w:firstLineChars="200"/>
        <w:outlineLvl w:val="2"/>
        <w:rPr>
          <w:rFonts w:ascii="楷体" w:hAnsi="楷体" w:eastAsia="楷体"/>
          <w:b/>
          <w:bCs/>
          <w:color w:val="000000"/>
          <w:sz w:val="32"/>
          <w:szCs w:val="32"/>
        </w:rPr>
      </w:pPr>
      <w:r>
        <w:rPr>
          <w:rFonts w:hint="eastAsia" w:ascii="楷体" w:hAnsi="楷体" w:eastAsia="楷体" w:cs="楷体"/>
          <w:b/>
          <w:bCs/>
          <w:color w:val="000000"/>
          <w:sz w:val="32"/>
          <w:szCs w:val="32"/>
        </w:rPr>
        <w:t>（二）一般公共预算财政拨款支出决算结构情况</w:t>
      </w:r>
      <w:bookmarkEnd w:id="50"/>
    </w:p>
    <w:p>
      <w:pPr>
        <w:spacing w:line="576" w:lineRule="exact"/>
        <w:ind w:firstLine="640"/>
        <w:rPr>
          <w:rFonts w:ascii="仿宋" w:hAnsi="仿宋" w:eastAsia="仿宋"/>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年一般公共预算财政拨款支出</w:t>
      </w:r>
      <w:r>
        <w:rPr>
          <w:rFonts w:ascii="仿宋_GB2312" w:eastAsia="仿宋_GB2312" w:cs="仿宋_GB2312"/>
          <w:color w:val="000000"/>
          <w:sz w:val="32"/>
          <w:szCs w:val="32"/>
        </w:rPr>
        <w:t>353.67</w:t>
      </w:r>
      <w:r>
        <w:rPr>
          <w:rFonts w:hint="eastAsia" w:ascii="仿宋_GB2312" w:eastAsia="仿宋_GB2312" w:cs="仿宋_GB2312"/>
          <w:color w:val="000000"/>
          <w:sz w:val="32"/>
          <w:szCs w:val="32"/>
        </w:rPr>
        <w:t>万元，主要用于以下方面</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rPr>
        <w:t>公共安全（类）支出</w:t>
      </w:r>
      <w:r>
        <w:rPr>
          <w:rFonts w:ascii="仿宋_GB2312" w:eastAsia="仿宋_GB2312" w:cs="仿宋_GB2312"/>
          <w:color w:val="000000"/>
          <w:sz w:val="32"/>
          <w:szCs w:val="32"/>
        </w:rPr>
        <w:t>284.37</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80.41%</w:t>
      </w:r>
      <w:r>
        <w:rPr>
          <w:rFonts w:hint="eastAsia" w:ascii="仿宋_GB2312" w:eastAsia="仿宋_GB2312" w:cs="仿宋_GB2312"/>
          <w:color w:val="000000"/>
          <w:sz w:val="32"/>
          <w:szCs w:val="32"/>
        </w:rPr>
        <w:t>；社会保障和就业（类）支出</w:t>
      </w:r>
      <w:r>
        <w:rPr>
          <w:rFonts w:ascii="仿宋_GB2312" w:eastAsia="仿宋_GB2312" w:cs="仿宋_GB2312"/>
          <w:color w:val="000000"/>
          <w:sz w:val="32"/>
          <w:szCs w:val="32"/>
        </w:rPr>
        <w:t>29.52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8.35%</w:t>
      </w:r>
      <w:r>
        <w:rPr>
          <w:rFonts w:hint="eastAsia" w:ascii="仿宋_GB2312" w:eastAsia="仿宋_GB2312" w:cs="仿宋_GB2312"/>
          <w:color w:val="000000"/>
          <w:sz w:val="32"/>
          <w:szCs w:val="32"/>
        </w:rPr>
        <w:t>；卫生健康（类）支出</w:t>
      </w:r>
      <w:r>
        <w:rPr>
          <w:rFonts w:ascii="仿宋_GB2312" w:eastAsia="仿宋_GB2312" w:cs="仿宋_GB2312"/>
          <w:color w:val="000000"/>
          <w:sz w:val="32"/>
          <w:szCs w:val="32"/>
        </w:rPr>
        <w:t>16.56</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4.68%</w:t>
      </w:r>
      <w:r>
        <w:rPr>
          <w:rFonts w:hint="eastAsia" w:ascii="仿宋_GB2312" w:eastAsia="仿宋_GB2312" w:cs="仿宋_GB2312"/>
          <w:color w:val="000000"/>
          <w:sz w:val="32"/>
          <w:szCs w:val="32"/>
        </w:rPr>
        <w:t>；农林水支出（类）其他扶贫支出</w:t>
      </w:r>
      <w:r>
        <w:rPr>
          <w:rFonts w:ascii="仿宋_GB2312" w:eastAsia="仿宋_GB2312" w:cs="仿宋_GB2312"/>
          <w:color w:val="000000"/>
          <w:sz w:val="32"/>
          <w:szCs w:val="32"/>
        </w:rPr>
        <w:t>0.32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0.09%</w:t>
      </w:r>
      <w:r>
        <w:rPr>
          <w:rFonts w:hint="eastAsia" w:ascii="仿宋_GB2312" w:eastAsia="仿宋_GB2312" w:cs="仿宋_GB2312"/>
          <w:color w:val="000000"/>
          <w:sz w:val="32"/>
          <w:szCs w:val="32"/>
        </w:rPr>
        <w:t>；住房保障（类）支出</w:t>
      </w:r>
      <w:r>
        <w:rPr>
          <w:rFonts w:ascii="仿宋_GB2312" w:eastAsia="仿宋_GB2312" w:cs="仿宋_GB2312"/>
          <w:color w:val="000000"/>
          <w:sz w:val="32"/>
          <w:szCs w:val="32"/>
        </w:rPr>
        <w:t>22.9</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6.47%</w:t>
      </w:r>
      <w:r>
        <w:rPr>
          <w:rFonts w:hint="eastAsia" w:ascii="仿宋_GB2312" w:eastAsia="仿宋_GB2312" w:cs="仿宋_GB2312"/>
          <w:color w:val="000000"/>
          <w:sz w:val="32"/>
          <w:szCs w:val="32"/>
        </w:rPr>
        <w:t>。</w:t>
      </w:r>
    </w:p>
    <w:p>
      <w:pPr>
        <w:spacing w:line="576" w:lineRule="exact"/>
        <w:ind w:firstLine="964" w:firstLineChars="30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6</w:t>
      </w:r>
      <w:r>
        <w:rPr>
          <w:rFonts w:hint="eastAsia" w:ascii="仿宋" w:hAnsi="仿宋" w:eastAsia="仿宋" w:cs="仿宋"/>
          <w:b/>
          <w:bCs/>
          <w:color w:val="000000"/>
          <w:sz w:val="32"/>
          <w:szCs w:val="32"/>
        </w:rPr>
        <w:t>：一般公共预算财政拨款支出决算结构</w:t>
      </w:r>
    </w:p>
    <w:p>
      <w:pPr>
        <w:pStyle w:val="2"/>
        <w:ind w:firstLine="31680"/>
      </w:pPr>
      <w:r>
        <w:pict>
          <v:shape id="图表 7" o:spid="_x0000_s1031" o:spt="75" type="#_x0000_t75" style="position:absolute;left:0pt;margin-left:15.65pt;margin-top:14.55pt;height:203.05pt;width:361.45pt;mso-wrap-distance-bottom:0pt;mso-wrap-distance-left:9pt;mso-wrap-distance-right:9pt;mso-wrap-distance-top:0pt;z-index:251658240;mso-width-relative:page;mso-height-relative:page;" filled="f" o:preferrelative="t" stroked="f" coordsize="21600,21600">
            <v:path/>
            <v:fill on="f" focussize="0,0"/>
            <v:stroke on="f" joinstyle="miter"/>
            <v:imagedata r:id="rId12" o:title=""/>
            <o:lock v:ext="edit" aspectratio="f"/>
            <w10:wrap type="square"/>
          </v:shape>
        </w:pict>
      </w:r>
    </w:p>
    <w:p>
      <w:pPr>
        <w:spacing w:line="576" w:lineRule="exact"/>
        <w:ind w:firstLine="643" w:firstLineChars="200"/>
        <w:outlineLvl w:val="2"/>
        <w:rPr>
          <w:rFonts w:ascii="楷体" w:hAnsi="楷体" w:eastAsia="楷体"/>
          <w:b/>
          <w:bCs/>
          <w:color w:val="000000"/>
          <w:sz w:val="32"/>
          <w:szCs w:val="32"/>
        </w:rPr>
      </w:pPr>
      <w:bookmarkStart w:id="51" w:name="_Toc15377212"/>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p>
    <w:p>
      <w:pPr>
        <w:spacing w:line="576" w:lineRule="exact"/>
        <w:ind w:firstLine="643" w:firstLineChars="200"/>
        <w:outlineLvl w:val="2"/>
        <w:rPr>
          <w:rFonts w:ascii="楷体" w:hAnsi="楷体" w:eastAsia="楷体"/>
          <w:b/>
          <w:bCs/>
          <w:color w:val="000000"/>
          <w:sz w:val="32"/>
          <w:szCs w:val="32"/>
        </w:rPr>
      </w:pPr>
      <w:r>
        <w:rPr>
          <w:rFonts w:hint="eastAsia" w:ascii="楷体" w:hAnsi="楷体" w:eastAsia="楷体" w:cs="楷体"/>
          <w:b/>
          <w:bCs/>
          <w:color w:val="000000"/>
          <w:sz w:val="32"/>
          <w:szCs w:val="32"/>
        </w:rPr>
        <w:t>（三）一般公共预算财政拨款支出决算具体情况</w:t>
      </w:r>
      <w:bookmarkEnd w:id="51"/>
    </w:p>
    <w:p>
      <w:pPr>
        <w:spacing w:line="576" w:lineRule="exact"/>
        <w:ind w:firstLine="643" w:firstLineChars="200"/>
        <w:outlineLvl w:val="2"/>
        <w:rPr>
          <w:rFonts w:ascii="仿宋" w:hAnsi="仿宋" w:eastAsia="仿宋"/>
          <w:color w:val="FF0000"/>
          <w:sz w:val="32"/>
          <w:szCs w:val="32"/>
        </w:rPr>
      </w:pPr>
      <w:bookmarkStart w:id="52" w:name="_Toc15377213"/>
      <w:bookmarkStart w:id="53" w:name="_Toc28825"/>
      <w:bookmarkStart w:id="54" w:name="_Toc15378460"/>
      <w:bookmarkStart w:id="55" w:name="_Toc15377444"/>
      <w:r>
        <w:rPr>
          <w:rFonts w:ascii="仿宋" w:hAnsi="仿宋" w:eastAsia="仿宋" w:cs="仿宋"/>
          <w:b/>
          <w:bCs/>
          <w:color w:val="000000"/>
          <w:sz w:val="32"/>
          <w:szCs w:val="32"/>
        </w:rPr>
        <w:t>2020</w:t>
      </w:r>
      <w:r>
        <w:rPr>
          <w:rFonts w:hint="eastAsia" w:ascii="仿宋" w:hAnsi="仿宋" w:eastAsia="仿宋" w:cs="仿宋"/>
          <w:b/>
          <w:bCs/>
          <w:color w:val="000000"/>
          <w:sz w:val="32"/>
          <w:szCs w:val="32"/>
        </w:rPr>
        <w:t>年般公共预算支出决算数为</w:t>
      </w:r>
      <w:r>
        <w:rPr>
          <w:rFonts w:ascii="仿宋" w:hAnsi="仿宋" w:eastAsia="仿宋" w:cs="仿宋"/>
          <w:b/>
          <w:bCs/>
          <w:color w:val="000000"/>
          <w:sz w:val="32"/>
          <w:szCs w:val="32"/>
        </w:rPr>
        <w:t>353.67</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r>
        <w:rPr>
          <w:rStyle w:val="16"/>
          <w:rFonts w:hint="eastAsia" w:ascii="仿宋" w:hAnsi="仿宋" w:eastAsia="仿宋" w:cs="仿宋"/>
          <w:color w:val="000000"/>
          <w:sz w:val="32"/>
          <w:szCs w:val="32"/>
        </w:rPr>
        <w:t>完成预算</w:t>
      </w:r>
      <w:r>
        <w:rPr>
          <w:rStyle w:val="16"/>
          <w:rFonts w:ascii="仿宋" w:hAnsi="仿宋" w:eastAsia="仿宋" w:cs="仿宋"/>
          <w:color w:val="000000"/>
          <w:sz w:val="32"/>
          <w:szCs w:val="32"/>
        </w:rPr>
        <w:t>100%</w:t>
      </w:r>
      <w:r>
        <w:rPr>
          <w:rStyle w:val="16"/>
          <w:rFonts w:hint="eastAsia" w:ascii="仿宋" w:hAnsi="仿宋" w:eastAsia="仿宋" w:cs="仿宋"/>
          <w:color w:val="000000"/>
          <w:sz w:val="32"/>
          <w:szCs w:val="32"/>
        </w:rPr>
        <w:t>。其中：</w:t>
      </w:r>
      <w:bookmarkEnd w:id="52"/>
      <w:bookmarkEnd w:id="53"/>
      <w:bookmarkEnd w:id="54"/>
      <w:bookmarkEnd w:id="55"/>
    </w:p>
    <w:p>
      <w:pPr>
        <w:spacing w:line="576" w:lineRule="exact"/>
        <w:ind w:firstLine="643" w:firstLineChars="200"/>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1.</w:t>
      </w:r>
      <w:r>
        <w:rPr>
          <w:rStyle w:val="16"/>
          <w:rFonts w:hint="eastAsia" w:ascii="仿宋_GB2312" w:hAnsi="仿宋" w:eastAsia="仿宋_GB2312" w:cs="仿宋_GB2312"/>
          <w:color w:val="000000"/>
          <w:sz w:val="32"/>
          <w:szCs w:val="32"/>
        </w:rPr>
        <w:t>公共安全支出</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类</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公安（款）行政运行（项）</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226.17</w:t>
      </w:r>
      <w:r>
        <w:rPr>
          <w:rFonts w:hint="eastAsia" w:ascii="仿宋_GB2312" w:eastAsia="仿宋_GB2312" w:cs="仿宋_GB2312"/>
          <w:color w:val="000000"/>
          <w:sz w:val="32"/>
          <w:szCs w:val="32"/>
        </w:rPr>
        <w:t>万元</w:t>
      </w:r>
      <w:r>
        <w:rPr>
          <w:rStyle w:val="16"/>
          <w:rFonts w:hint="eastAsia" w:ascii="仿宋_GB2312" w:hAnsi="仿宋" w:eastAsia="仿宋_GB2312" w:cs="仿宋_GB2312"/>
          <w:b w:val="0"/>
          <w:bCs w:val="0"/>
          <w:color w:val="000000"/>
          <w:sz w:val="32"/>
          <w:szCs w:val="32"/>
        </w:rPr>
        <w:t>，完成预算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2.</w:t>
      </w:r>
      <w:r>
        <w:rPr>
          <w:rStyle w:val="16"/>
          <w:rFonts w:hint="eastAsia" w:ascii="仿宋_GB2312" w:hAnsi="仿宋" w:eastAsia="仿宋_GB2312" w:cs="仿宋_GB2312"/>
          <w:color w:val="000000"/>
          <w:sz w:val="32"/>
          <w:szCs w:val="32"/>
        </w:rPr>
        <w:t>公共安全支出</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类</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公安（款）事业运行（项）</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25.20</w:t>
      </w:r>
      <w:r>
        <w:rPr>
          <w:rFonts w:hint="eastAsia" w:ascii="仿宋_GB2312" w:eastAsia="仿宋_GB2312" w:cs="仿宋_GB2312"/>
          <w:color w:val="000000"/>
          <w:sz w:val="32"/>
          <w:szCs w:val="32"/>
        </w:rPr>
        <w:t>万元</w:t>
      </w:r>
      <w:r>
        <w:rPr>
          <w:rStyle w:val="16"/>
          <w:rFonts w:hint="eastAsia" w:ascii="仿宋_GB2312" w:hAnsi="仿宋" w:eastAsia="仿宋_GB2312" w:cs="仿宋_GB2312"/>
          <w:b w:val="0"/>
          <w:bCs w:val="0"/>
          <w:color w:val="000000"/>
          <w:sz w:val="32"/>
          <w:szCs w:val="32"/>
        </w:rPr>
        <w:t>，完成预算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3.</w:t>
      </w:r>
      <w:r>
        <w:rPr>
          <w:rStyle w:val="16"/>
          <w:rFonts w:hint="eastAsia" w:ascii="仿宋_GB2312" w:hAnsi="仿宋" w:eastAsia="仿宋_GB2312" w:cs="仿宋_GB2312"/>
          <w:color w:val="000000"/>
          <w:sz w:val="32"/>
          <w:szCs w:val="32"/>
        </w:rPr>
        <w:t>公共安全支出</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类</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color w:val="000000"/>
          <w:sz w:val="32"/>
          <w:szCs w:val="32"/>
        </w:rPr>
        <w:t>公安（款）一般行政管理事务（项）：</w:t>
      </w:r>
      <w:r>
        <w:rPr>
          <w:rStyle w:val="16"/>
          <w:rFonts w:hint="eastAsia" w:ascii="仿宋_GB2312" w:hAnsi="仿宋" w:eastAsia="仿宋_GB2312" w:cs="仿宋_GB2312"/>
          <w:b w:val="0"/>
          <w:bCs w:val="0"/>
          <w:color w:val="000000"/>
          <w:sz w:val="32"/>
          <w:szCs w:val="32"/>
        </w:rPr>
        <w:t>支出决算为</w:t>
      </w:r>
      <w:r>
        <w:rPr>
          <w:rStyle w:val="16"/>
          <w:rFonts w:ascii="仿宋_GB2312" w:hAnsi="仿宋" w:eastAsia="仿宋_GB2312" w:cs="仿宋_GB2312"/>
          <w:b w:val="0"/>
          <w:bCs w:val="0"/>
          <w:color w:val="000000"/>
          <w:sz w:val="32"/>
          <w:szCs w:val="32"/>
        </w:rPr>
        <w:t>33</w:t>
      </w:r>
      <w:r>
        <w:rPr>
          <w:rStyle w:val="16"/>
          <w:rFonts w:hint="eastAsia" w:ascii="仿宋_GB2312" w:hAnsi="仿宋" w:eastAsia="仿宋_GB2312" w:cs="仿宋_GB2312"/>
          <w:b w:val="0"/>
          <w:bCs w:val="0"/>
          <w:color w:val="000000"/>
          <w:sz w:val="32"/>
          <w:szCs w:val="32"/>
        </w:rPr>
        <w:t>万元，完成预算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4.</w:t>
      </w:r>
      <w:r>
        <w:rPr>
          <w:rStyle w:val="16"/>
          <w:rFonts w:hint="eastAsia" w:ascii="仿宋_GB2312" w:hAnsi="仿宋" w:eastAsia="仿宋_GB2312" w:cs="仿宋_GB2312"/>
          <w:color w:val="000000"/>
          <w:sz w:val="32"/>
          <w:szCs w:val="32"/>
        </w:rPr>
        <w:t>社会保障和就业支出（类）行政事业单位离退休（款）机关事业单位基本养老保险缴费支出（项）</w:t>
      </w:r>
      <w:r>
        <w:rPr>
          <w:rStyle w:val="16"/>
          <w:rFonts w:ascii="仿宋_GB2312" w:hAnsi="仿宋" w:eastAsia="仿宋_GB2312" w:cs="仿宋_GB2312"/>
          <w:color w:val="000000"/>
          <w:sz w:val="32"/>
          <w:szCs w:val="32"/>
        </w:rPr>
        <w:t xml:space="preserve">: </w:t>
      </w:r>
      <w:r>
        <w:rPr>
          <w:rStyle w:val="16"/>
          <w:rFonts w:hint="eastAsia" w:ascii="仿宋_GB2312" w:hAnsi="仿宋" w:eastAsia="仿宋_GB2312" w:cs="仿宋_GB2312"/>
          <w:b w:val="0"/>
          <w:bCs w:val="0"/>
          <w:color w:val="000000"/>
          <w:sz w:val="32"/>
          <w:szCs w:val="32"/>
        </w:rPr>
        <w:t>支出决算为</w:t>
      </w:r>
      <w:r>
        <w:rPr>
          <w:rStyle w:val="16"/>
          <w:rFonts w:ascii="仿宋_GB2312" w:hAnsi="仿宋" w:eastAsia="仿宋_GB2312" w:cs="仿宋_GB2312"/>
          <w:b w:val="0"/>
          <w:bCs w:val="0"/>
          <w:color w:val="000000"/>
          <w:sz w:val="32"/>
          <w:szCs w:val="32"/>
        </w:rPr>
        <w:t>19.68</w:t>
      </w:r>
      <w:r>
        <w:rPr>
          <w:rStyle w:val="16"/>
          <w:rFonts w:hint="eastAsia" w:ascii="仿宋_GB2312" w:hAnsi="仿宋" w:eastAsia="仿宋_GB2312" w:cs="仿宋_GB2312"/>
          <w:b w:val="0"/>
          <w:bCs w:val="0"/>
          <w:color w:val="000000"/>
          <w:sz w:val="32"/>
          <w:szCs w:val="32"/>
        </w:rPr>
        <w:t>万元，完成预算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Fonts w:ascii="仿宋_GB2312" w:hAnsi="仿宋" w:eastAsia="仿宋_GB2312"/>
          <w:color w:val="000000"/>
          <w:sz w:val="32"/>
          <w:szCs w:val="32"/>
        </w:rPr>
      </w:pPr>
      <w:r>
        <w:rPr>
          <w:rStyle w:val="16"/>
          <w:rFonts w:ascii="仿宋_GB2312" w:hAnsi="仿宋" w:eastAsia="仿宋_GB2312" w:cs="仿宋_GB2312"/>
          <w:color w:val="000000"/>
          <w:sz w:val="32"/>
          <w:szCs w:val="32"/>
        </w:rPr>
        <w:t>5.</w:t>
      </w:r>
      <w:r>
        <w:rPr>
          <w:rStyle w:val="16"/>
          <w:rFonts w:hint="eastAsia" w:ascii="仿宋_GB2312" w:hAnsi="仿宋" w:eastAsia="仿宋_GB2312" w:cs="仿宋_GB2312"/>
          <w:color w:val="000000"/>
          <w:sz w:val="32"/>
          <w:szCs w:val="32"/>
        </w:rPr>
        <w:t>社会保障和就业支出（类）行政事业单位离退休（款）机关事业单位职业年金缴费支出（项）</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b w:val="0"/>
          <w:bCs w:val="0"/>
          <w:color w:val="000000"/>
          <w:sz w:val="32"/>
          <w:szCs w:val="32"/>
        </w:rPr>
        <w:t>支出决算为</w:t>
      </w:r>
      <w:r>
        <w:rPr>
          <w:rStyle w:val="16"/>
          <w:rFonts w:ascii="仿宋_GB2312" w:hAnsi="仿宋" w:eastAsia="仿宋_GB2312" w:cs="仿宋_GB2312"/>
          <w:b w:val="0"/>
          <w:bCs w:val="0"/>
          <w:color w:val="000000"/>
          <w:sz w:val="32"/>
          <w:szCs w:val="32"/>
        </w:rPr>
        <w:t>9.84</w:t>
      </w:r>
      <w:r>
        <w:rPr>
          <w:rStyle w:val="16"/>
          <w:rFonts w:hint="eastAsia" w:ascii="仿宋_GB2312" w:hAnsi="仿宋" w:eastAsia="仿宋_GB2312" w:cs="仿宋_GB2312"/>
          <w:b w:val="0"/>
          <w:bCs w:val="0"/>
          <w:color w:val="000000"/>
          <w:sz w:val="32"/>
          <w:szCs w:val="32"/>
        </w:rPr>
        <w:t>万元，完成预算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6.</w:t>
      </w:r>
      <w:r>
        <w:rPr>
          <w:rStyle w:val="16"/>
          <w:rFonts w:hint="eastAsia" w:ascii="仿宋_GB2312" w:hAnsi="仿宋" w:eastAsia="仿宋_GB2312" w:cs="仿宋_GB2312"/>
          <w:color w:val="000000"/>
          <w:sz w:val="32"/>
          <w:szCs w:val="32"/>
        </w:rPr>
        <w:t>卫生健康支出（类）行政事业单位医疗（款）行政单位医疗（项）</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14.74</w:t>
      </w:r>
      <w:r>
        <w:rPr>
          <w:rStyle w:val="16"/>
          <w:rFonts w:hint="eastAsia" w:ascii="仿宋_GB2312" w:hAnsi="仿宋" w:eastAsia="仿宋_GB2312" w:cs="仿宋_GB2312"/>
          <w:b w:val="0"/>
          <w:bCs w:val="0"/>
          <w:color w:val="000000"/>
          <w:sz w:val="32"/>
          <w:szCs w:val="32"/>
        </w:rPr>
        <w:t>万元，完成预算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Style w:val="16"/>
          <w:rFonts w:ascii="仿宋_GB2312" w:hAnsi="仿宋" w:eastAsia="仿宋_GB2312"/>
          <w:b w:val="0"/>
          <w:bCs w:val="0"/>
          <w:color w:val="000000"/>
          <w:sz w:val="32"/>
          <w:szCs w:val="32"/>
        </w:rPr>
      </w:pPr>
      <w:r>
        <w:rPr>
          <w:rStyle w:val="16"/>
          <w:rFonts w:ascii="仿宋_GB2312" w:hAnsi="仿宋" w:eastAsia="仿宋_GB2312" w:cs="仿宋_GB2312"/>
          <w:color w:val="000000"/>
          <w:sz w:val="32"/>
          <w:szCs w:val="32"/>
        </w:rPr>
        <w:t>7.</w:t>
      </w:r>
      <w:r>
        <w:rPr>
          <w:rStyle w:val="16"/>
          <w:rFonts w:hint="eastAsia" w:ascii="仿宋_GB2312" w:hAnsi="仿宋" w:eastAsia="仿宋_GB2312" w:cs="仿宋_GB2312"/>
          <w:color w:val="000000"/>
          <w:sz w:val="32"/>
          <w:szCs w:val="32"/>
        </w:rPr>
        <w:t>卫生健康支出（类）行政事业单位医疗（款）事业单位医疗（项）</w:t>
      </w:r>
      <w:r>
        <w:rPr>
          <w:rStyle w:val="16"/>
          <w:rFonts w:ascii="仿宋_GB2312" w:hAnsi="仿宋" w:eastAsia="仿宋_GB2312" w:cs="仿宋_GB2312"/>
          <w:color w:val="000000"/>
          <w:sz w:val="32"/>
          <w:szCs w:val="32"/>
        </w:rPr>
        <w:t>:</w:t>
      </w:r>
      <w:r>
        <w:rPr>
          <w:rStyle w:val="16"/>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1.78</w:t>
      </w:r>
      <w:r>
        <w:rPr>
          <w:rStyle w:val="16"/>
          <w:rFonts w:hint="eastAsia" w:ascii="仿宋_GB2312" w:hAnsi="仿宋" w:eastAsia="仿宋_GB2312" w:cs="仿宋_GB2312"/>
          <w:b w:val="0"/>
          <w:bCs w:val="0"/>
          <w:color w:val="000000"/>
          <w:sz w:val="32"/>
          <w:szCs w:val="32"/>
        </w:rPr>
        <w:t>万元，完成预算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Fonts w:ascii="仿宋_GB2312" w:hAnsi="仿宋" w:eastAsia="仿宋_GB2312"/>
          <w:color w:val="000000"/>
          <w:sz w:val="32"/>
          <w:szCs w:val="32"/>
        </w:rPr>
      </w:pPr>
      <w:r>
        <w:rPr>
          <w:rStyle w:val="16"/>
          <w:rFonts w:ascii="仿宋_GB2312" w:hAnsi="仿宋" w:eastAsia="仿宋_GB2312" w:cs="仿宋_GB2312"/>
          <w:color w:val="000000"/>
          <w:sz w:val="32"/>
          <w:szCs w:val="32"/>
        </w:rPr>
        <w:t>8.</w:t>
      </w:r>
      <w:r>
        <w:rPr>
          <w:rStyle w:val="16"/>
          <w:rFonts w:hint="eastAsia" w:ascii="仿宋_GB2312" w:hAnsi="仿宋" w:eastAsia="仿宋_GB2312" w:cs="仿宋_GB2312"/>
          <w:sz w:val="32"/>
          <w:szCs w:val="32"/>
        </w:rPr>
        <w:t>住房保障支出（类）住房改革支出（款）住房公积金（项）</w:t>
      </w:r>
      <w:r>
        <w:rPr>
          <w:rStyle w:val="16"/>
          <w:rFonts w:ascii="仿宋_GB2312" w:hAnsi="仿宋" w:eastAsia="仿宋_GB2312" w:cs="仿宋_GB2312"/>
          <w:sz w:val="32"/>
          <w:szCs w:val="32"/>
        </w:rPr>
        <w:t>:</w:t>
      </w:r>
      <w:r>
        <w:rPr>
          <w:rStyle w:val="16"/>
          <w:rFonts w:hint="eastAsia" w:ascii="仿宋_GB2312" w:hAnsi="仿宋" w:eastAsia="仿宋_GB2312" w:cs="仿宋_GB2312"/>
          <w:b w:val="0"/>
          <w:bCs w:val="0"/>
          <w:color w:val="000000"/>
          <w:sz w:val="32"/>
          <w:szCs w:val="32"/>
        </w:rPr>
        <w:t>支出决算为</w:t>
      </w:r>
      <w:r>
        <w:rPr>
          <w:rFonts w:ascii="仿宋_GB2312" w:eastAsia="仿宋_GB2312" w:cs="仿宋_GB2312"/>
          <w:color w:val="000000"/>
          <w:sz w:val="32"/>
          <w:szCs w:val="32"/>
        </w:rPr>
        <w:t>22.90</w:t>
      </w:r>
      <w:r>
        <w:rPr>
          <w:rFonts w:hint="eastAsia" w:ascii="仿宋_GB2312" w:eastAsia="仿宋_GB2312" w:cs="仿宋_GB2312"/>
          <w:color w:val="000000"/>
          <w:sz w:val="32"/>
          <w:szCs w:val="32"/>
        </w:rPr>
        <w:t>万元，</w:t>
      </w:r>
      <w:r>
        <w:rPr>
          <w:rStyle w:val="16"/>
          <w:rFonts w:hint="eastAsia" w:ascii="仿宋_GB2312" w:hAnsi="仿宋" w:eastAsia="仿宋_GB2312" w:cs="仿宋_GB2312"/>
          <w:b w:val="0"/>
          <w:bCs w:val="0"/>
          <w:color w:val="000000"/>
          <w:sz w:val="32"/>
          <w:szCs w:val="32"/>
        </w:rPr>
        <w:t>完成预算</w:t>
      </w:r>
      <w:r>
        <w:rPr>
          <w:rStyle w:val="16"/>
          <w:rFonts w:ascii="仿宋_GB2312" w:hAnsi="仿宋" w:eastAsia="仿宋_GB2312" w:cs="仿宋_GB2312"/>
          <w:b w:val="0"/>
          <w:bCs w:val="0"/>
          <w:color w:val="000000"/>
          <w:sz w:val="32"/>
          <w:szCs w:val="32"/>
        </w:rPr>
        <w:t>100%</w:t>
      </w:r>
      <w:r>
        <w:rPr>
          <w:rStyle w:val="16"/>
          <w:rFonts w:hint="eastAsia" w:ascii="仿宋_GB2312" w:hAnsi="仿宋" w:eastAsia="仿宋_GB2312" w:cs="仿宋_GB2312"/>
          <w:b w:val="0"/>
          <w:bCs w:val="0"/>
          <w:color w:val="000000"/>
          <w:sz w:val="32"/>
          <w:szCs w:val="32"/>
        </w:rPr>
        <w:t>。</w:t>
      </w:r>
    </w:p>
    <w:p>
      <w:pPr>
        <w:spacing w:line="576" w:lineRule="exact"/>
        <w:ind w:firstLine="643" w:firstLineChars="200"/>
        <w:rPr>
          <w:rFonts w:ascii="仿宋" w:hAnsi="仿宋" w:eastAsia="仿宋"/>
          <w:b/>
          <w:bCs/>
          <w:color w:val="000000"/>
          <w:sz w:val="32"/>
          <w:szCs w:val="32"/>
        </w:rPr>
      </w:pPr>
      <w:r>
        <w:rPr>
          <w:rStyle w:val="16"/>
          <w:rFonts w:ascii="仿宋" w:hAnsi="仿宋" w:eastAsia="仿宋" w:cs="仿宋"/>
          <w:color w:val="000000"/>
          <w:sz w:val="32"/>
          <w:szCs w:val="32"/>
        </w:rPr>
        <w:t>9.</w:t>
      </w:r>
      <w:r>
        <w:rPr>
          <w:rFonts w:hint="eastAsia" w:ascii="仿宋" w:hAnsi="仿宋" w:eastAsia="仿宋" w:cs="仿宋"/>
          <w:b/>
          <w:bCs/>
          <w:color w:val="000000"/>
          <w:sz w:val="32"/>
          <w:szCs w:val="32"/>
        </w:rPr>
        <w:t>农林水支出</w:t>
      </w:r>
      <w:r>
        <w:rPr>
          <w:rStyle w:val="16"/>
          <w:rFonts w:hint="eastAsia" w:ascii="仿宋" w:hAnsi="仿宋" w:eastAsia="仿宋" w:cs="仿宋"/>
          <w:color w:val="000000"/>
          <w:sz w:val="32"/>
          <w:szCs w:val="32"/>
        </w:rPr>
        <w:t>（类）扶贫（款）其他扶贫支出（项）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0.32</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tabs>
          <w:tab w:val="right" w:pos="8306"/>
        </w:tabs>
        <w:spacing w:line="576" w:lineRule="exact"/>
        <w:ind w:firstLine="640"/>
        <w:outlineLvl w:val="1"/>
        <w:rPr>
          <w:rStyle w:val="19"/>
        </w:rPr>
      </w:pPr>
      <w:bookmarkStart w:id="56" w:name="_Toc15377214"/>
      <w:bookmarkStart w:id="57" w:name="_Toc15396608"/>
      <w:bookmarkStart w:id="58" w:name="_Toc32326"/>
      <w:r>
        <w:rPr>
          <w:rFonts w:hint="eastAsia" w:ascii="黑体" w:eastAsia="黑体" w:cs="黑体"/>
          <w:color w:val="000000"/>
          <w:sz w:val="32"/>
          <w:szCs w:val="32"/>
        </w:rPr>
        <w:t>六</w:t>
      </w:r>
      <w:r>
        <w:rPr>
          <w:rFonts w:hint="eastAsia" w:ascii="黑体" w:eastAsia="黑体" w:cs="黑体"/>
          <w:b/>
          <w:bCs/>
          <w:color w:val="000000"/>
          <w:sz w:val="32"/>
          <w:szCs w:val="32"/>
        </w:rPr>
        <w:t>、</w:t>
      </w:r>
      <w:r>
        <w:rPr>
          <w:rFonts w:hint="eastAsia" w:ascii="黑体" w:hAnsi="黑体" w:eastAsia="黑体" w:cs="黑体"/>
          <w:b/>
          <w:bCs/>
          <w:color w:val="000000"/>
          <w:sz w:val="32"/>
          <w:szCs w:val="32"/>
        </w:rPr>
        <w:t>一</w:t>
      </w:r>
      <w:r>
        <w:rPr>
          <w:rStyle w:val="19"/>
          <w:rFonts w:hint="eastAsia" w:ascii="黑体" w:hAnsi="黑体" w:eastAsia="黑体" w:cs="黑体"/>
          <w:b w:val="0"/>
          <w:bCs w:val="0"/>
        </w:rPr>
        <w:t>般公共预算财政拨款基本支出决算情况说明</w:t>
      </w:r>
      <w:bookmarkEnd w:id="56"/>
      <w:bookmarkEnd w:id="57"/>
      <w:bookmarkEnd w:id="58"/>
      <w:r>
        <w:rPr>
          <w:rStyle w:val="19"/>
          <w:rFonts w:ascii="黑体" w:hAnsi="黑体" w:eastAsia="黑体" w:cs="Times New Roman"/>
          <w:b w:val="0"/>
          <w:bCs w:val="0"/>
        </w:rPr>
        <w:tab/>
      </w:r>
    </w:p>
    <w:p>
      <w:pPr>
        <w:spacing w:line="576" w:lineRule="exact"/>
        <w:ind w:firstLine="645"/>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年一般公共预算财政拨款基本支出</w:t>
      </w:r>
      <w:r>
        <w:rPr>
          <w:rFonts w:ascii="仿宋" w:hAnsi="仿宋" w:eastAsia="仿宋" w:cs="仿宋"/>
          <w:color w:val="000000"/>
          <w:sz w:val="32"/>
          <w:szCs w:val="32"/>
        </w:rPr>
        <w:t>320.35</w:t>
      </w:r>
      <w:r>
        <w:rPr>
          <w:rFonts w:hint="eastAsia" w:ascii="仿宋" w:hAnsi="仿宋" w:eastAsia="仿宋" w:cs="仿宋"/>
          <w:color w:val="000000"/>
          <w:sz w:val="32"/>
          <w:szCs w:val="32"/>
        </w:rPr>
        <w:t>万元，其中：</w:t>
      </w:r>
    </w:p>
    <w:p>
      <w:pPr>
        <w:spacing w:line="576" w:lineRule="exact"/>
        <w:ind w:firstLine="645"/>
        <w:rPr>
          <w:rFonts w:ascii="仿宋" w:hAnsi="仿宋" w:eastAsia="仿宋"/>
          <w:color w:val="000000"/>
          <w:sz w:val="32"/>
          <w:szCs w:val="32"/>
        </w:rPr>
      </w:pPr>
      <w:r>
        <w:rPr>
          <w:rFonts w:hint="eastAsia" w:ascii="仿宋" w:hAnsi="仿宋" w:eastAsia="仿宋" w:cs="仿宋"/>
          <w:color w:val="000000"/>
          <w:sz w:val="32"/>
          <w:szCs w:val="32"/>
        </w:rPr>
        <w:t>人员经费</w:t>
      </w:r>
      <w:r>
        <w:rPr>
          <w:rFonts w:ascii="仿宋" w:hAnsi="仿宋" w:eastAsia="仿宋" w:cs="仿宋"/>
          <w:color w:val="000000"/>
          <w:sz w:val="32"/>
          <w:szCs w:val="32"/>
        </w:rPr>
        <w:t>320.35</w:t>
      </w:r>
      <w:r>
        <w:rPr>
          <w:rFonts w:hint="eastAsia" w:ascii="仿宋" w:hAnsi="仿宋" w:eastAsia="仿宋" w:cs="仿宋"/>
          <w:color w:val="000000"/>
          <w:sz w:val="32"/>
          <w:szCs w:val="32"/>
        </w:rPr>
        <w:t>万元，主要包括：基本工资、津贴补贴、奖金、绩效工资、机关事业单位基本养老保险缴费、职业年金缴费、其他社会保障缴费、生活补助、医疗费、奖励金、住房公积金、其他对个人和家庭的补助支出等。</w:t>
      </w:r>
      <w:r>
        <w:rPr>
          <w:rFonts w:ascii="仿宋" w:hAnsi="仿宋" w:eastAsia="仿宋"/>
          <w:color w:val="000000"/>
          <w:sz w:val="32"/>
          <w:szCs w:val="32"/>
        </w:rPr>
        <w:br w:type="textWrapping"/>
      </w:r>
      <w:r>
        <w:rPr>
          <w:rFonts w:hint="eastAsia" w:ascii="仿宋" w:hAnsi="仿宋" w:eastAsia="仿宋" w:cs="仿宋"/>
          <w:color w:val="000000"/>
          <w:sz w:val="32"/>
          <w:szCs w:val="32"/>
        </w:rPr>
        <w:t>　　日常公用经费</w:t>
      </w:r>
      <w:r>
        <w:rPr>
          <w:rFonts w:ascii="仿宋" w:hAnsi="仿宋" w:eastAsia="仿宋" w:cs="仿宋"/>
          <w:color w:val="000000"/>
          <w:sz w:val="32"/>
          <w:szCs w:val="32"/>
        </w:rPr>
        <w:t>83.53</w:t>
      </w:r>
      <w:r>
        <w:rPr>
          <w:rFonts w:hint="eastAsia" w:ascii="仿宋" w:hAnsi="仿宋" w:eastAsia="仿宋" w:cs="仿宋"/>
          <w:color w:val="000000"/>
          <w:sz w:val="32"/>
          <w:szCs w:val="32"/>
        </w:rPr>
        <w:t>万元，主要包括：办公费、印刷费、邮电费、差旅费、维修（护）费、培训费、公务接待费、其他交通费、其他资本性支出等。</w:t>
      </w:r>
    </w:p>
    <w:p>
      <w:pPr>
        <w:spacing w:line="576" w:lineRule="exact"/>
        <w:ind w:firstLine="640"/>
        <w:outlineLvl w:val="1"/>
        <w:rPr>
          <w:rStyle w:val="19"/>
          <w:rFonts w:ascii="黑体" w:hAnsi="黑体" w:eastAsia="黑体" w:cs="Times New Roman"/>
          <w:b w:val="0"/>
          <w:bCs w:val="0"/>
        </w:rPr>
      </w:pPr>
      <w:bookmarkStart w:id="59" w:name="_Toc2209"/>
      <w:bookmarkStart w:id="60" w:name="_Toc15396609"/>
      <w:bookmarkStart w:id="61" w:name="_Toc15377215"/>
      <w:r>
        <w:rPr>
          <w:rFonts w:hint="eastAsia" w:ascii="黑体" w:eastAsia="黑体" w:cs="黑体"/>
          <w:color w:val="000000"/>
          <w:sz w:val="32"/>
          <w:szCs w:val="32"/>
        </w:rPr>
        <w:t>七、</w:t>
      </w:r>
      <w:r>
        <w:rPr>
          <w:rStyle w:val="19"/>
          <w:rFonts w:hint="eastAsia" w:ascii="黑体" w:hAnsi="黑体" w:eastAsia="黑体" w:cs="黑体"/>
        </w:rPr>
        <w:t>“</w:t>
      </w:r>
      <w:r>
        <w:rPr>
          <w:rStyle w:val="19"/>
          <w:rFonts w:hint="eastAsia" w:ascii="黑体" w:hAnsi="黑体" w:eastAsia="黑体" w:cs="黑体"/>
          <w:b w:val="0"/>
          <w:bCs w:val="0"/>
        </w:rPr>
        <w:t>三公”经费财政拨款支出决算情况说明</w:t>
      </w:r>
      <w:bookmarkEnd w:id="59"/>
      <w:bookmarkEnd w:id="60"/>
      <w:bookmarkEnd w:id="61"/>
    </w:p>
    <w:p>
      <w:pPr>
        <w:spacing w:line="576" w:lineRule="exact"/>
        <w:ind w:firstLine="643" w:firstLineChars="200"/>
        <w:outlineLvl w:val="2"/>
        <w:rPr>
          <w:rFonts w:ascii="楷体" w:hAnsi="楷体" w:eastAsia="楷体"/>
          <w:b/>
          <w:bCs/>
          <w:color w:val="000000"/>
          <w:sz w:val="32"/>
          <w:szCs w:val="32"/>
        </w:rPr>
      </w:pPr>
      <w:bookmarkStart w:id="62" w:name="_Toc26395"/>
      <w:bookmarkStart w:id="63" w:name="_Toc15377216"/>
      <w:r>
        <w:rPr>
          <w:rFonts w:hint="eastAsia" w:ascii="楷体" w:hAnsi="楷体" w:eastAsia="楷体" w:cs="楷体"/>
          <w:b/>
          <w:bCs/>
          <w:color w:val="000000"/>
          <w:sz w:val="32"/>
          <w:szCs w:val="32"/>
        </w:rPr>
        <w:t>（一）“三公”经费财政拨款支出决算总体情况说明</w:t>
      </w:r>
      <w:bookmarkEnd w:id="62"/>
      <w:bookmarkEnd w:id="63"/>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年“三公”经费财政拨款支出决算为</w:t>
      </w:r>
      <w:r>
        <w:rPr>
          <w:rFonts w:ascii="仿宋" w:hAnsi="仿宋" w:eastAsia="仿宋" w:cs="仿宋"/>
          <w:color w:val="000000"/>
          <w:sz w:val="32"/>
          <w:szCs w:val="32"/>
        </w:rPr>
        <w:t>0.02</w:t>
      </w:r>
      <w:r>
        <w:rPr>
          <w:rFonts w:hint="eastAsia" w:ascii="仿宋" w:hAnsi="仿宋" w:eastAsia="仿宋" w:cs="仿宋"/>
          <w:color w:val="000000"/>
          <w:sz w:val="32"/>
          <w:szCs w:val="32"/>
        </w:rPr>
        <w:t>万元，完成预算</w:t>
      </w:r>
      <w:r>
        <w:rPr>
          <w:rFonts w:ascii="仿宋" w:hAnsi="仿宋" w:eastAsia="仿宋" w:cs="仿宋"/>
          <w:color w:val="000000"/>
          <w:sz w:val="32"/>
          <w:szCs w:val="32"/>
        </w:rPr>
        <w:t>0.12%</w:t>
      </w:r>
      <w:r>
        <w:rPr>
          <w:rFonts w:hint="eastAsia" w:ascii="仿宋" w:hAnsi="仿宋" w:eastAsia="仿宋" w:cs="仿宋"/>
          <w:color w:val="000000"/>
          <w:sz w:val="32"/>
          <w:szCs w:val="32"/>
        </w:rPr>
        <w:t>，决算数小于预算数的主要原因是公务接待减少。</w:t>
      </w:r>
    </w:p>
    <w:p>
      <w:pPr>
        <w:spacing w:line="576" w:lineRule="exact"/>
        <w:ind w:firstLine="643" w:firstLineChars="200"/>
        <w:outlineLvl w:val="2"/>
        <w:rPr>
          <w:rFonts w:ascii="楷体" w:hAnsi="楷体" w:eastAsia="楷体"/>
          <w:b/>
          <w:bCs/>
          <w:color w:val="000000"/>
          <w:sz w:val="32"/>
          <w:szCs w:val="32"/>
        </w:rPr>
      </w:pPr>
      <w:bookmarkStart w:id="64" w:name="_Toc15377217"/>
      <w:bookmarkStart w:id="65" w:name="_Toc19456"/>
      <w:r>
        <w:rPr>
          <w:rFonts w:hint="eastAsia" w:ascii="楷体" w:hAnsi="楷体" w:eastAsia="楷体" w:cs="楷体"/>
          <w:b/>
          <w:bCs/>
          <w:color w:val="000000"/>
          <w:sz w:val="32"/>
          <w:szCs w:val="32"/>
        </w:rPr>
        <w:t>（二）“三公”经费财政拨款支出决算具体情况说明</w:t>
      </w:r>
      <w:bookmarkEnd w:id="64"/>
      <w:bookmarkEnd w:id="65"/>
    </w:p>
    <w:p>
      <w:pPr>
        <w:spacing w:line="576" w:lineRule="exact"/>
        <w:ind w:firstLine="640"/>
        <w:rPr>
          <w:rFonts w:ascii="仿宋" w:hAnsi="仿宋" w:eastAsia="仿宋"/>
          <w:color w:val="000000"/>
          <w:sz w:val="32"/>
          <w:szCs w:val="32"/>
        </w:rPr>
      </w:pPr>
      <w:r>
        <w:rPr>
          <w:rFonts w:ascii="仿宋" w:hAnsi="仿宋" w:eastAsia="仿宋" w:cs="仿宋"/>
          <w:color w:val="000000"/>
          <w:sz w:val="32"/>
          <w:szCs w:val="32"/>
        </w:rPr>
        <w:t>2020</w:t>
      </w:r>
      <w:r>
        <w:rPr>
          <w:rFonts w:hint="eastAsia" w:ascii="仿宋" w:hAnsi="仿宋" w:eastAsia="仿宋" w:cs="仿宋"/>
          <w:color w:val="000000"/>
          <w:sz w:val="32"/>
          <w:szCs w:val="32"/>
        </w:rPr>
        <w:t>年“三公”经费财政拨款支出决算中，因公出国（境）费支出决算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万元；公务用车购置及运行维护费支出决算</w:t>
      </w:r>
      <w:r>
        <w:rPr>
          <w:rFonts w:ascii="仿宋" w:hAnsi="仿宋" w:eastAsia="仿宋" w:cs="仿宋"/>
          <w:color w:val="000000"/>
          <w:sz w:val="32"/>
          <w:szCs w:val="32"/>
        </w:rPr>
        <w:t>0</w:t>
      </w:r>
      <w:r>
        <w:rPr>
          <w:rFonts w:hint="eastAsia" w:ascii="仿宋" w:hAnsi="仿宋" w:eastAsia="仿宋" w:cs="仿宋"/>
          <w:color w:val="000000"/>
          <w:sz w:val="32"/>
          <w:szCs w:val="32"/>
        </w:rPr>
        <w:t>万元；公务接待费支出决算</w:t>
      </w:r>
      <w:r>
        <w:rPr>
          <w:rFonts w:ascii="仿宋" w:hAnsi="仿宋" w:eastAsia="仿宋" w:cs="仿宋"/>
          <w:color w:val="000000"/>
          <w:sz w:val="32"/>
          <w:szCs w:val="32"/>
        </w:rPr>
        <w:t>0.02</w:t>
      </w:r>
      <w:r>
        <w:rPr>
          <w:rFonts w:hint="eastAsia" w:ascii="仿宋" w:hAnsi="仿宋" w:eastAsia="仿宋" w:cs="仿宋"/>
          <w:color w:val="000000"/>
          <w:sz w:val="32"/>
          <w:szCs w:val="32"/>
        </w:rPr>
        <w:t>万元，占</w:t>
      </w:r>
      <w:r>
        <w:rPr>
          <w:rFonts w:ascii="仿宋" w:hAnsi="仿宋" w:eastAsia="仿宋" w:cs="仿宋"/>
          <w:color w:val="000000"/>
          <w:sz w:val="32"/>
          <w:szCs w:val="32"/>
        </w:rPr>
        <w:t>100%</w:t>
      </w:r>
      <w:r>
        <w:rPr>
          <w:rFonts w:hint="eastAsia" w:ascii="仿宋" w:hAnsi="仿宋" w:eastAsia="仿宋" w:cs="仿宋"/>
          <w:color w:val="000000"/>
          <w:sz w:val="32"/>
          <w:szCs w:val="32"/>
        </w:rPr>
        <w:t>。具体情况如下：</w:t>
      </w:r>
    </w:p>
    <w:p>
      <w:pPr>
        <w:spacing w:line="576" w:lineRule="exact"/>
        <w:ind w:firstLine="640"/>
        <w:rPr>
          <w:rFonts w:ascii="仿宋" w:hAnsi="仿宋" w:eastAsia="仿宋"/>
          <w:b/>
          <w:bCs/>
          <w:color w:val="000000"/>
          <w:sz w:val="32"/>
          <w:szCs w:val="32"/>
        </w:rPr>
      </w:pPr>
      <w:r>
        <w:rPr>
          <w:rFonts w:hint="eastAsia" w:ascii="仿宋" w:hAnsi="仿宋" w:eastAsia="仿宋" w:cs="仿宋"/>
          <w:b/>
          <w:bCs/>
          <w:color w:val="000000"/>
          <w:sz w:val="32"/>
          <w:szCs w:val="32"/>
        </w:rPr>
        <w:t>图</w:t>
      </w:r>
      <w:r>
        <w:rPr>
          <w:rFonts w:ascii="仿宋" w:hAnsi="仿宋" w:eastAsia="仿宋" w:cs="仿宋"/>
          <w:b/>
          <w:bCs/>
          <w:color w:val="000000"/>
          <w:sz w:val="32"/>
          <w:szCs w:val="32"/>
        </w:rPr>
        <w:t>7</w:t>
      </w:r>
      <w:r>
        <w:rPr>
          <w:rFonts w:hint="eastAsia" w:ascii="仿宋" w:hAnsi="仿宋" w:eastAsia="仿宋" w:cs="仿宋"/>
          <w:b/>
          <w:bCs/>
          <w:color w:val="000000"/>
          <w:sz w:val="32"/>
          <w:szCs w:val="32"/>
        </w:rPr>
        <w:t>：“三公”经费财政拨款支出结构</w:t>
      </w:r>
    </w:p>
    <w:p>
      <w:pPr>
        <w:spacing w:line="576" w:lineRule="exact"/>
        <w:ind w:firstLine="640"/>
        <w:rPr>
          <w:rFonts w:ascii="仿宋" w:hAnsi="仿宋" w:eastAsia="仿宋"/>
          <w:b/>
          <w:bCs/>
          <w:color w:val="000000"/>
          <w:sz w:val="32"/>
          <w:szCs w:val="32"/>
        </w:rPr>
      </w:pPr>
    </w:p>
    <w:p>
      <w:pPr>
        <w:spacing w:line="576" w:lineRule="exact"/>
        <w:ind w:firstLine="640"/>
        <w:rPr>
          <w:rFonts w:ascii="仿宋" w:hAnsi="仿宋" w:eastAsia="仿宋"/>
          <w:b/>
          <w:bCs/>
          <w:color w:val="000000"/>
          <w:sz w:val="32"/>
          <w:szCs w:val="32"/>
        </w:rPr>
      </w:pPr>
    </w:p>
    <w:p>
      <w:pPr>
        <w:spacing w:line="576" w:lineRule="exact"/>
        <w:ind w:firstLine="640"/>
        <w:rPr>
          <w:rFonts w:ascii="仿宋" w:hAnsi="仿宋" w:eastAsia="仿宋"/>
          <w:b/>
          <w:bCs/>
          <w:color w:val="000000"/>
          <w:sz w:val="32"/>
          <w:szCs w:val="32"/>
        </w:rPr>
      </w:pPr>
    </w:p>
    <w:p>
      <w:pPr>
        <w:pStyle w:val="2"/>
        <w:ind w:firstLine="31680"/>
        <w:rPr>
          <w:rFonts w:ascii="仿宋" w:hAnsi="仿宋" w:eastAsia="仿宋"/>
          <w:b/>
          <w:bCs/>
          <w:color w:val="000000"/>
        </w:rPr>
      </w:pPr>
    </w:p>
    <w:p>
      <w:pPr>
        <w:pStyle w:val="2"/>
        <w:ind w:firstLine="31680"/>
        <w:rPr>
          <w:rFonts w:ascii="仿宋" w:hAnsi="仿宋" w:eastAsia="仿宋"/>
          <w:b/>
          <w:bCs/>
          <w:color w:val="000000"/>
        </w:rPr>
      </w:pPr>
      <w:r>
        <w:pict>
          <v:shape id="图表 3" o:spid="_x0000_s1032" o:spt="75" type="#_x0000_t75" style="position:absolute;left:0pt;margin-left:11.15pt;margin-top:14.1pt;height:216.5pt;width:361.45pt;mso-wrap-distance-bottom:0pt;mso-wrap-distance-left:9pt;mso-wrap-distance-right:9pt;mso-wrap-distance-top:0pt;z-index:251658240;mso-width-relative:page;mso-height-relative:page;" filled="f" o:preferrelative="t" stroked="f" coordsize="21600,21600">
            <v:path/>
            <v:fill on="f" focussize="0,0"/>
            <v:stroke on="f" joinstyle="miter"/>
            <v:imagedata r:id="rId13" o:title=""/>
            <o:lock v:ext="edit" aspectratio="f"/>
            <w10:wrap type="square"/>
          </v:shape>
        </w:pict>
      </w:r>
    </w:p>
    <w:p>
      <w:pPr>
        <w:pStyle w:val="2"/>
        <w:ind w:firstLine="31680"/>
        <w:rPr>
          <w:rFonts w:ascii="仿宋" w:hAnsi="仿宋" w:eastAsia="仿宋"/>
          <w:b/>
          <w:bCs/>
          <w:color w:val="000000"/>
        </w:rPr>
      </w:pPr>
    </w:p>
    <w:p>
      <w:pPr>
        <w:spacing w:line="576" w:lineRule="exact"/>
        <w:ind w:firstLine="640"/>
        <w:rPr>
          <w:rFonts w:ascii="仿宋_GB2312" w:eastAsia="仿宋_GB2312"/>
          <w:b/>
          <w:bCs/>
          <w:color w:val="000000"/>
          <w:sz w:val="32"/>
          <w:szCs w:val="32"/>
        </w:rPr>
      </w:pPr>
    </w:p>
    <w:p>
      <w:pPr>
        <w:spacing w:line="576" w:lineRule="exact"/>
        <w:ind w:firstLine="640"/>
        <w:rPr>
          <w:rFonts w:ascii="仿宋_GB2312" w:eastAsia="仿宋_GB2312"/>
          <w:b/>
          <w:bCs/>
          <w:color w:val="000000"/>
          <w:sz w:val="32"/>
          <w:szCs w:val="32"/>
        </w:rPr>
      </w:pPr>
    </w:p>
    <w:p>
      <w:pPr>
        <w:spacing w:line="576" w:lineRule="exact"/>
        <w:ind w:firstLine="640"/>
        <w:rPr>
          <w:rFonts w:ascii="仿宋_GB2312" w:eastAsia="仿宋_GB2312"/>
          <w:b/>
          <w:bCs/>
          <w:color w:val="000000"/>
          <w:sz w:val="32"/>
          <w:szCs w:val="32"/>
        </w:rPr>
      </w:pPr>
    </w:p>
    <w:p>
      <w:pPr>
        <w:spacing w:line="576" w:lineRule="exact"/>
        <w:ind w:firstLine="640"/>
        <w:rPr>
          <w:rFonts w:ascii="仿宋_GB2312" w:eastAsia="仿宋_GB2312"/>
          <w:b/>
          <w:bCs/>
          <w:color w:val="000000"/>
          <w:sz w:val="32"/>
          <w:szCs w:val="32"/>
        </w:rPr>
      </w:pPr>
    </w:p>
    <w:p>
      <w:pPr>
        <w:spacing w:line="576" w:lineRule="exact"/>
        <w:ind w:firstLine="640"/>
        <w:rPr>
          <w:rFonts w:ascii="仿宋_GB2312" w:eastAsia="仿宋_GB2312"/>
          <w:b/>
          <w:bCs/>
          <w:color w:val="000000"/>
          <w:sz w:val="32"/>
          <w:szCs w:val="32"/>
        </w:rPr>
      </w:pPr>
    </w:p>
    <w:p>
      <w:pPr>
        <w:spacing w:line="576" w:lineRule="exact"/>
        <w:rPr>
          <w:rFonts w:ascii="仿宋_GB2312" w:eastAsia="仿宋_GB2312"/>
          <w:b/>
          <w:bCs/>
          <w:color w:val="000000"/>
          <w:sz w:val="32"/>
          <w:szCs w:val="32"/>
        </w:rPr>
      </w:pPr>
    </w:p>
    <w:p>
      <w:pPr>
        <w:pStyle w:val="2"/>
        <w:ind w:firstLine="31680"/>
      </w:pPr>
    </w:p>
    <w:p>
      <w:pPr>
        <w:spacing w:line="576" w:lineRule="exact"/>
        <w:ind w:firstLine="640"/>
        <w:rPr>
          <w:rFonts w:ascii="仿宋_GB2312" w:eastAsia="仿宋_GB2312"/>
          <w:color w:val="000000"/>
          <w:sz w:val="32"/>
          <w:szCs w:val="32"/>
        </w:rPr>
      </w:pPr>
      <w:r>
        <w:rPr>
          <w:rFonts w:ascii="仿宋_GB2312" w:eastAsia="仿宋_GB2312" w:cs="仿宋_GB2312"/>
          <w:b/>
          <w:bCs/>
          <w:color w:val="000000"/>
          <w:sz w:val="32"/>
          <w:szCs w:val="32"/>
        </w:rPr>
        <w:t>1.</w:t>
      </w:r>
      <w:r>
        <w:rPr>
          <w:rFonts w:hint="eastAsia" w:ascii="仿宋_GB2312" w:eastAsia="仿宋_GB2312" w:cs="仿宋_GB2312"/>
          <w:b/>
          <w:bCs/>
          <w:color w:val="000000"/>
          <w:sz w:val="32"/>
          <w:szCs w:val="32"/>
        </w:rPr>
        <w:t>因公出国（境）经费支出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6"/>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全年安排因公出国（境）团组</w:t>
      </w:r>
      <w:r>
        <w:rPr>
          <w:rFonts w:ascii="仿宋_GB2312" w:eastAsia="仿宋_GB2312" w:cs="仿宋_GB2312"/>
          <w:color w:val="000000"/>
          <w:sz w:val="32"/>
          <w:szCs w:val="32"/>
        </w:rPr>
        <w:t>0</w:t>
      </w:r>
      <w:r>
        <w:rPr>
          <w:rFonts w:hint="eastAsia" w:ascii="仿宋_GB2312" w:eastAsia="仿宋_GB2312" w:cs="仿宋_GB2312"/>
          <w:color w:val="000000"/>
          <w:sz w:val="32"/>
          <w:szCs w:val="32"/>
        </w:rPr>
        <w:t>次，出国（境）</w:t>
      </w:r>
      <w:r>
        <w:rPr>
          <w:rFonts w:ascii="仿宋_GB2312" w:eastAsia="仿宋_GB2312" w:cs="仿宋_GB2312"/>
          <w:color w:val="000000"/>
          <w:sz w:val="32"/>
          <w:szCs w:val="32"/>
        </w:rPr>
        <w:t>0</w:t>
      </w:r>
      <w:r>
        <w:rPr>
          <w:rFonts w:hint="eastAsia" w:ascii="仿宋_GB2312" w:eastAsia="仿宋_GB2312" w:cs="仿宋_GB2312"/>
          <w:color w:val="000000"/>
          <w:sz w:val="32"/>
          <w:szCs w:val="32"/>
        </w:rPr>
        <w:t>人。</w:t>
      </w:r>
    </w:p>
    <w:p>
      <w:pPr>
        <w:spacing w:line="576" w:lineRule="exact"/>
        <w:ind w:firstLine="640"/>
        <w:rPr>
          <w:rFonts w:ascii="仿宋_GB2312" w:eastAsia="仿宋_GB2312"/>
          <w:color w:val="000000"/>
          <w:sz w:val="32"/>
          <w:szCs w:val="32"/>
        </w:rPr>
      </w:pPr>
      <w:r>
        <w:rPr>
          <w:rFonts w:ascii="仿宋_GB2312" w:eastAsia="仿宋_GB2312" w:cs="仿宋_GB2312"/>
          <w:b/>
          <w:bCs/>
          <w:color w:val="000000"/>
          <w:sz w:val="32"/>
          <w:szCs w:val="32"/>
        </w:rPr>
        <w:t>2.</w:t>
      </w:r>
      <w:r>
        <w:rPr>
          <w:rFonts w:hint="eastAsia" w:ascii="仿宋_GB2312" w:eastAsia="仿宋_GB2312" w:cs="仿宋_GB2312"/>
          <w:b/>
          <w:bCs/>
          <w:color w:val="000000"/>
          <w:sz w:val="32"/>
          <w:szCs w:val="32"/>
        </w:rPr>
        <w:t>公务用车购置及运行维护费支出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Style w:val="16"/>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主要原因是我单位有车编无车辆，单位共有公务用车</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辆，均为借用。</w:t>
      </w:r>
    </w:p>
    <w:p>
      <w:pPr>
        <w:spacing w:line="576" w:lineRule="exact"/>
        <w:ind w:firstLine="640"/>
        <w:outlineLvl w:val="1"/>
        <w:rPr>
          <w:rFonts w:ascii="仿宋_GB2312" w:eastAsia="仿宋_GB2312"/>
          <w:color w:val="000000"/>
          <w:sz w:val="32"/>
          <w:szCs w:val="32"/>
        </w:rPr>
      </w:pPr>
      <w:bookmarkStart w:id="66" w:name="_Toc29061"/>
      <w:r>
        <w:rPr>
          <w:rFonts w:ascii="仿宋_GB2312" w:eastAsia="仿宋_GB2312" w:cs="仿宋_GB2312"/>
          <w:b/>
          <w:bCs/>
          <w:color w:val="000000"/>
          <w:sz w:val="32"/>
          <w:szCs w:val="32"/>
        </w:rPr>
        <w:t>3.</w:t>
      </w:r>
      <w:r>
        <w:rPr>
          <w:rFonts w:hint="eastAsia" w:ascii="仿宋_GB2312" w:eastAsia="仿宋_GB2312" w:cs="仿宋_GB2312"/>
          <w:b/>
          <w:bCs/>
          <w:color w:val="000000"/>
          <w:sz w:val="32"/>
          <w:szCs w:val="32"/>
        </w:rPr>
        <w:t>公务接待费支出</w:t>
      </w:r>
      <w:r>
        <w:rPr>
          <w:rFonts w:ascii="仿宋_GB2312" w:eastAsia="仿宋_GB2312" w:cs="仿宋_GB2312"/>
          <w:color w:val="000000"/>
          <w:sz w:val="32"/>
          <w:szCs w:val="32"/>
        </w:rPr>
        <w:t>0.02</w:t>
      </w:r>
      <w:r>
        <w:rPr>
          <w:rFonts w:hint="eastAsia" w:ascii="仿宋_GB2312" w:eastAsia="仿宋_GB2312" w:cs="仿宋_GB2312"/>
          <w:color w:val="000000"/>
          <w:sz w:val="32"/>
          <w:szCs w:val="32"/>
        </w:rPr>
        <w:t>万元，</w:t>
      </w:r>
      <w:r>
        <w:rPr>
          <w:rStyle w:val="16"/>
          <w:rFonts w:hint="eastAsia" w:ascii="仿宋" w:hAnsi="仿宋" w:eastAsia="仿宋" w:cs="仿宋"/>
          <w:b w:val="0"/>
          <w:bCs w:val="0"/>
          <w:color w:val="000000"/>
          <w:sz w:val="32"/>
          <w:szCs w:val="32"/>
        </w:rPr>
        <w:t>完成预算</w:t>
      </w:r>
      <w:r>
        <w:rPr>
          <w:rStyle w:val="16"/>
          <w:rFonts w:ascii="仿宋" w:hAnsi="仿宋" w:eastAsia="仿宋" w:cs="仿宋"/>
          <w:b w:val="0"/>
          <w:bCs w:val="0"/>
          <w:color w:val="000000"/>
          <w:sz w:val="32"/>
          <w:szCs w:val="32"/>
        </w:rPr>
        <w:t>0.12%</w:t>
      </w:r>
      <w:r>
        <w:rPr>
          <w:rStyle w:val="16"/>
          <w:rFonts w:hint="eastAsia" w:ascii="仿宋" w:hAnsi="仿宋" w:eastAsia="仿宋" w:cs="仿宋"/>
          <w:b w:val="0"/>
          <w:bCs w:val="0"/>
          <w:color w:val="000000"/>
          <w:sz w:val="32"/>
          <w:szCs w:val="32"/>
        </w:rPr>
        <w:t>。</w:t>
      </w:r>
      <w:r>
        <w:rPr>
          <w:rFonts w:hint="eastAsia" w:ascii="仿宋_GB2312" w:eastAsia="仿宋_GB2312" w:cs="仿宋_GB2312"/>
          <w:color w:val="000000"/>
          <w:sz w:val="32"/>
          <w:szCs w:val="32"/>
        </w:rPr>
        <w:t>公务接待费支出决算比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1.05</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98.13%</w:t>
      </w:r>
      <w:r>
        <w:rPr>
          <w:rFonts w:hint="eastAsia" w:ascii="仿宋_GB2312" w:eastAsia="仿宋_GB2312" w:cs="仿宋_GB2312"/>
          <w:color w:val="000000"/>
          <w:sz w:val="32"/>
          <w:szCs w:val="32"/>
        </w:rPr>
        <w:t>。主要原因是</w:t>
      </w:r>
      <w:bookmarkStart w:id="67" w:name="_Toc15377218"/>
      <w:bookmarkStart w:id="68" w:name="_Toc15396610"/>
      <w:r>
        <w:rPr>
          <w:rFonts w:hint="eastAsia" w:ascii="仿宋_GB2312" w:eastAsia="仿宋_GB2312" w:cs="仿宋_GB2312"/>
          <w:color w:val="000000"/>
          <w:sz w:val="32"/>
          <w:szCs w:val="32"/>
        </w:rPr>
        <w:t>公务接待减少。</w:t>
      </w:r>
      <w:bookmarkEnd w:id="66"/>
    </w:p>
    <w:p>
      <w:pPr>
        <w:spacing w:line="576" w:lineRule="exact"/>
        <w:ind w:firstLine="640"/>
        <w:outlineLvl w:val="1"/>
        <w:rPr>
          <w:rStyle w:val="19"/>
          <w:rFonts w:ascii="黑体" w:hAnsi="黑体" w:eastAsia="黑体" w:cs="Times New Roman"/>
        </w:rPr>
      </w:pPr>
      <w:bookmarkStart w:id="69" w:name="_Toc17606"/>
      <w:r>
        <w:rPr>
          <w:rFonts w:hint="eastAsia" w:ascii="黑体" w:eastAsia="黑体" w:cs="黑体"/>
          <w:color w:val="000000"/>
          <w:sz w:val="32"/>
          <w:szCs w:val="32"/>
        </w:rPr>
        <w:t>八、</w:t>
      </w:r>
      <w:r>
        <w:rPr>
          <w:rStyle w:val="19"/>
          <w:rFonts w:hint="eastAsia" w:ascii="黑体" w:hAnsi="黑体" w:eastAsia="黑体" w:cs="黑体"/>
          <w:b w:val="0"/>
          <w:bCs w:val="0"/>
        </w:rPr>
        <w:t>政府性基金预算支出决算情况说明</w:t>
      </w:r>
      <w:bookmarkEnd w:id="67"/>
      <w:bookmarkEnd w:id="68"/>
      <w:bookmarkEnd w:id="69"/>
    </w:p>
    <w:p>
      <w:pPr>
        <w:spacing w:line="576" w:lineRule="exact"/>
        <w:ind w:firstLine="64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年政府性基金预算拨款支出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numPr>
          <w:ilvl w:val="0"/>
          <w:numId w:val="4"/>
        </w:numPr>
        <w:spacing w:line="576" w:lineRule="exact"/>
        <w:ind w:firstLine="640"/>
        <w:outlineLvl w:val="1"/>
        <w:rPr>
          <w:rStyle w:val="19"/>
          <w:rFonts w:ascii="黑体" w:hAnsi="黑体" w:eastAsia="黑体" w:cs="Times New Roman"/>
          <w:b w:val="0"/>
          <w:bCs w:val="0"/>
        </w:rPr>
      </w:pPr>
      <w:bookmarkStart w:id="70" w:name="_Toc15377219"/>
      <w:bookmarkStart w:id="71" w:name="_Toc32323"/>
      <w:bookmarkStart w:id="72" w:name="_Toc15396611"/>
      <w:r>
        <w:rPr>
          <w:rStyle w:val="19"/>
          <w:rFonts w:hint="eastAsia" w:ascii="黑体" w:hAnsi="黑体" w:eastAsia="黑体" w:cs="黑体"/>
          <w:b w:val="0"/>
          <w:bCs w:val="0"/>
        </w:rPr>
        <w:t>国有资本经营预算支出决算情况说明</w:t>
      </w:r>
      <w:bookmarkEnd w:id="70"/>
      <w:bookmarkEnd w:id="71"/>
      <w:bookmarkEnd w:id="72"/>
    </w:p>
    <w:p>
      <w:pPr>
        <w:spacing w:line="576" w:lineRule="exact"/>
        <w:ind w:firstLine="640"/>
        <w:rPr>
          <w:rFonts w:ascii="方正小标宋简体" w:hAnsi="方正小标宋简体" w:eastAsia="方正小标宋简体"/>
          <w:sz w:val="44"/>
          <w:szCs w:val="44"/>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年国有资本经营预算拨款支出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spacing w:line="576" w:lineRule="exact"/>
        <w:ind w:firstLine="800" w:firstLineChars="250"/>
        <w:outlineLvl w:val="1"/>
        <w:rPr>
          <w:rStyle w:val="19"/>
          <w:rFonts w:ascii="黑体" w:hAnsi="黑体" w:eastAsia="黑体" w:cs="Times New Roman"/>
        </w:rPr>
      </w:pPr>
      <w:bookmarkStart w:id="73" w:name="_Toc15396612"/>
      <w:bookmarkStart w:id="74" w:name="_Toc15377221"/>
      <w:bookmarkStart w:id="75" w:name="_Toc31739"/>
      <w:r>
        <w:rPr>
          <w:rFonts w:hint="eastAsia" w:ascii="黑体" w:hAnsi="黑体" w:eastAsia="黑体" w:cs="黑体"/>
          <w:color w:val="000000"/>
          <w:sz w:val="32"/>
          <w:szCs w:val="32"/>
        </w:rPr>
        <w:t>十</w:t>
      </w:r>
      <w:r>
        <w:rPr>
          <w:rStyle w:val="19"/>
          <w:rFonts w:hint="eastAsia" w:ascii="黑体" w:hAnsi="黑体" w:eastAsia="黑体" w:cs="黑体"/>
        </w:rPr>
        <w:t>、</w:t>
      </w:r>
      <w:r>
        <w:rPr>
          <w:rStyle w:val="19"/>
          <w:rFonts w:hint="eastAsia" w:ascii="黑体" w:hAnsi="黑体" w:eastAsia="黑体" w:cs="黑体"/>
          <w:b w:val="0"/>
          <w:bCs w:val="0"/>
        </w:rPr>
        <w:t>其他重要事项的情况说明</w:t>
      </w:r>
      <w:bookmarkEnd w:id="73"/>
      <w:bookmarkEnd w:id="74"/>
      <w:bookmarkEnd w:id="75"/>
    </w:p>
    <w:p>
      <w:pPr>
        <w:spacing w:line="576" w:lineRule="exact"/>
        <w:ind w:firstLine="643" w:firstLineChars="200"/>
        <w:outlineLvl w:val="2"/>
        <w:rPr>
          <w:rFonts w:ascii="楷体" w:hAnsi="楷体" w:eastAsia="楷体"/>
          <w:b/>
          <w:bCs/>
          <w:color w:val="000000"/>
          <w:sz w:val="32"/>
          <w:szCs w:val="32"/>
        </w:rPr>
      </w:pPr>
      <w:bookmarkStart w:id="76" w:name="_Toc15377222"/>
      <w:bookmarkStart w:id="77" w:name="_Toc30839"/>
      <w:r>
        <w:rPr>
          <w:rFonts w:hint="eastAsia" w:ascii="楷体" w:hAnsi="楷体" w:eastAsia="楷体" w:cs="楷体"/>
          <w:b/>
          <w:bCs/>
          <w:color w:val="000000"/>
          <w:sz w:val="32"/>
          <w:szCs w:val="32"/>
        </w:rPr>
        <w:t>（一）机关运行经费支出情况</w:t>
      </w:r>
      <w:bookmarkEnd w:id="76"/>
      <w:bookmarkEnd w:id="77"/>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年，政法机关运行经费支出</w:t>
      </w:r>
      <w:r>
        <w:rPr>
          <w:rFonts w:ascii="仿宋_GB2312" w:eastAsia="仿宋_GB2312" w:cs="仿宋_GB2312"/>
          <w:color w:val="000000"/>
          <w:sz w:val="32"/>
          <w:szCs w:val="32"/>
        </w:rPr>
        <w:t>83.53</w:t>
      </w:r>
      <w:r>
        <w:rPr>
          <w:rFonts w:hint="eastAsia" w:ascii="仿宋_GB2312" w:eastAsia="仿宋_GB2312" w:cs="仿宋_GB2312"/>
          <w:color w:val="000000"/>
          <w:sz w:val="32"/>
          <w:szCs w:val="32"/>
        </w:rPr>
        <w:t>万元，比</w:t>
      </w:r>
      <w:r>
        <w:rPr>
          <w:rFonts w:ascii="仿宋_GB2312" w:eastAsia="仿宋_GB2312" w:cs="仿宋_GB2312"/>
          <w:color w:val="000000"/>
          <w:sz w:val="32"/>
          <w:szCs w:val="32"/>
        </w:rPr>
        <w:t>2019</w:t>
      </w:r>
      <w:r>
        <w:rPr>
          <w:rFonts w:hint="eastAsia" w:ascii="仿宋_GB2312" w:eastAsia="仿宋_GB2312" w:cs="仿宋_GB2312"/>
          <w:color w:val="000000"/>
          <w:sz w:val="32"/>
          <w:szCs w:val="32"/>
        </w:rPr>
        <w:t>年减少</w:t>
      </w:r>
      <w:r>
        <w:rPr>
          <w:rFonts w:ascii="仿宋_GB2312" w:eastAsia="仿宋_GB2312" w:cs="仿宋_GB2312"/>
          <w:color w:val="000000"/>
          <w:sz w:val="32"/>
          <w:szCs w:val="32"/>
        </w:rPr>
        <w:t>54.25</w:t>
      </w:r>
      <w:r>
        <w:rPr>
          <w:rFonts w:hint="eastAsia" w:ascii="仿宋_GB2312" w:eastAsia="仿宋_GB2312" w:cs="仿宋_GB2312"/>
          <w:color w:val="000000"/>
          <w:sz w:val="32"/>
          <w:szCs w:val="32"/>
        </w:rPr>
        <w:t>万元，减少</w:t>
      </w:r>
      <w:r>
        <w:rPr>
          <w:rFonts w:ascii="仿宋_GB2312" w:eastAsia="仿宋_GB2312" w:cs="仿宋_GB2312"/>
          <w:color w:val="000000"/>
          <w:sz w:val="32"/>
          <w:szCs w:val="32"/>
        </w:rPr>
        <w:t>39.37%</w:t>
      </w:r>
      <w:r>
        <w:rPr>
          <w:rFonts w:hint="eastAsia" w:ascii="仿宋_GB2312" w:eastAsia="仿宋_GB2312" w:cs="仿宋_GB2312"/>
          <w:color w:val="000000"/>
          <w:sz w:val="32"/>
          <w:szCs w:val="32"/>
        </w:rPr>
        <w:t>。主要原因是扫黑除恶专项工作开支减少；人员减少。</w:t>
      </w:r>
    </w:p>
    <w:p>
      <w:pPr>
        <w:autoSpaceDE w:val="0"/>
        <w:autoSpaceDN w:val="0"/>
        <w:adjustRightInd w:val="0"/>
        <w:spacing w:line="576" w:lineRule="exact"/>
        <w:ind w:firstLine="643" w:firstLineChars="200"/>
        <w:jc w:val="left"/>
        <w:outlineLvl w:val="2"/>
        <w:rPr>
          <w:rFonts w:ascii="楷体" w:hAnsi="楷体" w:eastAsia="楷体"/>
          <w:b/>
          <w:bCs/>
          <w:color w:val="000000"/>
          <w:sz w:val="32"/>
          <w:szCs w:val="32"/>
        </w:rPr>
      </w:pPr>
      <w:bookmarkStart w:id="78" w:name="_Toc15377223"/>
      <w:bookmarkStart w:id="79" w:name="_Toc1421"/>
      <w:r>
        <w:rPr>
          <w:rFonts w:hint="eastAsia" w:ascii="仿宋" w:hAnsi="仿宋" w:eastAsia="仿宋" w:cs="仿宋"/>
          <w:b/>
          <w:bCs/>
          <w:color w:val="000000"/>
          <w:sz w:val="32"/>
          <w:szCs w:val="32"/>
        </w:rPr>
        <w:t>（</w:t>
      </w:r>
      <w:r>
        <w:rPr>
          <w:rFonts w:hint="eastAsia" w:ascii="楷体" w:hAnsi="楷体" w:eastAsia="楷体" w:cs="楷体"/>
          <w:b/>
          <w:bCs/>
          <w:color w:val="000000"/>
          <w:sz w:val="32"/>
          <w:szCs w:val="32"/>
        </w:rPr>
        <w:t>二）政府采购支出情况</w:t>
      </w:r>
      <w:bookmarkEnd w:id="78"/>
      <w:bookmarkEnd w:id="79"/>
    </w:p>
    <w:p>
      <w:pPr>
        <w:spacing w:line="576"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年，政法委政府采购支出总额</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autoSpaceDE w:val="0"/>
        <w:autoSpaceDN w:val="0"/>
        <w:adjustRightInd w:val="0"/>
        <w:spacing w:line="576" w:lineRule="exact"/>
        <w:ind w:firstLine="643" w:firstLineChars="200"/>
        <w:jc w:val="left"/>
        <w:outlineLvl w:val="2"/>
        <w:rPr>
          <w:rFonts w:ascii="楷体" w:hAnsi="楷体" w:eastAsia="楷体"/>
          <w:b/>
          <w:bCs/>
          <w:color w:val="000000"/>
          <w:sz w:val="32"/>
          <w:szCs w:val="32"/>
        </w:rPr>
      </w:pPr>
      <w:bookmarkStart w:id="80" w:name="_Toc15377224"/>
      <w:bookmarkStart w:id="81" w:name="_Toc27742"/>
      <w:r>
        <w:rPr>
          <w:rFonts w:hint="eastAsia" w:ascii="楷体" w:hAnsi="楷体" w:eastAsia="楷体" w:cs="楷体"/>
          <w:b/>
          <w:bCs/>
          <w:color w:val="000000"/>
          <w:sz w:val="32"/>
          <w:szCs w:val="32"/>
        </w:rPr>
        <w:t>（三）国有资产占有使用情况</w:t>
      </w:r>
      <w:bookmarkEnd w:id="80"/>
      <w:bookmarkEnd w:id="81"/>
    </w:p>
    <w:p>
      <w:pPr>
        <w:autoSpaceDE w:val="0"/>
        <w:autoSpaceDN w:val="0"/>
        <w:adjustRightInd w:val="0"/>
        <w:spacing w:line="576" w:lineRule="exact"/>
        <w:ind w:firstLine="640" w:firstLineChars="200"/>
        <w:jc w:val="left"/>
        <w:rPr>
          <w:rFonts w:ascii="仿宋" w:hAnsi="仿宋" w:eastAsia="仿宋"/>
          <w:b/>
          <w:bCs/>
          <w:color w:val="FF0000"/>
          <w:sz w:val="32"/>
          <w:szCs w:val="32"/>
        </w:rPr>
      </w:pPr>
      <w:r>
        <w:rPr>
          <w:rFonts w:hint="eastAsia" w:ascii="仿宋_GB2312" w:eastAsia="仿宋_GB2312" w:cs="仿宋_GB2312"/>
          <w:color w:val="000000"/>
          <w:sz w:val="32"/>
          <w:szCs w:val="32"/>
        </w:rPr>
        <w:t>截至</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w:t>
      </w:r>
      <w:r>
        <w:rPr>
          <w:rFonts w:ascii="仿宋_GB2312" w:eastAsia="仿宋_GB2312" w:cs="仿宋_GB2312"/>
          <w:color w:val="000000"/>
          <w:sz w:val="32"/>
          <w:szCs w:val="32"/>
        </w:rPr>
        <w:t>12</w:t>
      </w:r>
      <w:r>
        <w:rPr>
          <w:rFonts w:hint="eastAsia" w:ascii="仿宋_GB2312" w:eastAsia="仿宋_GB2312" w:cs="仿宋_GB2312"/>
          <w:color w:val="000000"/>
          <w:sz w:val="32"/>
          <w:szCs w:val="32"/>
        </w:rPr>
        <w:t>月</w:t>
      </w:r>
      <w:r>
        <w:rPr>
          <w:rFonts w:ascii="仿宋_GB2312" w:eastAsia="仿宋_GB2312" w:cs="仿宋_GB2312"/>
          <w:color w:val="000000"/>
          <w:sz w:val="32"/>
          <w:szCs w:val="32"/>
        </w:rPr>
        <w:t>31</w:t>
      </w:r>
      <w:r>
        <w:rPr>
          <w:rFonts w:hint="eastAsia" w:ascii="仿宋_GB2312" w:eastAsia="仿宋_GB2312" w:cs="仿宋_GB2312"/>
          <w:color w:val="000000"/>
          <w:sz w:val="32"/>
          <w:szCs w:val="32"/>
        </w:rPr>
        <w:t>日，政法委共有车辆编制</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辆，实际使用车辆</w:t>
      </w:r>
      <w:r>
        <w:rPr>
          <w:rFonts w:ascii="仿宋_GB2312" w:eastAsia="仿宋_GB2312" w:cs="仿宋_GB2312"/>
          <w:color w:val="000000"/>
          <w:sz w:val="32"/>
          <w:szCs w:val="32"/>
        </w:rPr>
        <w:t>2</w:t>
      </w:r>
      <w:r>
        <w:rPr>
          <w:rFonts w:hint="eastAsia" w:ascii="仿宋_GB2312" w:eastAsia="仿宋_GB2312" w:cs="仿宋_GB2312"/>
          <w:color w:val="000000"/>
          <w:sz w:val="32"/>
          <w:szCs w:val="32"/>
        </w:rPr>
        <w:t>辆为借用他单位。</w:t>
      </w:r>
    </w:p>
    <w:p>
      <w:pPr>
        <w:autoSpaceDE w:val="0"/>
        <w:autoSpaceDN w:val="0"/>
        <w:adjustRightInd w:val="0"/>
        <w:spacing w:line="576" w:lineRule="exact"/>
        <w:ind w:firstLine="643" w:firstLineChars="200"/>
        <w:jc w:val="left"/>
        <w:outlineLvl w:val="2"/>
        <w:rPr>
          <w:rFonts w:ascii="楷体" w:hAnsi="楷体" w:eastAsia="楷体"/>
          <w:b/>
          <w:bCs/>
          <w:color w:val="000000"/>
          <w:sz w:val="32"/>
          <w:szCs w:val="32"/>
        </w:rPr>
      </w:pPr>
      <w:bookmarkStart w:id="82" w:name="_Toc3234"/>
      <w:r>
        <w:rPr>
          <w:rFonts w:hint="eastAsia" w:ascii="楷体" w:hAnsi="楷体" w:eastAsia="楷体" w:cs="楷体"/>
          <w:b/>
          <w:bCs/>
          <w:color w:val="000000"/>
          <w:sz w:val="32"/>
          <w:szCs w:val="32"/>
        </w:rPr>
        <w:t>（四）预算绩效管理情况</w:t>
      </w:r>
      <w:bookmarkEnd w:id="82"/>
    </w:p>
    <w:p>
      <w:pPr>
        <w:spacing w:line="576" w:lineRule="exact"/>
        <w:ind w:firstLine="640" w:firstLineChars="200"/>
        <w:rPr>
          <w:rFonts w:ascii="仿宋_GB2312" w:hAnsi="仿宋_GB2312" w:eastAsia="仿宋_GB2312"/>
          <w:sz w:val="32"/>
          <w:szCs w:val="32"/>
        </w:rPr>
      </w:pPr>
      <w:bookmarkStart w:id="83" w:name="_Toc15396613"/>
      <w:bookmarkStart w:id="84" w:name="_Toc15377225"/>
      <w:r>
        <w:rPr>
          <w:rFonts w:hint="eastAsia" w:ascii="仿宋_GB2312" w:hAnsi="仿宋_GB2312" w:eastAsia="仿宋_GB2312" w:cs="仿宋_GB2312"/>
          <w:sz w:val="32"/>
          <w:szCs w:val="32"/>
        </w:rPr>
        <w:t>我委无专项预算项目，因此未组织开展项目支出绩效评价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本部门未组织开展项目支出绩效评价。</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我委按要求对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年部门整体支出绩效评价情况开展自评，中共茂县县委政法委员会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76" w:lineRule="exact"/>
        <w:ind w:firstLine="640" w:firstLineChars="200"/>
        <w:rPr>
          <w:rFonts w:ascii="仿宋_GB2312" w:hAnsi="楷体" w:eastAsia="仿宋_GB2312"/>
          <w:sz w:val="32"/>
          <w:szCs w:val="32"/>
        </w:rPr>
      </w:pPr>
    </w:p>
    <w:p>
      <w:pPr>
        <w:spacing w:line="576" w:lineRule="exact"/>
        <w:ind w:firstLine="640" w:firstLineChars="200"/>
        <w:rPr>
          <w:rFonts w:ascii="仿宋_GB2312" w:hAnsi="楷体" w:eastAsia="仿宋_GB2312"/>
          <w:sz w:val="32"/>
          <w:szCs w:val="32"/>
        </w:rPr>
      </w:pPr>
    </w:p>
    <w:p>
      <w:pPr>
        <w:spacing w:line="576" w:lineRule="exact"/>
        <w:ind w:firstLine="640" w:firstLineChars="200"/>
        <w:rPr>
          <w:rFonts w:ascii="仿宋_GB2312" w:hAnsi="楷体" w:eastAsia="仿宋_GB2312"/>
          <w:sz w:val="32"/>
          <w:szCs w:val="32"/>
        </w:rPr>
      </w:pPr>
    </w:p>
    <w:p>
      <w:pPr>
        <w:pStyle w:val="2"/>
        <w:spacing w:line="576" w:lineRule="exact"/>
        <w:ind w:firstLine="31680"/>
        <w:rPr>
          <w:rFonts w:ascii="仿宋_GB2312" w:hAnsi="楷体" w:eastAsia="仿宋_GB2312"/>
        </w:rPr>
      </w:pPr>
    </w:p>
    <w:p>
      <w:pPr>
        <w:pStyle w:val="2"/>
        <w:spacing w:line="576" w:lineRule="exact"/>
        <w:ind w:firstLine="31680"/>
        <w:rPr>
          <w:rFonts w:ascii="仿宋_GB2312" w:hAnsi="楷体" w:eastAsia="仿宋_GB2312"/>
        </w:rPr>
      </w:pPr>
    </w:p>
    <w:p>
      <w:pPr>
        <w:pStyle w:val="2"/>
        <w:spacing w:line="576" w:lineRule="exact"/>
        <w:ind w:firstLine="0" w:firstLineChars="0"/>
        <w:rPr>
          <w:rFonts w:ascii="仿宋_GB2312" w:hAnsi="楷体" w:eastAsia="仿宋_GB2312"/>
        </w:rPr>
      </w:pPr>
    </w:p>
    <w:p>
      <w:pPr>
        <w:spacing w:line="576" w:lineRule="exact"/>
        <w:ind w:firstLine="640" w:firstLineChars="200"/>
        <w:rPr>
          <w:rFonts w:ascii="仿宋_GB2312" w:hAnsi="楷体" w:eastAsia="仿宋_GB2312"/>
          <w:sz w:val="32"/>
          <w:szCs w:val="32"/>
        </w:rPr>
      </w:pPr>
    </w:p>
    <w:p>
      <w:pPr>
        <w:spacing w:line="576" w:lineRule="exact"/>
        <w:ind w:firstLine="640" w:firstLineChars="200"/>
        <w:rPr>
          <w:rFonts w:ascii="仿宋_GB2312" w:hAnsi="楷体" w:eastAsia="仿宋_GB2312"/>
          <w:sz w:val="32"/>
          <w:szCs w:val="32"/>
        </w:rPr>
      </w:pPr>
    </w:p>
    <w:p>
      <w:pPr>
        <w:spacing w:line="576" w:lineRule="exact"/>
        <w:ind w:firstLine="640" w:firstLineChars="200"/>
        <w:rPr>
          <w:rFonts w:ascii="仿宋_GB2312" w:hAnsi="楷体" w:eastAsia="仿宋_GB2312"/>
          <w:sz w:val="32"/>
          <w:szCs w:val="32"/>
        </w:rPr>
      </w:pPr>
    </w:p>
    <w:p>
      <w:pPr>
        <w:spacing w:line="576" w:lineRule="exact"/>
        <w:ind w:firstLine="640" w:firstLineChars="200"/>
        <w:rPr>
          <w:rFonts w:ascii="仿宋_GB2312" w:hAnsi="楷体" w:eastAsia="仿宋_GB2312"/>
          <w:sz w:val="32"/>
          <w:szCs w:val="32"/>
        </w:rPr>
      </w:pPr>
    </w:p>
    <w:p>
      <w:pPr>
        <w:pStyle w:val="2"/>
      </w:pPr>
      <w:r>
        <w:br w:type="textWrapping"/>
      </w:r>
    </w:p>
    <w:p>
      <w:pPr>
        <w:spacing w:line="576" w:lineRule="exact"/>
        <w:rPr>
          <w:rFonts w:ascii="仿宋_GB2312" w:hAnsi="楷体" w:eastAsia="仿宋_GB2312"/>
          <w:sz w:val="32"/>
          <w:szCs w:val="32"/>
        </w:rPr>
      </w:pPr>
    </w:p>
    <w:p>
      <w:pPr>
        <w:numPr>
          <w:ilvl w:val="0"/>
          <w:numId w:val="5"/>
        </w:numPr>
        <w:spacing w:line="576" w:lineRule="exact"/>
        <w:ind w:firstLine="660" w:firstLineChars="150"/>
        <w:jc w:val="center"/>
        <w:outlineLvl w:val="0"/>
        <w:rPr>
          <w:rStyle w:val="18"/>
          <w:rFonts w:ascii="黑体" w:hAnsi="黑体" w:eastAsia="黑体"/>
          <w:b w:val="0"/>
          <w:bCs w:val="0"/>
        </w:rPr>
      </w:pPr>
      <w:bookmarkStart w:id="85" w:name="_Toc28895"/>
      <w:r>
        <w:rPr>
          <w:rFonts w:hint="eastAsia" w:ascii="黑体" w:hAnsi="黑体" w:eastAsia="黑体" w:cs="黑体"/>
          <w:color w:val="000000"/>
          <w:sz w:val="44"/>
          <w:szCs w:val="44"/>
        </w:rPr>
        <w:t>名</w:t>
      </w:r>
      <w:r>
        <w:rPr>
          <w:rStyle w:val="18"/>
          <w:rFonts w:hint="eastAsia" w:ascii="黑体" w:hAnsi="黑体" w:eastAsia="黑体" w:cs="黑体"/>
          <w:b w:val="0"/>
          <w:bCs w:val="0"/>
        </w:rPr>
        <w:t>词解释</w:t>
      </w:r>
      <w:bookmarkEnd w:id="83"/>
      <w:bookmarkEnd w:id="84"/>
      <w:bookmarkEnd w:id="85"/>
    </w:p>
    <w:p>
      <w:pPr>
        <w:spacing w:line="576" w:lineRule="exact"/>
        <w:jc w:val="left"/>
        <w:rPr>
          <w:rFonts w:ascii="宋体"/>
          <w:b/>
          <w:bCs/>
          <w:color w:val="000000"/>
          <w:sz w:val="44"/>
          <w:szCs w:val="44"/>
        </w:rPr>
      </w:pPr>
    </w:p>
    <w:p>
      <w:pPr>
        <w:spacing w:line="576" w:lineRule="exact"/>
        <w:ind w:firstLine="640" w:firstLineChars="200"/>
        <w:jc w:val="left"/>
        <w:outlineLvl w:val="0"/>
        <w:rPr>
          <w:rFonts w:ascii="仿宋_GB2312" w:eastAsia="仿宋_GB2312"/>
          <w:sz w:val="32"/>
          <w:szCs w:val="32"/>
        </w:rPr>
      </w:pPr>
      <w:bookmarkStart w:id="86" w:name="_Toc27512"/>
      <w:bookmarkStart w:id="87" w:name="_Toc15396614"/>
      <w:bookmarkStart w:id="88" w:name="_Toc15377226"/>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bookmarkEnd w:id="86"/>
    </w:p>
    <w:p>
      <w:pPr>
        <w:spacing w:line="576" w:lineRule="exact"/>
        <w:ind w:firstLine="640" w:firstLineChars="200"/>
        <w:jc w:val="left"/>
        <w:outlineLvl w:val="0"/>
        <w:rPr>
          <w:rFonts w:ascii="仿宋_GB2312" w:eastAsia="仿宋_GB2312"/>
          <w:sz w:val="32"/>
          <w:szCs w:val="32"/>
        </w:rPr>
      </w:pPr>
      <w:bookmarkStart w:id="89" w:name="_Toc25199"/>
      <w:r>
        <w:rPr>
          <w:rFonts w:ascii="仿宋_GB2312" w:eastAsia="仿宋_GB2312" w:cs="仿宋_GB2312"/>
          <w:sz w:val="32"/>
          <w:szCs w:val="32"/>
        </w:rPr>
        <w:t>2.</w:t>
      </w:r>
      <w:r>
        <w:rPr>
          <w:rFonts w:hint="eastAsia" w:ascii="仿宋_GB2312" w:eastAsia="仿宋_GB2312" w:cs="仿宋_GB2312"/>
          <w:sz w:val="32"/>
          <w:szCs w:val="32"/>
        </w:rPr>
        <w:t>年初结转和结余：指以前年度尚未完成、结转到本年按有关规定继续使用的资金。</w:t>
      </w:r>
      <w:r>
        <w:rPr>
          <w:rFonts w:ascii="仿宋_GB2312" w:eastAsia="仿宋_GB2312"/>
          <w:sz w:val="32"/>
          <w:szCs w:val="32"/>
        </w:rPr>
        <w:t> </w:t>
      </w:r>
      <w:bookmarkEnd w:id="89"/>
    </w:p>
    <w:p>
      <w:pPr>
        <w:spacing w:line="576" w:lineRule="exact"/>
        <w:ind w:firstLine="640" w:firstLineChars="200"/>
        <w:jc w:val="left"/>
        <w:outlineLvl w:val="0"/>
        <w:rPr>
          <w:rFonts w:ascii="仿宋_GB2312" w:eastAsia="仿宋_GB2312"/>
          <w:sz w:val="32"/>
          <w:szCs w:val="32"/>
        </w:rPr>
      </w:pPr>
      <w:bookmarkStart w:id="90" w:name="_Toc29493"/>
      <w:r>
        <w:rPr>
          <w:rFonts w:ascii="仿宋_GB2312" w:eastAsia="仿宋_GB2312" w:cs="仿宋_GB2312"/>
          <w:sz w:val="32"/>
          <w:szCs w:val="32"/>
        </w:rPr>
        <w:t>3.</w:t>
      </w:r>
      <w:r>
        <w:rPr>
          <w:rFonts w:hint="eastAsia" w:ascii="仿宋_GB2312" w:eastAsia="仿宋_GB2312" w:cs="仿宋_GB2312"/>
          <w:sz w:val="32"/>
          <w:szCs w:val="32"/>
        </w:rPr>
        <w:t>公共安全支出（类）公安（款）行政运行（项）：指反映行政单位（包括公务员管理的事业单位）的基本支出。</w:t>
      </w:r>
      <w:bookmarkEnd w:id="90"/>
    </w:p>
    <w:p>
      <w:pPr>
        <w:spacing w:line="576" w:lineRule="exact"/>
        <w:ind w:firstLine="640" w:firstLineChars="200"/>
        <w:jc w:val="left"/>
        <w:outlineLvl w:val="0"/>
        <w:rPr>
          <w:rFonts w:ascii="仿宋_GB2312" w:eastAsia="仿宋_GB2312"/>
          <w:sz w:val="32"/>
          <w:szCs w:val="32"/>
        </w:rPr>
      </w:pPr>
      <w:bookmarkStart w:id="91" w:name="_Toc8723"/>
      <w:r>
        <w:rPr>
          <w:rFonts w:ascii="仿宋_GB2312" w:eastAsia="仿宋_GB2312" w:cs="仿宋_GB2312"/>
          <w:sz w:val="32"/>
          <w:szCs w:val="32"/>
        </w:rPr>
        <w:t>4.</w:t>
      </w:r>
      <w:r>
        <w:rPr>
          <w:rFonts w:hint="eastAsia" w:ascii="仿宋_GB2312" w:eastAsia="仿宋_GB2312" w:cs="仿宋_GB2312"/>
          <w:sz w:val="32"/>
          <w:szCs w:val="32"/>
        </w:rPr>
        <w:t>公共安全支出（类）公安（款）一般行政管理事务（项）：指反映行政单位（包括公务员管理的事业单位）未单独设置项级科目的其他项目支出。</w:t>
      </w:r>
      <w:bookmarkEnd w:id="91"/>
    </w:p>
    <w:p>
      <w:pPr>
        <w:spacing w:line="576" w:lineRule="exact"/>
        <w:ind w:firstLine="640" w:firstLineChars="200"/>
        <w:jc w:val="left"/>
        <w:outlineLvl w:val="0"/>
        <w:rPr>
          <w:rFonts w:ascii="仿宋_GB2312" w:eastAsia="仿宋_GB2312"/>
          <w:sz w:val="32"/>
          <w:szCs w:val="32"/>
        </w:rPr>
      </w:pPr>
      <w:bookmarkStart w:id="92" w:name="_Toc27482"/>
      <w:r>
        <w:rPr>
          <w:rFonts w:ascii="仿宋_GB2312" w:eastAsia="仿宋_GB2312" w:cs="仿宋_GB2312"/>
          <w:sz w:val="32"/>
          <w:szCs w:val="32"/>
        </w:rPr>
        <w:t>5.</w:t>
      </w:r>
      <w:r>
        <w:rPr>
          <w:rFonts w:hint="eastAsia" w:ascii="仿宋_GB2312" w:eastAsia="仿宋_GB2312" w:cs="仿宋_GB2312"/>
          <w:sz w:val="32"/>
          <w:szCs w:val="32"/>
        </w:rPr>
        <w:t>社会保障和就业支出（类）行政事业单位离退休（款）机关事业单位基本养老保险缴费支出（项）：指部门实施养</w:t>
      </w:r>
      <w:r>
        <w:rPr>
          <w:rFonts w:ascii="仿宋_GB2312" w:eastAsia="仿宋_GB2312" w:cs="仿宋_GB2312"/>
          <w:sz w:val="32"/>
          <w:szCs w:val="32"/>
        </w:rPr>
        <w:t xml:space="preserve"> </w:t>
      </w:r>
      <w:r>
        <w:rPr>
          <w:rFonts w:hint="eastAsia" w:ascii="仿宋_GB2312" w:eastAsia="仿宋_GB2312" w:cs="仿宋_GB2312"/>
          <w:sz w:val="32"/>
          <w:szCs w:val="32"/>
        </w:rPr>
        <w:t>老保险制度由单位缴纳的养老保险费的支出。</w:t>
      </w:r>
      <w:bookmarkEnd w:id="92"/>
    </w:p>
    <w:p>
      <w:pPr>
        <w:spacing w:line="576" w:lineRule="exact"/>
        <w:ind w:firstLine="640" w:firstLineChars="200"/>
        <w:jc w:val="left"/>
        <w:outlineLvl w:val="0"/>
        <w:rPr>
          <w:rFonts w:ascii="仿宋_GB2312" w:eastAsia="仿宋_GB2312"/>
          <w:sz w:val="32"/>
          <w:szCs w:val="32"/>
        </w:rPr>
      </w:pPr>
      <w:bookmarkStart w:id="93" w:name="_Toc24976"/>
      <w:r>
        <w:rPr>
          <w:rFonts w:ascii="仿宋_GB2312" w:eastAsia="仿宋_GB2312" w:cs="仿宋_GB2312"/>
          <w:sz w:val="32"/>
          <w:szCs w:val="32"/>
        </w:rPr>
        <w:t>6.</w:t>
      </w:r>
      <w:r>
        <w:rPr>
          <w:rFonts w:hint="eastAsia" w:ascii="仿宋_GB2312" w:eastAsia="仿宋_GB2312" w:cs="仿宋_GB2312"/>
          <w:sz w:val="32"/>
          <w:szCs w:val="32"/>
        </w:rPr>
        <w:t>社会保障和就业支出（类）行政事业单位离退休（款）机关事业单位职业年金缴费支出（项）：指部门实施养老保险制度由单位缴纳的职业年金的支出</w:t>
      </w:r>
      <w:bookmarkEnd w:id="93"/>
    </w:p>
    <w:p>
      <w:pPr>
        <w:spacing w:line="576" w:lineRule="exact"/>
        <w:jc w:val="left"/>
        <w:outlineLvl w:val="0"/>
        <w:rPr>
          <w:rFonts w:ascii="仿宋_GB2312" w:eastAsia="仿宋_GB2312"/>
          <w:sz w:val="32"/>
          <w:szCs w:val="32"/>
        </w:rPr>
      </w:pPr>
      <w:bookmarkStart w:id="94" w:name="_Toc19899"/>
      <w:r>
        <w:rPr>
          <w:rFonts w:ascii="仿宋_GB2312" w:eastAsia="仿宋_GB2312" w:cs="仿宋_GB2312"/>
          <w:sz w:val="32"/>
          <w:szCs w:val="32"/>
        </w:rPr>
        <w:t>7.</w:t>
      </w:r>
      <w:r>
        <w:rPr>
          <w:rFonts w:hint="eastAsia" w:ascii="仿宋_GB2312" w:eastAsia="仿宋_GB2312" w:cs="仿宋_GB2312"/>
          <w:sz w:val="32"/>
          <w:szCs w:val="32"/>
        </w:rPr>
        <w:t>医疗卫生与计划生育支出（类）行政事业单位医疗（款）行政单位医疗（项）：指部门用于缴</w:t>
      </w:r>
      <w:r>
        <w:rPr>
          <w:rFonts w:ascii="仿宋_GB2312" w:eastAsia="仿宋_GB2312" w:cs="仿宋_GB2312"/>
          <w:sz w:val="32"/>
          <w:szCs w:val="32"/>
        </w:rPr>
        <w:t xml:space="preserve"> </w:t>
      </w:r>
      <w:r>
        <w:rPr>
          <w:rFonts w:hint="eastAsia" w:ascii="仿宋_GB2312" w:eastAsia="仿宋_GB2312" w:cs="仿宋_GB2312"/>
          <w:sz w:val="32"/>
          <w:szCs w:val="32"/>
        </w:rPr>
        <w:t>纳单位基本医疗保险支出。</w:t>
      </w:r>
      <w:bookmarkEnd w:id="94"/>
    </w:p>
    <w:p>
      <w:pPr>
        <w:spacing w:line="576" w:lineRule="exact"/>
        <w:ind w:firstLine="640" w:firstLineChars="200"/>
        <w:jc w:val="left"/>
        <w:outlineLvl w:val="0"/>
        <w:rPr>
          <w:rFonts w:ascii="仿宋_GB2312" w:eastAsia="仿宋_GB2312"/>
          <w:sz w:val="32"/>
          <w:szCs w:val="32"/>
        </w:rPr>
      </w:pPr>
      <w:bookmarkStart w:id="95" w:name="_Toc3594"/>
      <w:r>
        <w:rPr>
          <w:rFonts w:ascii="仿宋_GB2312" w:eastAsia="仿宋_GB2312" w:cs="仿宋_GB2312"/>
          <w:sz w:val="32"/>
          <w:szCs w:val="32"/>
        </w:rPr>
        <w:t>8.</w:t>
      </w:r>
      <w:r>
        <w:rPr>
          <w:rFonts w:hint="eastAsia" w:ascii="仿宋_GB2312" w:eastAsia="仿宋_GB2312" w:cs="仿宋_GB2312"/>
          <w:sz w:val="32"/>
          <w:szCs w:val="32"/>
        </w:rPr>
        <w:t>住房保障支出（类）住房改革支出（款）住房公积金（项）：指行政事业单位按规定为职工缴纳的住房公积金。</w:t>
      </w:r>
      <w:bookmarkEnd w:id="95"/>
    </w:p>
    <w:p>
      <w:pPr>
        <w:spacing w:line="576" w:lineRule="exact"/>
        <w:jc w:val="left"/>
        <w:outlineLvl w:val="0"/>
        <w:rPr>
          <w:rFonts w:ascii="仿宋_GB2312" w:eastAsia="仿宋_GB2312"/>
          <w:sz w:val="32"/>
          <w:szCs w:val="32"/>
        </w:rPr>
      </w:pPr>
      <w:bookmarkStart w:id="96" w:name="_Toc11034"/>
      <w:r>
        <w:rPr>
          <w:rFonts w:ascii="仿宋_GB2312" w:eastAsia="仿宋_GB2312" w:cs="仿宋_GB2312"/>
          <w:sz w:val="32"/>
          <w:szCs w:val="32"/>
        </w:rPr>
        <w:t>9.</w:t>
      </w:r>
      <w:r>
        <w:rPr>
          <w:rFonts w:hint="eastAsia" w:ascii="仿宋_GB2312" w:eastAsia="仿宋_GB2312" w:cs="仿宋_GB2312"/>
          <w:sz w:val="32"/>
          <w:szCs w:val="32"/>
        </w:rPr>
        <w:t>住房保障支出（类）住房改革支出（款）购房补贴（项）：指根据退休政策规定的标准，向符合条件的退休职工发放的用于购买住房的补贴。</w:t>
      </w:r>
      <w:bookmarkEnd w:id="96"/>
    </w:p>
    <w:p>
      <w:pPr>
        <w:spacing w:line="576" w:lineRule="exact"/>
        <w:jc w:val="left"/>
        <w:outlineLvl w:val="0"/>
        <w:rPr>
          <w:rFonts w:ascii="仿宋_GB2312" w:eastAsia="仿宋_GB2312"/>
          <w:sz w:val="32"/>
          <w:szCs w:val="32"/>
        </w:rPr>
      </w:pPr>
      <w:bookmarkStart w:id="97" w:name="_Toc13470"/>
      <w:r>
        <w:rPr>
          <w:rFonts w:ascii="仿宋_GB2312" w:eastAsia="仿宋_GB2312" w:cs="仿宋_GB2312"/>
          <w:sz w:val="32"/>
          <w:szCs w:val="32"/>
        </w:rPr>
        <w:t>10.</w:t>
      </w:r>
      <w:r>
        <w:rPr>
          <w:rFonts w:hint="eastAsia" w:ascii="仿宋_GB2312" w:eastAsia="仿宋_GB2312" w:cs="仿宋_GB2312"/>
          <w:sz w:val="32"/>
          <w:szCs w:val="32"/>
        </w:rPr>
        <w:t>农林水支出（类）扶贫（款）其他扶贫支出（项）：指除上述项目以外的其他用于扶贫方面的支出。</w:t>
      </w:r>
      <w:bookmarkEnd w:id="97"/>
    </w:p>
    <w:p>
      <w:pPr>
        <w:spacing w:line="576" w:lineRule="exact"/>
        <w:ind w:firstLine="640" w:firstLineChars="200"/>
        <w:jc w:val="left"/>
        <w:outlineLvl w:val="0"/>
        <w:rPr>
          <w:rFonts w:ascii="仿宋_GB2312" w:eastAsia="仿宋_GB2312"/>
          <w:sz w:val="32"/>
          <w:szCs w:val="32"/>
        </w:rPr>
      </w:pPr>
      <w:bookmarkStart w:id="98" w:name="_Toc17896"/>
      <w:r>
        <w:rPr>
          <w:rFonts w:ascii="仿宋_GB2312" w:eastAsia="仿宋_GB2312" w:cs="仿宋_GB2312"/>
          <w:sz w:val="32"/>
          <w:szCs w:val="32"/>
        </w:rPr>
        <w:t>11.</w:t>
      </w:r>
      <w:r>
        <w:rPr>
          <w:rFonts w:hint="eastAsia" w:ascii="仿宋_GB2312" w:eastAsia="仿宋_GB2312" w:cs="仿宋_GB2312"/>
          <w:sz w:val="32"/>
          <w:szCs w:val="32"/>
        </w:rPr>
        <w:t>基本支出：指为保障机构正常运转、完成日常工作任务而发生的人员支出和公用支出。</w:t>
      </w:r>
      <w:bookmarkEnd w:id="98"/>
    </w:p>
    <w:p>
      <w:pPr>
        <w:spacing w:line="576" w:lineRule="exact"/>
        <w:ind w:firstLine="640" w:firstLineChars="200"/>
        <w:jc w:val="left"/>
        <w:outlineLvl w:val="0"/>
        <w:rPr>
          <w:rFonts w:ascii="仿宋_GB2312" w:eastAsia="仿宋_GB2312"/>
          <w:sz w:val="32"/>
          <w:szCs w:val="32"/>
        </w:rPr>
      </w:pPr>
      <w:bookmarkStart w:id="99" w:name="_Toc22711"/>
      <w:r>
        <w:rPr>
          <w:rFonts w:ascii="仿宋_GB2312" w:eastAsia="仿宋_GB2312" w:cs="仿宋_GB2312"/>
          <w:sz w:val="32"/>
          <w:szCs w:val="32"/>
        </w:rPr>
        <w:t>12.</w:t>
      </w:r>
      <w:r>
        <w:rPr>
          <w:rFonts w:hint="eastAsia" w:ascii="仿宋_GB2312" w:eastAsia="仿宋_GB2312" w:cs="仿宋_GB2312"/>
          <w:sz w:val="32"/>
          <w:szCs w:val="32"/>
        </w:rPr>
        <w:t>项目支出：指在基本支出之外为完成特定行政任务和事业发展目标所发生的支出。</w:t>
      </w:r>
      <w:r>
        <w:rPr>
          <w:rFonts w:ascii="仿宋_GB2312" w:eastAsia="仿宋_GB2312"/>
          <w:sz w:val="32"/>
          <w:szCs w:val="32"/>
        </w:rPr>
        <w:t> </w:t>
      </w:r>
      <w:bookmarkEnd w:id="99"/>
    </w:p>
    <w:p>
      <w:pPr>
        <w:spacing w:line="576" w:lineRule="exact"/>
        <w:ind w:firstLine="640" w:firstLineChars="200"/>
        <w:jc w:val="left"/>
        <w:outlineLvl w:val="0"/>
        <w:rPr>
          <w:rFonts w:ascii="仿宋_GB2312" w:eastAsia="仿宋_GB2312"/>
          <w:sz w:val="32"/>
          <w:szCs w:val="32"/>
        </w:rPr>
      </w:pPr>
      <w:bookmarkStart w:id="100" w:name="_Toc7092"/>
      <w:r>
        <w:rPr>
          <w:rFonts w:ascii="仿宋_GB2312" w:eastAsia="仿宋_GB2312" w:cs="仿宋_GB2312"/>
          <w:sz w:val="32"/>
          <w:szCs w:val="32"/>
        </w:rPr>
        <w:t>13.</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00"/>
    </w:p>
    <w:p>
      <w:pPr>
        <w:spacing w:line="576" w:lineRule="exact"/>
        <w:ind w:firstLine="640" w:firstLineChars="200"/>
        <w:jc w:val="left"/>
        <w:outlineLvl w:val="0"/>
        <w:rPr>
          <w:rFonts w:ascii="仿宋_GB2312" w:eastAsia="仿宋_GB2312"/>
          <w:sz w:val="32"/>
          <w:szCs w:val="32"/>
        </w:rPr>
      </w:pPr>
      <w:bookmarkStart w:id="101" w:name="_Toc12851"/>
      <w:r>
        <w:rPr>
          <w:rFonts w:ascii="仿宋_GB2312" w:eastAsia="仿宋_GB2312" w:cs="仿宋_GB2312"/>
          <w:sz w:val="32"/>
          <w:szCs w:val="32"/>
        </w:rPr>
        <w:t>14.</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01"/>
    </w:p>
    <w:p>
      <w:pPr>
        <w:pStyle w:val="2"/>
        <w:spacing w:line="576" w:lineRule="exact"/>
        <w:ind w:firstLine="31680"/>
        <w:rPr>
          <w:rFonts w:ascii="仿宋_GB2312" w:eastAsia="仿宋_GB2312"/>
        </w:rPr>
      </w:pPr>
    </w:p>
    <w:p>
      <w:pPr>
        <w:pStyle w:val="2"/>
        <w:spacing w:line="576" w:lineRule="exact"/>
        <w:ind w:firstLine="31680"/>
        <w:rPr>
          <w:rFonts w:ascii="仿宋_GB2312" w:eastAsia="仿宋_GB2312"/>
        </w:rPr>
      </w:pPr>
    </w:p>
    <w:p>
      <w:pPr>
        <w:spacing w:line="576" w:lineRule="exact"/>
        <w:outlineLvl w:val="0"/>
        <w:rPr>
          <w:rFonts w:ascii="仿宋_GB2312" w:eastAsia="仿宋_GB2312"/>
          <w:sz w:val="32"/>
          <w:szCs w:val="32"/>
        </w:rPr>
      </w:pPr>
    </w:p>
    <w:p>
      <w:pPr>
        <w:spacing w:line="576" w:lineRule="exact"/>
        <w:jc w:val="center"/>
        <w:outlineLvl w:val="0"/>
        <w:rPr>
          <w:rStyle w:val="18"/>
          <w:rFonts w:ascii="黑体" w:hAnsi="黑体" w:eastAsia="黑体"/>
          <w:b w:val="0"/>
          <w:bCs w:val="0"/>
        </w:rPr>
      </w:pPr>
      <w:bookmarkStart w:id="102" w:name="_Toc6980"/>
      <w:r>
        <w:rPr>
          <w:rFonts w:hint="eastAsia" w:ascii="黑体" w:hAnsi="黑体" w:eastAsia="黑体" w:cs="黑体"/>
          <w:color w:val="000000"/>
          <w:sz w:val="44"/>
          <w:szCs w:val="44"/>
        </w:rPr>
        <w:t>第</w:t>
      </w:r>
      <w:r>
        <w:rPr>
          <w:rStyle w:val="18"/>
          <w:rFonts w:hint="eastAsia" w:ascii="黑体" w:hAnsi="黑体" w:eastAsia="黑体" w:cs="黑体"/>
          <w:b w:val="0"/>
          <w:bCs w:val="0"/>
        </w:rPr>
        <w:t>四部分</w:t>
      </w:r>
      <w:r>
        <w:rPr>
          <w:rStyle w:val="18"/>
          <w:rFonts w:ascii="黑体" w:hAnsi="黑体" w:eastAsia="黑体" w:cs="黑体"/>
          <w:b w:val="0"/>
          <w:bCs w:val="0"/>
        </w:rPr>
        <w:t xml:space="preserve"> </w:t>
      </w:r>
      <w:r>
        <w:rPr>
          <w:rStyle w:val="18"/>
          <w:rFonts w:hint="eastAsia" w:ascii="黑体" w:hAnsi="黑体" w:eastAsia="黑体" w:cs="黑体"/>
          <w:b w:val="0"/>
          <w:bCs w:val="0"/>
        </w:rPr>
        <w:t>附件</w:t>
      </w:r>
      <w:bookmarkEnd w:id="87"/>
      <w:bookmarkEnd w:id="102"/>
    </w:p>
    <w:p>
      <w:pPr>
        <w:spacing w:line="576" w:lineRule="exact"/>
        <w:jc w:val="left"/>
        <w:outlineLvl w:val="0"/>
        <w:rPr>
          <w:rFonts w:ascii="方正小标宋简体" w:hAnsi="方正小标宋简体" w:eastAsia="方正小标宋简体"/>
          <w:sz w:val="32"/>
          <w:szCs w:val="32"/>
        </w:rPr>
      </w:pPr>
      <w:bookmarkStart w:id="103" w:name="_Toc14741"/>
      <w:r>
        <w:rPr>
          <w:rFonts w:hint="eastAsia" w:ascii="黑体" w:hAnsi="黑体" w:eastAsia="黑体" w:cs="黑体"/>
          <w:sz w:val="32"/>
          <w:szCs w:val="32"/>
        </w:rPr>
        <w:t>附件</w:t>
      </w:r>
      <w:r>
        <w:rPr>
          <w:rFonts w:ascii="黑体" w:hAnsi="黑体" w:eastAsia="黑体" w:cs="黑体"/>
          <w:sz w:val="32"/>
          <w:szCs w:val="32"/>
        </w:rPr>
        <w:t>1</w:t>
      </w:r>
      <w:bookmarkEnd w:id="103"/>
    </w:p>
    <w:p>
      <w:pPr>
        <w:spacing w:line="576" w:lineRule="exact"/>
        <w:jc w:val="center"/>
        <w:rPr>
          <w:rFonts w:ascii="方正小标宋简体" w:hAnsi="方正小标宋简体" w:eastAsia="方正小标宋简体"/>
          <w:sz w:val="44"/>
          <w:szCs w:val="44"/>
        </w:rPr>
      </w:pPr>
    </w:p>
    <w:p>
      <w:pPr>
        <w:spacing w:line="576" w:lineRule="exact"/>
        <w:jc w:val="center"/>
        <w:rPr>
          <w:rFonts w:ascii="方正小标宋简体" w:hAnsi="宋体" w:eastAsia="方正小标宋简体"/>
          <w:color w:val="000000"/>
          <w:kern w:val="0"/>
          <w:sz w:val="40"/>
          <w:szCs w:val="40"/>
          <w:lang w:val="zh-CN"/>
        </w:rPr>
      </w:pPr>
      <w:r>
        <w:rPr>
          <w:rFonts w:hint="eastAsia" w:ascii="方正小标宋简体" w:hAnsi="宋体" w:eastAsia="方正小标宋简体" w:cs="方正小标宋简体"/>
          <w:color w:val="000000"/>
          <w:kern w:val="0"/>
          <w:sz w:val="40"/>
          <w:szCs w:val="40"/>
        </w:rPr>
        <w:t>中共茂县县委政法委</w:t>
      </w:r>
      <w:r>
        <w:rPr>
          <w:rFonts w:ascii="方正小标宋简体" w:hAnsi="宋体" w:eastAsia="方正小标宋简体" w:cs="方正小标宋简体"/>
          <w:color w:val="000000"/>
          <w:kern w:val="0"/>
          <w:sz w:val="40"/>
          <w:szCs w:val="40"/>
        </w:rPr>
        <w:t>2020</w:t>
      </w:r>
      <w:r>
        <w:rPr>
          <w:rFonts w:hint="eastAsia" w:ascii="方正小标宋简体" w:hAnsi="宋体" w:eastAsia="方正小标宋简体" w:cs="方正小标宋简体"/>
          <w:color w:val="000000"/>
          <w:kern w:val="0"/>
          <w:sz w:val="40"/>
          <w:szCs w:val="40"/>
        </w:rPr>
        <w:t>年部门</w:t>
      </w:r>
      <w:r>
        <w:rPr>
          <w:rFonts w:hint="eastAsia" w:ascii="方正小标宋简体" w:hAnsi="宋体" w:eastAsia="方正小标宋简体" w:cs="方正小标宋简体"/>
          <w:color w:val="000000"/>
          <w:kern w:val="0"/>
          <w:sz w:val="40"/>
          <w:szCs w:val="40"/>
          <w:lang w:val="zh-CN"/>
        </w:rPr>
        <w:t>整体支出绩效评价报告</w:t>
      </w:r>
    </w:p>
    <w:p>
      <w:pPr>
        <w:widowControl/>
        <w:adjustRightInd w:val="0"/>
        <w:snapToGrid w:val="0"/>
        <w:spacing w:line="576" w:lineRule="exact"/>
        <w:ind w:firstLine="480" w:firstLineChars="200"/>
        <w:jc w:val="left"/>
        <w:rPr>
          <w:rFonts w:ascii="黑体" w:hAnsi="宋体" w:eastAsia="黑体"/>
          <w:color w:val="000000"/>
          <w:kern w:val="0"/>
          <w:sz w:val="24"/>
          <w:szCs w:val="24"/>
          <w:shd w:val="clear" w:color="auto" w:fill="FFFFFF"/>
        </w:rPr>
      </w:pPr>
    </w:p>
    <w:p>
      <w:pPr>
        <w:widowControl/>
        <w:adjustRightInd w:val="0"/>
        <w:snapToGrid w:val="0"/>
        <w:spacing w:line="576" w:lineRule="exact"/>
        <w:ind w:firstLine="640" w:firstLineChars="200"/>
        <w:jc w:val="left"/>
        <w:rPr>
          <w:rFonts w:ascii="黑体" w:hAnsi="宋体" w:eastAsia="黑体"/>
          <w:color w:val="000000"/>
          <w:kern w:val="0"/>
          <w:sz w:val="32"/>
          <w:szCs w:val="32"/>
          <w:shd w:val="clear" w:color="auto" w:fill="FFFFFF"/>
          <w:lang w:val="zh-CN"/>
        </w:rPr>
      </w:pPr>
      <w:r>
        <w:rPr>
          <w:rFonts w:hint="eastAsia" w:ascii="黑体" w:hAnsi="宋体" w:eastAsia="黑体" w:cs="黑体"/>
          <w:color w:val="000000"/>
          <w:kern w:val="0"/>
          <w:sz w:val="32"/>
          <w:szCs w:val="32"/>
          <w:shd w:val="clear" w:color="auto" w:fill="FFFFFF"/>
        </w:rPr>
        <w:t>一、</w:t>
      </w:r>
      <w:r>
        <w:rPr>
          <w:rFonts w:hint="eastAsia" w:ascii="黑体" w:hAnsi="宋体" w:eastAsia="黑体" w:cs="黑体"/>
          <w:color w:val="000000"/>
          <w:kern w:val="0"/>
          <w:sz w:val="32"/>
          <w:szCs w:val="32"/>
          <w:shd w:val="clear" w:color="auto" w:fill="FFFFFF"/>
          <w:lang w:val="zh-CN"/>
        </w:rPr>
        <w:t>单位概况</w:t>
      </w:r>
    </w:p>
    <w:p>
      <w:pPr>
        <w:spacing w:line="576" w:lineRule="exact"/>
        <w:ind w:firstLine="643" w:firstLineChars="200"/>
        <w:rPr>
          <w:rFonts w:ascii="楷体" w:hAnsi="楷体" w:eastAsia="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（一）机构组成</w:t>
      </w:r>
    </w:p>
    <w:p>
      <w:pPr>
        <w:spacing w:line="576" w:lineRule="exact"/>
        <w:ind w:firstLine="640" w:firstLineChars="200"/>
        <w:outlineLvl w:val="1"/>
        <w:rPr>
          <w:rFonts w:ascii="仿宋_GB2312" w:hAnsi="宋体" w:eastAsia="仿宋_GB2312"/>
          <w:color w:val="000000"/>
          <w:kern w:val="0"/>
          <w:sz w:val="32"/>
          <w:szCs w:val="32"/>
          <w:shd w:val="clear" w:color="auto" w:fill="FFFFFF"/>
          <w:lang w:val="zh-CN"/>
        </w:rPr>
      </w:pPr>
      <w:bookmarkStart w:id="104" w:name="_Toc29824"/>
      <w:r>
        <w:rPr>
          <w:rFonts w:hint="eastAsia" w:eastAsia="仿宋_GB2312" w:cs="仿宋_GB2312"/>
          <w:sz w:val="32"/>
          <w:szCs w:val="32"/>
        </w:rPr>
        <w:t>中共茂县县委领导政法工作的职能部门，为正科级，列县委工作机关序列。县矛盾纠纷多元化解工作领导小组办公室设在县委政法委。</w:t>
      </w:r>
      <w:bookmarkEnd w:id="104"/>
    </w:p>
    <w:p>
      <w:pPr>
        <w:numPr>
          <w:ilvl w:val="0"/>
          <w:numId w:val="6"/>
        </w:numPr>
        <w:spacing w:line="576" w:lineRule="exact"/>
        <w:ind w:firstLine="643" w:firstLineChars="200"/>
        <w:rPr>
          <w:rFonts w:ascii="楷体" w:hAnsi="楷体" w:eastAsia="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机构职能</w:t>
      </w:r>
    </w:p>
    <w:p>
      <w:pPr>
        <w:spacing w:line="576" w:lineRule="exact"/>
        <w:ind w:firstLine="640" w:firstLineChars="200"/>
        <w:rPr>
          <w:rFonts w:eastAsia="仿宋_GB2312"/>
          <w:sz w:val="32"/>
          <w:szCs w:val="32"/>
        </w:rPr>
      </w:pPr>
      <w:r>
        <w:rPr>
          <w:rFonts w:eastAsia="仿宋_GB2312"/>
          <w:sz w:val="32"/>
          <w:szCs w:val="32"/>
        </w:rPr>
        <w:t>1.</w:t>
      </w:r>
      <w:r>
        <w:rPr>
          <w:rFonts w:hint="eastAsia" w:eastAsia="仿宋_GB2312" w:cs="仿宋_GB2312"/>
          <w:sz w:val="32"/>
          <w:szCs w:val="32"/>
        </w:rPr>
        <w:t>深入贯彻党的路线方针政策和决策部署，统一政法各部门思想和行动，坚持党对政法工作的绝对领导，坚决维护党中央权威和集中统一领导。</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2.</w:t>
      </w:r>
      <w:r>
        <w:rPr>
          <w:rFonts w:hint="eastAsia" w:eastAsia="仿宋_GB2312" w:cs="仿宋_GB2312"/>
          <w:sz w:val="32"/>
          <w:szCs w:val="32"/>
        </w:rPr>
        <w:t>深入贯彻党中央决定和省委、州委、县委决策，对政法工作研究提出全局性部署，推进平安茂县、法治茂县建设，加强过硬队伍建设，深化智能化建设，坚决维护国家政治安全、确保社会大局稳定、促进社会公平正义、保障人民安居乐业。</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3.</w:t>
      </w:r>
      <w:r>
        <w:rPr>
          <w:rFonts w:hint="eastAsia" w:eastAsia="仿宋_GB2312" w:cs="仿宋_GB2312"/>
          <w:sz w:val="32"/>
          <w:szCs w:val="32"/>
        </w:rPr>
        <w:t>了解掌握和分析研判政法工作情况动态，分析全县社会稳定形势，创新完善多部门参与综治维稳工作机制，构建矛盾纠纷多元化解体系和机制，推动社会治安综合治理领导责任制的实施，协调推动预防、化解影响稳定的社会矛盾和风险，协调应对和处置重大突发事件，统筹推动全县反分裂斗争和维护稳定工作。</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4.</w:t>
      </w:r>
      <w:r>
        <w:rPr>
          <w:rFonts w:hint="eastAsia" w:eastAsia="仿宋_GB2312" w:cs="仿宋_GB2312"/>
          <w:sz w:val="32"/>
          <w:szCs w:val="32"/>
        </w:rPr>
        <w:t>加强对政法工作的督查，统筹协调维护政治安全、社会治安综合治理、维护社会稳定、反邪教有关法律法规政策的实施工作。指导全县政法系统网络安全和智能化建设工作。</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5.</w:t>
      </w:r>
      <w:r>
        <w:rPr>
          <w:rFonts w:hint="eastAsia" w:eastAsia="仿宋_GB2312" w:cs="仿宋_GB2312"/>
          <w:sz w:val="32"/>
          <w:szCs w:val="32"/>
        </w:rPr>
        <w:t>组织开展政法领域的调查研究，研究拟订全县政法工作的政策措施，及时向县委提出建议。</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6.</w:t>
      </w:r>
      <w:r>
        <w:rPr>
          <w:rFonts w:hint="eastAsia" w:eastAsia="仿宋_GB2312" w:cs="仿宋_GB2312"/>
          <w:sz w:val="32"/>
          <w:szCs w:val="32"/>
        </w:rPr>
        <w:t>掌握分析政法舆情动态，指导协调政法部门媒体网络宣传工作，指导政法部门做好涉及政法工作的重大宣传和舆论引导工作。</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7.</w:t>
      </w:r>
      <w:r>
        <w:rPr>
          <w:rFonts w:hint="eastAsia" w:eastAsia="仿宋_GB2312" w:cs="仿宋_GB2312"/>
          <w:sz w:val="32"/>
          <w:szCs w:val="32"/>
        </w:rPr>
        <w:t>监督和支持政法各部门依法行使职权，指导和协调政法各部门密切配合，研究和协调重大疑难案件，推进严格执法、公正司法。</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8.</w:t>
      </w:r>
      <w:r>
        <w:rPr>
          <w:rFonts w:hint="eastAsia" w:eastAsia="仿宋_GB2312" w:cs="仿宋_GB2312"/>
          <w:sz w:val="32"/>
          <w:szCs w:val="32"/>
        </w:rPr>
        <w:t>组织研究政法改革中带有方向性、倾向性和普遍性的重大问题，深化政法改革。</w:t>
      </w:r>
    </w:p>
    <w:p>
      <w:pPr>
        <w:spacing w:line="576" w:lineRule="exact"/>
        <w:ind w:firstLine="643" w:firstLineChars="200"/>
        <w:rPr>
          <w:rFonts w:eastAsia="仿宋_GB2312"/>
          <w:sz w:val="32"/>
          <w:szCs w:val="32"/>
        </w:rPr>
      </w:pPr>
      <w:r>
        <w:rPr>
          <w:rFonts w:ascii="仿宋_GB2312" w:hAnsi="仿宋_GB2312" w:eastAsia="仿宋_GB2312" w:cs="仿宋_GB2312"/>
          <w:b/>
          <w:bCs/>
          <w:sz w:val="32"/>
          <w:szCs w:val="32"/>
        </w:rPr>
        <w:t>9.</w:t>
      </w:r>
      <w:r>
        <w:rPr>
          <w:rFonts w:hint="eastAsia" w:eastAsia="仿宋_GB2312" w:cs="仿宋_GB2312"/>
          <w:sz w:val="32"/>
          <w:szCs w:val="32"/>
        </w:rPr>
        <w:t>指导推动政法系统党的建设和政法队伍建设，协同县级有关职能部门管理监督政法领导干部。</w:t>
      </w:r>
    </w:p>
    <w:p>
      <w:pPr>
        <w:spacing w:line="576" w:lineRule="exact"/>
        <w:ind w:firstLine="643" w:firstLineChars="200"/>
        <w:rPr>
          <w:rFonts w:ascii="仿宋_GB2312" w:hAnsi="宋体" w:eastAsia="仿宋_GB2312"/>
          <w:color w:val="000000"/>
          <w:kern w:val="0"/>
          <w:sz w:val="32"/>
          <w:szCs w:val="32"/>
          <w:shd w:val="clear" w:color="auto" w:fill="FFFFFF"/>
          <w:lang w:val="zh-CN"/>
        </w:rPr>
      </w:pPr>
      <w:r>
        <w:rPr>
          <w:rFonts w:eastAsia="仿宋_GB2312"/>
          <w:b/>
          <w:bCs/>
          <w:sz w:val="32"/>
          <w:szCs w:val="32"/>
        </w:rPr>
        <w:t>10.</w:t>
      </w:r>
      <w:r>
        <w:rPr>
          <w:rFonts w:hint="eastAsia" w:eastAsia="仿宋_GB2312" w:cs="仿宋_GB2312"/>
          <w:sz w:val="32"/>
          <w:szCs w:val="32"/>
        </w:rPr>
        <w:t>完成县委交办的其他任务。</w:t>
      </w:r>
    </w:p>
    <w:p>
      <w:pPr>
        <w:widowControl/>
        <w:adjustRightInd w:val="0"/>
        <w:snapToGrid w:val="0"/>
        <w:spacing w:line="576" w:lineRule="exact"/>
        <w:ind w:firstLine="643" w:firstLineChars="200"/>
        <w:jc w:val="left"/>
        <w:rPr>
          <w:rFonts w:ascii="楷体" w:hAnsi="楷体" w:eastAsia="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（三）人员概况</w:t>
      </w:r>
    </w:p>
    <w:p>
      <w:pPr>
        <w:pStyle w:val="7"/>
        <w:adjustRightInd w:val="0"/>
        <w:snapToGrid w:val="0"/>
        <w:spacing w:beforeLines="0" w:line="576" w:lineRule="exact"/>
        <w:ind w:firstLine="672" w:firstLineChars="210"/>
        <w:rPr>
          <w:rFonts w:cs="Times New Roman"/>
          <w:lang w:val="zh-CN"/>
        </w:rPr>
      </w:pPr>
      <w:r>
        <w:rPr>
          <w:rFonts w:hint="eastAsia"/>
          <w:color w:val="000000"/>
          <w:sz w:val="32"/>
          <w:szCs w:val="32"/>
        </w:rPr>
        <w:t>政法委下属二级单位</w:t>
      </w:r>
      <w:r>
        <w:rPr>
          <w:color w:val="000000"/>
          <w:sz w:val="32"/>
          <w:szCs w:val="32"/>
        </w:rPr>
        <w:t>0</w:t>
      </w:r>
      <w:r>
        <w:rPr>
          <w:rFonts w:hint="eastAsia"/>
          <w:color w:val="000000"/>
          <w:sz w:val="32"/>
          <w:szCs w:val="32"/>
        </w:rPr>
        <w:t>个，其中行政单位</w:t>
      </w:r>
      <w:r>
        <w:rPr>
          <w:color w:val="000000"/>
          <w:sz w:val="32"/>
          <w:szCs w:val="32"/>
        </w:rPr>
        <w:t>0</w:t>
      </w:r>
      <w:r>
        <w:rPr>
          <w:rFonts w:hint="eastAsia"/>
          <w:color w:val="000000"/>
          <w:sz w:val="32"/>
          <w:szCs w:val="32"/>
        </w:rPr>
        <w:t>个，参照公务员法管理的事业单位</w:t>
      </w:r>
      <w:r>
        <w:rPr>
          <w:color w:val="000000"/>
          <w:sz w:val="32"/>
          <w:szCs w:val="32"/>
        </w:rPr>
        <w:t>0</w:t>
      </w:r>
      <w:r>
        <w:rPr>
          <w:rFonts w:hint="eastAsia"/>
          <w:color w:val="000000"/>
          <w:sz w:val="32"/>
          <w:szCs w:val="32"/>
        </w:rPr>
        <w:t>个，其他事业单位</w:t>
      </w:r>
      <w:r>
        <w:rPr>
          <w:color w:val="000000"/>
          <w:sz w:val="32"/>
          <w:szCs w:val="32"/>
        </w:rPr>
        <w:t>0</w:t>
      </w:r>
      <w:r>
        <w:rPr>
          <w:rFonts w:hint="eastAsia"/>
          <w:color w:val="000000"/>
          <w:sz w:val="32"/>
          <w:szCs w:val="32"/>
        </w:rPr>
        <w:t>个。县委政法委总编制</w:t>
      </w:r>
      <w:r>
        <w:rPr>
          <w:color w:val="000000"/>
          <w:sz w:val="32"/>
          <w:szCs w:val="32"/>
        </w:rPr>
        <w:t>15</w:t>
      </w:r>
      <w:r>
        <w:rPr>
          <w:rFonts w:hint="eastAsia"/>
          <w:color w:val="000000"/>
          <w:sz w:val="32"/>
          <w:szCs w:val="32"/>
        </w:rPr>
        <w:t>名，其中：行政编制</w:t>
      </w:r>
      <w:r>
        <w:rPr>
          <w:color w:val="000000"/>
          <w:sz w:val="32"/>
          <w:szCs w:val="32"/>
        </w:rPr>
        <w:t>11</w:t>
      </w:r>
      <w:r>
        <w:rPr>
          <w:rFonts w:hint="eastAsia"/>
          <w:color w:val="000000"/>
          <w:sz w:val="32"/>
          <w:szCs w:val="32"/>
        </w:rPr>
        <w:t>名，其他事业编制</w:t>
      </w:r>
      <w:r>
        <w:rPr>
          <w:color w:val="000000"/>
          <w:sz w:val="32"/>
          <w:szCs w:val="32"/>
        </w:rPr>
        <w:t>4</w:t>
      </w:r>
      <w:r>
        <w:rPr>
          <w:rFonts w:hint="eastAsia"/>
          <w:color w:val="000000"/>
          <w:sz w:val="32"/>
          <w:szCs w:val="32"/>
        </w:rPr>
        <w:t>名。在职人员总数</w:t>
      </w:r>
      <w:r>
        <w:rPr>
          <w:color w:val="000000"/>
          <w:sz w:val="32"/>
          <w:szCs w:val="32"/>
        </w:rPr>
        <w:t>15</w:t>
      </w:r>
      <w:r>
        <w:rPr>
          <w:rFonts w:hint="eastAsia"/>
          <w:color w:val="000000"/>
          <w:sz w:val="32"/>
          <w:szCs w:val="32"/>
        </w:rPr>
        <w:t>人，其中：行政人员</w:t>
      </w:r>
      <w:r>
        <w:rPr>
          <w:color w:val="000000"/>
          <w:sz w:val="32"/>
          <w:szCs w:val="32"/>
        </w:rPr>
        <w:t>11</w:t>
      </w:r>
      <w:r>
        <w:rPr>
          <w:rFonts w:hint="eastAsia"/>
          <w:color w:val="000000"/>
          <w:sz w:val="32"/>
          <w:szCs w:val="32"/>
        </w:rPr>
        <w:t>人，工勤</w:t>
      </w:r>
      <w:r>
        <w:rPr>
          <w:color w:val="000000"/>
          <w:sz w:val="32"/>
          <w:szCs w:val="32"/>
        </w:rPr>
        <w:t>2</w:t>
      </w:r>
      <w:r>
        <w:rPr>
          <w:rFonts w:hint="eastAsia"/>
          <w:color w:val="000000"/>
          <w:sz w:val="32"/>
          <w:szCs w:val="32"/>
        </w:rPr>
        <w:t>人，其他事业人员</w:t>
      </w:r>
      <w:r>
        <w:rPr>
          <w:color w:val="000000"/>
          <w:sz w:val="32"/>
          <w:szCs w:val="32"/>
        </w:rPr>
        <w:t>2</w:t>
      </w:r>
      <w:r>
        <w:rPr>
          <w:rFonts w:hint="eastAsia"/>
          <w:color w:val="000000"/>
          <w:sz w:val="32"/>
          <w:szCs w:val="32"/>
        </w:rPr>
        <w:t>人，退休人员</w:t>
      </w:r>
      <w:r>
        <w:rPr>
          <w:color w:val="000000"/>
          <w:sz w:val="32"/>
          <w:szCs w:val="32"/>
        </w:rPr>
        <w:t>6</w:t>
      </w:r>
      <w:r>
        <w:rPr>
          <w:rFonts w:hint="eastAsia"/>
          <w:color w:val="000000"/>
          <w:sz w:val="32"/>
          <w:szCs w:val="32"/>
        </w:rPr>
        <w:t>人。</w:t>
      </w:r>
    </w:p>
    <w:p>
      <w:pPr>
        <w:widowControl/>
        <w:adjustRightInd w:val="0"/>
        <w:snapToGrid w:val="0"/>
        <w:spacing w:line="576"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二、部门财政资金收支情况</w:t>
      </w:r>
    </w:p>
    <w:p>
      <w:pPr>
        <w:widowControl/>
        <w:adjustRightInd w:val="0"/>
        <w:snapToGrid w:val="0"/>
        <w:spacing w:line="576" w:lineRule="exact"/>
        <w:ind w:firstLine="643" w:firstLineChars="200"/>
        <w:jc w:val="left"/>
        <w:rPr>
          <w:rFonts w:ascii="楷体" w:hAnsi="楷体" w:eastAsia="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（一）部门财政资金收入情况</w:t>
      </w:r>
    </w:p>
    <w:p>
      <w:pPr>
        <w:spacing w:line="576" w:lineRule="exact"/>
        <w:ind w:firstLine="640" w:firstLineChars="200"/>
        <w:rPr>
          <w:lang w:val="zh-CN"/>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年度公共预算财政拨款收入</w:t>
      </w:r>
      <w:r>
        <w:rPr>
          <w:rFonts w:hint="eastAsia" w:ascii="仿宋_GB2312" w:eastAsia="仿宋_GB2312" w:cs="仿宋_GB2312"/>
          <w:color w:val="000000"/>
          <w:sz w:val="32"/>
          <w:szCs w:val="32"/>
        </w:rPr>
        <w:t>合计</w:t>
      </w:r>
      <w:r>
        <w:rPr>
          <w:rFonts w:ascii="仿宋_GB2312" w:eastAsia="仿宋_GB2312" w:cs="仿宋_GB2312"/>
          <w:color w:val="000000"/>
          <w:sz w:val="32"/>
          <w:szCs w:val="32"/>
        </w:rPr>
        <w:t>373.67</w:t>
      </w:r>
      <w:r>
        <w:rPr>
          <w:rFonts w:hint="eastAsia" w:ascii="仿宋_GB2312" w:eastAsia="仿宋_GB2312" w:cs="仿宋_GB2312"/>
          <w:color w:val="000000"/>
          <w:sz w:val="32"/>
          <w:szCs w:val="32"/>
        </w:rPr>
        <w:t>万元</w:t>
      </w:r>
      <w:r>
        <w:rPr>
          <w:rFonts w:hint="eastAsia" w:ascii="仿宋_GB2312" w:hAnsi="仿宋_GB2312" w:eastAsia="仿宋_GB2312" w:cs="仿宋_GB2312"/>
          <w:color w:val="000000"/>
          <w:sz w:val="32"/>
          <w:szCs w:val="32"/>
        </w:rPr>
        <w:t>，</w:t>
      </w:r>
      <w:r>
        <w:rPr>
          <w:rFonts w:hint="eastAsia" w:ascii="仿宋_GB2312" w:eastAsia="仿宋_GB2312" w:cs="仿宋_GB2312"/>
          <w:color w:val="000000"/>
          <w:sz w:val="32"/>
          <w:szCs w:val="32"/>
        </w:rPr>
        <w:t>其中：财政拨款收入</w:t>
      </w:r>
      <w:r>
        <w:rPr>
          <w:rFonts w:ascii="仿宋_GB2312" w:eastAsia="仿宋_GB2312" w:cs="仿宋_GB2312"/>
          <w:color w:val="000000"/>
          <w:sz w:val="32"/>
          <w:szCs w:val="32"/>
        </w:rPr>
        <w:t>373.67</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100%</w:t>
      </w:r>
      <w:r>
        <w:rPr>
          <w:rFonts w:hint="eastAsia" w:ascii="仿宋_GB2312" w:eastAsia="仿宋_GB2312" w:cs="仿宋_GB2312"/>
          <w:color w:val="000000"/>
          <w:sz w:val="32"/>
          <w:szCs w:val="32"/>
        </w:rPr>
        <w:t>；事业收入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万元；经营收入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万元；附属单位上缴收入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万元；其他收入</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年政法委本年支出合计</w:t>
      </w:r>
      <w:r>
        <w:rPr>
          <w:rFonts w:ascii="仿宋_GB2312" w:eastAsia="仿宋_GB2312" w:cs="仿宋_GB2312"/>
          <w:color w:val="000000"/>
          <w:sz w:val="32"/>
          <w:szCs w:val="32"/>
        </w:rPr>
        <w:t>353.67</w:t>
      </w:r>
      <w:r>
        <w:rPr>
          <w:rFonts w:hint="eastAsia" w:ascii="仿宋_GB2312" w:eastAsia="仿宋_GB2312" w:cs="仿宋_GB2312"/>
          <w:color w:val="000000"/>
          <w:sz w:val="32"/>
          <w:szCs w:val="32"/>
        </w:rPr>
        <w:t>万元，其中：基本支出</w:t>
      </w:r>
      <w:r>
        <w:rPr>
          <w:rFonts w:ascii="仿宋_GB2312" w:eastAsia="仿宋_GB2312" w:cs="仿宋_GB2312"/>
          <w:color w:val="000000"/>
          <w:sz w:val="32"/>
          <w:szCs w:val="32"/>
        </w:rPr>
        <w:t>320.35</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90.58%</w:t>
      </w:r>
      <w:r>
        <w:rPr>
          <w:rFonts w:hint="eastAsia" w:ascii="仿宋_GB2312" w:eastAsia="仿宋_GB2312" w:cs="仿宋_GB2312"/>
          <w:color w:val="000000"/>
          <w:sz w:val="32"/>
          <w:szCs w:val="32"/>
        </w:rPr>
        <w:t>；项目支出</w:t>
      </w:r>
      <w:r>
        <w:rPr>
          <w:rFonts w:ascii="仿宋_GB2312" w:eastAsia="仿宋_GB2312" w:cs="仿宋_GB2312"/>
          <w:color w:val="000000"/>
          <w:sz w:val="32"/>
          <w:szCs w:val="32"/>
        </w:rPr>
        <w:t>33.32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9.42%</w:t>
      </w:r>
      <w:r>
        <w:rPr>
          <w:rFonts w:hint="eastAsia" w:ascii="仿宋_GB2312" w:eastAsia="仿宋_GB2312" w:cs="仿宋_GB2312"/>
          <w:color w:val="000000"/>
          <w:sz w:val="32"/>
          <w:szCs w:val="32"/>
        </w:rPr>
        <w:t>；上缴上级支出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万元；经营支出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万元；对附属单位补助支出</w:t>
      </w:r>
      <w:r>
        <w:rPr>
          <w:rFonts w:ascii="仿宋_GB2312" w:eastAsia="仿宋_GB2312" w:cs="仿宋_GB2312"/>
          <w:color w:val="000000"/>
          <w:sz w:val="32"/>
          <w:szCs w:val="32"/>
        </w:rPr>
        <w:t>0</w:t>
      </w:r>
      <w:r>
        <w:rPr>
          <w:rFonts w:hint="eastAsia" w:ascii="仿宋_GB2312" w:eastAsia="仿宋_GB2312" w:cs="仿宋_GB2312"/>
          <w:color w:val="000000"/>
          <w:sz w:val="32"/>
          <w:szCs w:val="32"/>
        </w:rPr>
        <w:t>万元。</w:t>
      </w:r>
    </w:p>
    <w:p>
      <w:pPr>
        <w:widowControl/>
        <w:adjustRightInd w:val="0"/>
        <w:snapToGrid w:val="0"/>
        <w:spacing w:line="576" w:lineRule="exact"/>
        <w:ind w:firstLine="643" w:firstLineChars="200"/>
        <w:jc w:val="left"/>
        <w:rPr>
          <w:rFonts w:ascii="楷体" w:hAnsi="楷体" w:eastAsia="楷体"/>
          <w:b/>
          <w:bCs/>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（二）部门财政资金支出情况</w:t>
      </w:r>
    </w:p>
    <w:p>
      <w:pPr>
        <w:spacing w:line="576" w:lineRule="exact"/>
        <w:ind w:firstLine="640"/>
        <w:rPr>
          <w:rFonts w:ascii="仿宋_GB2312" w:eastAsia="仿宋_GB2312"/>
          <w:color w:val="000000"/>
          <w:sz w:val="32"/>
          <w:szCs w:val="32"/>
        </w:rPr>
      </w:pPr>
      <w:r>
        <w:rPr>
          <w:rFonts w:hint="eastAsia" w:ascii="仿宋_GB2312" w:eastAsia="仿宋_GB2312" w:cs="仿宋_GB2312"/>
          <w:color w:val="000000"/>
          <w:sz w:val="32"/>
          <w:szCs w:val="32"/>
        </w:rPr>
        <w:t>政法委</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年一般公共预算财政拨款支出</w:t>
      </w:r>
      <w:r>
        <w:rPr>
          <w:rFonts w:ascii="仿宋_GB2312" w:eastAsia="仿宋_GB2312" w:cs="仿宋_GB2312"/>
          <w:color w:val="000000"/>
          <w:sz w:val="32"/>
          <w:szCs w:val="32"/>
        </w:rPr>
        <w:t>353.67</w:t>
      </w:r>
      <w:r>
        <w:rPr>
          <w:rFonts w:hint="eastAsia" w:ascii="仿宋_GB2312" w:eastAsia="仿宋_GB2312" w:cs="仿宋_GB2312"/>
          <w:color w:val="000000"/>
          <w:sz w:val="32"/>
          <w:szCs w:val="32"/>
        </w:rPr>
        <w:t>万元，主要用于以下方面</w:t>
      </w:r>
      <w:r>
        <w:rPr>
          <w:rFonts w:ascii="仿宋_GB2312" w:eastAsia="仿宋_GB2312" w:cs="仿宋_GB2312"/>
          <w:color w:val="000000"/>
          <w:sz w:val="32"/>
          <w:szCs w:val="32"/>
        </w:rPr>
        <w:t>:</w:t>
      </w:r>
      <w:r>
        <w:rPr>
          <w:rFonts w:hint="eastAsia" w:ascii="仿宋_GB2312" w:eastAsia="仿宋_GB2312" w:cs="仿宋_GB2312"/>
          <w:color w:val="000000"/>
          <w:sz w:val="32"/>
          <w:szCs w:val="32"/>
        </w:rPr>
        <w:t>公共安全（类）支出</w:t>
      </w:r>
      <w:r>
        <w:rPr>
          <w:rFonts w:ascii="仿宋_GB2312" w:eastAsia="仿宋_GB2312" w:cs="仿宋_GB2312"/>
          <w:color w:val="000000"/>
          <w:sz w:val="32"/>
          <w:szCs w:val="32"/>
        </w:rPr>
        <w:t>284.37</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80.41%</w:t>
      </w:r>
      <w:r>
        <w:rPr>
          <w:rFonts w:hint="eastAsia" w:ascii="仿宋_GB2312" w:eastAsia="仿宋_GB2312" w:cs="仿宋_GB2312"/>
          <w:color w:val="000000"/>
          <w:sz w:val="32"/>
          <w:szCs w:val="32"/>
        </w:rPr>
        <w:t>；社会保障和就业（类）支出</w:t>
      </w:r>
      <w:r>
        <w:rPr>
          <w:rFonts w:ascii="仿宋_GB2312" w:eastAsia="仿宋_GB2312" w:cs="仿宋_GB2312"/>
          <w:color w:val="000000"/>
          <w:sz w:val="32"/>
          <w:szCs w:val="32"/>
        </w:rPr>
        <w:t>29.52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8.35%</w:t>
      </w:r>
      <w:r>
        <w:rPr>
          <w:rFonts w:hint="eastAsia" w:ascii="仿宋_GB2312" w:eastAsia="仿宋_GB2312" w:cs="仿宋_GB2312"/>
          <w:color w:val="000000"/>
          <w:sz w:val="32"/>
          <w:szCs w:val="32"/>
        </w:rPr>
        <w:t>；卫生健康（类）支出</w:t>
      </w:r>
      <w:r>
        <w:rPr>
          <w:rFonts w:ascii="仿宋_GB2312" w:eastAsia="仿宋_GB2312" w:cs="仿宋_GB2312"/>
          <w:color w:val="000000"/>
          <w:sz w:val="32"/>
          <w:szCs w:val="32"/>
        </w:rPr>
        <w:t>16.56</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4.68%</w:t>
      </w:r>
      <w:r>
        <w:rPr>
          <w:rFonts w:hint="eastAsia" w:ascii="仿宋_GB2312" w:eastAsia="仿宋_GB2312" w:cs="仿宋_GB2312"/>
          <w:color w:val="000000"/>
          <w:sz w:val="32"/>
          <w:szCs w:val="32"/>
        </w:rPr>
        <w:t>；农林水支出（类）其他扶贫支出</w:t>
      </w:r>
      <w:r>
        <w:rPr>
          <w:rFonts w:ascii="仿宋_GB2312" w:eastAsia="仿宋_GB2312" w:cs="仿宋_GB2312"/>
          <w:color w:val="000000"/>
          <w:sz w:val="32"/>
          <w:szCs w:val="32"/>
        </w:rPr>
        <w:t>0.32</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0.09%</w:t>
      </w:r>
      <w:r>
        <w:rPr>
          <w:rFonts w:hint="eastAsia" w:ascii="仿宋_GB2312" w:eastAsia="仿宋_GB2312" w:cs="仿宋_GB2312"/>
          <w:color w:val="000000"/>
          <w:sz w:val="32"/>
          <w:szCs w:val="32"/>
        </w:rPr>
        <w:t>；住房保障（类）支出</w:t>
      </w:r>
      <w:r>
        <w:rPr>
          <w:rFonts w:ascii="仿宋_GB2312" w:eastAsia="仿宋_GB2312" w:cs="仿宋_GB2312"/>
          <w:color w:val="000000"/>
          <w:sz w:val="32"/>
          <w:szCs w:val="32"/>
        </w:rPr>
        <w:t>22.9</w:t>
      </w:r>
      <w:r>
        <w:rPr>
          <w:rFonts w:hint="eastAsia" w:ascii="仿宋_GB2312" w:eastAsia="仿宋_GB2312" w:cs="仿宋_GB2312"/>
          <w:color w:val="000000"/>
          <w:sz w:val="32"/>
          <w:szCs w:val="32"/>
        </w:rPr>
        <w:t>万元，占</w:t>
      </w:r>
      <w:r>
        <w:rPr>
          <w:rFonts w:ascii="仿宋_GB2312" w:eastAsia="仿宋_GB2312" w:cs="仿宋_GB2312"/>
          <w:color w:val="000000"/>
          <w:sz w:val="32"/>
          <w:szCs w:val="32"/>
        </w:rPr>
        <w:t>6.47%</w:t>
      </w:r>
      <w:r>
        <w:rPr>
          <w:rFonts w:hint="eastAsia" w:ascii="仿宋_GB2312" w:eastAsia="仿宋_GB2312" w:cs="仿宋_GB2312"/>
          <w:color w:val="000000"/>
          <w:sz w:val="32"/>
          <w:szCs w:val="32"/>
        </w:rPr>
        <w:t>。</w:t>
      </w:r>
    </w:p>
    <w:p>
      <w:pPr>
        <w:snapToGrid w:val="0"/>
        <w:spacing w:line="576" w:lineRule="exact"/>
        <w:ind w:firstLine="640" w:firstLineChars="200"/>
        <w:rPr>
          <w:lang w:val="zh-CN"/>
        </w:rPr>
      </w:pPr>
      <w:r>
        <w:rPr>
          <w:rFonts w:hint="eastAsia" w:ascii="仿宋_GB2312" w:eastAsia="仿宋_GB2312" w:cs="仿宋_GB2312"/>
          <w:color w:val="000000"/>
          <w:sz w:val="32"/>
          <w:szCs w:val="32"/>
        </w:rPr>
        <w:t>政法委</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年一般公共预算财政拨款收入</w:t>
      </w:r>
      <w:r>
        <w:rPr>
          <w:rFonts w:ascii="仿宋_GB2312" w:eastAsia="仿宋_GB2312" w:cs="仿宋_GB2312"/>
          <w:color w:val="000000"/>
          <w:sz w:val="32"/>
          <w:szCs w:val="32"/>
        </w:rPr>
        <w:t>373.67</w:t>
      </w:r>
      <w:r>
        <w:rPr>
          <w:rFonts w:hint="eastAsia" w:ascii="仿宋_GB2312" w:eastAsia="仿宋_GB2312" w:cs="仿宋_GB2312"/>
          <w:color w:val="000000"/>
          <w:sz w:val="32"/>
          <w:szCs w:val="32"/>
        </w:rPr>
        <w:t>万元，比上年减少</w:t>
      </w:r>
      <w:r>
        <w:rPr>
          <w:rFonts w:ascii="仿宋_GB2312" w:eastAsia="仿宋_GB2312" w:cs="仿宋_GB2312"/>
          <w:color w:val="000000"/>
          <w:sz w:val="32"/>
          <w:szCs w:val="32"/>
        </w:rPr>
        <w:t>21.33%</w:t>
      </w:r>
      <w:r>
        <w:rPr>
          <w:rFonts w:hint="eastAsia" w:ascii="仿宋_GB2312" w:eastAsia="仿宋_GB2312" w:cs="仿宋_GB2312"/>
          <w:color w:val="000000"/>
          <w:sz w:val="32"/>
          <w:szCs w:val="32"/>
        </w:rPr>
        <w:t>；</w:t>
      </w:r>
      <w:r>
        <w:rPr>
          <w:rFonts w:ascii="仿宋_GB2312" w:eastAsia="仿宋_GB2312" w:cs="仿宋_GB2312"/>
          <w:color w:val="000000"/>
          <w:sz w:val="32"/>
          <w:szCs w:val="32"/>
        </w:rPr>
        <w:t>2020</w:t>
      </w:r>
      <w:r>
        <w:rPr>
          <w:rFonts w:hint="eastAsia" w:ascii="仿宋_GB2312" w:eastAsia="仿宋_GB2312" w:cs="仿宋_GB2312"/>
          <w:color w:val="000000"/>
          <w:sz w:val="32"/>
          <w:szCs w:val="32"/>
        </w:rPr>
        <w:t>年本年支出</w:t>
      </w:r>
      <w:r>
        <w:rPr>
          <w:rFonts w:ascii="仿宋_GB2312" w:eastAsia="仿宋_GB2312" w:cs="仿宋_GB2312"/>
          <w:color w:val="000000"/>
          <w:sz w:val="32"/>
          <w:szCs w:val="32"/>
        </w:rPr>
        <w:t>353.67</w:t>
      </w:r>
      <w:r>
        <w:rPr>
          <w:rFonts w:hint="eastAsia" w:ascii="仿宋_GB2312" w:eastAsia="仿宋_GB2312" w:cs="仿宋_GB2312"/>
          <w:color w:val="000000"/>
          <w:sz w:val="32"/>
          <w:szCs w:val="32"/>
        </w:rPr>
        <w:t>万元，比上年减少</w:t>
      </w:r>
      <w:r>
        <w:rPr>
          <w:rFonts w:ascii="仿宋_GB2312" w:eastAsia="仿宋_GB2312" w:cs="仿宋_GB2312"/>
          <w:color w:val="000000"/>
          <w:sz w:val="32"/>
          <w:szCs w:val="32"/>
        </w:rPr>
        <w:t>21.44%</w:t>
      </w:r>
      <w:r>
        <w:rPr>
          <w:rFonts w:hint="eastAsia" w:ascii="仿宋_GB2312" w:eastAsia="仿宋_GB2312" w:cs="仿宋_GB2312"/>
          <w:color w:val="000000"/>
          <w:sz w:val="32"/>
          <w:szCs w:val="32"/>
        </w:rPr>
        <w:t>。其中：</w:t>
      </w:r>
      <w:r>
        <w:rPr>
          <w:rFonts w:hint="eastAsia" w:ascii="仿宋_GB2312" w:hAnsi="仿宋" w:eastAsia="仿宋_GB2312" w:cs="仿宋_GB2312"/>
          <w:sz w:val="32"/>
          <w:szCs w:val="32"/>
        </w:rPr>
        <w:t>基本支出</w:t>
      </w:r>
      <w:r>
        <w:rPr>
          <w:rFonts w:ascii="仿宋_GB2312" w:hAnsi="仿宋" w:eastAsia="仿宋_GB2312" w:cs="仿宋_GB2312"/>
          <w:sz w:val="32"/>
          <w:szCs w:val="32"/>
        </w:rPr>
        <w:t>320.35</w:t>
      </w:r>
      <w:r>
        <w:rPr>
          <w:rFonts w:hint="eastAsia" w:ascii="仿宋_GB2312" w:hAnsi="仿宋" w:eastAsia="仿宋_GB2312" w:cs="仿宋_GB2312"/>
          <w:sz w:val="32"/>
          <w:szCs w:val="32"/>
        </w:rPr>
        <w:t>万元（人员经费</w:t>
      </w:r>
      <w:r>
        <w:rPr>
          <w:rFonts w:ascii="仿宋_GB2312" w:hAnsi="仿宋" w:eastAsia="仿宋_GB2312" w:cs="仿宋_GB2312"/>
          <w:sz w:val="32"/>
          <w:szCs w:val="32"/>
        </w:rPr>
        <w:t>269.82</w:t>
      </w:r>
      <w:r>
        <w:rPr>
          <w:rFonts w:hint="eastAsia" w:ascii="仿宋_GB2312" w:hAnsi="仿宋" w:eastAsia="仿宋_GB2312" w:cs="仿宋_GB2312"/>
          <w:sz w:val="32"/>
          <w:szCs w:val="32"/>
        </w:rPr>
        <w:t>万元，日常公用经费</w:t>
      </w:r>
      <w:r>
        <w:rPr>
          <w:rFonts w:ascii="仿宋_GB2312" w:hAnsi="仿宋" w:eastAsia="仿宋_GB2312" w:cs="仿宋_GB2312"/>
          <w:sz w:val="32"/>
          <w:szCs w:val="32"/>
        </w:rPr>
        <w:t>50.53</w:t>
      </w:r>
      <w:r>
        <w:rPr>
          <w:rFonts w:hint="eastAsia" w:ascii="仿宋_GB2312" w:hAnsi="仿宋" w:eastAsia="仿宋_GB2312" w:cs="仿宋_GB2312"/>
          <w:sz w:val="32"/>
          <w:szCs w:val="32"/>
        </w:rPr>
        <w:t>万元），项目支出</w:t>
      </w:r>
      <w:r>
        <w:rPr>
          <w:rFonts w:ascii="仿宋_GB2312" w:hAnsi="仿宋" w:eastAsia="仿宋_GB2312" w:cs="仿宋_GB2312"/>
          <w:sz w:val="32"/>
          <w:szCs w:val="32"/>
        </w:rPr>
        <w:t>33.32</w:t>
      </w:r>
      <w:r>
        <w:rPr>
          <w:rFonts w:hint="eastAsia" w:ascii="仿宋_GB2312" w:hAnsi="仿宋" w:eastAsia="仿宋_GB2312" w:cs="仿宋_GB2312"/>
          <w:sz w:val="32"/>
          <w:szCs w:val="32"/>
        </w:rPr>
        <w:t>万元。</w:t>
      </w:r>
    </w:p>
    <w:p>
      <w:pPr>
        <w:widowControl/>
        <w:adjustRightInd w:val="0"/>
        <w:snapToGrid w:val="0"/>
        <w:spacing w:line="576"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三、部门整体预算绩效管理情况</w:t>
      </w:r>
    </w:p>
    <w:p>
      <w:pPr>
        <w:widowControl/>
        <w:adjustRightInd w:val="0"/>
        <w:snapToGrid w:val="0"/>
        <w:spacing w:line="576" w:lineRule="exact"/>
        <w:ind w:firstLine="643" w:firstLineChars="200"/>
        <w:jc w:val="left"/>
        <w:rPr>
          <w:rFonts w:ascii="仿宋_GB2312" w:hAnsi="宋体" w:eastAsia="仿宋_GB2312"/>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（一）部门预算管理</w:t>
      </w:r>
    </w:p>
    <w:p>
      <w:pPr>
        <w:widowControl/>
        <w:adjustRightInd w:val="0"/>
        <w:snapToGrid w:val="0"/>
        <w:spacing w:line="576" w:lineRule="exact"/>
        <w:ind w:firstLine="640" w:firstLineChars="200"/>
        <w:jc w:val="left"/>
        <w:rPr>
          <w:rFonts w:ascii="仿宋_GB2312" w:hAnsi="宋体" w:eastAsia="仿宋_GB2312"/>
          <w:color w:val="000000"/>
          <w:kern w:val="0"/>
          <w:sz w:val="32"/>
          <w:szCs w:val="32"/>
          <w:shd w:val="clear" w:color="auto" w:fill="FFFFFF"/>
          <w:lang w:val="zh-CN"/>
        </w:rPr>
      </w:pPr>
      <w:r>
        <w:rPr>
          <w:rFonts w:hint="eastAsia" w:ascii="仿宋_GB2312" w:hAnsi="仿宋_GB2312" w:eastAsia="仿宋_GB2312" w:cs="仿宋_GB2312"/>
          <w:kern w:val="0"/>
          <w:sz w:val="32"/>
          <w:szCs w:val="32"/>
        </w:rPr>
        <w:t>根据茂县财政局《关于开展的通知》文件精神，政法委严格按照预算编制的基本要求和时间节点认真编制</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部门预算。在预算编制中进一步夯实预算编制基础，及时更新相关基础数据，强化非税收入管理和政府采购预算编制工作，严格控制“三公”经费、会议费和培训费预算，预算编制做到了及时、完整、准确、合理、高效。</w:t>
      </w:r>
    </w:p>
    <w:p>
      <w:pPr>
        <w:widowControl/>
        <w:adjustRightInd w:val="0"/>
        <w:snapToGrid w:val="0"/>
        <w:spacing w:line="576" w:lineRule="exact"/>
        <w:ind w:firstLine="643" w:firstLineChars="200"/>
        <w:jc w:val="left"/>
        <w:rPr>
          <w:rFonts w:ascii="仿宋_GB2312" w:hAnsi="宋体" w:eastAsia="仿宋_GB2312"/>
          <w:color w:val="000000"/>
          <w:kern w:val="0"/>
          <w:sz w:val="32"/>
          <w:szCs w:val="32"/>
          <w:shd w:val="clear" w:color="auto" w:fill="FFFFFF"/>
          <w:lang w:val="zh-CN"/>
        </w:rPr>
      </w:pPr>
      <w:r>
        <w:rPr>
          <w:rFonts w:hint="eastAsia" w:ascii="楷体" w:hAnsi="楷体" w:eastAsia="楷体" w:cs="楷体"/>
          <w:b/>
          <w:bCs/>
          <w:color w:val="000000"/>
          <w:kern w:val="0"/>
          <w:sz w:val="32"/>
          <w:szCs w:val="32"/>
          <w:shd w:val="clear" w:color="auto" w:fill="FFFFFF"/>
          <w:lang w:val="zh-CN"/>
        </w:rPr>
        <w:t>（二）结果应用情况</w:t>
      </w:r>
    </w:p>
    <w:p>
      <w:pPr>
        <w:spacing w:line="576" w:lineRule="exact"/>
        <w:ind w:firstLine="640" w:firstLineChars="200"/>
        <w:rPr>
          <w:rFonts w:ascii="仿宋_GB2312" w:hAnsi="仿宋" w:eastAsia="仿宋_GB2312"/>
          <w:b/>
          <w:bCs/>
          <w:kern w:val="0"/>
          <w:sz w:val="32"/>
          <w:szCs w:val="32"/>
        </w:rPr>
      </w:pPr>
      <w:r>
        <w:rPr>
          <w:rFonts w:hint="eastAsia" w:ascii="仿宋_GB2312" w:hAnsi="仿宋_GB2312" w:eastAsia="仿宋_GB2312" w:cs="仿宋_GB2312"/>
          <w:kern w:val="0"/>
          <w:sz w:val="32"/>
          <w:szCs w:val="32"/>
        </w:rPr>
        <w:t>总体来看，基本支出和运转类专项保障了机关正常运转，确保了政法委履行职能职责。从实际支出的决算数据看，政法委机关认真执行厉行节约相关规章制度，严格控制和压缩“三公经费”和会议费支出。</w:t>
      </w:r>
      <w:r>
        <w:rPr>
          <w:rFonts w:hint="eastAsia" w:ascii="仿宋_GB2312" w:hAnsi="仿宋_GB2312" w:eastAsia="仿宋_GB2312" w:cs="仿宋_GB2312"/>
          <w:sz w:val="32"/>
          <w:szCs w:val="32"/>
        </w:rPr>
        <w:t>我委认真按照中央“八项规定和六项禁令</w:t>
      </w:r>
      <w:r>
        <w:rPr>
          <w:rFonts w:hint="eastAsia" w:ascii="仿宋_GB2312" w:hAnsi="仿宋" w:eastAsia="仿宋_GB2312" w:cs="仿宋_GB2312"/>
          <w:sz w:val="32"/>
          <w:szCs w:val="32"/>
        </w:rPr>
        <w:t>”、省委省政府“十项规定”和州委州政府“八条意见”及县委有关规定开展工作，改进工作作风，严肃财经纪律，维护了财经秩序。</w:t>
      </w:r>
      <w:r>
        <w:rPr>
          <w:rFonts w:hint="eastAsia" w:ascii="仿宋_GB2312" w:hAnsi="仿宋_GB2312" w:eastAsia="仿宋_GB2312" w:cs="仿宋_GB2312"/>
          <w:kern w:val="0"/>
          <w:sz w:val="32"/>
          <w:szCs w:val="32"/>
        </w:rPr>
        <w:t>根据文件精神，我委及时将此项工作进行部署和安排，按照</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部门整体支出绩效评价指标体系结合年初预算设定的绩效目标完成情况进行自评打分，自评情况和年初绩效目标完成情况进行了汇总，最后我委自评得分</w:t>
      </w:r>
      <w:r>
        <w:rPr>
          <w:rFonts w:hint="eastAsia" w:ascii="仿宋_GB2312" w:hAnsi="仿宋_GB2312" w:eastAsia="仿宋_GB2312" w:cs="仿宋_GB2312"/>
          <w:kern w:val="0"/>
          <w:sz w:val="32"/>
          <w:szCs w:val="32"/>
          <w:lang w:val="en-US" w:eastAsia="zh-CN"/>
        </w:rPr>
        <w:t>89</w:t>
      </w:r>
      <w:r>
        <w:rPr>
          <w:rFonts w:hint="eastAsia" w:ascii="仿宋_GB2312" w:hAnsi="仿宋_GB2312" w:eastAsia="仿宋_GB2312" w:cs="仿宋_GB2312"/>
          <w:kern w:val="0"/>
          <w:sz w:val="32"/>
          <w:szCs w:val="32"/>
        </w:rPr>
        <w:t>分。</w:t>
      </w:r>
    </w:p>
    <w:p>
      <w:pPr>
        <w:widowControl/>
        <w:adjustRightInd w:val="0"/>
        <w:snapToGrid w:val="0"/>
        <w:spacing w:line="576" w:lineRule="exact"/>
        <w:ind w:firstLine="640" w:firstLineChars="200"/>
        <w:jc w:val="left"/>
        <w:rPr>
          <w:rFonts w:ascii="黑体" w:hAnsi="宋体" w:eastAsia="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四、评价结论及建议</w:t>
      </w:r>
    </w:p>
    <w:p>
      <w:pPr>
        <w:autoSpaceDE w:val="0"/>
        <w:spacing w:line="576" w:lineRule="exact"/>
        <w:ind w:firstLine="643" w:firstLineChars="200"/>
        <w:rPr>
          <w:rFonts w:ascii="仿宋_GB2312" w:hAnsi="仿宋_GB2312" w:eastAsia="仿宋_GB2312"/>
          <w:kern w:val="0"/>
          <w:sz w:val="32"/>
          <w:szCs w:val="32"/>
        </w:rPr>
      </w:pPr>
      <w:r>
        <w:rPr>
          <w:rFonts w:hint="eastAsia" w:ascii="楷体" w:hAnsi="楷体" w:eastAsia="楷体" w:cs="楷体"/>
          <w:b/>
          <w:bCs/>
          <w:sz w:val="32"/>
          <w:szCs w:val="32"/>
        </w:rPr>
        <w:t>（一）评价结论</w:t>
      </w:r>
      <w:bookmarkStart w:id="133" w:name="_GoBack"/>
      <w:bookmarkEnd w:id="133"/>
      <w:r>
        <w:rPr>
          <w:rFonts w:ascii="仿宋_GB2312" w:hAnsi="楷体"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　从自评情况来看，政法委机关支出绩效水平较高，整体上完成了年初设定的绩效目标，保障了单位的正常运转，降低了行政运行成本，促进了社会和谐稳定，充分发挥了财政资金的经济效益、社会效益。</w:t>
      </w:r>
      <w:r>
        <w:rPr>
          <w:rFonts w:ascii="仿宋_GB2312" w:hAnsi="仿宋_GB2312" w:eastAsia="仿宋_GB2312"/>
          <w:kern w:val="0"/>
          <w:sz w:val="32"/>
          <w:szCs w:val="32"/>
        </w:rPr>
        <w:br w:type="textWrapping"/>
      </w:r>
      <w:r>
        <w:rPr>
          <w:rFonts w:hint="eastAsia" w:ascii="仿宋_GB2312" w:hAnsi="仿宋" w:eastAsia="仿宋_GB2312" w:cs="仿宋_GB2312"/>
          <w:kern w:val="0"/>
          <w:sz w:val="32"/>
          <w:szCs w:val="32"/>
        </w:rPr>
        <w:t>　　</w:t>
      </w:r>
      <w:r>
        <w:rPr>
          <w:rFonts w:hint="eastAsia" w:ascii="楷体" w:hAnsi="楷体" w:eastAsia="楷体" w:cs="楷体"/>
          <w:b/>
          <w:bCs/>
          <w:sz w:val="32"/>
          <w:szCs w:val="32"/>
        </w:rPr>
        <w:t>（二）存在问题</w:t>
      </w:r>
      <w:r>
        <w:rPr>
          <w:rFonts w:ascii="仿宋_GB2312" w:hAnsi="仿宋"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　从绩效评价看，部门支出预算和绩效评价工作还存在一些具体问题，一是水电节约不好落实的问题，综合大楼单位多，各单位办公场所交叉，水电节约的问题难以落到实处。二是单位对部门支出绩效评价工作的认识理解不够，年初预设的绩效指标不合适、指标较粗；二是公共管理无法用量化指标来进行考评；三是单位在预算编制时经济科目使用不当，造成预算执行时存在跨科目执行的情况。</w:t>
      </w:r>
      <w:r>
        <w:rPr>
          <w:rFonts w:ascii="仿宋_GB2312" w:hAnsi="仿宋_GB2312" w:eastAsia="仿宋_GB2312"/>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 w:eastAsia="仿宋_GB2312" w:cs="仿宋_GB2312"/>
          <w:b/>
          <w:bCs/>
          <w:kern w:val="0"/>
          <w:sz w:val="32"/>
          <w:szCs w:val="32"/>
        </w:rPr>
        <w:t>　</w:t>
      </w:r>
      <w:r>
        <w:rPr>
          <w:rFonts w:hint="eastAsia" w:ascii="楷体" w:hAnsi="楷体" w:eastAsia="楷体" w:cs="楷体"/>
          <w:b/>
          <w:bCs/>
          <w:sz w:val="32"/>
          <w:szCs w:val="32"/>
        </w:rPr>
        <w:t>（三）改进建议</w:t>
      </w:r>
      <w:r>
        <w:rPr>
          <w:rFonts w:ascii="仿宋_GB2312" w:hAnsi="仿宋" w:eastAsia="仿宋_GB2312"/>
          <w:b/>
          <w:bCs/>
          <w:kern w:val="0"/>
          <w:sz w:val="32"/>
          <w:szCs w:val="32"/>
        </w:rPr>
        <w:br w:type="textWrapping"/>
      </w:r>
      <w:r>
        <w:rPr>
          <w:rFonts w:hint="eastAsia" w:ascii="仿宋_GB2312" w:hAnsi="仿宋" w:eastAsia="仿宋_GB2312" w:cs="仿宋_GB2312"/>
          <w:kern w:val="0"/>
          <w:sz w:val="32"/>
          <w:szCs w:val="32"/>
        </w:rPr>
        <w:t>　　</w:t>
      </w:r>
      <w:r>
        <w:rPr>
          <w:rFonts w:hint="eastAsia" w:ascii="仿宋_GB2312" w:hAnsi="仿宋_GB2312" w:eastAsia="仿宋_GB2312" w:cs="仿宋_GB2312"/>
          <w:kern w:val="0"/>
          <w:sz w:val="32"/>
          <w:szCs w:val="32"/>
        </w:rPr>
        <w:t>绩效评价是深入贯彻落实新《预算法》要求的各项重要内容，建议财政加强对绩效评价工作的培训和指导，进一步优化绩效考核指标体系，做到合理性与可操作性的有机统一。</w:t>
      </w:r>
    </w:p>
    <w:p>
      <w:pPr>
        <w:spacing w:line="576" w:lineRule="exact"/>
        <w:ind w:firstLine="640" w:firstLineChars="200"/>
        <w:rPr>
          <w:rFonts w:ascii="仿宋_GB2312" w:hAnsi="仿宋_GB2312" w:eastAsia="仿宋_GB2312"/>
          <w:sz w:val="32"/>
          <w:szCs w:val="3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pStyle w:val="2"/>
        <w:spacing w:line="576" w:lineRule="exact"/>
        <w:ind w:firstLine="31680"/>
        <w:rPr>
          <w:rFonts w:ascii="仿宋_GB2312" w:hAnsi="仿宋_GB2312" w:eastAsia="仿宋_GB2312"/>
        </w:rPr>
      </w:pPr>
    </w:p>
    <w:p>
      <w:pPr>
        <w:spacing w:line="576" w:lineRule="exact"/>
        <w:outlineLvl w:val="0"/>
        <w:rPr>
          <w:rStyle w:val="18"/>
          <w:rFonts w:ascii="黑体" w:hAnsi="黑体" w:eastAsia="黑体"/>
          <w:b w:val="0"/>
          <w:bCs w:val="0"/>
        </w:rPr>
      </w:pPr>
    </w:p>
    <w:p>
      <w:pPr>
        <w:pStyle w:val="2"/>
        <w:spacing w:line="576" w:lineRule="exact"/>
        <w:ind w:firstLine="0" w:firstLineChars="0"/>
        <w:rPr>
          <w:rStyle w:val="18"/>
          <w:rFonts w:ascii="黑体" w:hAnsi="黑体" w:eastAsia="黑体"/>
          <w:b w:val="0"/>
          <w:bCs w:val="0"/>
        </w:rPr>
      </w:pPr>
    </w:p>
    <w:p>
      <w:pPr>
        <w:spacing w:line="576" w:lineRule="exact"/>
        <w:jc w:val="center"/>
        <w:outlineLvl w:val="0"/>
        <w:rPr>
          <w:rStyle w:val="18"/>
          <w:rFonts w:ascii="黑体" w:hAnsi="黑体" w:eastAsia="黑体"/>
          <w:b w:val="0"/>
          <w:bCs w:val="0"/>
        </w:rPr>
      </w:pPr>
      <w:bookmarkStart w:id="105" w:name="_Toc15396618"/>
      <w:bookmarkStart w:id="106" w:name="_Toc23252"/>
      <w:r>
        <w:rPr>
          <w:rFonts w:hint="eastAsia" w:ascii="黑体" w:hAnsi="黑体" w:eastAsia="黑体" w:cs="黑体"/>
          <w:color w:val="000000"/>
          <w:sz w:val="44"/>
          <w:szCs w:val="44"/>
        </w:rPr>
        <w:t>第</w:t>
      </w:r>
      <w:r>
        <w:rPr>
          <w:rStyle w:val="18"/>
          <w:rFonts w:hint="eastAsia" w:ascii="黑体" w:hAnsi="黑体" w:eastAsia="黑体" w:cs="黑体"/>
          <w:b w:val="0"/>
          <w:bCs w:val="0"/>
        </w:rPr>
        <w:t>五部分</w:t>
      </w:r>
      <w:r>
        <w:rPr>
          <w:rStyle w:val="18"/>
          <w:rFonts w:ascii="黑体" w:hAnsi="黑体" w:eastAsia="黑体" w:cs="黑体"/>
          <w:b w:val="0"/>
          <w:bCs w:val="0"/>
        </w:rPr>
        <w:t xml:space="preserve"> </w:t>
      </w:r>
      <w:r>
        <w:rPr>
          <w:rStyle w:val="18"/>
          <w:rFonts w:hint="eastAsia" w:ascii="黑体" w:hAnsi="黑体" w:eastAsia="黑体" w:cs="黑体"/>
          <w:b w:val="0"/>
          <w:bCs w:val="0"/>
        </w:rPr>
        <w:t>附表</w:t>
      </w:r>
      <w:bookmarkEnd w:id="88"/>
      <w:bookmarkEnd w:id="105"/>
      <w:bookmarkEnd w:id="106"/>
    </w:p>
    <w:p>
      <w:pPr>
        <w:spacing w:line="576" w:lineRule="exact"/>
        <w:jc w:val="center"/>
        <w:outlineLvl w:val="0"/>
        <w:rPr>
          <w:rFonts w:ascii="仿宋" w:hAnsi="仿宋" w:eastAsia="仿宋"/>
          <w:b/>
          <w:bCs/>
          <w:color w:val="000000"/>
          <w:sz w:val="44"/>
          <w:szCs w:val="44"/>
        </w:rPr>
      </w:pPr>
    </w:p>
    <w:p>
      <w:pPr>
        <w:pStyle w:val="5"/>
        <w:spacing w:before="0" w:after="0" w:line="576" w:lineRule="exact"/>
        <w:rPr>
          <w:rFonts w:ascii="仿宋" w:hAnsi="仿宋" w:eastAsia="仿宋" w:cs="Times New Roman"/>
          <w:color w:val="000000"/>
        </w:rPr>
      </w:pPr>
      <w:bookmarkStart w:id="107" w:name="_Toc15396619"/>
      <w:bookmarkStart w:id="108" w:name="_Toc6282"/>
      <w:r>
        <w:rPr>
          <w:rFonts w:hint="eastAsia" w:ascii="仿宋" w:hAnsi="仿宋" w:eastAsia="仿宋" w:cs="仿宋"/>
          <w:b w:val="0"/>
          <w:bCs w:val="0"/>
          <w:color w:val="000000"/>
        </w:rPr>
        <w:t>一、收</w:t>
      </w:r>
      <w:r>
        <w:rPr>
          <w:rStyle w:val="19"/>
          <w:rFonts w:hint="eastAsia" w:ascii="仿宋" w:hAnsi="仿宋" w:eastAsia="仿宋" w:cs="仿宋"/>
          <w:b w:val="0"/>
          <w:bCs w:val="0"/>
        </w:rPr>
        <w:t>入支出决算总表</w:t>
      </w:r>
      <w:bookmarkEnd w:id="107"/>
      <w:bookmarkEnd w:id="108"/>
    </w:p>
    <w:p>
      <w:pPr>
        <w:pStyle w:val="5"/>
        <w:spacing w:before="0" w:after="0" w:line="576" w:lineRule="exact"/>
        <w:rPr>
          <w:rFonts w:ascii="仿宋" w:hAnsi="仿宋" w:eastAsia="仿宋" w:cs="Times New Roman"/>
          <w:color w:val="000000"/>
        </w:rPr>
      </w:pPr>
      <w:bookmarkStart w:id="109" w:name="_Toc15396620"/>
      <w:bookmarkStart w:id="110" w:name="_Toc11140"/>
      <w:r>
        <w:rPr>
          <w:rFonts w:hint="eastAsia" w:ascii="仿宋" w:hAnsi="仿宋" w:eastAsia="仿宋" w:cs="仿宋"/>
          <w:b w:val="0"/>
          <w:bCs w:val="0"/>
          <w:color w:val="000000"/>
        </w:rPr>
        <w:t>二、收</w:t>
      </w:r>
      <w:r>
        <w:rPr>
          <w:rStyle w:val="19"/>
          <w:rFonts w:hint="eastAsia" w:ascii="仿宋" w:hAnsi="仿宋" w:eastAsia="仿宋" w:cs="仿宋"/>
          <w:b w:val="0"/>
          <w:bCs w:val="0"/>
        </w:rPr>
        <w:t>入决算表</w:t>
      </w:r>
      <w:bookmarkEnd w:id="109"/>
      <w:bookmarkEnd w:id="110"/>
    </w:p>
    <w:p>
      <w:pPr>
        <w:pStyle w:val="5"/>
        <w:spacing w:before="0" w:after="0" w:line="576" w:lineRule="exact"/>
        <w:rPr>
          <w:rFonts w:ascii="仿宋" w:hAnsi="仿宋" w:eastAsia="仿宋" w:cs="Times New Roman"/>
          <w:color w:val="000000"/>
        </w:rPr>
      </w:pPr>
      <w:bookmarkStart w:id="111" w:name="_Toc29623"/>
      <w:bookmarkStart w:id="112" w:name="_Toc15396621"/>
      <w:r>
        <w:rPr>
          <w:rStyle w:val="19"/>
          <w:rFonts w:hint="eastAsia" w:ascii="仿宋" w:hAnsi="仿宋" w:eastAsia="仿宋" w:cs="仿宋"/>
          <w:b w:val="0"/>
          <w:bCs w:val="0"/>
        </w:rPr>
        <w:t>三、</w:t>
      </w:r>
      <w:r>
        <w:rPr>
          <w:rFonts w:hint="eastAsia" w:ascii="仿宋" w:hAnsi="仿宋" w:eastAsia="仿宋" w:cs="仿宋"/>
          <w:b w:val="0"/>
          <w:bCs w:val="0"/>
          <w:color w:val="000000"/>
        </w:rPr>
        <w:t>支</w:t>
      </w:r>
      <w:r>
        <w:rPr>
          <w:rStyle w:val="19"/>
          <w:rFonts w:hint="eastAsia" w:ascii="仿宋" w:hAnsi="仿宋" w:eastAsia="仿宋" w:cs="仿宋"/>
          <w:b w:val="0"/>
          <w:bCs w:val="0"/>
        </w:rPr>
        <w:t>出决算表</w:t>
      </w:r>
      <w:bookmarkEnd w:id="111"/>
      <w:bookmarkEnd w:id="112"/>
    </w:p>
    <w:p>
      <w:pPr>
        <w:pStyle w:val="5"/>
        <w:spacing w:before="0" w:after="0" w:line="576" w:lineRule="exact"/>
        <w:rPr>
          <w:rFonts w:ascii="仿宋" w:hAnsi="仿宋" w:eastAsia="仿宋" w:cs="Times New Roman"/>
          <w:b w:val="0"/>
          <w:bCs w:val="0"/>
          <w:color w:val="000000"/>
        </w:rPr>
      </w:pPr>
      <w:bookmarkStart w:id="113" w:name="_Toc10092"/>
      <w:bookmarkStart w:id="114" w:name="_Toc15396622"/>
      <w:r>
        <w:rPr>
          <w:rStyle w:val="19"/>
          <w:rFonts w:hint="eastAsia" w:ascii="仿宋" w:hAnsi="仿宋" w:eastAsia="仿宋" w:cs="仿宋"/>
          <w:b w:val="0"/>
          <w:bCs w:val="0"/>
        </w:rPr>
        <w:t>四、</w:t>
      </w:r>
      <w:r>
        <w:rPr>
          <w:rFonts w:hint="eastAsia" w:ascii="仿宋" w:hAnsi="仿宋" w:eastAsia="仿宋" w:cs="仿宋"/>
          <w:b w:val="0"/>
          <w:bCs w:val="0"/>
          <w:color w:val="000000"/>
        </w:rPr>
        <w:t>财</w:t>
      </w:r>
      <w:r>
        <w:rPr>
          <w:rStyle w:val="19"/>
          <w:rFonts w:hint="eastAsia" w:ascii="仿宋" w:hAnsi="仿宋" w:eastAsia="仿宋" w:cs="仿宋"/>
          <w:b w:val="0"/>
          <w:bCs w:val="0"/>
        </w:rPr>
        <w:t>政拨款收入支出决算总表</w:t>
      </w:r>
      <w:bookmarkEnd w:id="113"/>
      <w:bookmarkEnd w:id="114"/>
    </w:p>
    <w:p>
      <w:pPr>
        <w:pStyle w:val="5"/>
        <w:spacing w:before="0" w:after="0" w:line="576" w:lineRule="exact"/>
        <w:rPr>
          <w:rStyle w:val="19"/>
          <w:rFonts w:ascii="仿宋" w:hAnsi="仿宋" w:eastAsia="仿宋" w:cs="Times New Roman"/>
          <w:b w:val="0"/>
          <w:bCs w:val="0"/>
        </w:rPr>
      </w:pPr>
      <w:bookmarkStart w:id="115" w:name="_Toc30798"/>
      <w:bookmarkStart w:id="116" w:name="_Toc15396623"/>
      <w:r>
        <w:rPr>
          <w:rStyle w:val="19"/>
          <w:rFonts w:hint="eastAsia" w:ascii="仿宋" w:hAnsi="仿宋" w:eastAsia="仿宋" w:cs="仿宋"/>
          <w:b w:val="0"/>
          <w:bCs w:val="0"/>
        </w:rPr>
        <w:t>五、</w:t>
      </w:r>
      <w:r>
        <w:rPr>
          <w:rFonts w:hint="eastAsia" w:ascii="仿宋" w:hAnsi="仿宋" w:eastAsia="仿宋" w:cs="仿宋"/>
          <w:b w:val="0"/>
          <w:bCs w:val="0"/>
          <w:color w:val="000000"/>
        </w:rPr>
        <w:t>财</w:t>
      </w:r>
      <w:r>
        <w:rPr>
          <w:rStyle w:val="19"/>
          <w:rFonts w:hint="eastAsia" w:ascii="仿宋" w:hAnsi="仿宋" w:eastAsia="仿宋" w:cs="仿宋"/>
          <w:b w:val="0"/>
          <w:bCs w:val="0"/>
        </w:rPr>
        <w:t>政拨款支出决算明细表</w:t>
      </w:r>
      <w:bookmarkEnd w:id="115"/>
      <w:bookmarkEnd w:id="116"/>
      <w:bookmarkStart w:id="117" w:name="_Toc15396624"/>
    </w:p>
    <w:p>
      <w:pPr>
        <w:pStyle w:val="5"/>
        <w:spacing w:before="0" w:after="0" w:line="576" w:lineRule="exact"/>
        <w:rPr>
          <w:rFonts w:ascii="仿宋" w:hAnsi="仿宋" w:eastAsia="仿宋" w:cs="Times New Roman"/>
          <w:color w:val="000000"/>
        </w:rPr>
      </w:pPr>
      <w:bookmarkStart w:id="118" w:name="_Toc20179"/>
      <w:r>
        <w:rPr>
          <w:rStyle w:val="19"/>
          <w:rFonts w:hint="eastAsia" w:ascii="仿宋" w:hAnsi="仿宋" w:eastAsia="仿宋" w:cs="仿宋"/>
          <w:b w:val="0"/>
          <w:bCs w:val="0"/>
        </w:rPr>
        <w:t>六、</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般公共预算财政拨款支出决算表</w:t>
      </w:r>
      <w:bookmarkEnd w:id="117"/>
      <w:bookmarkEnd w:id="118"/>
    </w:p>
    <w:p>
      <w:pPr>
        <w:pStyle w:val="5"/>
        <w:spacing w:before="0" w:after="0" w:line="576" w:lineRule="exact"/>
        <w:rPr>
          <w:rFonts w:ascii="仿宋" w:hAnsi="仿宋" w:eastAsia="仿宋" w:cs="Times New Roman"/>
          <w:color w:val="000000"/>
        </w:rPr>
      </w:pPr>
      <w:bookmarkStart w:id="119" w:name="_Toc2099"/>
      <w:bookmarkStart w:id="120" w:name="_Toc15396625"/>
      <w:r>
        <w:rPr>
          <w:rStyle w:val="19"/>
          <w:rFonts w:hint="eastAsia" w:ascii="仿宋" w:hAnsi="仿宋" w:eastAsia="仿宋" w:cs="仿宋"/>
          <w:b w:val="0"/>
          <w:bCs w:val="0"/>
        </w:rPr>
        <w:t>七、</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般公共预算财政拨款支出决算明细表</w:t>
      </w:r>
      <w:bookmarkEnd w:id="119"/>
      <w:bookmarkEnd w:id="120"/>
    </w:p>
    <w:p>
      <w:pPr>
        <w:pStyle w:val="5"/>
        <w:spacing w:before="0" w:after="0" w:line="576" w:lineRule="exact"/>
        <w:rPr>
          <w:rFonts w:ascii="仿宋" w:hAnsi="仿宋" w:eastAsia="仿宋" w:cs="Times New Roman"/>
          <w:color w:val="000000"/>
        </w:rPr>
      </w:pPr>
      <w:bookmarkStart w:id="121" w:name="_Toc15396626"/>
      <w:bookmarkStart w:id="122" w:name="_Toc7161"/>
      <w:r>
        <w:rPr>
          <w:rStyle w:val="19"/>
          <w:rFonts w:hint="eastAsia" w:ascii="仿宋" w:hAnsi="仿宋" w:eastAsia="仿宋" w:cs="仿宋"/>
          <w:b w:val="0"/>
          <w:bCs w:val="0"/>
        </w:rPr>
        <w:t>八、</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般公共预算财政拨款基本支出决算表</w:t>
      </w:r>
      <w:bookmarkEnd w:id="121"/>
      <w:bookmarkEnd w:id="122"/>
    </w:p>
    <w:p>
      <w:pPr>
        <w:pStyle w:val="5"/>
        <w:spacing w:before="0" w:after="0" w:line="576" w:lineRule="exact"/>
        <w:rPr>
          <w:rFonts w:ascii="仿宋" w:hAnsi="仿宋" w:eastAsia="仿宋" w:cs="Times New Roman"/>
          <w:color w:val="000000"/>
        </w:rPr>
      </w:pPr>
      <w:bookmarkStart w:id="123" w:name="_Toc31971"/>
      <w:bookmarkStart w:id="124" w:name="_Toc15396627"/>
      <w:r>
        <w:rPr>
          <w:rStyle w:val="19"/>
          <w:rFonts w:hint="eastAsia" w:ascii="仿宋" w:hAnsi="仿宋" w:eastAsia="仿宋" w:cs="仿宋"/>
          <w:b w:val="0"/>
          <w:bCs w:val="0"/>
        </w:rPr>
        <w:t>九、</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般公共预算财政拨款项目支出决算表</w:t>
      </w:r>
      <w:bookmarkEnd w:id="123"/>
      <w:bookmarkEnd w:id="124"/>
    </w:p>
    <w:p>
      <w:pPr>
        <w:pStyle w:val="5"/>
        <w:spacing w:before="0" w:after="0" w:line="576" w:lineRule="exact"/>
        <w:rPr>
          <w:rFonts w:ascii="仿宋" w:hAnsi="仿宋" w:eastAsia="仿宋" w:cs="Times New Roman"/>
          <w:color w:val="000000"/>
        </w:rPr>
      </w:pPr>
      <w:bookmarkStart w:id="125" w:name="_Toc12702"/>
      <w:bookmarkStart w:id="126" w:name="_Toc15396628"/>
      <w:r>
        <w:rPr>
          <w:rStyle w:val="19"/>
          <w:rFonts w:hint="eastAsia" w:ascii="仿宋" w:hAnsi="仿宋" w:eastAsia="仿宋" w:cs="仿宋"/>
          <w:b w:val="0"/>
          <w:bCs w:val="0"/>
        </w:rPr>
        <w:t>十、</w:t>
      </w:r>
      <w:r>
        <w:rPr>
          <w:rFonts w:hint="eastAsia" w:ascii="仿宋" w:hAnsi="仿宋" w:eastAsia="仿宋" w:cs="仿宋"/>
          <w:b w:val="0"/>
          <w:bCs w:val="0"/>
          <w:color w:val="000000"/>
        </w:rPr>
        <w:t>一</w:t>
      </w:r>
      <w:r>
        <w:rPr>
          <w:rStyle w:val="19"/>
          <w:rFonts w:hint="eastAsia" w:ascii="仿宋" w:hAnsi="仿宋" w:eastAsia="仿宋" w:cs="仿宋"/>
          <w:b w:val="0"/>
          <w:bCs w:val="0"/>
        </w:rPr>
        <w:t>般公共预算财政拨款“三公”经费支出决算表</w:t>
      </w:r>
      <w:bookmarkEnd w:id="125"/>
      <w:bookmarkEnd w:id="126"/>
    </w:p>
    <w:p>
      <w:pPr>
        <w:pStyle w:val="5"/>
        <w:spacing w:before="0" w:after="0" w:line="576" w:lineRule="exact"/>
        <w:rPr>
          <w:rFonts w:ascii="仿宋" w:hAnsi="仿宋" w:eastAsia="仿宋" w:cs="Times New Roman"/>
          <w:color w:val="000000"/>
        </w:rPr>
      </w:pPr>
      <w:bookmarkStart w:id="127" w:name="_Toc18550"/>
      <w:bookmarkStart w:id="128" w:name="_Toc15396629"/>
      <w:r>
        <w:rPr>
          <w:rStyle w:val="19"/>
          <w:rFonts w:hint="eastAsia" w:ascii="仿宋" w:hAnsi="仿宋" w:eastAsia="仿宋" w:cs="仿宋"/>
          <w:b w:val="0"/>
          <w:bCs w:val="0"/>
        </w:rPr>
        <w:t>十一、</w:t>
      </w:r>
      <w:r>
        <w:rPr>
          <w:rFonts w:hint="eastAsia" w:ascii="仿宋" w:hAnsi="仿宋" w:eastAsia="仿宋" w:cs="仿宋"/>
          <w:b w:val="0"/>
          <w:bCs w:val="0"/>
          <w:color w:val="000000"/>
        </w:rPr>
        <w:t>政</w:t>
      </w:r>
      <w:r>
        <w:rPr>
          <w:rStyle w:val="19"/>
          <w:rFonts w:hint="eastAsia" w:ascii="仿宋" w:hAnsi="仿宋" w:eastAsia="仿宋" w:cs="仿宋"/>
          <w:b w:val="0"/>
          <w:bCs w:val="0"/>
        </w:rPr>
        <w:t>府性基金预算财政拨款收入支出决算表</w:t>
      </w:r>
      <w:bookmarkEnd w:id="127"/>
      <w:bookmarkEnd w:id="128"/>
    </w:p>
    <w:p>
      <w:pPr>
        <w:pStyle w:val="5"/>
        <w:spacing w:before="0" w:after="0" w:line="576" w:lineRule="exact"/>
        <w:rPr>
          <w:rFonts w:ascii="仿宋" w:hAnsi="仿宋" w:eastAsia="仿宋" w:cs="Times New Roman"/>
          <w:color w:val="000000"/>
        </w:rPr>
      </w:pPr>
      <w:bookmarkStart w:id="129" w:name="_Toc29318"/>
      <w:bookmarkStart w:id="130" w:name="_Toc15396630"/>
      <w:r>
        <w:rPr>
          <w:rStyle w:val="19"/>
          <w:rFonts w:hint="eastAsia" w:ascii="仿宋" w:hAnsi="仿宋" w:eastAsia="仿宋" w:cs="仿宋"/>
          <w:b w:val="0"/>
          <w:bCs w:val="0"/>
        </w:rPr>
        <w:t>十二、</w:t>
      </w:r>
      <w:r>
        <w:rPr>
          <w:rFonts w:hint="eastAsia" w:ascii="仿宋" w:hAnsi="仿宋" w:eastAsia="仿宋" w:cs="仿宋"/>
          <w:b w:val="0"/>
          <w:bCs w:val="0"/>
          <w:color w:val="000000"/>
        </w:rPr>
        <w:t>政</w:t>
      </w:r>
      <w:r>
        <w:rPr>
          <w:rStyle w:val="19"/>
          <w:rFonts w:hint="eastAsia" w:ascii="仿宋" w:hAnsi="仿宋" w:eastAsia="仿宋" w:cs="仿宋"/>
          <w:b w:val="0"/>
          <w:bCs w:val="0"/>
        </w:rPr>
        <w:t>府性基金预算财政拨款“三公”经费支出决算表</w:t>
      </w:r>
      <w:bookmarkEnd w:id="129"/>
      <w:bookmarkEnd w:id="130"/>
    </w:p>
    <w:p>
      <w:pPr>
        <w:pStyle w:val="5"/>
        <w:spacing w:before="0" w:after="0" w:line="576" w:lineRule="exact"/>
        <w:rPr>
          <w:rStyle w:val="19"/>
          <w:rFonts w:ascii="仿宋" w:hAnsi="仿宋" w:eastAsia="仿宋" w:cs="Times New Roman"/>
          <w:b w:val="0"/>
          <w:bCs w:val="0"/>
        </w:rPr>
      </w:pPr>
      <w:bookmarkStart w:id="131" w:name="_Toc15396631"/>
      <w:bookmarkStart w:id="132" w:name="_Toc16252"/>
      <w:r>
        <w:rPr>
          <w:rStyle w:val="19"/>
          <w:rFonts w:hint="eastAsia" w:ascii="仿宋" w:hAnsi="仿宋" w:eastAsia="仿宋" w:cs="仿宋"/>
          <w:b w:val="0"/>
          <w:bCs w:val="0"/>
        </w:rPr>
        <w:t>十三、</w:t>
      </w:r>
      <w:r>
        <w:rPr>
          <w:rFonts w:hint="eastAsia" w:ascii="仿宋" w:hAnsi="仿宋" w:eastAsia="仿宋" w:cs="仿宋"/>
          <w:b w:val="0"/>
          <w:bCs w:val="0"/>
          <w:color w:val="000000"/>
        </w:rPr>
        <w:t>国</w:t>
      </w:r>
      <w:r>
        <w:rPr>
          <w:rStyle w:val="19"/>
          <w:rFonts w:hint="eastAsia" w:ascii="仿宋" w:hAnsi="仿宋" w:eastAsia="仿宋" w:cs="仿宋"/>
          <w:b w:val="0"/>
          <w:bCs w:val="0"/>
        </w:rPr>
        <w:t>有资本经营预算支出决算表</w:t>
      </w:r>
      <w:bookmarkEnd w:id="131"/>
      <w:bookmarkEnd w:id="132"/>
    </w:p>
    <w:p>
      <w:pPr>
        <w:pStyle w:val="5"/>
        <w:spacing w:before="0" w:after="0" w:line="576" w:lineRule="exact"/>
        <w:rPr>
          <w:rStyle w:val="19"/>
          <w:rFonts w:ascii="仿宋" w:hAnsi="仿宋" w:eastAsia="仿宋" w:cs="Times New Roman"/>
          <w:b w:val="0"/>
          <w:bCs w:val="0"/>
        </w:rPr>
      </w:pPr>
      <w:r>
        <w:rPr>
          <w:rStyle w:val="19"/>
          <w:rFonts w:hint="eastAsia" w:ascii="仿宋" w:hAnsi="仿宋" w:eastAsia="仿宋" w:cs="仿宋"/>
          <w:b w:val="0"/>
          <w:bCs w:val="0"/>
        </w:rPr>
        <w:t>十四、国有资本经营预算财政拨款支出决算表</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20</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BD4C5"/>
    <w:multiLevelType w:val="singleLevel"/>
    <w:tmpl w:val="800BD4C5"/>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2628395"/>
    <w:multiLevelType w:val="singleLevel"/>
    <w:tmpl w:val="F2628395"/>
    <w:lvl w:ilvl="0" w:tentative="0">
      <w:start w:val="2"/>
      <w:numFmt w:val="chineseCounting"/>
      <w:suff w:val="nothing"/>
      <w:lvlText w:val="（%1）"/>
      <w:lvlJc w:val="left"/>
      <w:rPr>
        <w:rFonts w:hint="eastAsia"/>
      </w:rPr>
    </w:lvl>
  </w:abstractNum>
  <w:abstractNum w:abstractNumId="4">
    <w:nsid w:val="F8E39B17"/>
    <w:multiLevelType w:val="singleLevel"/>
    <w:tmpl w:val="F8E39B17"/>
    <w:lvl w:ilvl="0" w:tentative="0">
      <w:start w:val="1"/>
      <w:numFmt w:val="chineseCounting"/>
      <w:suff w:val="space"/>
      <w:lvlText w:val="第%1部分"/>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43B0"/>
    <w:rsid w:val="00280496"/>
    <w:rsid w:val="00294DC9"/>
    <w:rsid w:val="00295495"/>
    <w:rsid w:val="002A31DE"/>
    <w:rsid w:val="002B2613"/>
    <w:rsid w:val="002D19B0"/>
    <w:rsid w:val="002D6D05"/>
    <w:rsid w:val="002F1818"/>
    <w:rsid w:val="002F567B"/>
    <w:rsid w:val="003216A9"/>
    <w:rsid w:val="00335A74"/>
    <w:rsid w:val="003653B9"/>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572D1"/>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0194"/>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0E97"/>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5CBC"/>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1D3B"/>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91C2B"/>
    <w:rsid w:val="02CF3921"/>
    <w:rsid w:val="04324805"/>
    <w:rsid w:val="07244E0C"/>
    <w:rsid w:val="0A1C11F6"/>
    <w:rsid w:val="0A1F1EBD"/>
    <w:rsid w:val="0CBA5925"/>
    <w:rsid w:val="10C055FF"/>
    <w:rsid w:val="14AD0976"/>
    <w:rsid w:val="152E2A27"/>
    <w:rsid w:val="15A053C7"/>
    <w:rsid w:val="16BB723D"/>
    <w:rsid w:val="186256B5"/>
    <w:rsid w:val="18B95DD2"/>
    <w:rsid w:val="18DD566C"/>
    <w:rsid w:val="19E43D34"/>
    <w:rsid w:val="1ACF2641"/>
    <w:rsid w:val="1B180754"/>
    <w:rsid w:val="1CB14528"/>
    <w:rsid w:val="240371BF"/>
    <w:rsid w:val="24E07EED"/>
    <w:rsid w:val="24F3317E"/>
    <w:rsid w:val="29900581"/>
    <w:rsid w:val="29FD04D3"/>
    <w:rsid w:val="2A075288"/>
    <w:rsid w:val="2ABB0A0C"/>
    <w:rsid w:val="2EFF2F44"/>
    <w:rsid w:val="2F5E3DF6"/>
    <w:rsid w:val="311A4F0B"/>
    <w:rsid w:val="31512793"/>
    <w:rsid w:val="319F7F4E"/>
    <w:rsid w:val="31D47932"/>
    <w:rsid w:val="338B5C86"/>
    <w:rsid w:val="3ADC6FF5"/>
    <w:rsid w:val="3B49692C"/>
    <w:rsid w:val="3C3B6220"/>
    <w:rsid w:val="3E521166"/>
    <w:rsid w:val="3E914963"/>
    <w:rsid w:val="416F4FE4"/>
    <w:rsid w:val="491F49C6"/>
    <w:rsid w:val="4B383795"/>
    <w:rsid w:val="4BEB2E10"/>
    <w:rsid w:val="4C1D34C2"/>
    <w:rsid w:val="4D186F36"/>
    <w:rsid w:val="4D3F052A"/>
    <w:rsid w:val="4EAF180B"/>
    <w:rsid w:val="4ECE2238"/>
    <w:rsid w:val="51AD32A7"/>
    <w:rsid w:val="520A50B2"/>
    <w:rsid w:val="535361D3"/>
    <w:rsid w:val="585A7B65"/>
    <w:rsid w:val="5FEF58C5"/>
    <w:rsid w:val="60A3174F"/>
    <w:rsid w:val="66D60626"/>
    <w:rsid w:val="6CBA6532"/>
    <w:rsid w:val="6E5F7193"/>
    <w:rsid w:val="71A54766"/>
    <w:rsid w:val="72734D90"/>
    <w:rsid w:val="730B7AF5"/>
    <w:rsid w:val="795D0C08"/>
    <w:rsid w:val="7AE7628D"/>
    <w:rsid w:val="7FBB31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2"/>
    <w:qFormat/>
    <w:uiPriority w:val="99"/>
    <w:pPr>
      <w:tabs>
        <w:tab w:val="left" w:pos="960"/>
      </w:tabs>
      <w:ind w:firstLine="420" w:firstLineChars="200"/>
    </w:pPr>
  </w:style>
  <w:style w:type="paragraph" w:styleId="3">
    <w:name w:val="Body Text Indent"/>
    <w:basedOn w:val="1"/>
    <w:next w:val="2"/>
    <w:link w:val="21"/>
    <w:qFormat/>
    <w:uiPriority w:val="99"/>
    <w:pPr>
      <w:tabs>
        <w:tab w:val="left" w:pos="960"/>
      </w:tabs>
      <w:spacing w:line="540" w:lineRule="exact"/>
      <w:ind w:firstLine="5440" w:firstLineChars="1700"/>
    </w:pPr>
    <w:rPr>
      <w:sz w:val="32"/>
      <w:szCs w:val="32"/>
    </w:rPr>
  </w:style>
  <w:style w:type="paragraph" w:styleId="7">
    <w:name w:val="Body Text"/>
    <w:basedOn w:val="1"/>
    <w:link w:val="29"/>
    <w:qFormat/>
    <w:uiPriority w:val="99"/>
    <w:pPr>
      <w:spacing w:beforeLines="30"/>
    </w:pPr>
    <w:rPr>
      <w:rFonts w:ascii="仿宋_GB2312" w:eastAsia="仿宋_GB2312" w:cs="仿宋_GB2312"/>
      <w:kern w:val="0"/>
      <w:sz w:val="24"/>
      <w:szCs w:val="24"/>
    </w:rPr>
  </w:style>
  <w:style w:type="paragraph" w:styleId="8">
    <w:name w:val="toc 3"/>
    <w:basedOn w:val="1"/>
    <w:next w:val="1"/>
    <w:semiHidden/>
    <w:uiPriority w:val="99"/>
    <w:pPr>
      <w:tabs>
        <w:tab w:val="right" w:leader="dot" w:pos="8296"/>
      </w:tabs>
      <w:ind w:left="840" w:leftChars="400"/>
    </w:pPr>
  </w:style>
  <w:style w:type="paragraph" w:styleId="9">
    <w:name w:val="Balloon Text"/>
    <w:basedOn w:val="1"/>
    <w:link w:val="24"/>
    <w:semiHidden/>
    <w:uiPriority w:val="99"/>
    <w:rPr>
      <w:sz w:val="18"/>
      <w:szCs w:val="18"/>
    </w:rPr>
  </w:style>
  <w:style w:type="paragraph" w:styleId="10">
    <w:name w:val="footer"/>
    <w:basedOn w:val="1"/>
    <w:link w:val="28"/>
    <w:qFormat/>
    <w:uiPriority w:val="99"/>
    <w:pPr>
      <w:tabs>
        <w:tab w:val="center" w:pos="4153"/>
        <w:tab w:val="right" w:pos="8306"/>
      </w:tabs>
      <w:snapToGrid w:val="0"/>
      <w:jc w:val="left"/>
    </w:pPr>
    <w:rPr>
      <w:kern w:val="0"/>
      <w:sz w:val="18"/>
      <w:szCs w:val="18"/>
    </w:rPr>
  </w:style>
  <w:style w:type="paragraph" w:styleId="11">
    <w:name w:val="header"/>
    <w:basedOn w:val="1"/>
    <w:link w:val="27"/>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3">
    <w:name w:val="toc 2"/>
    <w:basedOn w:val="1"/>
    <w:next w:val="1"/>
    <w:semiHidden/>
    <w:qFormat/>
    <w:uiPriority w:val="99"/>
    <w:pPr>
      <w:tabs>
        <w:tab w:val="right" w:leader="dot" w:pos="8296"/>
      </w:tabs>
      <w:ind w:left="420" w:leftChars="200"/>
    </w:p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Heading 1 Char"/>
    <w:basedOn w:val="15"/>
    <w:link w:val="4"/>
    <w:qFormat/>
    <w:locked/>
    <w:uiPriority w:val="99"/>
    <w:rPr>
      <w:rFonts w:ascii="Times New Roman" w:hAnsi="Times New Roman" w:cs="Times New Roman"/>
      <w:b/>
      <w:bCs/>
      <w:kern w:val="44"/>
      <w:sz w:val="44"/>
      <w:szCs w:val="44"/>
    </w:rPr>
  </w:style>
  <w:style w:type="character" w:customStyle="1" w:styleId="19">
    <w:name w:val="Heading 2 Char"/>
    <w:basedOn w:val="15"/>
    <w:link w:val="5"/>
    <w:qFormat/>
    <w:locked/>
    <w:uiPriority w:val="99"/>
    <w:rPr>
      <w:rFonts w:ascii="Cambria" w:hAnsi="Cambria" w:eastAsia="宋体" w:cs="Cambria"/>
      <w:b/>
      <w:bCs/>
      <w:kern w:val="2"/>
      <w:sz w:val="32"/>
      <w:szCs w:val="32"/>
    </w:rPr>
  </w:style>
  <w:style w:type="character" w:customStyle="1" w:styleId="20">
    <w:name w:val="Heading 3 Char"/>
    <w:basedOn w:val="15"/>
    <w:link w:val="6"/>
    <w:locked/>
    <w:uiPriority w:val="99"/>
    <w:rPr>
      <w:rFonts w:ascii="Times New Roman" w:hAnsi="Times New Roman" w:cs="Times New Roman"/>
      <w:b/>
      <w:bCs/>
      <w:kern w:val="2"/>
      <w:sz w:val="32"/>
      <w:szCs w:val="32"/>
    </w:rPr>
  </w:style>
  <w:style w:type="character" w:customStyle="1" w:styleId="21">
    <w:name w:val="Body Text Indent Char"/>
    <w:basedOn w:val="15"/>
    <w:link w:val="3"/>
    <w:semiHidden/>
    <w:qFormat/>
    <w:uiPriority w:val="99"/>
    <w:rPr>
      <w:szCs w:val="21"/>
    </w:rPr>
  </w:style>
  <w:style w:type="character" w:customStyle="1" w:styleId="22">
    <w:name w:val="Body Text First Indent 2 Char"/>
    <w:basedOn w:val="21"/>
    <w:link w:val="2"/>
    <w:semiHidden/>
    <w:qFormat/>
    <w:uiPriority w:val="99"/>
  </w:style>
  <w:style w:type="character" w:customStyle="1" w:styleId="23">
    <w:name w:val="Body Text Char"/>
    <w:basedOn w:val="15"/>
    <w:link w:val="7"/>
    <w:semiHidden/>
    <w:qFormat/>
    <w:uiPriority w:val="99"/>
    <w:rPr>
      <w:rFonts w:ascii="Times New Roman" w:hAnsi="Times New Roman" w:cs="Times New Roman"/>
      <w:sz w:val="24"/>
      <w:szCs w:val="24"/>
    </w:rPr>
  </w:style>
  <w:style w:type="character" w:customStyle="1" w:styleId="24">
    <w:name w:val="Balloon Text Char"/>
    <w:basedOn w:val="15"/>
    <w:link w:val="9"/>
    <w:semiHidden/>
    <w:qFormat/>
    <w:locked/>
    <w:uiPriority w:val="99"/>
    <w:rPr>
      <w:rFonts w:ascii="Times New Roman" w:hAnsi="Times New Roman" w:cs="Times New Roman"/>
      <w:kern w:val="2"/>
      <w:sz w:val="18"/>
      <w:szCs w:val="18"/>
    </w:rPr>
  </w:style>
  <w:style w:type="character" w:customStyle="1" w:styleId="25">
    <w:name w:val="Footer Char"/>
    <w:basedOn w:val="15"/>
    <w:link w:val="10"/>
    <w:semiHidden/>
    <w:uiPriority w:val="99"/>
    <w:rPr>
      <w:rFonts w:ascii="Times New Roman" w:hAnsi="Times New Roman" w:cs="Times New Roman"/>
      <w:sz w:val="18"/>
      <w:szCs w:val="18"/>
    </w:rPr>
  </w:style>
  <w:style w:type="character" w:customStyle="1" w:styleId="26">
    <w:name w:val="Header Char"/>
    <w:basedOn w:val="15"/>
    <w:link w:val="11"/>
    <w:semiHidden/>
    <w:uiPriority w:val="99"/>
    <w:rPr>
      <w:rFonts w:ascii="Times New Roman" w:hAnsi="Times New Roman" w:cs="Times New Roman"/>
      <w:sz w:val="18"/>
      <w:szCs w:val="18"/>
    </w:rPr>
  </w:style>
  <w:style w:type="character" w:customStyle="1" w:styleId="27">
    <w:name w:val="Header Char1"/>
    <w:link w:val="11"/>
    <w:semiHidden/>
    <w:qFormat/>
    <w:locked/>
    <w:uiPriority w:val="99"/>
    <w:rPr>
      <w:sz w:val="18"/>
      <w:szCs w:val="18"/>
    </w:rPr>
  </w:style>
  <w:style w:type="character" w:customStyle="1" w:styleId="28">
    <w:name w:val="Footer Char1"/>
    <w:link w:val="10"/>
    <w:qFormat/>
    <w:locked/>
    <w:uiPriority w:val="99"/>
    <w:rPr>
      <w:sz w:val="18"/>
      <w:szCs w:val="18"/>
    </w:rPr>
  </w:style>
  <w:style w:type="character" w:customStyle="1" w:styleId="29">
    <w:name w:val="Body Text Char1"/>
    <w:link w:val="7"/>
    <w:qFormat/>
    <w:locked/>
    <w:uiPriority w:val="99"/>
    <w:rPr>
      <w:rFonts w:ascii="仿宋_GB2312" w:hAnsi="Times New Roman" w:eastAsia="仿宋_GB2312" w:cs="仿宋_GB2312"/>
      <w:sz w:val="24"/>
      <w:szCs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1">
    <w:name w:val="List Paragraph"/>
    <w:basedOn w:val="1"/>
    <w:qFormat/>
    <w:uiPriority w:val="99"/>
    <w:pPr>
      <w:ind w:firstLine="420" w:firstLineChars="200"/>
    </w:pPr>
  </w:style>
  <w:style w:type="paragraph" w:customStyle="1" w:styleId="32">
    <w:name w:val="TOC 标题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3">
    <w:name w:val="TOC Heading1"/>
    <w:basedOn w:val="4"/>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34">
    <w:name w:val="info1"/>
    <w:basedOn w:val="15"/>
    <w:qFormat/>
    <w:uiPriority w:val="99"/>
    <w:rPr>
      <w:spacing w:val="10"/>
      <w:sz w:val="14"/>
      <w:szCs w:val="14"/>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21</Pages>
  <Words>1342</Words>
  <Characters>7651</Characters>
  <Lines>0</Lines>
  <Paragraphs>0</Paragraphs>
  <TotalTime>17</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wt</cp:lastModifiedBy>
  <cp:lastPrinted>2020-07-23T02:58:00Z</cp:lastPrinted>
  <dcterms:modified xsi:type="dcterms:W3CDTF">2021-09-24T01:48:12Z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