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center"/>
        <w:outlineLvl w:val="0"/>
        <w:rPr>
          <w:rFonts w:ascii="方正小标宋简体" w:eastAsia="方正小标宋简体"/>
          <w:color w:val="000000"/>
          <w:sz w:val="72"/>
          <w:szCs w:val="72"/>
        </w:rPr>
      </w:pPr>
      <w:bookmarkStart w:id="0" w:name="_Toc15306267"/>
    </w:p>
    <w:p>
      <w:pPr>
        <w:spacing w:line="600" w:lineRule="exact"/>
        <w:jc w:val="center"/>
        <w:outlineLvl w:val="0"/>
        <w:rPr>
          <w:rFonts w:ascii="方正小标宋简体" w:eastAsia="方正小标宋简体"/>
          <w:color w:val="000000"/>
          <w:sz w:val="72"/>
          <w:szCs w:val="72"/>
        </w:rPr>
      </w:pPr>
    </w:p>
    <w:p>
      <w:pPr>
        <w:spacing w:line="600" w:lineRule="exact"/>
        <w:jc w:val="center"/>
        <w:outlineLvl w:val="0"/>
        <w:rPr>
          <w:rFonts w:ascii="方正小标宋简体" w:eastAsia="方正小标宋简体"/>
          <w:color w:val="000000"/>
          <w:sz w:val="44"/>
          <w:szCs w:val="44"/>
        </w:rPr>
      </w:pPr>
    </w:p>
    <w:p>
      <w:pPr>
        <w:spacing w:line="600" w:lineRule="exact"/>
        <w:jc w:val="center"/>
        <w:outlineLvl w:val="0"/>
        <w:rPr>
          <w:rFonts w:ascii="方正小标宋简体" w:eastAsia="方正小标宋简体"/>
          <w:color w:val="000000"/>
          <w:sz w:val="72"/>
          <w:szCs w:val="72"/>
        </w:rPr>
      </w:pPr>
    </w:p>
    <w:p>
      <w:pPr>
        <w:adjustRightInd w:val="0"/>
        <w:snapToGrid w:val="0"/>
        <w:spacing w:line="360" w:lineRule="auto"/>
        <w:jc w:val="center"/>
        <w:outlineLvl w:val="0"/>
        <w:rPr>
          <w:rFonts w:ascii="方正小标宋简体" w:eastAsia="方正小标宋简体"/>
          <w:color w:val="000000"/>
          <w:sz w:val="72"/>
          <w:szCs w:val="72"/>
        </w:rPr>
      </w:pPr>
      <w:bookmarkStart w:id="1" w:name="_Toc15377193"/>
      <w:bookmarkStart w:id="2" w:name="_Toc15377425"/>
      <w:bookmarkStart w:id="3" w:name="_Toc15378441"/>
      <w:bookmarkStart w:id="4" w:name="_Toc15396475"/>
      <w:bookmarkStart w:id="5" w:name="_Toc15396597"/>
      <w:r>
        <w:rPr>
          <w:rFonts w:ascii="黑体" w:eastAsia="黑体" w:cs="黑体"/>
          <w:color w:val="000000"/>
          <w:sz w:val="72"/>
          <w:szCs w:val="72"/>
        </w:rPr>
        <w:t>2018</w:t>
      </w:r>
      <w:r>
        <w:rPr>
          <w:rFonts w:ascii="方正小标宋简体" w:eastAsia="方正小标宋简体" w:cs="方正小标宋简体" w:hint="eastAsia"/>
          <w:color w:val="000000"/>
          <w:sz w:val="72"/>
          <w:szCs w:val="72"/>
        </w:rPr>
        <w:t>年度</w:t>
      </w:r>
      <w:bookmarkEnd w:id="1"/>
      <w:bookmarkEnd w:id="2"/>
      <w:bookmarkEnd w:id="3"/>
      <w:bookmarkEnd w:id="4"/>
      <w:bookmarkEnd w:id="5"/>
    </w:p>
    <w:p>
      <w:pPr>
        <w:adjustRightInd w:val="0"/>
        <w:snapToGrid w:val="0"/>
        <w:spacing w:line="360" w:lineRule="auto"/>
        <w:jc w:val="center"/>
        <w:outlineLvl w:val="0"/>
        <w:rPr>
          <w:rFonts w:ascii="方正小标宋简体" w:eastAsia="方正小标宋简体"/>
          <w:color w:val="000000"/>
          <w:sz w:val="72"/>
          <w:szCs w:val="72"/>
        </w:rPr>
      </w:pPr>
      <w:bookmarkStart w:id="6" w:name="_Toc15377426"/>
      <w:bookmarkStart w:id="7" w:name="_Toc15378442"/>
      <w:bookmarkStart w:id="8" w:name="_Toc15377194"/>
      <w:bookmarkStart w:id="9" w:name="_Toc15396476"/>
      <w:bookmarkStart w:id="10" w:name="_Toc15396598"/>
      <w:r>
        <w:rPr>
          <w:rFonts w:ascii="方正小标宋简体" w:eastAsia="方正小标宋简体" w:cs="方正小标宋简体" w:hint="eastAsia"/>
          <w:color w:val="000000"/>
          <w:sz w:val="72"/>
          <w:szCs w:val="72"/>
        </w:rPr>
        <w:t>四川省</w:t>
      </w:r>
      <w:bookmarkStart w:id="11" w:name="_Toc15306268"/>
      <w:bookmarkEnd w:id="0"/>
      <w:r>
        <w:rPr>
          <w:rFonts w:ascii="方正小标宋简体" w:eastAsia="方正小标宋简体" w:cs="方正小标宋简体" w:hint="eastAsia"/>
          <w:color w:val="000000"/>
          <w:sz w:val="72"/>
          <w:szCs w:val="72"/>
        </w:rPr>
        <w:t>茂县统战部</w:t>
      </w:r>
    </w:p>
    <w:p>
      <w:pPr>
        <w:adjustRightInd w:val="0"/>
        <w:snapToGrid w:val="0"/>
        <w:spacing w:line="360" w:lineRule="auto"/>
        <w:jc w:val="center"/>
        <w:outlineLvl w:val="0"/>
        <w:rPr>
          <w:rFonts w:ascii="方正小标宋简体" w:eastAsia="方正小标宋简体"/>
          <w:color w:val="000000"/>
          <w:sz w:val="72"/>
          <w:szCs w:val="72"/>
        </w:rPr>
      </w:pPr>
      <w:r>
        <w:rPr>
          <w:rFonts w:ascii="方正小标宋简体" w:eastAsia="方正小标宋简体" w:cs="方正小标宋简体" w:hint="eastAsia"/>
          <w:color w:val="000000"/>
          <w:sz w:val="72"/>
          <w:szCs w:val="72"/>
        </w:rPr>
        <w:t>部门决算</w:t>
      </w:r>
      <w:bookmarkEnd w:id="6"/>
      <w:bookmarkEnd w:id="7"/>
      <w:bookmarkEnd w:id="8"/>
      <w:bookmarkEnd w:id="9"/>
      <w:bookmarkEnd w:id="10"/>
      <w:bookmarkEnd w:id="11"/>
    </w:p>
    <w:p>
      <w:pPr>
        <w:adjustRightInd w:val="0"/>
        <w:snapToGrid w:val="0"/>
        <w:spacing w:line="360" w:lineRule="auto"/>
        <w:jc w:val="center"/>
        <w:outlineLvl w:val="0"/>
        <w:rPr>
          <w:rFonts w:ascii="黑体" w:eastAsia="黑体"/>
          <w:color w:val="000000"/>
          <w:sz w:val="48"/>
          <w:szCs w:val="48"/>
        </w:rPr>
      </w:pPr>
      <w:r>
        <w:rPr>
          <w:rFonts w:ascii="方正小标宋简体" w:eastAsia="方正小标宋简体"/>
          <w:color w:val="000000"/>
          <w:sz w:val="36"/>
          <w:szCs w:val="36"/>
        </w:rPr>
        <w:br w:type="page"/>
      </w:r>
      <w:r>
        <w:rPr>
          <w:rFonts w:ascii="黑体" w:eastAsia="黑体" w:cs="黑体" w:hint="eastAsia"/>
          <w:color w:val="000000"/>
          <w:sz w:val="48"/>
          <w:szCs w:val="48"/>
        </w:rPr>
        <w:t>目录</w:t>
      </w:r>
    </w:p>
    <w:p>
      <w:pPr>
        <w:widowControl/>
        <w:jc w:val="center"/>
        <w:rPr>
          <w:rFonts w:ascii="黑体" w:eastAsia="黑体"/>
          <w:sz w:val="28"/>
          <w:szCs w:val="28"/>
        </w:rPr>
      </w:pPr>
      <w:r>
        <w:rPr>
          <w:rFonts w:ascii="黑体" w:eastAsia="黑体" w:cs="黑体"/>
          <w:color w:val="000000"/>
          <w:sz w:val="48"/>
          <w:szCs w:val="48"/>
        </w:rPr>
        <w:fldChar w:fldCharType="begin"/>
      </w:r>
      <w:r>
        <w:rPr>
          <w:rFonts w:ascii="黑体" w:eastAsia="黑体" w:cs="黑体"/>
          <w:color w:val="000000"/>
          <w:sz w:val="48"/>
          <w:szCs w:val="48"/>
        </w:rPr>
        <w:instrText xml:space="preserve"> TOC \o "1-2" \h \z \u </w:instrText>
      </w:r>
      <w:r>
        <w:rPr>
          <w:rFonts w:ascii="黑体" w:eastAsia="黑体" w:cs="黑体"/>
          <w:color w:val="000000"/>
          <w:sz w:val="48"/>
          <w:szCs w:val="48"/>
        </w:rPr>
        <w:fldChar w:fldCharType="separate"/>
      </w:r>
    </w:p>
    <w:p/>
    <w:p>
      <w:pPr>
        <w:pStyle w:val="20"/>
        <w:tabs>
          <w:tab w:val="right" w:leader="dot" w:pos="8296"/>
        </w:tabs>
        <w:rPr>
          <w:rFonts w:cs="Times New Roman"/>
        </w:rPr>
      </w:pPr>
      <w:r>
        <w:fldChar w:fldCharType="begin"/>
      </w:r>
      <w:r>
        <w:instrText xml:space="preserve"> HYPERLINK \l "_Toc15396599" </w:instrText>
      </w:r>
      <w:r>
        <w:fldChar w:fldCharType="separate"/>
      </w:r>
      <w:r>
        <w:rPr>
          <w:rFonts w:cs="仿宋" w:hint="eastAsia"/>
        </w:rPr>
        <w:t>第一部分部门概况</w:t>
      </w:r>
      <w:r>
        <w:rPr>
          <w:rFonts w:cs="Times New Roman"/>
        </w:rPr>
        <w:tab/>
      </w:r>
      <w:r>
        <w:t>4</w:t>
      </w:r>
      <w:r>
        <w:fldChar w:fldCharType="end"/>
      </w:r>
    </w:p>
    <w:p>
      <w:pPr>
        <w:pStyle w:val="21"/>
        <w:tabs>
          <w:tab w:val="right" w:leader="dot" w:pos="8296"/>
        </w:tabs>
        <w:rPr>
          <w:rFonts w:ascii="仿宋" w:eastAsia="仿宋"/>
          <w:sz w:val="28"/>
          <w:szCs w:val="28"/>
        </w:rPr>
      </w:pPr>
      <w:r>
        <w:fldChar w:fldCharType="begin"/>
      </w:r>
      <w:r>
        <w:instrText xml:space="preserve"> HYPERLINK \l "_Toc15396600" </w:instrText>
      </w:r>
      <w:r>
        <w:fldChar w:fldCharType="separate"/>
      </w:r>
      <w:r>
        <w:rPr>
          <w:rFonts w:ascii="仿宋" w:eastAsia="仿宋" w:cs="仿宋" w:hint="eastAsia"/>
          <w:sz w:val="28"/>
          <w:szCs w:val="28"/>
        </w:rPr>
        <w:t>一、基本职能及主要工作</w:t>
      </w:r>
      <w:r>
        <w:rPr>
          <w:rFonts w:ascii="仿宋" w:eastAsia="仿宋"/>
          <w:sz w:val="28"/>
          <w:szCs w:val="28"/>
        </w:rPr>
        <w:tab/>
      </w:r>
      <w:r>
        <w:rPr>
          <w:rFonts w:ascii="仿宋" w:eastAsia="仿宋" w:cs="仿宋"/>
          <w:sz w:val="28"/>
          <w:szCs w:val="28"/>
        </w:rPr>
        <w:t>4</w:t>
      </w:r>
      <w:r>
        <w:rPr>
          <w:rFonts w:ascii="仿宋" w:eastAsia="仿宋" w:cs="仿宋"/>
          <w:sz w:val="28"/>
          <w:szCs w:val="28"/>
        </w:rPr>
        <w:fldChar w:fldCharType="end"/>
      </w:r>
    </w:p>
    <w:p>
      <w:pPr>
        <w:pStyle w:val="21"/>
        <w:tabs>
          <w:tab w:val="right" w:leader="dot" w:pos="8296"/>
        </w:tabs>
        <w:rPr>
          <w:rFonts w:ascii="仿宋" w:eastAsia="仿宋"/>
          <w:sz w:val="28"/>
          <w:szCs w:val="28"/>
        </w:rPr>
      </w:pPr>
      <w:r>
        <w:fldChar w:fldCharType="begin"/>
      </w:r>
      <w:r>
        <w:instrText xml:space="preserve"> HYPERLINK \l "_Toc15396601" </w:instrText>
      </w:r>
      <w:r>
        <w:fldChar w:fldCharType="separate"/>
      </w:r>
      <w:r>
        <w:rPr>
          <w:rFonts w:ascii="仿宋" w:eastAsia="仿宋" w:cs="仿宋" w:hint="eastAsia"/>
          <w:sz w:val="28"/>
          <w:szCs w:val="28"/>
        </w:rPr>
        <w:t>二、机构设置</w:t>
      </w:r>
      <w:r>
        <w:rPr>
          <w:rFonts w:ascii="仿宋" w:eastAsia="仿宋"/>
          <w:sz w:val="28"/>
          <w:szCs w:val="28"/>
        </w:rPr>
        <w:tab/>
      </w:r>
      <w:r>
        <w:rPr>
          <w:rFonts w:ascii="仿宋" w:eastAsia="仿宋" w:cs="仿宋" w:hint="eastAsia"/>
          <w:sz w:val="28"/>
          <w:szCs w:val="28"/>
        </w:rPr>
        <w:t>6</w:t>
      </w:r>
      <w:r>
        <w:rPr>
          <w:rFonts w:ascii="仿宋" w:eastAsia="仿宋" w:cs="仿宋" w:hint="eastAsia"/>
          <w:sz w:val="28"/>
          <w:szCs w:val="28"/>
        </w:rPr>
        <w:fldChar w:fldCharType="end"/>
      </w:r>
    </w:p>
    <w:p>
      <w:pPr>
        <w:pStyle w:val="20"/>
        <w:tabs>
          <w:tab w:val="right" w:leader="dot" w:pos="8296"/>
        </w:tabs>
        <w:rPr>
          <w:rFonts w:cs="Times New Roman"/>
        </w:rPr>
      </w:pPr>
      <w:r>
        <w:fldChar w:fldCharType="begin"/>
      </w:r>
      <w:r>
        <w:instrText xml:space="preserve"> HYPERLINK \l "_Toc15396602" </w:instrText>
      </w:r>
      <w:r>
        <w:fldChar w:fldCharType="separate"/>
      </w:r>
      <w:r>
        <w:rPr>
          <w:rFonts w:cs="仿宋" w:hint="eastAsia"/>
        </w:rPr>
        <w:t>第二部分</w:t>
      </w:r>
      <w:r>
        <w:rPr>
          <w:rFonts w:cs="仿宋"/>
        </w:rPr>
        <w:t xml:space="preserve"> 2018</w:t>
      </w:r>
      <w:r>
        <w:rPr>
          <w:rFonts w:cs="仿宋" w:hint="eastAsia"/>
        </w:rPr>
        <w:t>年度部门决算情况说明</w:t>
      </w:r>
      <w:r>
        <w:rPr>
          <w:rFonts w:cs="Times New Roman"/>
        </w:rPr>
        <w:tab/>
      </w:r>
      <w:r>
        <w:rPr>
          <w:rFonts w:hint="eastAsia"/>
        </w:rPr>
        <w:t>7</w:t>
      </w:r>
      <w:r>
        <w:rPr>
          <w:rFonts w:hint="eastAsia"/>
        </w:rPr>
        <w:fldChar w:fldCharType="end"/>
      </w:r>
    </w:p>
    <w:p>
      <w:pPr>
        <w:pStyle w:val="21"/>
        <w:tabs>
          <w:tab w:val="right" w:leader="dot" w:pos="8296"/>
        </w:tabs>
        <w:rPr>
          <w:rFonts w:ascii="仿宋" w:eastAsia="仿宋"/>
          <w:sz w:val="28"/>
          <w:szCs w:val="28"/>
        </w:rPr>
      </w:pPr>
      <w:r>
        <w:fldChar w:fldCharType="begin"/>
      </w:r>
      <w:r>
        <w:instrText xml:space="preserve"> HYPERLINK \l "_Toc15396603" </w:instrText>
      </w:r>
      <w:r>
        <w:fldChar w:fldCharType="separate"/>
      </w:r>
      <w:r>
        <w:rPr>
          <w:rFonts w:ascii="仿宋" w:eastAsia="仿宋" w:cs="仿宋" w:hint="eastAsia"/>
          <w:sz w:val="28"/>
          <w:szCs w:val="28"/>
        </w:rPr>
        <w:t>一、收入支出决算总体情况说明</w:t>
      </w:r>
      <w:r>
        <w:rPr>
          <w:rFonts w:ascii="仿宋" w:eastAsia="仿宋"/>
          <w:sz w:val="28"/>
          <w:szCs w:val="28"/>
        </w:rPr>
        <w:tab/>
      </w:r>
      <w:r>
        <w:rPr>
          <w:rFonts w:ascii="仿宋" w:eastAsia="仿宋" w:cs="仿宋" w:hint="eastAsia"/>
          <w:sz w:val="28"/>
          <w:szCs w:val="28"/>
        </w:rPr>
        <w:t>7</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fldChar w:fldCharType="begin"/>
      </w:r>
      <w:r>
        <w:instrText xml:space="preserve"> HYPERLINK \l "_Toc15396604" </w:instrText>
      </w:r>
      <w:r>
        <w:fldChar w:fldCharType="separate"/>
      </w:r>
      <w:r>
        <w:rPr>
          <w:rFonts w:ascii="仿宋" w:eastAsia="仿宋" w:cs="仿宋" w:hint="eastAsia"/>
          <w:sz w:val="28"/>
          <w:szCs w:val="28"/>
        </w:rPr>
        <w:t>二、收入决算情况说明</w:t>
      </w:r>
      <w:r>
        <w:rPr>
          <w:rFonts w:ascii="仿宋" w:eastAsia="仿宋"/>
          <w:sz w:val="28"/>
          <w:szCs w:val="28"/>
        </w:rPr>
        <w:tab/>
      </w:r>
      <w:r>
        <w:rPr>
          <w:rFonts w:ascii="仿宋" w:eastAsia="仿宋" w:cs="仿宋" w:hint="eastAsia"/>
          <w:sz w:val="28"/>
          <w:szCs w:val="28"/>
        </w:rPr>
        <w:t>7</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fldChar w:fldCharType="begin"/>
      </w:r>
      <w:r>
        <w:instrText xml:space="preserve"> HYPERLINK \l "_Toc15396605" </w:instrText>
      </w:r>
      <w:r>
        <w:fldChar w:fldCharType="separate"/>
      </w:r>
      <w:r>
        <w:rPr>
          <w:rFonts w:ascii="仿宋" w:eastAsia="仿宋" w:cs="仿宋" w:hint="eastAsia"/>
          <w:sz w:val="28"/>
          <w:szCs w:val="28"/>
        </w:rPr>
        <w:t>三、支出决算情况说明</w:t>
      </w:r>
      <w:r>
        <w:rPr>
          <w:rFonts w:ascii="仿宋" w:eastAsia="仿宋"/>
          <w:sz w:val="28"/>
          <w:szCs w:val="28"/>
        </w:rPr>
        <w:tab/>
      </w:r>
      <w:r>
        <w:rPr>
          <w:rFonts w:ascii="仿宋" w:eastAsia="仿宋" w:cs="仿宋" w:hint="eastAsia"/>
          <w:sz w:val="28"/>
          <w:szCs w:val="28"/>
        </w:rPr>
        <w:t>8</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fldChar w:fldCharType="begin"/>
      </w:r>
      <w:r>
        <w:instrText xml:space="preserve"> HYPERLINK \l "_Toc15396606" </w:instrText>
      </w:r>
      <w:r>
        <w:fldChar w:fldCharType="separate"/>
      </w:r>
      <w:r>
        <w:rPr>
          <w:rFonts w:ascii="仿宋" w:eastAsia="仿宋" w:cs="仿宋" w:hint="eastAsia"/>
          <w:sz w:val="28"/>
          <w:szCs w:val="28"/>
        </w:rPr>
        <w:t>四、财政拨款收入支出决算总体情况说明</w:t>
      </w:r>
      <w:r>
        <w:rPr>
          <w:rFonts w:ascii="仿宋" w:eastAsia="仿宋"/>
          <w:sz w:val="28"/>
          <w:szCs w:val="28"/>
        </w:rPr>
        <w:tab/>
      </w:r>
      <w:r>
        <w:rPr>
          <w:rFonts w:ascii="仿宋" w:eastAsia="仿宋" w:cs="仿宋" w:hint="eastAsia"/>
          <w:sz w:val="28"/>
          <w:szCs w:val="28"/>
        </w:rPr>
        <w:t>8</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fldChar w:fldCharType="begin"/>
      </w:r>
      <w:r>
        <w:instrText xml:space="preserve"> HYPERLINK \l "_Toc15396607" </w:instrText>
      </w:r>
      <w:r>
        <w:fldChar w:fldCharType="separate"/>
      </w:r>
      <w:r>
        <w:rPr>
          <w:rFonts w:ascii="仿宋" w:eastAsia="仿宋" w:cs="仿宋" w:hint="eastAsia"/>
          <w:sz w:val="28"/>
          <w:szCs w:val="28"/>
        </w:rPr>
        <w:t>五、一般公共预算财政拨款支出决算情况说明</w:t>
      </w:r>
      <w:r>
        <w:rPr>
          <w:rFonts w:ascii="仿宋" w:eastAsia="仿宋"/>
          <w:sz w:val="28"/>
          <w:szCs w:val="28"/>
        </w:rPr>
        <w:tab/>
      </w:r>
      <w:r>
        <w:rPr>
          <w:rFonts w:ascii="仿宋" w:eastAsia="仿宋" w:cs="仿宋" w:hint="eastAsia"/>
          <w:sz w:val="28"/>
          <w:szCs w:val="28"/>
        </w:rPr>
        <w:t>9</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fldChar w:fldCharType="begin"/>
      </w:r>
      <w:r>
        <w:instrText xml:space="preserve"> HYPERLINK \l "_Toc15396608" </w:instrText>
      </w:r>
      <w:r>
        <w:fldChar w:fldCharType="separate"/>
      </w:r>
      <w:r>
        <w:rPr>
          <w:rFonts w:ascii="仿宋" w:eastAsia="仿宋" w:cs="仿宋" w:hint="eastAsia"/>
          <w:sz w:val="28"/>
          <w:szCs w:val="28"/>
        </w:rPr>
        <w:t>六、一般公共预算财政拨款基本支出决算情况说明</w:t>
      </w:r>
      <w:r>
        <w:rPr>
          <w:rFonts w:ascii="仿宋" w:eastAsia="仿宋"/>
          <w:sz w:val="28"/>
          <w:szCs w:val="28"/>
        </w:rPr>
        <w:tab/>
      </w:r>
      <w:r>
        <w:rPr>
          <w:rFonts w:ascii="仿宋" w:eastAsia="仿宋" w:cs="仿宋" w:hint="eastAsia"/>
          <w:sz w:val="28"/>
          <w:szCs w:val="28"/>
        </w:rPr>
        <w:t>11</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fldChar w:fldCharType="begin"/>
      </w:r>
      <w:r>
        <w:instrText xml:space="preserve"> HYPERLINK \l "_Toc15396609" </w:instrText>
      </w:r>
      <w:r>
        <w:fldChar w:fldCharType="separate"/>
      </w:r>
      <w:r>
        <w:rPr>
          <w:rFonts w:ascii="仿宋" w:eastAsia="仿宋" w:cs="仿宋" w:hint="eastAsia"/>
          <w:sz w:val="28"/>
          <w:szCs w:val="28"/>
        </w:rPr>
        <w:t>七、“三公”经费财政拨款支出决算情况说明</w:t>
      </w:r>
      <w:r>
        <w:rPr>
          <w:rFonts w:ascii="仿宋" w:eastAsia="仿宋"/>
          <w:sz w:val="28"/>
          <w:szCs w:val="28"/>
        </w:rPr>
        <w:tab/>
      </w:r>
      <w:r>
        <w:rPr>
          <w:rFonts w:ascii="仿宋" w:eastAsia="仿宋" w:cs="仿宋" w:hint="eastAsia"/>
          <w:sz w:val="28"/>
          <w:szCs w:val="28"/>
        </w:rPr>
        <w:t>11</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fldChar w:fldCharType="begin"/>
      </w:r>
      <w:r>
        <w:instrText xml:space="preserve"> HYPERLINK \l "_Toc15396610" </w:instrText>
      </w:r>
      <w:r>
        <w:fldChar w:fldCharType="separate"/>
      </w:r>
      <w:r>
        <w:rPr>
          <w:rFonts w:ascii="仿宋" w:eastAsia="仿宋" w:cs="仿宋" w:hint="eastAsia"/>
          <w:sz w:val="28"/>
          <w:szCs w:val="28"/>
        </w:rPr>
        <w:t>八、政府性基金预算支出决算情况说明</w:t>
      </w:r>
      <w:r>
        <w:rPr>
          <w:rFonts w:ascii="仿宋" w:eastAsia="仿宋"/>
          <w:sz w:val="28"/>
          <w:szCs w:val="28"/>
        </w:rPr>
        <w:tab/>
      </w:r>
      <w:r>
        <w:rPr>
          <w:rFonts w:ascii="仿宋" w:eastAsia="仿宋" w:cs="仿宋" w:hint="eastAsia"/>
          <w:sz w:val="28"/>
          <w:szCs w:val="28"/>
        </w:rPr>
        <w:t>13</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fldChar w:fldCharType="begin"/>
      </w:r>
      <w:r>
        <w:instrText xml:space="preserve"> HYPERLINK \l "_Toc15396611" </w:instrText>
      </w:r>
      <w:r>
        <w:fldChar w:fldCharType="separate"/>
      </w:r>
      <w:r>
        <w:rPr>
          <w:rFonts w:ascii="仿宋" w:eastAsia="仿宋" w:cs="仿宋" w:hint="eastAsia"/>
          <w:sz w:val="28"/>
          <w:szCs w:val="28"/>
        </w:rPr>
        <w:t>九、国有资本经营预算支出决算情况说明</w:t>
      </w:r>
      <w:r>
        <w:rPr>
          <w:rFonts w:ascii="仿宋" w:eastAsia="仿宋"/>
          <w:sz w:val="28"/>
          <w:szCs w:val="28"/>
        </w:rPr>
        <w:tab/>
      </w:r>
      <w:r>
        <w:rPr>
          <w:rFonts w:ascii="仿宋" w:eastAsia="仿宋" w:cs="仿宋" w:hint="eastAsia"/>
          <w:sz w:val="28"/>
          <w:szCs w:val="28"/>
        </w:rPr>
        <w:t>13</w:t>
      </w:r>
      <w:r>
        <w:rPr>
          <w:rFonts w:ascii="仿宋" w:eastAsia="仿宋" w:cs="仿宋" w:hint="eastAsia"/>
          <w:sz w:val="28"/>
          <w:szCs w:val="28"/>
        </w:rPr>
        <w:fldChar w:fldCharType="end"/>
      </w:r>
    </w:p>
    <w:p>
      <w:pPr>
        <w:pStyle w:val="21"/>
        <w:tabs>
          <w:tab w:val="right" w:leader="dot" w:pos="8296"/>
        </w:tabs>
        <w:rPr>
          <w:rFonts w:ascii="仿宋" w:eastAsia="仿宋" w:cs="仿宋"/>
          <w:sz w:val="28"/>
          <w:szCs w:val="28"/>
        </w:rPr>
      </w:pPr>
      <w:r>
        <w:fldChar w:fldCharType="begin"/>
      </w:r>
      <w:r>
        <w:instrText xml:space="preserve"> HYPERLINK \l "_Toc15396611" </w:instrText>
      </w:r>
      <w:r>
        <w:fldChar w:fldCharType="separate"/>
      </w:r>
      <w:r>
        <w:rPr>
          <w:rFonts w:ascii="仿宋" w:eastAsia="仿宋" w:cs="仿宋" w:hint="eastAsia"/>
          <w:sz w:val="28"/>
          <w:szCs w:val="28"/>
        </w:rPr>
        <w:t>十、预算绩效情况说明</w:t>
      </w:r>
      <w:r>
        <w:rPr>
          <w:rFonts w:ascii="仿宋" w:eastAsia="仿宋" w:cs="仿宋"/>
          <w:sz w:val="28"/>
          <w:szCs w:val="28"/>
        </w:rPr>
        <w:tab/>
        <w:t>1</w:t>
      </w:r>
      <w:r>
        <w:rPr>
          <w:rFonts w:ascii="仿宋" w:eastAsia="仿宋" w:cs="仿宋"/>
          <w:sz w:val="28"/>
          <w:szCs w:val="28"/>
        </w:rPr>
        <w:fldChar w:fldCharType="end"/>
      </w:r>
      <w:r>
        <w:rPr>
          <w:rFonts w:ascii="仿宋" w:eastAsia="仿宋" w:cs="仿宋" w:hint="eastAsia"/>
          <w:sz w:val="28"/>
          <w:szCs w:val="28"/>
        </w:rPr>
        <w:t>3</w:t>
      </w:r>
    </w:p>
    <w:p>
      <w:pPr>
        <w:pStyle w:val="21"/>
        <w:tabs>
          <w:tab w:val="right" w:leader="dot" w:pos="8296"/>
        </w:tabs>
        <w:rPr>
          <w:rFonts w:ascii="仿宋" w:eastAsia="仿宋"/>
          <w:sz w:val="28"/>
          <w:szCs w:val="28"/>
        </w:rPr>
      </w:pPr>
      <w:r>
        <w:fldChar w:fldCharType="begin"/>
      </w:r>
      <w:r>
        <w:instrText xml:space="preserve"> HYPERLINK \l "_Toc15396612" </w:instrText>
      </w:r>
      <w:r>
        <w:fldChar w:fldCharType="separate"/>
      </w:r>
      <w:r>
        <w:rPr>
          <w:rFonts w:ascii="仿宋" w:eastAsia="仿宋" w:cs="仿宋" w:hint="eastAsia"/>
          <w:sz w:val="28"/>
          <w:szCs w:val="28"/>
        </w:rPr>
        <w:t>十一、其他重要事项的情况说明</w:t>
      </w:r>
      <w:r>
        <w:rPr>
          <w:rFonts w:ascii="仿宋" w:eastAsia="仿宋"/>
          <w:sz w:val="28"/>
          <w:szCs w:val="28"/>
        </w:rPr>
        <w:tab/>
      </w:r>
      <w:r>
        <w:rPr>
          <w:rFonts w:ascii="仿宋" w:eastAsia="仿宋" w:cs="仿宋" w:hint="eastAsia"/>
          <w:sz w:val="28"/>
          <w:szCs w:val="28"/>
        </w:rPr>
        <w:t>13</w:t>
      </w:r>
      <w:r>
        <w:rPr>
          <w:rFonts w:ascii="仿宋" w:eastAsia="仿宋" w:cs="仿宋" w:hint="eastAsia"/>
          <w:sz w:val="28"/>
          <w:szCs w:val="28"/>
        </w:rPr>
        <w:fldChar w:fldCharType="end"/>
      </w:r>
    </w:p>
    <w:p>
      <w:pPr>
        <w:pStyle w:val="20"/>
        <w:tabs>
          <w:tab w:val="right" w:leader="dot" w:pos="8296"/>
        </w:tabs>
        <w:rPr>
          <w:rFonts w:cs="Times New Roman"/>
        </w:rPr>
      </w:pPr>
      <w:r>
        <w:fldChar w:fldCharType="begin"/>
      </w:r>
      <w:r>
        <w:instrText xml:space="preserve"> HYPERLINK \l "_Toc15396613" </w:instrText>
      </w:r>
      <w:r>
        <w:fldChar w:fldCharType="separate"/>
      </w:r>
      <w:r>
        <w:rPr>
          <w:rFonts w:cs="仿宋" w:hint="eastAsia"/>
          <w:kern w:val="44"/>
        </w:rPr>
        <w:t>第三部分</w:t>
      </w:r>
      <w:r>
        <w:rPr>
          <w:rFonts w:cs="仿宋" w:hint="eastAsia"/>
        </w:rPr>
        <w:t>名</w:t>
      </w:r>
      <w:r>
        <w:rPr>
          <w:rFonts w:cs="仿宋" w:hint="eastAsia"/>
          <w:kern w:val="44"/>
        </w:rPr>
        <w:t>词解释</w:t>
      </w:r>
      <w:r>
        <w:rPr>
          <w:rFonts w:cs="Times New Roman"/>
        </w:rPr>
        <w:tab/>
      </w:r>
      <w:r>
        <w:rPr>
          <w:rFonts w:hint="eastAsia"/>
        </w:rPr>
        <w:t>14</w:t>
      </w:r>
      <w:r>
        <w:rPr>
          <w:rFonts w:hint="eastAsia"/>
        </w:rPr>
        <w:fldChar w:fldCharType="end"/>
      </w:r>
    </w:p>
    <w:p>
      <w:pPr>
        <w:pStyle w:val="20"/>
        <w:tabs>
          <w:tab w:val="right" w:leader="dot" w:pos="8296"/>
        </w:tabs>
        <w:rPr>
          <w:rFonts w:cs="Times New Roman"/>
        </w:rPr>
      </w:pPr>
      <w:r>
        <w:fldChar w:fldCharType="begin"/>
      </w:r>
      <w:r>
        <w:instrText xml:space="preserve"> HYPERLINK \l "_Toc15396614" </w:instrText>
      </w:r>
      <w:r>
        <w:fldChar w:fldCharType="separate"/>
      </w:r>
      <w:r>
        <w:rPr>
          <w:rFonts w:cs="仿宋" w:hint="eastAsia"/>
        </w:rPr>
        <w:t>第</w:t>
      </w:r>
      <w:r>
        <w:rPr>
          <w:rFonts w:cs="仿宋" w:hint="eastAsia"/>
          <w:kern w:val="44"/>
        </w:rPr>
        <w:t>四部分附件</w:t>
      </w:r>
      <w:r>
        <w:rPr>
          <w:rFonts w:cs="Times New Roman"/>
        </w:rPr>
        <w:tab/>
      </w:r>
      <w:r>
        <w:rPr>
          <w:rFonts w:hint="eastAsia"/>
        </w:rPr>
        <w:t>17</w:t>
      </w:r>
      <w:r>
        <w:rPr>
          <w:rFonts w:hint="eastAsia"/>
        </w:rPr>
        <w:fldChar w:fldCharType="end"/>
      </w:r>
    </w:p>
    <w:p>
      <w:pPr>
        <w:pStyle w:val="21"/>
        <w:tabs>
          <w:tab w:val="right" w:leader="dot" w:pos="8296"/>
        </w:tabs>
        <w:rPr>
          <w:rFonts w:ascii="仿宋" w:eastAsia="仿宋"/>
          <w:sz w:val="28"/>
          <w:szCs w:val="28"/>
        </w:rPr>
      </w:pPr>
      <w:r>
        <w:fldChar w:fldCharType="begin"/>
      </w:r>
      <w:r>
        <w:instrText xml:space="preserve"> HYPERLINK \l "_Toc15396615" </w:instrText>
      </w:r>
      <w:r>
        <w:fldChar w:fldCharType="separate"/>
      </w:r>
      <w:r>
        <w:rPr>
          <w:rFonts w:ascii="仿宋" w:eastAsia="仿宋" w:cs="仿宋" w:hint="eastAsia"/>
          <w:kern w:val="44"/>
          <w:sz w:val="28"/>
          <w:szCs w:val="28"/>
        </w:rPr>
        <w:t>附件</w:t>
      </w:r>
      <w:r>
        <w:rPr>
          <w:rFonts w:ascii="仿宋" w:eastAsia="仿宋" w:cs="仿宋"/>
          <w:kern w:val="44"/>
          <w:sz w:val="28"/>
          <w:szCs w:val="28"/>
        </w:rPr>
        <w:t>1</w:t>
      </w:r>
      <w:r>
        <w:rPr>
          <w:rFonts w:ascii="仿宋" w:eastAsia="仿宋"/>
          <w:sz w:val="28"/>
          <w:szCs w:val="28"/>
        </w:rPr>
        <w:tab/>
      </w:r>
      <w:r>
        <w:rPr>
          <w:rFonts w:ascii="仿宋" w:eastAsia="仿宋" w:cs="仿宋" w:hint="eastAsia"/>
          <w:sz w:val="28"/>
          <w:szCs w:val="28"/>
        </w:rPr>
        <w:t>21</w:t>
      </w:r>
      <w:r>
        <w:rPr>
          <w:rFonts w:ascii="仿宋" w:eastAsia="仿宋" w:cs="仿宋" w:hint="eastAsia"/>
          <w:sz w:val="28"/>
          <w:szCs w:val="28"/>
        </w:rPr>
        <w:fldChar w:fldCharType="end"/>
      </w:r>
    </w:p>
    <w:p>
      <w:pPr>
        <w:pStyle w:val="20"/>
        <w:tabs>
          <w:tab w:val="right" w:leader="dot" w:pos="8296"/>
        </w:tabs>
        <w:rPr>
          <w:rFonts w:cs="Times New Roman"/>
        </w:rPr>
      </w:pPr>
      <w:r>
        <w:fldChar w:fldCharType="begin"/>
      </w:r>
      <w:r>
        <w:instrText xml:space="preserve"> HYPERLINK \l "_Toc15396618" </w:instrText>
      </w:r>
      <w:r>
        <w:fldChar w:fldCharType="separate"/>
      </w:r>
      <w:r>
        <w:rPr>
          <w:rFonts w:cs="仿宋" w:hint="eastAsia"/>
        </w:rPr>
        <w:t>第</w:t>
      </w:r>
      <w:r>
        <w:rPr>
          <w:rFonts w:cs="仿宋" w:hint="eastAsia"/>
          <w:kern w:val="44"/>
        </w:rPr>
        <w:t>五部分附表</w:t>
      </w:r>
      <w:r>
        <w:rPr>
          <w:rFonts w:cs="Times New Roman"/>
        </w:rPr>
        <w:tab/>
      </w:r>
      <w:r>
        <w:rPr>
          <w:rFonts w:hint="eastAsia"/>
        </w:rPr>
        <w:t>24</w:t>
      </w:r>
      <w:r>
        <w:rPr>
          <w:rFonts w:hint="eastAsia"/>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一、</w:t>
      </w:r>
      <w:r>
        <w:fldChar w:fldCharType="begin"/>
      </w:r>
      <w:r>
        <w:instrText xml:space="preserve"> HYPERLINK \l "_Toc15396619" </w:instrText>
      </w:r>
      <w:r>
        <w:fldChar w:fldCharType="separate"/>
      </w:r>
      <w:r>
        <w:rPr>
          <w:rFonts w:ascii="仿宋" w:eastAsia="仿宋" w:cs="仿宋" w:hint="eastAsia"/>
          <w:sz w:val="28"/>
          <w:szCs w:val="28"/>
        </w:rPr>
        <w:t>收入支出决算总表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二、</w:t>
      </w:r>
      <w:r>
        <w:fldChar w:fldCharType="begin"/>
      </w:r>
      <w:r>
        <w:instrText xml:space="preserve"> HYPERLINK \l "_Toc15396620" </w:instrText>
      </w:r>
      <w:r>
        <w:fldChar w:fldCharType="separate"/>
      </w:r>
      <w:r>
        <w:rPr>
          <w:rFonts w:ascii="仿宋" w:eastAsia="仿宋" w:cs="仿宋" w:hint="eastAsia"/>
          <w:sz w:val="28"/>
          <w:szCs w:val="28"/>
        </w:rPr>
        <w:t>收入总表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三、</w:t>
      </w:r>
      <w:r>
        <w:fldChar w:fldCharType="begin"/>
      </w:r>
      <w:r>
        <w:instrText xml:space="preserve"> HYPERLINK \l "_Toc15396621" </w:instrText>
      </w:r>
      <w:r>
        <w:fldChar w:fldCharType="separate"/>
      </w:r>
      <w:r>
        <w:rPr>
          <w:rFonts w:ascii="仿宋" w:eastAsia="仿宋" w:cs="仿宋" w:hint="eastAsia"/>
          <w:sz w:val="28"/>
          <w:szCs w:val="28"/>
        </w:rPr>
        <w:t>支出总表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四、</w:t>
      </w:r>
      <w:r>
        <w:fldChar w:fldCharType="begin"/>
      </w:r>
      <w:r>
        <w:instrText xml:space="preserve"> HYPERLINK \l "_Toc15396622" </w:instrText>
      </w:r>
      <w:r>
        <w:fldChar w:fldCharType="separate"/>
      </w:r>
      <w:r>
        <w:rPr>
          <w:rFonts w:ascii="仿宋" w:eastAsia="仿宋" w:cs="仿宋" w:hint="eastAsia"/>
          <w:sz w:val="28"/>
          <w:szCs w:val="28"/>
        </w:rPr>
        <w:t>财政拨款收入支出决算总表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五、</w:t>
      </w:r>
      <w:r>
        <w:fldChar w:fldCharType="begin"/>
      </w:r>
      <w:r>
        <w:instrText xml:space="preserve"> HYPERLINK \l "_Toc15396623" </w:instrText>
      </w:r>
      <w:r>
        <w:fldChar w:fldCharType="separate"/>
      </w:r>
      <w:r>
        <w:rPr>
          <w:rFonts w:ascii="仿宋" w:eastAsia="仿宋" w:cs="仿宋" w:hint="eastAsia"/>
          <w:sz w:val="28"/>
          <w:szCs w:val="28"/>
        </w:rPr>
        <w:t>财政拨款支出决算明细表（政府经济分类科目）</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六、</w:t>
      </w:r>
      <w:r>
        <w:fldChar w:fldCharType="begin"/>
      </w:r>
      <w:r>
        <w:instrText xml:space="preserve"> HYPERLINK \l "_Toc15396624" </w:instrText>
      </w:r>
      <w:r>
        <w:fldChar w:fldCharType="separate"/>
      </w:r>
      <w:r>
        <w:rPr>
          <w:rFonts w:ascii="仿宋" w:eastAsia="仿宋" w:cs="仿宋" w:hint="eastAsia"/>
          <w:sz w:val="28"/>
          <w:szCs w:val="28"/>
        </w:rPr>
        <w:t>一般公共预算财政拨款支出决算表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七、</w:t>
      </w:r>
      <w:r>
        <w:fldChar w:fldCharType="begin"/>
      </w:r>
      <w:r>
        <w:instrText xml:space="preserve"> HYPERLINK \l "_Toc15396625" </w:instrText>
      </w:r>
      <w:r>
        <w:fldChar w:fldCharType="separate"/>
      </w:r>
      <w:r>
        <w:rPr>
          <w:rFonts w:ascii="仿宋" w:eastAsia="仿宋" w:cs="仿宋" w:hint="eastAsia"/>
          <w:sz w:val="28"/>
          <w:szCs w:val="28"/>
        </w:rPr>
        <w:t>一般公共预算财政拨款支出决算明细表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八、</w:t>
      </w:r>
      <w:r>
        <w:fldChar w:fldCharType="begin"/>
      </w:r>
      <w:r>
        <w:instrText xml:space="preserve"> HYPERLINK \l "_Toc15396626" </w:instrText>
      </w:r>
      <w:r>
        <w:fldChar w:fldCharType="separate"/>
      </w:r>
      <w:r>
        <w:rPr>
          <w:rFonts w:ascii="仿宋" w:eastAsia="仿宋" w:cs="仿宋" w:hint="eastAsia"/>
          <w:sz w:val="28"/>
          <w:szCs w:val="28"/>
        </w:rPr>
        <w:t>一般公共预算财政拨款基本支出决算表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九、</w:t>
      </w:r>
      <w:r>
        <w:fldChar w:fldCharType="begin"/>
      </w:r>
      <w:r>
        <w:instrText xml:space="preserve"> HYPERLINK \l "_Toc15396627" </w:instrText>
      </w:r>
      <w:r>
        <w:fldChar w:fldCharType="separate"/>
      </w:r>
      <w:r>
        <w:rPr>
          <w:rFonts w:ascii="仿宋" w:eastAsia="仿宋" w:cs="仿宋" w:hint="eastAsia"/>
          <w:sz w:val="28"/>
          <w:szCs w:val="28"/>
        </w:rPr>
        <w:t>一般公共预算财政拨款项目支出决算表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十、</w:t>
      </w:r>
      <w:r>
        <w:fldChar w:fldCharType="begin"/>
      </w:r>
      <w:r>
        <w:instrText xml:space="preserve"> HYPERLINK \l "_Toc15396628" </w:instrText>
      </w:r>
      <w:r>
        <w:fldChar w:fldCharType="separate"/>
      </w:r>
      <w:r>
        <w:rPr>
          <w:rFonts w:ascii="仿宋" w:eastAsia="仿宋" w:cs="仿宋" w:hint="eastAsia"/>
          <w:sz w:val="28"/>
          <w:szCs w:val="28"/>
        </w:rPr>
        <w:t>一般公共预算财政拨款“三公”经费支出决算表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十一、</w:t>
      </w:r>
      <w:r>
        <w:fldChar w:fldCharType="begin"/>
      </w:r>
      <w:r>
        <w:instrText xml:space="preserve"> HYPERLINK \l "_Toc15396629" </w:instrText>
      </w:r>
      <w:r>
        <w:fldChar w:fldCharType="separate"/>
      </w:r>
      <w:r>
        <w:rPr>
          <w:rFonts w:ascii="仿宋" w:eastAsia="仿宋" w:cs="仿宋" w:hint="eastAsia"/>
          <w:sz w:val="28"/>
          <w:szCs w:val="28"/>
        </w:rPr>
        <w:t>政府性基金预算财政拨款收入支出决算表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8"/>
          <w:szCs w:val="28"/>
        </w:rPr>
      </w:pPr>
      <w:r>
        <w:rPr>
          <w:rFonts w:ascii="仿宋" w:eastAsia="仿宋" w:cs="仿宋" w:hint="eastAsia"/>
          <w:sz w:val="28"/>
          <w:szCs w:val="28"/>
        </w:rPr>
        <w:t>十二、</w:t>
      </w:r>
      <w:r>
        <w:fldChar w:fldCharType="begin"/>
      </w:r>
      <w:r>
        <w:instrText xml:space="preserve"> HYPERLINK \l "_Toc15396630" </w:instrText>
      </w:r>
      <w:r>
        <w:fldChar w:fldCharType="separate"/>
      </w:r>
      <w:r>
        <w:rPr>
          <w:rFonts w:ascii="仿宋" w:eastAsia="仿宋" w:cs="仿宋" w:hint="eastAsia"/>
          <w:sz w:val="28"/>
          <w:szCs w:val="28"/>
        </w:rPr>
        <w:t>政府性基金预算财政拨款“三公”经费支出决算表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pStyle w:val="21"/>
        <w:tabs>
          <w:tab w:val="right" w:leader="dot" w:pos="8296"/>
        </w:tabs>
        <w:rPr>
          <w:rFonts w:ascii="仿宋" w:eastAsia="仿宋"/>
          <w:sz w:val="24"/>
          <w:szCs w:val="24"/>
        </w:rPr>
      </w:pPr>
      <w:r>
        <w:rPr>
          <w:rFonts w:ascii="仿宋" w:eastAsia="仿宋" w:cs="仿宋" w:hint="eastAsia"/>
          <w:sz w:val="28"/>
          <w:szCs w:val="28"/>
        </w:rPr>
        <w:t>十三、</w:t>
      </w:r>
      <w:r>
        <w:fldChar w:fldCharType="begin"/>
      </w:r>
      <w:r>
        <w:instrText xml:space="preserve"> HYPERLINK \l "_Toc15396631" </w:instrText>
      </w:r>
      <w:r>
        <w:fldChar w:fldCharType="separate"/>
      </w:r>
      <w:r>
        <w:rPr>
          <w:rFonts w:ascii="仿宋" w:eastAsia="仿宋" w:cs="仿宋" w:hint="eastAsia"/>
          <w:sz w:val="28"/>
          <w:szCs w:val="28"/>
        </w:rPr>
        <w:t>国有资本经营预算支出决算表</w:t>
      </w:r>
      <w:r>
        <w:rPr>
          <w:rFonts w:ascii="仿宋" w:eastAsia="仿宋"/>
          <w:sz w:val="28"/>
          <w:szCs w:val="28"/>
        </w:rPr>
        <w:tab/>
      </w:r>
      <w:r>
        <w:rPr>
          <w:rFonts w:ascii="仿宋" w:eastAsia="仿宋" w:cs="仿宋" w:hint="eastAsia"/>
          <w:sz w:val="28"/>
          <w:szCs w:val="28"/>
        </w:rPr>
        <w:t>24</w:t>
      </w:r>
      <w:r>
        <w:rPr>
          <w:rFonts w:ascii="仿宋" w:eastAsia="仿宋" w:cs="仿宋" w:hint="eastAsia"/>
          <w:sz w:val="28"/>
          <w:szCs w:val="28"/>
        </w:rPr>
        <w:fldChar w:fldCharType="end"/>
      </w:r>
    </w:p>
    <w:p>
      <w:pPr>
        <w:widowControl/>
        <w:jc w:val="left"/>
        <w:rPr>
          <w:rFonts w:ascii="仿宋" w:eastAsia="仿宋"/>
          <w:color w:val="000000"/>
          <w:sz w:val="24"/>
          <w:szCs w:val="24"/>
        </w:rPr>
      </w:pPr>
      <w:r>
        <w:rPr>
          <w:rFonts w:ascii="黑体" w:eastAsia="黑体" w:cs="黑体"/>
          <w:color w:val="000000"/>
          <w:sz w:val="48"/>
          <w:szCs w:val="48"/>
        </w:rPr>
        <w:fldChar w:fldCharType="end"/>
      </w:r>
    </w:p>
    <w:p>
      <w:pPr>
        <w:widowControl/>
        <w:jc w:val="left"/>
        <w:rPr>
          <w:rFonts w:ascii="黑体" w:eastAsia="黑体"/>
          <w:kern w:val="44"/>
          <w:sz w:val="44"/>
          <w:szCs w:val="44"/>
        </w:rPr>
      </w:pPr>
      <w:bookmarkStart w:id="12" w:name="_Toc15396599"/>
      <w:bookmarkStart w:id="13" w:name="_Toc15377196"/>
    </w:p>
    <w:p>
      <w:pPr>
        <w:widowControl/>
        <w:jc w:val="left"/>
        <w:rPr>
          <w:rFonts w:ascii="黑体" w:eastAsia="黑体"/>
          <w:kern w:val="44"/>
          <w:sz w:val="44"/>
          <w:szCs w:val="44"/>
        </w:rPr>
      </w:pPr>
    </w:p>
    <w:p>
      <w:pPr>
        <w:widowControl/>
        <w:jc w:val="left"/>
        <w:rPr>
          <w:rFonts w:ascii="黑体" w:eastAsia="黑体"/>
          <w:kern w:val="44"/>
          <w:sz w:val="44"/>
          <w:szCs w:val="44"/>
        </w:rPr>
      </w:pPr>
    </w:p>
    <w:p>
      <w:pPr>
        <w:widowControl/>
        <w:jc w:val="left"/>
        <w:rPr>
          <w:rFonts w:ascii="黑体" w:eastAsia="黑体"/>
          <w:kern w:val="44"/>
          <w:sz w:val="44"/>
          <w:szCs w:val="44"/>
        </w:rPr>
      </w:pPr>
    </w:p>
    <w:p>
      <w:pPr>
        <w:widowControl/>
        <w:jc w:val="center"/>
        <w:rPr>
          <w:rFonts w:ascii="黑体" w:eastAsia="黑体"/>
        </w:rPr>
      </w:pPr>
    </w:p>
    <w:p>
      <w:pPr>
        <w:widowControl/>
        <w:jc w:val="center"/>
        <w:rPr>
          <w:rFonts w:ascii="黑体" w:eastAsia="黑体"/>
        </w:rPr>
      </w:pPr>
    </w:p>
    <w:p>
      <w:pPr>
        <w:widowControl/>
        <w:jc w:val="center"/>
        <w:rPr>
          <w:rFonts w:ascii="黑体" w:eastAsia="黑体"/>
        </w:rPr>
      </w:pPr>
    </w:p>
    <w:p>
      <w:pPr>
        <w:widowControl/>
        <w:jc w:val="center"/>
        <w:rPr>
          <w:rFonts w:ascii="黑体" w:eastAsia="黑体"/>
        </w:rPr>
      </w:pPr>
    </w:p>
    <w:p>
      <w:pPr>
        <w:widowControl/>
        <w:jc w:val="center"/>
        <w:rPr>
          <w:rFonts w:ascii="黑体" w:eastAsia="黑体"/>
        </w:rPr>
      </w:pPr>
    </w:p>
    <w:p>
      <w:pPr>
        <w:widowControl/>
        <w:jc w:val="center"/>
        <w:rPr>
          <w:rFonts w:ascii="黑体" w:eastAsia="黑体"/>
        </w:rPr>
      </w:pPr>
    </w:p>
    <w:p>
      <w:pPr>
        <w:adjustRightInd w:val="0"/>
        <w:snapToGrid w:val="0"/>
        <w:spacing w:line="576" w:lineRule="exact"/>
        <w:ind w:firstLineChars="200" w:firstLine="880"/>
        <w:jc w:val="center"/>
        <w:outlineLvl w:val="0"/>
        <w:rPr>
          <w:rFonts w:ascii="方正小标宋简体" w:eastAsia="方正小标宋简体" w:cs="方正小标宋简体"/>
          <w:color w:val="000000"/>
          <w:sz w:val="48"/>
          <w:szCs w:val="48"/>
        </w:rPr>
      </w:pPr>
      <w:r>
        <w:rPr>
          <w:rFonts w:ascii="方正小标宋简体" w:eastAsia="方正小标宋简体" w:cs="方正小标宋简体" w:hint="eastAsia"/>
          <w:sz w:val="44"/>
          <w:szCs w:val="44"/>
        </w:rPr>
        <w:t>第一部分</w:t>
      </w:r>
      <w:r>
        <w:rPr>
          <w:rFonts w:ascii="方正小标宋简体" w:eastAsia="方正小标宋简体" w:cs="方正小标宋简体"/>
          <w:sz w:val="44"/>
          <w:szCs w:val="44"/>
        </w:rPr>
        <w:t xml:space="preserve"> </w:t>
      </w:r>
      <w:r>
        <w:rPr>
          <w:rStyle w:val="1Char"/>
          <w:rFonts w:ascii="方正小标宋简体" w:eastAsia="方正小标宋简体" w:cs="方正小标宋简体" w:hint="eastAsia"/>
          <w:b w:val="0"/>
          <w:bCs w:val="0"/>
        </w:rPr>
        <w:t>部门概况</w:t>
      </w:r>
      <w:bookmarkEnd w:id="12"/>
      <w:bookmarkEnd w:id="13"/>
    </w:p>
    <w:p>
      <w:pPr>
        <w:widowControl/>
        <w:spacing w:line="576" w:lineRule="exact"/>
        <w:ind w:firstLineChars="200" w:firstLine="640"/>
        <w:jc w:val="left"/>
        <w:rPr>
          <w:rFonts w:ascii="黑体" w:eastAsia="黑体"/>
          <w:color w:val="000000"/>
          <w:sz w:val="32"/>
          <w:szCs w:val="32"/>
        </w:rPr>
      </w:pPr>
    </w:p>
    <w:p>
      <w:pPr>
        <w:pStyle w:val="2"/>
        <w:numPr>
          <w:ilvl w:val="0"/>
          <w:numId w:val="1"/>
        </w:numPr>
        <w:spacing w:line="576" w:lineRule="exact"/>
        <w:ind w:left="0" w:firstLineChars="200" w:firstLine="640"/>
        <w:rPr>
          <w:rFonts w:ascii="仿宋" w:eastAsia="仿宋" w:cs="Times New Roman"/>
          <w:color w:val="000000"/>
        </w:rPr>
      </w:pPr>
      <w:bookmarkStart w:id="14" w:name="_Toc15396600"/>
      <w:bookmarkStart w:id="15" w:name="_Toc15377197"/>
      <w:r>
        <w:rPr>
          <w:rFonts w:ascii="黑体" w:eastAsia="黑体" w:cs="黑体" w:hint="eastAsia"/>
          <w:b w:val="0"/>
          <w:bCs w:val="0"/>
          <w:color w:val="000000"/>
        </w:rPr>
        <w:t>基</w:t>
      </w:r>
      <w:r>
        <w:rPr>
          <w:rStyle w:val="2Char"/>
          <w:rFonts w:ascii="黑体" w:eastAsia="黑体" w:cs="黑体" w:hint="eastAsia"/>
          <w:b w:val="0"/>
          <w:bCs w:val="0"/>
        </w:rPr>
        <w:t>本职能及主要工作</w:t>
      </w:r>
      <w:bookmarkStart w:id="16" w:name="_Toc15377198"/>
      <w:bookmarkStart w:id="17" w:name="_Toc15378445"/>
      <w:bookmarkEnd w:id="14"/>
      <w:bookmarkEnd w:id="15"/>
    </w:p>
    <w:p>
      <w:pPr>
        <w:pStyle w:val="22"/>
        <w:numPr>
          <w:ilvl w:val="0"/>
          <w:numId w:val="2"/>
        </w:numPr>
        <w:shd w:val="clear" w:color="auto" w:fill="FFFFFF"/>
        <w:spacing w:before="75" w:beforeAutospacing="0" w:after="75" w:afterAutospacing="0" w:line="576" w:lineRule="exact"/>
        <w:ind w:left="0" w:firstLineChars="200" w:firstLine="640"/>
        <w:jc w:val="both"/>
        <w:rPr>
          <w:rFonts w:ascii="楷体" w:eastAsia="楷体" w:cs="楷体"/>
          <w:b/>
          <w:bCs/>
          <w:color w:val="000000"/>
          <w:sz w:val="32"/>
          <w:szCs w:val="32"/>
        </w:rPr>
      </w:pPr>
      <w:r>
        <w:rPr>
          <w:rFonts w:ascii="楷体" w:eastAsia="楷体" w:cs="楷体" w:hint="eastAsia"/>
          <w:b/>
          <w:bCs/>
          <w:color w:val="000000"/>
          <w:sz w:val="32"/>
          <w:szCs w:val="32"/>
        </w:rPr>
        <w:t>基本职能</w:t>
      </w:r>
    </w:p>
    <w:p>
      <w:pPr>
        <w:spacing w:line="576"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贯彻落实加强党对统一战线工作集中统一领导的要求，发挥县委在统战工作方面的参谋机构、组织协调机构、具体执行机构、督促检查机构作用，了解情况、掌握政策、协调关系、安排人事、增进共识、加强团结，协调统一战线各方面关系，组织落实党中央、省委、州委和县委关于统一战线工作重大决策部署，巩固壮大最广泛的统一战线。</w:t>
      </w:r>
    </w:p>
    <w:p>
      <w:pPr>
        <w:spacing w:line="576" w:lineRule="exact"/>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推动落实统一战线工作的政策，深入调查研究，向县委反映统一战线工作情况，提出开展统战工作的意见和建议；负责协调、监督全县统一战线工作；牵头协调处理统战工作中的重大问题和组织统一战线的重大活动。</w:t>
      </w:r>
    </w:p>
    <w:p>
      <w:pPr>
        <w:spacing w:line="576"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完成县委交办的其他任务。</w:t>
      </w:r>
    </w:p>
    <w:p>
      <w:pPr>
        <w:widowControl/>
        <w:spacing w:line="576" w:lineRule="exact"/>
        <w:ind w:firstLineChars="200" w:firstLine="640"/>
        <w:rPr>
          <w:rFonts w:ascii="楷体" w:eastAsia="楷体" w:cs="楷体"/>
          <w:b/>
          <w:bCs/>
          <w:color w:val="000000"/>
          <w:sz w:val="32"/>
          <w:szCs w:val="32"/>
        </w:rPr>
      </w:pPr>
      <w:bookmarkStart w:id="18" w:name="_Toc15377199"/>
      <w:bookmarkStart w:id="19" w:name="_Toc15378446"/>
      <w:bookmarkEnd w:id="16"/>
      <w:bookmarkEnd w:id="17"/>
      <w:r>
        <w:rPr>
          <w:rFonts w:ascii="楷体" w:eastAsia="楷体" w:cs="楷体" w:hint="eastAsia"/>
          <w:b/>
          <w:bCs/>
          <w:color w:val="000000"/>
          <w:sz w:val="32"/>
          <w:szCs w:val="32"/>
        </w:rPr>
        <w:t>（二）</w:t>
      </w:r>
      <w:r>
        <w:rPr>
          <w:rFonts w:ascii="楷体" w:eastAsia="楷体" w:cs="楷体"/>
          <w:b/>
          <w:bCs/>
          <w:color w:val="000000"/>
          <w:sz w:val="32"/>
          <w:szCs w:val="32"/>
        </w:rPr>
        <w:t>2018</w:t>
      </w:r>
      <w:r>
        <w:rPr>
          <w:rFonts w:ascii="楷体" w:eastAsia="楷体" w:cs="楷体" w:hint="eastAsia"/>
          <w:b/>
          <w:bCs/>
          <w:color w:val="000000"/>
          <w:sz w:val="32"/>
          <w:szCs w:val="32"/>
        </w:rPr>
        <w:t>年重点工作完成情况</w:t>
      </w:r>
    </w:p>
    <w:p>
      <w:pPr>
        <w:spacing w:line="576" w:lineRule="exact"/>
        <w:ind w:firstLineChars="200" w:firstLine="640"/>
        <w:rPr>
          <w:rFonts w:ascii="仿宋_GB2312" w:eastAsia="仿宋_GB2312" w:cs="仿宋_GB2312"/>
          <w:sz w:val="32"/>
          <w:szCs w:val="32"/>
        </w:rPr>
      </w:pPr>
      <w:bookmarkEnd w:id="18"/>
      <w:bookmarkEnd w:id="19"/>
      <w:r>
        <w:rPr>
          <w:rFonts w:ascii="仿宋_GB2312" w:eastAsia="仿宋_GB2312" w:cs="仿宋_GB2312"/>
          <w:b/>
          <w:sz w:val="32"/>
          <w:szCs w:val="32"/>
        </w:rPr>
        <w:t>1.</w:t>
      </w:r>
      <w:r>
        <w:rPr>
          <w:rFonts w:ascii="仿宋_GB2312" w:eastAsia="仿宋_GB2312" w:cs="仿宋_GB2312" w:hint="eastAsia"/>
          <w:b/>
          <w:sz w:val="32"/>
          <w:szCs w:val="32"/>
        </w:rPr>
        <w:t>加强意识形态领域工作。</w:t>
      </w:r>
      <w:r>
        <w:rPr>
          <w:rFonts w:ascii="仿宋_GB2312" w:eastAsia="仿宋_GB2312" w:cs="仿宋_GB2312" w:hint="eastAsia"/>
          <w:sz w:val="32"/>
          <w:szCs w:val="32"/>
        </w:rPr>
        <w:t>以“法律七进”活动为契机，由县委统战部牵头，</w:t>
      </w:r>
      <w:r>
        <w:rPr>
          <w:rFonts w:ascii="仿宋_GB2312" w:eastAsia="仿宋_GB2312" w:cs="仿宋_GB2312" w:hint="eastAsia"/>
          <w:bCs/>
          <w:sz w:val="32"/>
          <w:szCs w:val="32"/>
        </w:rPr>
        <w:t>还开展了寺庙爱国爱教、感恩奋进意识教育</w:t>
      </w:r>
      <w:r>
        <w:rPr>
          <w:rFonts w:ascii="仿宋_GB2312" w:eastAsia="仿宋_GB2312" w:cs="仿宋_GB2312" w:hint="eastAsia"/>
          <w:sz w:val="32"/>
          <w:szCs w:val="32"/>
        </w:rPr>
        <w:t>活动，</w:t>
      </w:r>
      <w:r>
        <w:rPr>
          <w:rFonts w:ascii="仿宋_GB2312" w:eastAsia="仿宋_GB2312" w:cs="仿宋_GB2312" w:hint="eastAsia"/>
          <w:bCs/>
          <w:sz w:val="32"/>
          <w:szCs w:val="32"/>
        </w:rPr>
        <w:t>加强党的十九大、习近平总书记西藏工作重要论述、习近平总书记来川视察重要指示及党的民族宗教方针政策宣传。开展新修订《宗教事务条例》</w:t>
      </w:r>
      <w:r>
        <w:rPr>
          <w:rFonts w:ascii="仿宋_GB2312" w:eastAsia="仿宋_GB2312" w:cs="仿宋_GB2312" w:hint="eastAsia"/>
          <w:sz w:val="32"/>
          <w:szCs w:val="32"/>
        </w:rPr>
        <w:t>和彭清华书记来州调研考察重要指示要求宣讲</w:t>
      </w:r>
      <w:r>
        <w:rPr>
          <w:rFonts w:ascii="仿宋_GB2312" w:eastAsia="仿宋_GB2312" w:cs="仿宋_GB2312" w:hint="eastAsia"/>
          <w:bCs/>
          <w:sz w:val="32"/>
          <w:szCs w:val="32"/>
        </w:rPr>
        <w:t>，</w:t>
      </w:r>
      <w:r>
        <w:rPr>
          <w:rFonts w:ascii="仿宋_GB2312" w:eastAsia="仿宋_GB2312" w:cs="仿宋_GB2312" w:hint="eastAsia"/>
          <w:sz w:val="32"/>
          <w:szCs w:val="32"/>
        </w:rPr>
        <w:t>发放宣传资料</w:t>
      </w:r>
      <w:r>
        <w:rPr>
          <w:rFonts w:ascii="仿宋_GB2312" w:eastAsia="仿宋_GB2312" w:cs="仿宋_GB2312"/>
          <w:sz w:val="32"/>
          <w:szCs w:val="32"/>
        </w:rPr>
        <w:t>300</w:t>
      </w:r>
      <w:r>
        <w:rPr>
          <w:rFonts w:ascii="仿宋_GB2312" w:eastAsia="仿宋_GB2312" w:cs="仿宋_GB2312" w:hint="eastAsia"/>
          <w:sz w:val="32"/>
          <w:szCs w:val="32"/>
        </w:rPr>
        <w:t>余份。</w:t>
      </w:r>
    </w:p>
    <w:p>
      <w:pPr>
        <w:spacing w:line="576" w:lineRule="exact"/>
        <w:ind w:firstLineChars="200" w:firstLine="640"/>
        <w:rPr>
          <w:rFonts w:ascii="仿宋_GB2312" w:eastAsia="仿宋_GB2312" w:cs="仿宋_GB2312"/>
          <w:sz w:val="32"/>
          <w:szCs w:val="32"/>
        </w:rPr>
      </w:pPr>
      <w:r>
        <w:rPr>
          <w:rFonts w:ascii="仿宋_GB2312" w:eastAsia="仿宋_GB2312" w:cs="仿宋_GB2312"/>
          <w:b/>
          <w:sz w:val="32"/>
          <w:szCs w:val="32"/>
        </w:rPr>
        <w:t>2.</w:t>
      </w:r>
      <w:r>
        <w:rPr>
          <w:rFonts w:ascii="仿宋_GB2312" w:eastAsia="仿宋_GB2312" w:cs="仿宋_GB2312" w:hint="eastAsia"/>
          <w:b/>
          <w:sz w:val="32"/>
          <w:szCs w:val="32"/>
        </w:rPr>
        <w:t>依法加强民族宗教管理工作。</w:t>
      </w:r>
      <w:r>
        <w:rPr>
          <w:rFonts w:ascii="仿宋_GB2312" w:eastAsia="仿宋_GB2312" w:cs="仿宋_GB2312" w:hint="eastAsia"/>
          <w:sz w:val="32"/>
          <w:szCs w:val="32"/>
        </w:rPr>
        <w:t>加强开放寺庙管理，规范民间信仰场所管理，规范寺庙财务监管，开展寺庙消防汛期检查，确保寺庙安全。</w:t>
      </w:r>
    </w:p>
    <w:p>
      <w:pPr>
        <w:spacing w:line="576" w:lineRule="exact"/>
        <w:ind w:firstLineChars="200" w:firstLine="640"/>
        <w:rPr>
          <w:rFonts w:ascii="仿宋_GB2312" w:eastAsia="仿宋_GB2312" w:cs="仿宋_GB2312"/>
          <w:sz w:val="32"/>
          <w:szCs w:val="32"/>
        </w:rPr>
      </w:pPr>
      <w:r>
        <w:rPr>
          <w:rFonts w:ascii="仿宋_GB2312" w:eastAsia="仿宋_GB2312" w:cs="仿宋_GB2312"/>
          <w:b/>
          <w:sz w:val="32"/>
          <w:szCs w:val="32"/>
        </w:rPr>
        <w:t>3.</w:t>
      </w:r>
      <w:r>
        <w:rPr>
          <w:rFonts w:ascii="仿宋_GB2312" w:eastAsia="仿宋_GB2312" w:cs="仿宋_GB2312" w:hint="eastAsia"/>
          <w:b/>
          <w:sz w:val="32"/>
          <w:szCs w:val="32"/>
        </w:rPr>
        <w:t>深入开展“两联一进”工作。一是</w:t>
      </w:r>
      <w:r>
        <w:rPr>
          <w:rFonts w:ascii="仿宋_GB2312" w:eastAsia="仿宋_GB2312" w:cs="仿宋_GB2312" w:hint="eastAsia"/>
          <w:sz w:val="32"/>
          <w:szCs w:val="32"/>
        </w:rPr>
        <w:t>深入推进县级领导干部“联寺联僧”工作。上半年，</w:t>
      </w:r>
      <w:r>
        <w:rPr>
          <w:rFonts w:ascii="仿宋_GB2312" w:eastAsia="仿宋_GB2312" w:cs="仿宋_GB2312"/>
          <w:sz w:val="32"/>
          <w:szCs w:val="32"/>
        </w:rPr>
        <w:t>25</w:t>
      </w:r>
      <w:r>
        <w:rPr>
          <w:rFonts w:ascii="仿宋_GB2312" w:eastAsia="仿宋_GB2312" w:cs="仿宋_GB2312" w:hint="eastAsia"/>
          <w:sz w:val="32"/>
          <w:szCs w:val="32"/>
        </w:rPr>
        <w:t>名县级领导干部走访寺庙</w:t>
      </w:r>
      <w:r>
        <w:rPr>
          <w:rFonts w:ascii="仿宋_GB2312" w:eastAsia="仿宋_GB2312" w:cs="仿宋_GB2312"/>
          <w:sz w:val="32"/>
          <w:szCs w:val="32"/>
        </w:rPr>
        <w:t>18</w:t>
      </w:r>
      <w:r>
        <w:rPr>
          <w:rFonts w:ascii="仿宋_GB2312" w:eastAsia="仿宋_GB2312" w:cs="仿宋_GB2312" w:hint="eastAsia"/>
          <w:sz w:val="32"/>
          <w:szCs w:val="32"/>
        </w:rPr>
        <w:t>次，走访宗教界代表人士</w:t>
      </w:r>
      <w:r>
        <w:rPr>
          <w:rFonts w:ascii="仿宋_GB2312" w:eastAsia="仿宋_GB2312" w:cs="仿宋_GB2312"/>
          <w:sz w:val="32"/>
          <w:szCs w:val="32"/>
        </w:rPr>
        <w:t>68</w:t>
      </w:r>
      <w:r>
        <w:rPr>
          <w:rFonts w:ascii="仿宋_GB2312" w:eastAsia="仿宋_GB2312" w:cs="仿宋_GB2312" w:hint="eastAsia"/>
          <w:sz w:val="32"/>
          <w:szCs w:val="32"/>
        </w:rPr>
        <w:t>人次，发放慰问金</w:t>
      </w:r>
      <w:r>
        <w:rPr>
          <w:rFonts w:ascii="仿宋_GB2312" w:eastAsia="仿宋_GB2312" w:cs="仿宋_GB2312"/>
          <w:sz w:val="32"/>
          <w:szCs w:val="32"/>
        </w:rPr>
        <w:t>45200</w:t>
      </w:r>
      <w:r>
        <w:rPr>
          <w:rFonts w:ascii="仿宋_GB2312" w:eastAsia="仿宋_GB2312" w:cs="仿宋_GB2312" w:hint="eastAsia"/>
          <w:sz w:val="32"/>
          <w:szCs w:val="32"/>
        </w:rPr>
        <w:t>元，慰问包</w:t>
      </w:r>
      <w:r>
        <w:rPr>
          <w:rFonts w:ascii="仿宋_GB2312" w:eastAsia="仿宋_GB2312" w:cs="仿宋_GB2312"/>
          <w:sz w:val="32"/>
          <w:szCs w:val="32"/>
        </w:rPr>
        <w:t>6</w:t>
      </w:r>
      <w:r>
        <w:rPr>
          <w:rFonts w:ascii="仿宋_GB2312" w:eastAsia="仿宋_GB2312" w:cs="仿宋_GB2312" w:hint="eastAsia"/>
          <w:sz w:val="32"/>
          <w:szCs w:val="32"/>
        </w:rPr>
        <w:t>个，发放挂历</w:t>
      </w:r>
      <w:r>
        <w:rPr>
          <w:rFonts w:ascii="仿宋_GB2312" w:eastAsia="仿宋_GB2312" w:cs="仿宋_GB2312"/>
          <w:sz w:val="32"/>
          <w:szCs w:val="32"/>
        </w:rPr>
        <w:t>60</w:t>
      </w:r>
      <w:r>
        <w:rPr>
          <w:rFonts w:ascii="仿宋_GB2312" w:eastAsia="仿宋_GB2312" w:cs="仿宋_GB2312" w:hint="eastAsia"/>
          <w:sz w:val="32"/>
          <w:szCs w:val="32"/>
        </w:rPr>
        <w:t>幅。收集困难诉求</w:t>
      </w:r>
      <w:r>
        <w:rPr>
          <w:rFonts w:ascii="仿宋_GB2312" w:eastAsia="仿宋_GB2312" w:cs="仿宋_GB2312"/>
          <w:sz w:val="32"/>
          <w:szCs w:val="32"/>
        </w:rPr>
        <w:t>16</w:t>
      </w:r>
      <w:r>
        <w:rPr>
          <w:rFonts w:ascii="仿宋_GB2312" w:eastAsia="仿宋_GB2312" w:cs="仿宋_GB2312" w:hint="eastAsia"/>
          <w:sz w:val="32"/>
          <w:szCs w:val="32"/>
        </w:rPr>
        <w:t>条，已解决</w:t>
      </w:r>
      <w:r>
        <w:rPr>
          <w:rFonts w:ascii="仿宋_GB2312" w:eastAsia="仿宋_GB2312" w:cs="仿宋_GB2312"/>
          <w:sz w:val="32"/>
          <w:szCs w:val="32"/>
        </w:rPr>
        <w:t>10</w:t>
      </w:r>
      <w:r>
        <w:rPr>
          <w:rFonts w:ascii="仿宋_GB2312" w:eastAsia="仿宋_GB2312" w:cs="仿宋_GB2312" w:hint="eastAsia"/>
          <w:sz w:val="32"/>
          <w:szCs w:val="32"/>
        </w:rPr>
        <w:t>条，正在解决</w:t>
      </w:r>
      <w:r>
        <w:rPr>
          <w:rFonts w:ascii="仿宋_GB2312" w:eastAsia="仿宋_GB2312" w:cs="仿宋_GB2312"/>
          <w:sz w:val="32"/>
          <w:szCs w:val="32"/>
        </w:rPr>
        <w:t>6</w:t>
      </w:r>
      <w:r>
        <w:rPr>
          <w:rFonts w:ascii="仿宋_GB2312" w:eastAsia="仿宋_GB2312" w:cs="仿宋_GB2312" w:hint="eastAsia"/>
          <w:sz w:val="32"/>
          <w:szCs w:val="32"/>
        </w:rPr>
        <w:t>条。县级领导开展法律法规、政策宣讲</w:t>
      </w:r>
      <w:r>
        <w:rPr>
          <w:rFonts w:ascii="仿宋_GB2312" w:eastAsia="仿宋_GB2312" w:cs="仿宋_GB2312"/>
          <w:sz w:val="32"/>
          <w:szCs w:val="32"/>
        </w:rPr>
        <w:t>48</w:t>
      </w:r>
      <w:r>
        <w:rPr>
          <w:rFonts w:ascii="仿宋_GB2312" w:eastAsia="仿宋_GB2312" w:cs="仿宋_GB2312" w:hint="eastAsia"/>
          <w:sz w:val="32"/>
          <w:szCs w:val="32"/>
        </w:rPr>
        <w:t>场次，宣传人数达</w:t>
      </w:r>
      <w:r>
        <w:rPr>
          <w:rFonts w:ascii="仿宋_GB2312" w:eastAsia="仿宋_GB2312" w:cs="仿宋_GB2312"/>
          <w:sz w:val="32"/>
          <w:szCs w:val="32"/>
        </w:rPr>
        <w:t>801</w:t>
      </w:r>
      <w:r>
        <w:rPr>
          <w:rFonts w:ascii="仿宋_GB2312" w:eastAsia="仿宋_GB2312" w:cs="仿宋_GB2312" w:hint="eastAsia"/>
          <w:sz w:val="32"/>
          <w:szCs w:val="32"/>
        </w:rPr>
        <w:t>人次，发放资料</w:t>
      </w:r>
      <w:r>
        <w:rPr>
          <w:rFonts w:ascii="仿宋_GB2312" w:eastAsia="仿宋_GB2312" w:cs="仿宋_GB2312"/>
          <w:sz w:val="32"/>
          <w:szCs w:val="32"/>
        </w:rPr>
        <w:t>310</w:t>
      </w:r>
      <w:r>
        <w:rPr>
          <w:rFonts w:ascii="仿宋_GB2312" w:eastAsia="仿宋_GB2312" w:cs="仿宋_GB2312" w:hint="eastAsia"/>
          <w:sz w:val="32"/>
          <w:szCs w:val="32"/>
        </w:rPr>
        <w:t>份。</w:t>
      </w:r>
      <w:r>
        <w:rPr>
          <w:rFonts w:ascii="仿宋_GB2312" w:eastAsia="仿宋_GB2312" w:cs="仿宋_GB2312" w:hint="eastAsia"/>
          <w:b/>
          <w:sz w:val="32"/>
          <w:szCs w:val="32"/>
        </w:rPr>
        <w:t>二是</w:t>
      </w:r>
      <w:r>
        <w:rPr>
          <w:rFonts w:ascii="仿宋_GB2312" w:eastAsia="仿宋_GB2312" w:cs="仿宋_GB2312" w:hint="eastAsia"/>
          <w:sz w:val="32"/>
          <w:szCs w:val="32"/>
        </w:rPr>
        <w:t>积极开展联户联情工作。上半年统战部多次深入联系村开展联户联情工作，发放联心卡</w:t>
      </w:r>
      <w:r>
        <w:rPr>
          <w:rFonts w:ascii="仿宋_GB2312" w:eastAsia="仿宋_GB2312" w:cs="仿宋_GB2312"/>
          <w:sz w:val="32"/>
          <w:szCs w:val="32"/>
        </w:rPr>
        <w:t>47</w:t>
      </w:r>
      <w:r>
        <w:rPr>
          <w:rFonts w:ascii="仿宋_GB2312" w:eastAsia="仿宋_GB2312" w:cs="仿宋_GB2312" w:hint="eastAsia"/>
          <w:sz w:val="32"/>
          <w:szCs w:val="32"/>
        </w:rPr>
        <w:t>张，走访群众</w:t>
      </w:r>
      <w:r>
        <w:rPr>
          <w:rFonts w:ascii="仿宋_GB2312" w:eastAsia="仿宋_GB2312" w:cs="仿宋_GB2312"/>
          <w:sz w:val="32"/>
          <w:szCs w:val="32"/>
        </w:rPr>
        <w:t>90</w:t>
      </w:r>
      <w:r>
        <w:rPr>
          <w:rFonts w:ascii="仿宋_GB2312" w:eastAsia="仿宋_GB2312" w:cs="仿宋_GB2312" w:hint="eastAsia"/>
          <w:sz w:val="32"/>
          <w:szCs w:val="32"/>
        </w:rPr>
        <w:t>余次，慰问困难群众</w:t>
      </w:r>
      <w:r>
        <w:rPr>
          <w:rFonts w:ascii="仿宋_GB2312" w:eastAsia="仿宋_GB2312" w:cs="仿宋_GB2312"/>
          <w:sz w:val="32"/>
          <w:szCs w:val="32"/>
        </w:rPr>
        <w:t>14</w:t>
      </w:r>
      <w:r>
        <w:rPr>
          <w:rFonts w:ascii="仿宋_GB2312" w:eastAsia="仿宋_GB2312" w:cs="仿宋_GB2312" w:hint="eastAsia"/>
          <w:sz w:val="32"/>
          <w:szCs w:val="32"/>
        </w:rPr>
        <w:t>户，发放慰问金</w:t>
      </w:r>
      <w:r>
        <w:rPr>
          <w:rFonts w:ascii="仿宋_GB2312" w:eastAsia="仿宋_GB2312" w:cs="仿宋_GB2312"/>
          <w:sz w:val="32"/>
          <w:szCs w:val="32"/>
        </w:rPr>
        <w:t>1100</w:t>
      </w:r>
      <w:r>
        <w:rPr>
          <w:rFonts w:ascii="仿宋_GB2312" w:eastAsia="仿宋_GB2312" w:cs="仿宋_GB2312" w:hint="eastAsia"/>
          <w:sz w:val="32"/>
          <w:szCs w:val="32"/>
        </w:rPr>
        <w:t>元、大米</w:t>
      </w:r>
      <w:r>
        <w:rPr>
          <w:rFonts w:ascii="仿宋_GB2312" w:eastAsia="仿宋_GB2312" w:cs="仿宋_GB2312"/>
          <w:sz w:val="32"/>
          <w:szCs w:val="32"/>
        </w:rPr>
        <w:t>600</w:t>
      </w:r>
      <w:r>
        <w:rPr>
          <w:rFonts w:ascii="仿宋_GB2312" w:eastAsia="仿宋_GB2312" w:cs="仿宋_GB2312" w:hint="eastAsia"/>
          <w:sz w:val="32"/>
          <w:szCs w:val="32"/>
        </w:rPr>
        <w:t>斤、清油</w:t>
      </w:r>
      <w:r>
        <w:rPr>
          <w:rFonts w:ascii="仿宋_GB2312" w:eastAsia="仿宋_GB2312" w:cs="仿宋_GB2312"/>
          <w:sz w:val="32"/>
          <w:szCs w:val="32"/>
        </w:rPr>
        <w:t>100</w:t>
      </w:r>
      <w:r>
        <w:rPr>
          <w:rFonts w:ascii="仿宋_GB2312" w:eastAsia="仿宋_GB2312" w:cs="仿宋_GB2312" w:hint="eastAsia"/>
          <w:sz w:val="32"/>
          <w:szCs w:val="32"/>
        </w:rPr>
        <w:t>斤。</w:t>
      </w:r>
    </w:p>
    <w:p>
      <w:pPr>
        <w:spacing w:line="576" w:lineRule="exact"/>
        <w:ind w:firstLineChars="200" w:firstLine="640"/>
        <w:rPr>
          <w:rFonts w:ascii="仿宋_GB2312" w:eastAsia="仿宋_GB2312" w:cs="仿宋_GB2312"/>
          <w:sz w:val="32"/>
          <w:szCs w:val="32"/>
        </w:rPr>
      </w:pPr>
      <w:r>
        <w:rPr>
          <w:rFonts w:ascii="仿宋_GB2312" w:eastAsia="仿宋_GB2312" w:cs="仿宋_GB2312"/>
          <w:b/>
          <w:sz w:val="32"/>
          <w:szCs w:val="32"/>
        </w:rPr>
        <w:t>4.</w:t>
      </w:r>
      <w:r>
        <w:rPr>
          <w:rFonts w:ascii="仿宋_GB2312" w:eastAsia="仿宋_GB2312" w:cs="仿宋_GB2312" w:hint="eastAsia"/>
          <w:b/>
          <w:sz w:val="32"/>
          <w:szCs w:val="32"/>
        </w:rPr>
        <w:t>深入开展宗教工作整改回头看。</w:t>
      </w:r>
      <w:r>
        <w:rPr>
          <w:rFonts w:ascii="仿宋_GB2312" w:eastAsia="仿宋_GB2312" w:cs="仿宋_GB2312" w:hint="eastAsia"/>
          <w:sz w:val="32"/>
          <w:szCs w:val="32"/>
        </w:rPr>
        <w:t>按照中央、省委反馈四川宗教工作领域的问题，结合茂县实际制定整改落实方案，开展再核实、再排查、再延伸整改工作，建立健全三级网络两级责任制，补充完善档案资料，深入大型民间信仰场所、老年大学开展宗教法律法规、安全知识宣讲</w:t>
      </w:r>
      <w:r>
        <w:rPr>
          <w:rFonts w:ascii="仿宋_GB2312" w:eastAsia="仿宋_GB2312" w:cs="仿宋_GB2312"/>
          <w:sz w:val="32"/>
          <w:szCs w:val="32"/>
        </w:rPr>
        <w:t>3</w:t>
      </w:r>
      <w:r>
        <w:rPr>
          <w:rFonts w:ascii="仿宋_GB2312" w:eastAsia="仿宋_GB2312" w:cs="仿宋_GB2312" w:hint="eastAsia"/>
          <w:sz w:val="32"/>
          <w:szCs w:val="32"/>
        </w:rPr>
        <w:t>场次。</w:t>
      </w:r>
    </w:p>
    <w:p>
      <w:pPr>
        <w:spacing w:line="576" w:lineRule="exact"/>
        <w:ind w:firstLineChars="200" w:firstLine="640"/>
        <w:rPr>
          <w:rFonts w:ascii="仿宋_GB2312" w:eastAsia="仿宋_GB2312" w:cs="仿宋_GB2312"/>
          <w:sz w:val="32"/>
          <w:szCs w:val="32"/>
        </w:rPr>
      </w:pPr>
      <w:r>
        <w:rPr>
          <w:rFonts w:ascii="仿宋_GB2312" w:eastAsia="仿宋_GB2312" w:cs="仿宋_GB2312"/>
          <w:b/>
          <w:sz w:val="32"/>
          <w:szCs w:val="32"/>
        </w:rPr>
        <w:t>5.</w:t>
      </w:r>
      <w:r>
        <w:rPr>
          <w:rFonts w:ascii="仿宋_GB2312" w:eastAsia="仿宋_GB2312" w:cs="仿宋_GB2312" w:hint="eastAsia"/>
          <w:b/>
          <w:sz w:val="32"/>
          <w:szCs w:val="32"/>
        </w:rPr>
        <w:t>推进民族团结进步创建工作。</w:t>
      </w:r>
      <w:r>
        <w:rPr>
          <w:rFonts w:ascii="仿宋_GB2312" w:eastAsia="仿宋_GB2312" w:cs="仿宋_GB2312" w:hint="eastAsia"/>
          <w:sz w:val="32"/>
          <w:szCs w:val="32"/>
        </w:rPr>
        <w:t>开展民族团结进步示范创建宣传，进一步规范</w:t>
      </w:r>
      <w:r>
        <w:rPr>
          <w:rFonts w:ascii="仿宋_GB2312" w:eastAsia="仿宋_GB2312" w:cs="仿宋_GB2312"/>
          <w:sz w:val="32"/>
          <w:szCs w:val="32"/>
        </w:rPr>
        <w:t>2018</w:t>
      </w:r>
      <w:r>
        <w:rPr>
          <w:rFonts w:ascii="仿宋_GB2312" w:eastAsia="仿宋_GB2312" w:cs="仿宋_GB2312" w:hint="eastAsia"/>
          <w:sz w:val="32"/>
          <w:szCs w:val="32"/>
        </w:rPr>
        <w:t>年创建档案资料，丰富创建内容，按时报送创建信息，及时更新创建工作展板等工作，纵深推进今年创建目标任务。</w:t>
      </w:r>
    </w:p>
    <w:p>
      <w:pPr>
        <w:spacing w:line="576" w:lineRule="exact"/>
        <w:ind w:firstLineChars="200" w:firstLine="640"/>
        <w:rPr>
          <w:rFonts w:ascii="仿宋_GB2312" w:eastAsia="仿宋_GB2312" w:cs="仿宋_GB2312"/>
          <w:b/>
          <w:sz w:val="32"/>
          <w:szCs w:val="32"/>
        </w:rPr>
      </w:pPr>
      <w:r>
        <w:rPr>
          <w:rFonts w:ascii="仿宋_GB2312" w:eastAsia="仿宋_GB2312" w:cs="仿宋_GB2312"/>
          <w:b/>
          <w:sz w:val="32"/>
          <w:szCs w:val="32"/>
        </w:rPr>
        <w:t>6.</w:t>
      </w:r>
      <w:r>
        <w:rPr>
          <w:rFonts w:ascii="仿宋_GB2312" w:eastAsia="仿宋_GB2312" w:cs="仿宋_GB2312" w:hint="eastAsia"/>
          <w:b/>
          <w:sz w:val="32"/>
          <w:szCs w:val="32"/>
        </w:rPr>
        <w:t>开展党外代表人士调研工作。</w:t>
      </w:r>
      <w:r>
        <w:rPr>
          <w:rFonts w:ascii="仿宋_GB2312" w:eastAsia="仿宋_GB2312" w:cs="仿宋_GB2312" w:hint="eastAsia"/>
          <w:sz w:val="32"/>
          <w:szCs w:val="32"/>
        </w:rPr>
        <w:t>采取座谈会、走访、约谈等方式对全县党外干部和党外知识分子队伍情况进行了深入调研，全面了解和掌握茂县党外干部和党外知识分子队伍基本情况，分析、梳理工作中存在的问题，并形成调研报告</w:t>
      </w:r>
      <w:r>
        <w:rPr>
          <w:rFonts w:ascii="仿宋_GB2312" w:eastAsia="仿宋_GB2312" w:cs="仿宋_GB2312"/>
          <w:sz w:val="32"/>
          <w:szCs w:val="32"/>
        </w:rPr>
        <w:t>2</w:t>
      </w:r>
      <w:r>
        <w:rPr>
          <w:rFonts w:ascii="仿宋_GB2312" w:eastAsia="仿宋_GB2312" w:cs="仿宋_GB2312" w:hint="eastAsia"/>
          <w:sz w:val="32"/>
          <w:szCs w:val="32"/>
        </w:rPr>
        <w:t>篇。</w:t>
      </w:r>
    </w:p>
    <w:p>
      <w:pPr>
        <w:spacing w:line="576" w:lineRule="exact"/>
        <w:ind w:firstLineChars="200" w:firstLine="640"/>
        <w:rPr>
          <w:rFonts w:ascii="仿宋_GB2312" w:eastAsia="仿宋_GB2312" w:cs="仿宋_GB2312"/>
          <w:sz w:val="32"/>
          <w:szCs w:val="32"/>
        </w:rPr>
      </w:pPr>
      <w:r>
        <w:rPr>
          <w:rFonts w:ascii="仿宋_GB2312" w:eastAsia="仿宋_GB2312" w:cs="仿宋_GB2312"/>
          <w:b/>
          <w:sz w:val="32"/>
          <w:szCs w:val="32"/>
        </w:rPr>
        <w:t>7.</w:t>
      </w:r>
      <w:r>
        <w:rPr>
          <w:rFonts w:ascii="仿宋_GB2312" w:eastAsia="仿宋_GB2312" w:cs="仿宋_GB2312" w:hint="eastAsia"/>
          <w:b/>
          <w:sz w:val="32"/>
          <w:szCs w:val="32"/>
        </w:rPr>
        <w:t>注重培养培训。</w:t>
      </w:r>
      <w:r>
        <w:rPr>
          <w:rFonts w:ascii="仿宋_GB2312" w:eastAsia="仿宋_GB2312" w:cs="仿宋_GB2312" w:hint="eastAsia"/>
          <w:sz w:val="32"/>
          <w:szCs w:val="32"/>
        </w:rPr>
        <w:t>选派统战、民宗干部</w:t>
      </w:r>
      <w:r>
        <w:rPr>
          <w:rFonts w:ascii="仿宋_GB2312" w:eastAsia="仿宋_GB2312" w:cs="仿宋_GB2312" w:hint="eastAsia"/>
          <w:color w:val="000000"/>
          <w:sz w:val="32"/>
          <w:szCs w:val="32"/>
        </w:rPr>
        <w:t>参加全省统战、民宗干部培训班</w:t>
      </w:r>
      <w:r>
        <w:rPr>
          <w:rFonts w:ascii="仿宋_GB2312" w:eastAsia="仿宋_GB2312" w:cs="仿宋_GB2312"/>
          <w:color w:val="000000"/>
          <w:sz w:val="32"/>
          <w:szCs w:val="32"/>
        </w:rPr>
        <w:t>2</w:t>
      </w:r>
      <w:r>
        <w:rPr>
          <w:rFonts w:ascii="仿宋_GB2312" w:eastAsia="仿宋_GB2312" w:cs="仿宋_GB2312" w:hint="eastAsia"/>
          <w:color w:val="000000"/>
          <w:sz w:val="32"/>
          <w:szCs w:val="32"/>
        </w:rPr>
        <w:t>次，共计</w:t>
      </w:r>
      <w:r>
        <w:rPr>
          <w:rFonts w:ascii="仿宋_GB2312" w:eastAsia="仿宋_GB2312" w:cs="仿宋_GB2312"/>
          <w:color w:val="000000"/>
          <w:sz w:val="32"/>
          <w:szCs w:val="32"/>
        </w:rPr>
        <w:t>12</w:t>
      </w:r>
      <w:r>
        <w:rPr>
          <w:rFonts w:ascii="仿宋_GB2312" w:eastAsia="仿宋_GB2312" w:cs="仿宋_GB2312" w:hint="eastAsia"/>
          <w:color w:val="000000"/>
          <w:sz w:val="32"/>
          <w:szCs w:val="32"/>
        </w:rPr>
        <w:t>人参训，推荐宗教教职人员</w:t>
      </w:r>
      <w:r>
        <w:rPr>
          <w:rFonts w:ascii="仿宋_GB2312" w:eastAsia="仿宋_GB2312" w:cs="仿宋_GB2312"/>
          <w:color w:val="000000"/>
          <w:sz w:val="32"/>
          <w:szCs w:val="32"/>
        </w:rPr>
        <w:t>1</w:t>
      </w:r>
      <w:r>
        <w:rPr>
          <w:rFonts w:ascii="仿宋_GB2312" w:eastAsia="仿宋_GB2312" w:cs="仿宋_GB2312" w:hint="eastAsia"/>
          <w:color w:val="000000"/>
          <w:sz w:val="32"/>
          <w:szCs w:val="32"/>
        </w:rPr>
        <w:t>人参加道协理事会培训。选送</w:t>
      </w:r>
      <w:r>
        <w:rPr>
          <w:rFonts w:ascii="仿宋_GB2312" w:eastAsia="仿宋_GB2312" w:cs="仿宋_GB2312"/>
          <w:color w:val="000000"/>
          <w:sz w:val="32"/>
          <w:szCs w:val="32"/>
        </w:rPr>
        <w:t>4</w:t>
      </w:r>
      <w:r>
        <w:rPr>
          <w:rFonts w:ascii="仿宋_GB2312" w:eastAsia="仿宋_GB2312" w:cs="仿宋_GB2312" w:hint="eastAsia"/>
          <w:color w:val="000000"/>
          <w:sz w:val="32"/>
          <w:szCs w:val="32"/>
        </w:rPr>
        <w:t>名党外代表人士到北京和四川省社</w:t>
      </w:r>
      <w:r>
        <w:rPr>
          <w:rFonts w:ascii="仿宋_GB2312" w:eastAsia="仿宋_GB2312" w:cs="仿宋_GB2312" w:hint="eastAsia"/>
          <w:sz w:val="32"/>
          <w:szCs w:val="32"/>
        </w:rPr>
        <w:t>会主义学院进行培训。</w:t>
      </w:r>
    </w:p>
    <w:p>
      <w:pPr>
        <w:spacing w:line="576" w:lineRule="exact"/>
        <w:ind w:firstLineChars="200" w:firstLine="640"/>
        <w:rPr>
          <w:rFonts w:ascii="仿宋_GB2312" w:eastAsia="仿宋_GB2312" w:cs="仿宋_GB2312"/>
          <w:sz w:val="32"/>
          <w:szCs w:val="32"/>
        </w:rPr>
      </w:pPr>
      <w:r>
        <w:rPr>
          <w:rFonts w:ascii="仿宋_GB2312" w:eastAsia="仿宋_GB2312" w:cs="仿宋_GB2312"/>
          <w:b/>
          <w:sz w:val="32"/>
          <w:szCs w:val="32"/>
        </w:rPr>
        <w:t>8.</w:t>
      </w:r>
      <w:r>
        <w:rPr>
          <w:rFonts w:ascii="仿宋_GB2312" w:eastAsia="仿宋_GB2312" w:cs="仿宋_GB2312" w:hint="eastAsia"/>
          <w:b/>
          <w:sz w:val="32"/>
          <w:szCs w:val="32"/>
        </w:rPr>
        <w:t>促进民族干部健康成长。</w:t>
      </w:r>
      <w:r>
        <w:rPr>
          <w:rFonts w:ascii="仿宋_GB2312" w:eastAsia="仿宋_GB2312" w:cs="仿宋_GB2312" w:hint="eastAsia"/>
          <w:sz w:val="32"/>
          <w:szCs w:val="32"/>
        </w:rPr>
        <w:t>对全县少数民族干部人才进行了统计调查，建立了</w:t>
      </w:r>
      <w:r>
        <w:rPr>
          <w:rFonts w:ascii="仿宋_GB2312" w:eastAsia="仿宋_GB2312" w:cs="仿宋_GB2312"/>
          <w:sz w:val="32"/>
          <w:szCs w:val="32"/>
        </w:rPr>
        <w:t>380</w:t>
      </w:r>
      <w:r>
        <w:rPr>
          <w:rFonts w:ascii="仿宋_GB2312" w:eastAsia="仿宋_GB2312" w:cs="仿宋_GB2312" w:hint="eastAsia"/>
          <w:sz w:val="32"/>
          <w:szCs w:val="32"/>
        </w:rPr>
        <w:t>名副高及以上少数民族干部人才数据库。推荐了</w:t>
      </w:r>
      <w:r>
        <w:rPr>
          <w:rFonts w:ascii="仿宋_GB2312" w:eastAsia="仿宋_GB2312" w:cs="仿宋_GB2312"/>
          <w:sz w:val="32"/>
          <w:szCs w:val="32"/>
        </w:rPr>
        <w:t>1</w:t>
      </w:r>
      <w:r>
        <w:rPr>
          <w:rFonts w:ascii="仿宋_GB2312" w:eastAsia="仿宋_GB2312" w:cs="仿宋_GB2312" w:hint="eastAsia"/>
          <w:sz w:val="32"/>
          <w:szCs w:val="32"/>
        </w:rPr>
        <w:t>名优秀民营企业家为四川省青年民营企业家。</w:t>
      </w:r>
    </w:p>
    <w:p>
      <w:pPr>
        <w:spacing w:line="576" w:lineRule="exact"/>
        <w:ind w:firstLineChars="200" w:firstLine="640"/>
        <w:rPr>
          <w:rFonts w:ascii="仿宋_GB2312" w:eastAsia="仿宋_GB2312" w:cs="仿宋_GB2312"/>
          <w:sz w:val="32"/>
          <w:szCs w:val="32"/>
        </w:rPr>
      </w:pPr>
      <w:r>
        <w:rPr>
          <w:rFonts w:ascii="仿宋_GB2312" w:eastAsia="仿宋_GB2312" w:cs="仿宋_GB2312"/>
          <w:b/>
          <w:sz w:val="32"/>
          <w:szCs w:val="32"/>
        </w:rPr>
        <w:t>9.</w:t>
      </w:r>
      <w:r>
        <w:rPr>
          <w:rFonts w:ascii="仿宋_GB2312" w:eastAsia="仿宋_GB2312" w:cs="仿宋_GB2312" w:hint="eastAsia"/>
          <w:b/>
          <w:sz w:val="32"/>
          <w:szCs w:val="32"/>
        </w:rPr>
        <w:t>做好新的社会阶层人士工作。</w:t>
      </w:r>
      <w:r>
        <w:rPr>
          <w:rFonts w:ascii="仿宋_GB2312" w:eastAsia="仿宋_GB2312" w:cs="仿宋_GB2312" w:hint="eastAsia"/>
          <w:color w:val="333333"/>
          <w:kern w:val="0"/>
          <w:sz w:val="32"/>
          <w:szCs w:val="32"/>
        </w:rPr>
        <w:t>上半年，茂县知新会班子成员赴崇州市对新的社会阶层人士工作进行了考察学习。召开知新会班子会议，讨论茂县知新会</w:t>
      </w:r>
      <w:r>
        <w:rPr>
          <w:rFonts w:ascii="仿宋_GB2312" w:eastAsia="仿宋_GB2312" w:cs="仿宋_GB2312"/>
          <w:color w:val="333333"/>
          <w:kern w:val="0"/>
          <w:sz w:val="32"/>
          <w:szCs w:val="32"/>
        </w:rPr>
        <w:t>2019</w:t>
      </w:r>
      <w:r>
        <w:rPr>
          <w:rFonts w:ascii="仿宋_GB2312" w:eastAsia="仿宋_GB2312" w:cs="仿宋_GB2312" w:hint="eastAsia"/>
          <w:color w:val="333333"/>
          <w:kern w:val="0"/>
          <w:sz w:val="32"/>
          <w:szCs w:val="32"/>
        </w:rPr>
        <w:t>年度工作计划（草案），向班子成员征求意见和建议。知新会组织工业园区部分企业举行了庆祝“五</w:t>
      </w:r>
      <w:r>
        <w:rPr>
          <w:rFonts w:ascii="仿宋_GB2312" w:eastAsia="仿宋_GB2312" w:cs="仿宋_GB2312"/>
          <w:color w:val="333333"/>
          <w:kern w:val="0"/>
          <w:sz w:val="32"/>
          <w:szCs w:val="32"/>
        </w:rPr>
        <w:t>.</w:t>
      </w:r>
      <w:r>
        <w:rPr>
          <w:rFonts w:ascii="仿宋_GB2312" w:eastAsia="仿宋_GB2312" w:cs="仿宋_GB2312" w:hint="eastAsia"/>
          <w:color w:val="333333"/>
          <w:kern w:val="0"/>
          <w:sz w:val="32"/>
          <w:szCs w:val="32"/>
        </w:rPr>
        <w:t>一”、纪念“五</w:t>
      </w:r>
      <w:r>
        <w:rPr>
          <w:rFonts w:ascii="仿宋_GB2312" w:eastAsia="仿宋_GB2312" w:cs="仿宋_GB2312"/>
          <w:color w:val="333333"/>
          <w:kern w:val="0"/>
          <w:sz w:val="32"/>
          <w:szCs w:val="32"/>
        </w:rPr>
        <w:t>.</w:t>
      </w:r>
      <w:r>
        <w:rPr>
          <w:rFonts w:ascii="仿宋_GB2312" w:eastAsia="仿宋_GB2312" w:cs="仿宋_GB2312" w:hint="eastAsia"/>
          <w:color w:val="333333"/>
          <w:kern w:val="0"/>
          <w:sz w:val="32"/>
          <w:szCs w:val="32"/>
        </w:rPr>
        <w:t>四”篮球友谊赛，通过比赛积极搭建了联系交流平台</w:t>
      </w:r>
      <w:r>
        <w:rPr>
          <w:rFonts w:ascii="仿宋_GB2312" w:eastAsia="仿宋_GB2312" w:cs="仿宋_GB2312" w:hint="eastAsia"/>
          <w:sz w:val="32"/>
          <w:szCs w:val="32"/>
        </w:rPr>
        <w:t>。</w:t>
      </w:r>
    </w:p>
    <w:p>
      <w:pPr>
        <w:spacing w:line="576" w:lineRule="exact"/>
        <w:ind w:firstLineChars="200" w:firstLine="640"/>
        <w:rPr>
          <w:rFonts w:ascii="仿宋_GB2312" w:eastAsia="仿宋_GB2312" w:cs="仿宋_GB2312"/>
          <w:sz w:val="32"/>
          <w:szCs w:val="32"/>
        </w:rPr>
      </w:pPr>
      <w:r>
        <w:rPr>
          <w:rFonts w:ascii="仿宋_GB2312" w:eastAsia="仿宋_GB2312" w:cs="仿宋_GB2312"/>
          <w:b/>
          <w:sz w:val="32"/>
          <w:szCs w:val="32"/>
        </w:rPr>
        <w:t>10.</w:t>
      </w:r>
      <w:r>
        <w:rPr>
          <w:rFonts w:ascii="仿宋_GB2312" w:eastAsia="仿宋_GB2312" w:cs="仿宋_GB2312" w:hint="eastAsia"/>
          <w:b/>
          <w:sz w:val="32"/>
          <w:szCs w:val="32"/>
        </w:rPr>
        <w:t>加强企业调研。</w:t>
      </w:r>
      <w:r>
        <w:rPr>
          <w:rFonts w:ascii="仿宋_GB2312" w:eastAsia="仿宋_GB2312" w:cs="仿宋_GB2312" w:hint="eastAsia"/>
          <w:sz w:val="32"/>
          <w:szCs w:val="32"/>
        </w:rPr>
        <w:t>对部分非公和国有企业进行了调研，向企业宣讲了</w:t>
      </w:r>
      <w:bookmarkStart w:id="20" w:name="_GoBack"/>
      <w:bookmarkEnd w:id="20"/>
      <w:r>
        <w:rPr>
          <w:rFonts w:ascii="仿宋_GB2312" w:eastAsia="仿宋_GB2312" w:cs="仿宋_GB2312"/>
          <w:sz w:val="32"/>
          <w:szCs w:val="32"/>
        </w:rPr>
        <w:t>党的十九大精神</w:t>
      </w:r>
      <w:r>
        <w:rPr>
          <w:rFonts w:ascii="仿宋_GB2312" w:eastAsia="仿宋_GB2312" w:cs="仿宋_GB2312" w:hint="eastAsia"/>
          <w:sz w:val="32"/>
          <w:szCs w:val="32"/>
        </w:rPr>
        <w:t>，积极征求意见建议，并形成了调研报告。</w:t>
      </w:r>
    </w:p>
    <w:p>
      <w:pPr>
        <w:pStyle w:val="2"/>
        <w:spacing w:line="576" w:lineRule="exact"/>
        <w:ind w:firstLineChars="200" w:firstLine="640"/>
        <w:rPr>
          <w:rStyle w:val="2Char"/>
          <w:rFonts w:cs="Times New Roman"/>
          <w:b w:val="0"/>
          <w:bCs w:val="0"/>
        </w:rPr>
      </w:pPr>
      <w:bookmarkStart w:id="21" w:name="_Toc15377200"/>
      <w:bookmarkStart w:id="22" w:name="_Toc15396601"/>
      <w:r>
        <w:rPr>
          <w:rFonts w:ascii="黑体" w:eastAsia="黑体" w:cs="黑体" w:hint="eastAsia"/>
          <w:b w:val="0"/>
          <w:bCs w:val="0"/>
          <w:color w:val="000000"/>
        </w:rPr>
        <w:t>二、机</w:t>
      </w:r>
      <w:r>
        <w:rPr>
          <w:rStyle w:val="2Char"/>
          <w:rFonts w:ascii="黑体" w:eastAsia="黑体" w:cs="黑体" w:hint="eastAsia"/>
          <w:b w:val="0"/>
          <w:bCs w:val="0"/>
        </w:rPr>
        <w:t>构设置</w:t>
      </w:r>
      <w:bookmarkEnd w:id="21"/>
      <w:bookmarkEnd w:id="22"/>
    </w:p>
    <w:p>
      <w:pPr>
        <w:spacing w:line="576"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茂县统战部</w:t>
      </w:r>
      <w:r>
        <w:rPr>
          <w:rFonts w:ascii="仿宋_GB2312" w:eastAsia="仿宋_GB2312" w:hint="eastAsia"/>
          <w:sz w:val="32"/>
          <w:szCs w:val="32"/>
        </w:rPr>
        <w:t>属一级预算单位，下属二级预算单位 0 个</w:t>
      </w:r>
      <w:r>
        <w:rPr>
          <w:rFonts w:ascii="仿宋_GB2312" w:eastAsia="仿宋_GB2312" w:cs="仿宋_GB2312" w:hint="eastAsia"/>
          <w:sz w:val="32"/>
          <w:szCs w:val="32"/>
        </w:rPr>
        <w:t>，其中行政单位</w:t>
      </w:r>
      <w:r>
        <w:rPr>
          <w:rFonts w:ascii="仿宋_GB2312" w:eastAsia="仿宋_GB2312" w:cs="仿宋_GB2312"/>
          <w:sz w:val="32"/>
          <w:szCs w:val="32"/>
        </w:rPr>
        <w:t>1</w:t>
      </w:r>
      <w:r>
        <w:rPr>
          <w:rFonts w:ascii="仿宋_GB2312" w:eastAsia="仿宋_GB2312" w:cs="仿宋_GB2312" w:hint="eastAsia"/>
          <w:sz w:val="32"/>
          <w:szCs w:val="32"/>
        </w:rPr>
        <w:t>个，参照公务员法管理的事业单位</w:t>
      </w:r>
      <w:r>
        <w:rPr>
          <w:rFonts w:ascii="仿宋_GB2312" w:eastAsia="仿宋_GB2312" w:cs="仿宋_GB2312"/>
          <w:sz w:val="32"/>
          <w:szCs w:val="32"/>
        </w:rPr>
        <w:t>0</w:t>
      </w:r>
      <w:r>
        <w:rPr>
          <w:rFonts w:ascii="仿宋_GB2312" w:eastAsia="仿宋_GB2312" w:cs="仿宋_GB2312" w:hint="eastAsia"/>
          <w:sz w:val="32"/>
          <w:szCs w:val="32"/>
        </w:rPr>
        <w:t>个，其他事业单位</w:t>
      </w:r>
      <w:r>
        <w:rPr>
          <w:rFonts w:ascii="仿宋_GB2312" w:eastAsia="仿宋_GB2312" w:cs="仿宋_GB2312"/>
          <w:sz w:val="32"/>
          <w:szCs w:val="32"/>
        </w:rPr>
        <w:t>0</w:t>
      </w:r>
      <w:r>
        <w:rPr>
          <w:rFonts w:ascii="仿宋_GB2312" w:eastAsia="仿宋_GB2312" w:cs="仿宋_GB2312" w:hint="eastAsia"/>
          <w:sz w:val="32"/>
          <w:szCs w:val="32"/>
        </w:rPr>
        <w:t>个。</w:t>
      </w:r>
    </w:p>
    <w:p>
      <w:pPr>
        <w:adjustRightInd w:val="0"/>
        <w:snapToGrid w:val="0"/>
        <w:spacing w:line="576" w:lineRule="exact"/>
        <w:ind w:firstLineChars="200" w:firstLine="880"/>
        <w:outlineLvl w:val="0"/>
        <w:rPr>
          <w:rStyle w:val="1Char"/>
          <w:rFonts w:ascii="方正小标宋简体" w:eastAsia="方正小标宋简体" w:cs="方正小标宋简体"/>
          <w:b w:val="0"/>
          <w:bCs w:val="0"/>
        </w:rPr>
      </w:pPr>
      <w:bookmarkStart w:id="23" w:name="_Toc15396602"/>
      <w:bookmarkStart w:id="24" w:name="_Toc15377204"/>
      <w:r>
        <w:rPr>
          <w:rStyle w:val="1Char"/>
          <w:rFonts w:ascii="方正小标宋简体" w:eastAsia="方正小标宋简体" w:cs="方正小标宋简体" w:hint="eastAsia"/>
          <w:b w:val="0"/>
          <w:bCs w:val="0"/>
        </w:rPr>
        <w:t>第二部分</w:t>
      </w:r>
      <w:r>
        <w:rPr>
          <w:rStyle w:val="1Char"/>
          <w:rFonts w:ascii="方正小标宋简体" w:eastAsia="方正小标宋简体" w:cs="方正小标宋简体"/>
          <w:b w:val="0"/>
          <w:bCs w:val="0"/>
        </w:rPr>
        <w:t>2018</w:t>
      </w:r>
      <w:r>
        <w:rPr>
          <w:rStyle w:val="1Char"/>
          <w:rFonts w:ascii="方正小标宋简体" w:eastAsia="方正小标宋简体" w:cs="方正小标宋简体" w:hint="eastAsia"/>
          <w:b w:val="0"/>
          <w:bCs w:val="0"/>
        </w:rPr>
        <w:t>年度部门决算情况说明</w:t>
      </w:r>
      <w:bookmarkEnd w:id="23"/>
      <w:bookmarkEnd w:id="24"/>
    </w:p>
    <w:p>
      <w:pPr>
        <w:adjustRightInd w:val="0"/>
        <w:snapToGrid w:val="0"/>
        <w:spacing w:line="576" w:lineRule="exact"/>
        <w:ind w:firstLineChars="200" w:firstLine="880"/>
        <w:outlineLvl w:val="0"/>
        <w:rPr>
          <w:rStyle w:val="1Char"/>
          <w:rFonts w:ascii="方正小标宋简体" w:eastAsia="方正小标宋简体" w:cs="方正小标宋简体"/>
          <w:b w:val="0"/>
          <w:bCs w:val="0"/>
        </w:rPr>
      </w:pPr>
      <w:r>
        <w:rPr>
          <w:rStyle w:val="1Char"/>
          <w:rFonts w:ascii="方正小标宋简体" w:eastAsia="方正小标宋简体" w:cs="方正小标宋简体" w:hint="eastAsia"/>
          <w:b w:val="0"/>
          <w:bCs w:val="0"/>
        </w:rPr>
        <w:t xml:space="preserve"> </w:t>
      </w:r>
    </w:p>
    <w:p>
      <w:pPr>
        <w:pStyle w:val="26"/>
        <w:tabs>
          <w:tab w:val="left" w:pos="523"/>
        </w:tabs>
        <w:spacing w:line="576" w:lineRule="exact"/>
        <w:ind w:firstLineChars="250" w:firstLine="800"/>
        <w:outlineLvl w:val="1"/>
        <w:rPr>
          <w:rStyle w:val="2Char"/>
          <w:rFonts w:ascii="黑体" w:eastAsia="黑体" w:cs="Times New Roman"/>
          <w:b w:val="0"/>
          <w:bCs w:val="0"/>
        </w:rPr>
      </w:pPr>
      <w:bookmarkStart w:id="25" w:name="_Toc15377205"/>
      <w:bookmarkStart w:id="26" w:name="_Toc15396603"/>
      <w:r>
        <w:rPr>
          <w:rFonts w:ascii="黑体" w:eastAsia="黑体" w:cs="黑体" w:hint="eastAsia"/>
          <w:color w:val="000000"/>
          <w:sz w:val="32"/>
          <w:szCs w:val="32"/>
        </w:rPr>
        <w:t>一、收</w:t>
      </w:r>
      <w:r>
        <w:rPr>
          <w:rStyle w:val="2Char"/>
          <w:rFonts w:ascii="黑体" w:eastAsia="黑体" w:cs="黑体" w:hint="eastAsia"/>
          <w:b w:val="0"/>
          <w:bCs w:val="0"/>
        </w:rPr>
        <w:t>入支出决算总体情况说明</w:t>
      </w:r>
      <w:bookmarkEnd w:id="25"/>
      <w:bookmarkEnd w:id="26"/>
    </w:p>
    <w:p>
      <w:pPr>
        <w:spacing w:line="576" w:lineRule="exact"/>
        <w:ind w:firstLineChars="200" w:firstLine="640"/>
        <w:rPr>
          <w:rFonts w:ascii="仿宋" w:eastAsia="仿宋"/>
          <w:color w:val="000000"/>
          <w:sz w:val="32"/>
          <w:szCs w:val="32"/>
        </w:rPr>
      </w:pPr>
      <w:r>
        <w:rPr>
          <w:rFonts w:ascii="仿宋" w:eastAsia="仿宋"/>
          <w:color w:val="000000"/>
          <w:sz w:val="32"/>
          <w:szCs w:val="32"/>
        </w:rPr>
        <w:t>2018</w:t>
      </w:r>
      <w:r>
        <w:rPr>
          <w:rFonts w:ascii="仿宋" w:eastAsia="仿宋" w:hint="eastAsia"/>
          <w:color w:val="000000"/>
          <w:sz w:val="32"/>
          <w:szCs w:val="32"/>
        </w:rPr>
        <w:t>年度收、支总计</w:t>
      </w:r>
      <w:r>
        <w:rPr>
          <w:rFonts w:ascii="仿宋" w:eastAsia="仿宋"/>
          <w:color w:val="000000"/>
          <w:sz w:val="32"/>
          <w:szCs w:val="32"/>
        </w:rPr>
        <w:t>224.84</w:t>
      </w:r>
      <w:r>
        <w:rPr>
          <w:rFonts w:ascii="仿宋" w:eastAsia="仿宋" w:hint="eastAsia"/>
          <w:color w:val="000000"/>
          <w:sz w:val="32"/>
          <w:szCs w:val="32"/>
        </w:rPr>
        <w:t>万元。与</w:t>
      </w:r>
      <w:r>
        <w:rPr>
          <w:rFonts w:ascii="仿宋" w:eastAsia="仿宋"/>
          <w:color w:val="000000"/>
          <w:sz w:val="32"/>
          <w:szCs w:val="32"/>
        </w:rPr>
        <w:t>2017</w:t>
      </w:r>
      <w:r>
        <w:rPr>
          <w:rFonts w:ascii="仿宋" w:eastAsia="仿宋" w:hint="eastAsia"/>
          <w:color w:val="000000"/>
          <w:sz w:val="32"/>
          <w:szCs w:val="32"/>
        </w:rPr>
        <w:t>年相比，收、支各增加了</w:t>
      </w:r>
      <w:r>
        <w:rPr>
          <w:rFonts w:ascii="仿宋" w:eastAsia="仿宋"/>
          <w:color w:val="000000"/>
          <w:sz w:val="32"/>
          <w:szCs w:val="32"/>
        </w:rPr>
        <w:t>25.63</w:t>
      </w:r>
      <w:r>
        <w:rPr>
          <w:rFonts w:ascii="仿宋" w:eastAsia="仿宋" w:hint="eastAsia"/>
          <w:color w:val="000000"/>
          <w:sz w:val="32"/>
          <w:szCs w:val="32"/>
        </w:rPr>
        <w:t>万元，增长</w:t>
      </w:r>
      <w:r>
        <w:rPr>
          <w:rFonts w:ascii="仿宋" w:eastAsia="仿宋"/>
          <w:color w:val="000000"/>
          <w:sz w:val="32"/>
          <w:szCs w:val="32"/>
        </w:rPr>
        <w:t>12.87%</w:t>
      </w:r>
      <w:r>
        <w:rPr>
          <w:rFonts w:ascii="仿宋" w:eastAsia="仿宋" w:hint="eastAsia"/>
          <w:color w:val="000000"/>
          <w:sz w:val="32"/>
          <w:szCs w:val="32"/>
        </w:rPr>
        <w:t>。主要变动原因是工资上调。</w:t>
      </w:r>
    </w:p>
    <w:p>
      <w:pPr>
        <w:spacing w:line="576" w:lineRule="exact"/>
        <w:ind w:firstLineChars="200" w:firstLine="640"/>
        <w:rPr>
          <w:rFonts w:ascii="仿宋_GB2312" w:eastAsia="仿宋_GB2312" w:cs="仿宋_GB2312"/>
          <w:color w:val="000000"/>
          <w:sz w:val="32"/>
          <w:szCs w:val="32"/>
        </w:rPr>
      </w:pPr>
      <w:r>
        <w:rPr>
          <w:rFonts w:ascii="仿宋" w:eastAsia="仿宋" w:hint="eastAsia"/>
          <w:color w:val="000000"/>
          <w:sz w:val="32"/>
          <w:szCs w:val="32"/>
        </w:rPr>
        <w:t>（图</w:t>
      </w:r>
      <w:r>
        <w:rPr>
          <w:rFonts w:ascii="仿宋" w:eastAsia="仿宋"/>
          <w:color w:val="000000"/>
          <w:sz w:val="32"/>
          <w:szCs w:val="32"/>
        </w:rPr>
        <w:t>1</w:t>
      </w:r>
      <w:r>
        <w:rPr>
          <w:rFonts w:ascii="仿宋" w:eastAsia="仿宋" w:hint="eastAsia"/>
          <w:color w:val="000000"/>
          <w:sz w:val="32"/>
          <w:szCs w:val="32"/>
        </w:rPr>
        <w:t>：收支决算总计变动情况图）（单位：万元）</w:t>
      </w:r>
    </w:p>
    <w:p>
      <w:pPr>
        <w:ind w:firstLineChars="200" w:firstLine="640"/>
        <w:rPr>
          <w:rFonts w:ascii="仿宋" w:eastAsia="仿宋"/>
          <w:color w:val="000000"/>
          <w:sz w:val="32"/>
          <w:szCs w:val="32"/>
        </w:rPr>
      </w:pPr>
    </w:p>
    <w:p>
      <w:pPr>
        <w:jc w:val="left"/>
        <w:rPr>
          <w:rFonts w:ascii="仿宋_GB2312" w:eastAsia="仿宋_GB2312"/>
          <w:color w:val="000000"/>
          <w:sz w:val="32"/>
          <w:szCs w:val="32"/>
        </w:rPr>
      </w:pPr>
      <w:r>
        <w:drawing>
          <wp:inline distT="0" distB="0" distL="0" distR="0">
            <wp:extent cx="4572000" cy="2714625"/>
            <wp:effectExtent l="0" t="0" r="0" b="0"/>
            <wp:docPr id="1" name="图片 1"/>
            <wp:cNvGraphicFramePr>
              <a:graphicFrameLocks noChangeAspect="1"/>
            </wp:cNvGraphicFramePr>
            <a:graphic>
              <a:graphicData uri="http://schemas.openxmlformats.org/drawingml/2006/chart">
                <c:chart xmlns:c="http://schemas.openxmlformats.org/drawingml/2006/chart" r:id="rId4"/>
              </a:graphicData>
            </a:graphic>
          </wp:inline>
        </w:drawing>
      </w:r>
    </w:p>
    <w:p>
      <w:pPr>
        <w:pStyle w:val="26"/>
        <w:spacing w:line="576" w:lineRule="exact"/>
        <w:outlineLvl w:val="1"/>
        <w:rPr>
          <w:rStyle w:val="2Char"/>
          <w:rFonts w:ascii="黑体" w:eastAsia="黑体" w:cs="Times New Roman"/>
          <w:b w:val="0"/>
          <w:bCs w:val="0"/>
        </w:rPr>
      </w:pPr>
      <w:bookmarkStart w:id="27" w:name="_Toc15377206"/>
      <w:bookmarkStart w:id="28" w:name="_Toc15396604"/>
      <w:r>
        <w:rPr>
          <w:rFonts w:ascii="黑体" w:eastAsia="黑体" w:cs="黑体" w:hint="eastAsia"/>
          <w:color w:val="000000"/>
          <w:sz w:val="32"/>
          <w:szCs w:val="32"/>
        </w:rPr>
        <w:t>二、收</w:t>
      </w:r>
      <w:r>
        <w:rPr>
          <w:rStyle w:val="2Char"/>
          <w:rFonts w:ascii="黑体" w:eastAsia="黑体" w:cs="黑体" w:hint="eastAsia"/>
          <w:b w:val="0"/>
          <w:bCs w:val="0"/>
        </w:rPr>
        <w:t>入决算情况说明</w:t>
      </w:r>
      <w:bookmarkEnd w:id="27"/>
      <w:bookmarkEnd w:id="28"/>
    </w:p>
    <w:p>
      <w:pPr>
        <w:spacing w:line="576" w:lineRule="exact"/>
        <w:ind w:firstLineChars="200" w:firstLine="640"/>
        <w:outlineLvl w:val="1"/>
        <w:rPr>
          <w:rFonts w:ascii="仿宋" w:eastAsia="仿宋"/>
          <w:color w:val="000000"/>
          <w:sz w:val="32"/>
          <w:szCs w:val="32"/>
        </w:rPr>
      </w:pPr>
      <w:r>
        <w:rPr>
          <w:rFonts w:ascii="仿宋" w:eastAsia="仿宋"/>
          <w:color w:val="000000"/>
          <w:sz w:val="32"/>
          <w:szCs w:val="32"/>
        </w:rPr>
        <w:t>2018</w:t>
      </w:r>
      <w:r>
        <w:rPr>
          <w:rFonts w:ascii="仿宋" w:eastAsia="仿宋" w:hint="eastAsia"/>
          <w:color w:val="000000"/>
          <w:sz w:val="32"/>
          <w:szCs w:val="32"/>
        </w:rPr>
        <w:t>年本年收入合计</w:t>
      </w:r>
      <w:r>
        <w:rPr>
          <w:rFonts w:ascii="仿宋" w:eastAsia="仿宋"/>
          <w:color w:val="000000"/>
          <w:sz w:val="32"/>
          <w:szCs w:val="32"/>
        </w:rPr>
        <w:t>224.84</w:t>
      </w:r>
      <w:r>
        <w:rPr>
          <w:rFonts w:ascii="仿宋" w:eastAsia="仿宋" w:hint="eastAsia"/>
          <w:color w:val="000000"/>
          <w:sz w:val="32"/>
          <w:szCs w:val="32"/>
        </w:rPr>
        <w:t>万元，其中：一般公共预算财政拨款收入</w:t>
      </w:r>
      <w:r>
        <w:rPr>
          <w:rFonts w:ascii="仿宋" w:eastAsia="仿宋"/>
          <w:color w:val="000000"/>
          <w:sz w:val="32"/>
          <w:szCs w:val="32"/>
        </w:rPr>
        <w:t>224.84</w:t>
      </w:r>
      <w:r>
        <w:rPr>
          <w:rFonts w:ascii="仿宋" w:eastAsia="仿宋" w:hint="eastAsia"/>
          <w:color w:val="000000"/>
          <w:sz w:val="32"/>
          <w:szCs w:val="32"/>
        </w:rPr>
        <w:t>万元，占</w:t>
      </w:r>
      <w:r>
        <w:rPr>
          <w:rFonts w:ascii="仿宋" w:eastAsia="仿宋"/>
          <w:color w:val="000000"/>
          <w:sz w:val="32"/>
          <w:szCs w:val="32"/>
        </w:rPr>
        <w:t>100%</w:t>
      </w:r>
      <w:r>
        <w:rPr>
          <w:rFonts w:ascii="仿宋" w:eastAsia="仿宋" w:hint="eastAsia"/>
          <w:color w:val="000000"/>
          <w:sz w:val="32"/>
          <w:szCs w:val="32"/>
        </w:rPr>
        <w:t>；政府性基金预算财政拨款收入</w:t>
      </w:r>
      <w:r>
        <w:rPr>
          <w:rFonts w:ascii="仿宋" w:eastAsia="仿宋"/>
          <w:color w:val="000000"/>
          <w:sz w:val="32"/>
          <w:szCs w:val="32"/>
        </w:rPr>
        <w:t>0</w:t>
      </w:r>
      <w:r>
        <w:rPr>
          <w:rFonts w:ascii="仿宋" w:eastAsia="仿宋" w:hint="eastAsia"/>
          <w:color w:val="000000"/>
          <w:sz w:val="32"/>
          <w:szCs w:val="32"/>
        </w:rPr>
        <w:t>万元，占</w:t>
      </w:r>
      <w:r>
        <w:rPr>
          <w:rFonts w:ascii="仿宋" w:eastAsia="仿宋"/>
          <w:color w:val="000000"/>
          <w:sz w:val="32"/>
          <w:szCs w:val="32"/>
        </w:rPr>
        <w:t>0%</w:t>
      </w:r>
      <w:r>
        <w:rPr>
          <w:rFonts w:ascii="仿宋" w:eastAsia="仿宋" w:hint="eastAsia"/>
          <w:color w:val="000000"/>
          <w:sz w:val="32"/>
          <w:szCs w:val="32"/>
        </w:rPr>
        <w:t>；国有资本经营预算财政拨款收入</w:t>
      </w:r>
      <w:r>
        <w:rPr>
          <w:rFonts w:ascii="仿宋" w:eastAsia="仿宋"/>
          <w:color w:val="000000"/>
          <w:sz w:val="32"/>
          <w:szCs w:val="32"/>
        </w:rPr>
        <w:t>0</w:t>
      </w:r>
      <w:r>
        <w:rPr>
          <w:rFonts w:ascii="仿宋" w:eastAsia="仿宋" w:hint="eastAsia"/>
          <w:color w:val="000000"/>
          <w:sz w:val="32"/>
          <w:szCs w:val="32"/>
        </w:rPr>
        <w:t>万元，占</w:t>
      </w:r>
      <w:r>
        <w:rPr>
          <w:rFonts w:ascii="仿宋" w:eastAsia="仿宋"/>
          <w:color w:val="000000"/>
          <w:sz w:val="32"/>
          <w:szCs w:val="32"/>
        </w:rPr>
        <w:t>0%</w:t>
      </w:r>
      <w:r>
        <w:rPr>
          <w:rFonts w:ascii="仿宋" w:eastAsia="仿宋" w:hint="eastAsia"/>
          <w:color w:val="000000"/>
          <w:sz w:val="32"/>
          <w:szCs w:val="32"/>
        </w:rPr>
        <w:t>；事业收入</w:t>
      </w:r>
      <w:r>
        <w:rPr>
          <w:rFonts w:ascii="仿宋" w:eastAsia="仿宋"/>
          <w:color w:val="000000"/>
          <w:sz w:val="32"/>
          <w:szCs w:val="32"/>
        </w:rPr>
        <w:t>0</w:t>
      </w:r>
      <w:r>
        <w:rPr>
          <w:rFonts w:ascii="仿宋" w:eastAsia="仿宋" w:hint="eastAsia"/>
          <w:color w:val="000000"/>
          <w:sz w:val="32"/>
          <w:szCs w:val="32"/>
        </w:rPr>
        <w:t>万元，占</w:t>
      </w:r>
      <w:r>
        <w:rPr>
          <w:rFonts w:ascii="仿宋" w:eastAsia="仿宋"/>
          <w:color w:val="000000"/>
          <w:sz w:val="32"/>
          <w:szCs w:val="32"/>
        </w:rPr>
        <w:t>0%</w:t>
      </w:r>
      <w:r>
        <w:rPr>
          <w:rFonts w:ascii="仿宋" w:eastAsia="仿宋" w:hint="eastAsia"/>
          <w:color w:val="000000"/>
          <w:sz w:val="32"/>
          <w:szCs w:val="32"/>
        </w:rPr>
        <w:t>；经营收入</w:t>
      </w:r>
      <w:r>
        <w:rPr>
          <w:rFonts w:ascii="仿宋" w:eastAsia="仿宋"/>
          <w:color w:val="000000"/>
          <w:sz w:val="32"/>
          <w:szCs w:val="32"/>
        </w:rPr>
        <w:t>0</w:t>
      </w:r>
      <w:r>
        <w:rPr>
          <w:rFonts w:ascii="仿宋" w:eastAsia="仿宋" w:hint="eastAsia"/>
          <w:color w:val="000000"/>
          <w:sz w:val="32"/>
          <w:szCs w:val="32"/>
        </w:rPr>
        <w:t>万元，占</w:t>
      </w:r>
      <w:r>
        <w:rPr>
          <w:rFonts w:ascii="仿宋" w:eastAsia="仿宋"/>
          <w:color w:val="000000"/>
          <w:sz w:val="32"/>
          <w:szCs w:val="32"/>
        </w:rPr>
        <w:t>0%</w:t>
      </w:r>
      <w:r>
        <w:rPr>
          <w:rFonts w:ascii="仿宋" w:eastAsia="仿宋" w:hint="eastAsia"/>
          <w:color w:val="000000"/>
          <w:sz w:val="32"/>
          <w:szCs w:val="32"/>
        </w:rPr>
        <w:t>；附属单位上缴收入</w:t>
      </w:r>
      <w:r>
        <w:rPr>
          <w:rFonts w:ascii="仿宋" w:eastAsia="仿宋"/>
          <w:color w:val="000000"/>
          <w:sz w:val="32"/>
          <w:szCs w:val="32"/>
        </w:rPr>
        <w:t>0</w:t>
      </w:r>
      <w:r>
        <w:rPr>
          <w:rFonts w:ascii="仿宋" w:eastAsia="仿宋" w:hint="eastAsia"/>
          <w:color w:val="000000"/>
          <w:sz w:val="32"/>
          <w:szCs w:val="32"/>
        </w:rPr>
        <w:t>万元，占</w:t>
      </w:r>
      <w:r>
        <w:rPr>
          <w:rFonts w:ascii="仿宋" w:eastAsia="仿宋"/>
          <w:color w:val="000000"/>
          <w:sz w:val="32"/>
          <w:szCs w:val="32"/>
        </w:rPr>
        <w:t>0%</w:t>
      </w:r>
      <w:r>
        <w:rPr>
          <w:rFonts w:ascii="仿宋" w:eastAsia="仿宋" w:hint="eastAsia"/>
          <w:color w:val="000000"/>
          <w:sz w:val="32"/>
          <w:szCs w:val="32"/>
        </w:rPr>
        <w:t>；其他收入</w:t>
      </w:r>
      <w:r>
        <w:rPr>
          <w:rFonts w:ascii="仿宋" w:eastAsia="仿宋"/>
          <w:color w:val="000000"/>
          <w:sz w:val="32"/>
          <w:szCs w:val="32"/>
        </w:rPr>
        <w:t>0</w:t>
      </w:r>
      <w:r>
        <w:rPr>
          <w:rFonts w:ascii="仿宋" w:eastAsia="仿宋" w:hint="eastAsia"/>
          <w:color w:val="000000"/>
          <w:sz w:val="32"/>
          <w:szCs w:val="32"/>
        </w:rPr>
        <w:t>万元，占</w:t>
      </w:r>
      <w:r>
        <w:rPr>
          <w:rFonts w:ascii="仿宋" w:eastAsia="仿宋"/>
          <w:color w:val="000000"/>
          <w:sz w:val="32"/>
          <w:szCs w:val="32"/>
        </w:rPr>
        <w:t>0%</w:t>
      </w:r>
      <w:r>
        <w:rPr>
          <w:rFonts w:ascii="仿宋" w:eastAsia="仿宋" w:hint="eastAsia"/>
          <w:color w:val="000000"/>
          <w:sz w:val="32"/>
          <w:szCs w:val="32"/>
        </w:rPr>
        <w:t>。</w:t>
      </w:r>
    </w:p>
    <w:p>
      <w:pPr>
        <w:spacing w:line="576" w:lineRule="exact"/>
        <w:ind w:firstLineChars="200" w:firstLine="640"/>
        <w:rPr>
          <w:rFonts w:ascii="仿宋" w:eastAsia="仿宋"/>
          <w:color w:val="000000"/>
          <w:sz w:val="32"/>
          <w:szCs w:val="32"/>
        </w:rPr>
      </w:pPr>
      <w:r>
        <w:rPr>
          <w:rFonts w:ascii="仿宋" w:eastAsia="仿宋" w:hint="eastAsia"/>
          <w:color w:val="000000"/>
          <w:sz w:val="32"/>
          <w:szCs w:val="32"/>
        </w:rPr>
        <w:t>（图</w:t>
      </w:r>
      <w:r>
        <w:rPr>
          <w:rFonts w:ascii="仿宋" w:eastAsia="仿宋"/>
          <w:color w:val="000000"/>
          <w:sz w:val="32"/>
          <w:szCs w:val="32"/>
        </w:rPr>
        <w:t>2</w:t>
      </w:r>
      <w:r>
        <w:rPr>
          <w:rFonts w:ascii="仿宋" w:eastAsia="仿宋" w:hint="eastAsia"/>
          <w:color w:val="000000"/>
          <w:sz w:val="32"/>
          <w:szCs w:val="32"/>
        </w:rPr>
        <w:t>：收入决算结构图）（单位：万元）</w:t>
      </w:r>
    </w:p>
    <w:p>
      <w:pPr>
        <w:rPr>
          <w:rFonts w:ascii="仿宋_GB2312" w:eastAsia="仿宋_GB2312"/>
          <w:color w:val="FF0000"/>
          <w:sz w:val="32"/>
          <w:szCs w:val="32"/>
        </w:rPr>
      </w:pPr>
      <w:r>
        <w:drawing>
          <wp:inline distT="0" distB="0" distL="0" distR="0">
            <wp:extent cx="4572000" cy="2714625"/>
            <wp:effectExtent l="0" t="0" r="0" b="0"/>
            <wp:docPr id="2" name="图片 2"/>
            <wp:cNvGraphicFramePr>
              <a:graphicFrameLocks noChangeAspect="1"/>
            </wp:cNvGraphicFramePr>
            <a:graphic>
              <a:graphicData uri="http://schemas.openxmlformats.org/drawingml/2006/chart">
                <c:chart xmlns:c="http://schemas.openxmlformats.org/drawingml/2006/chart" r:id="rId5"/>
              </a:graphicData>
            </a:graphic>
          </wp:inline>
        </w:drawing>
      </w:r>
    </w:p>
    <w:p>
      <w:pPr>
        <w:pStyle w:val="26"/>
        <w:spacing w:line="576" w:lineRule="exact"/>
        <w:outlineLvl w:val="1"/>
        <w:rPr>
          <w:rStyle w:val="2Char"/>
          <w:rFonts w:ascii="黑体" w:eastAsia="黑体" w:cs="Times New Roman"/>
          <w:b w:val="0"/>
          <w:bCs w:val="0"/>
        </w:rPr>
      </w:pPr>
      <w:bookmarkStart w:id="29" w:name="_Toc15396605"/>
      <w:bookmarkStart w:id="30" w:name="_Toc15377207"/>
      <w:r>
        <w:rPr>
          <w:rFonts w:ascii="黑体" w:eastAsia="黑体" w:cs="黑体" w:hint="eastAsia"/>
          <w:color w:val="000000"/>
          <w:sz w:val="32"/>
          <w:szCs w:val="32"/>
        </w:rPr>
        <w:t>三、支</w:t>
      </w:r>
      <w:r>
        <w:rPr>
          <w:rStyle w:val="2Char"/>
          <w:rFonts w:ascii="黑体" w:eastAsia="黑体" w:cs="黑体" w:hint="eastAsia"/>
          <w:b w:val="0"/>
          <w:bCs w:val="0"/>
        </w:rPr>
        <w:t>出决算情况说明</w:t>
      </w:r>
      <w:bookmarkEnd w:id="29"/>
      <w:bookmarkEnd w:id="30"/>
    </w:p>
    <w:p>
      <w:pPr>
        <w:spacing w:line="576" w:lineRule="exact"/>
        <w:ind w:firstLine="200"/>
        <w:rPr>
          <w:rFonts w:ascii="仿宋" w:eastAsia="仿宋"/>
          <w:color w:val="000000"/>
          <w:sz w:val="32"/>
          <w:szCs w:val="32"/>
          <w:shd w:val="pct10" w:color="auto" w:fill="FFFFFF"/>
        </w:rPr>
      </w:pPr>
      <w:r>
        <w:rPr>
          <w:rFonts w:ascii="仿宋" w:eastAsia="仿宋"/>
          <w:color w:val="000000"/>
          <w:sz w:val="32"/>
          <w:szCs w:val="32"/>
        </w:rPr>
        <w:t>2018</w:t>
      </w:r>
      <w:r>
        <w:rPr>
          <w:rFonts w:ascii="仿宋" w:eastAsia="仿宋" w:hint="eastAsia"/>
          <w:color w:val="000000"/>
          <w:sz w:val="32"/>
          <w:szCs w:val="32"/>
        </w:rPr>
        <w:t>年本年支出合计</w:t>
      </w:r>
      <w:r>
        <w:rPr>
          <w:rFonts w:ascii="仿宋" w:eastAsia="仿宋"/>
          <w:color w:val="000000"/>
          <w:sz w:val="32"/>
          <w:szCs w:val="32"/>
        </w:rPr>
        <w:t>224.84</w:t>
      </w:r>
      <w:r>
        <w:rPr>
          <w:rFonts w:ascii="仿宋" w:eastAsia="仿宋" w:hint="eastAsia"/>
          <w:color w:val="000000"/>
          <w:sz w:val="32"/>
          <w:szCs w:val="32"/>
        </w:rPr>
        <w:t>万元，其中：基本支出</w:t>
      </w:r>
      <w:r>
        <w:rPr>
          <w:rFonts w:ascii="仿宋" w:eastAsia="仿宋"/>
          <w:color w:val="000000"/>
          <w:sz w:val="32"/>
          <w:szCs w:val="32"/>
        </w:rPr>
        <w:t>219.84</w:t>
      </w:r>
      <w:r>
        <w:rPr>
          <w:rFonts w:ascii="仿宋" w:eastAsia="仿宋" w:hint="eastAsia"/>
          <w:color w:val="000000"/>
          <w:sz w:val="32"/>
          <w:szCs w:val="32"/>
        </w:rPr>
        <w:t>万元，占</w:t>
      </w:r>
      <w:r>
        <w:rPr>
          <w:rFonts w:ascii="仿宋" w:eastAsia="仿宋"/>
          <w:color w:val="000000"/>
          <w:sz w:val="32"/>
          <w:szCs w:val="32"/>
        </w:rPr>
        <w:t>97.78%</w:t>
      </w:r>
      <w:r>
        <w:rPr>
          <w:rFonts w:ascii="仿宋" w:eastAsia="仿宋" w:hint="eastAsia"/>
          <w:color w:val="000000"/>
          <w:sz w:val="32"/>
          <w:szCs w:val="32"/>
        </w:rPr>
        <w:t>；项目支出</w:t>
      </w:r>
      <w:r>
        <w:rPr>
          <w:rFonts w:ascii="仿宋" w:eastAsia="仿宋"/>
          <w:color w:val="000000"/>
          <w:sz w:val="32"/>
          <w:szCs w:val="32"/>
        </w:rPr>
        <w:t>5</w:t>
      </w:r>
      <w:r>
        <w:rPr>
          <w:rFonts w:ascii="仿宋" w:eastAsia="仿宋" w:hint="eastAsia"/>
          <w:color w:val="000000"/>
          <w:sz w:val="32"/>
          <w:szCs w:val="32"/>
        </w:rPr>
        <w:t>万元，占</w:t>
      </w:r>
      <w:r>
        <w:rPr>
          <w:rFonts w:ascii="仿宋" w:eastAsia="仿宋"/>
          <w:color w:val="000000"/>
          <w:sz w:val="32"/>
          <w:szCs w:val="32"/>
        </w:rPr>
        <w:t>2.22%</w:t>
      </w:r>
      <w:r>
        <w:rPr>
          <w:rFonts w:ascii="仿宋" w:eastAsia="仿宋" w:hint="eastAsia"/>
          <w:color w:val="000000"/>
          <w:sz w:val="32"/>
          <w:szCs w:val="32"/>
        </w:rPr>
        <w:t>；上缴上级支出</w:t>
      </w:r>
      <w:r>
        <w:rPr>
          <w:rFonts w:ascii="仿宋" w:eastAsia="仿宋"/>
          <w:color w:val="000000"/>
          <w:sz w:val="32"/>
          <w:szCs w:val="32"/>
        </w:rPr>
        <w:t>0</w:t>
      </w:r>
      <w:r>
        <w:rPr>
          <w:rFonts w:ascii="仿宋" w:eastAsia="仿宋" w:hint="eastAsia"/>
          <w:color w:val="000000"/>
          <w:sz w:val="32"/>
          <w:szCs w:val="32"/>
        </w:rPr>
        <w:t>万元，占</w:t>
      </w:r>
      <w:r>
        <w:rPr>
          <w:rFonts w:ascii="仿宋" w:eastAsia="仿宋"/>
          <w:color w:val="000000"/>
          <w:sz w:val="32"/>
          <w:szCs w:val="32"/>
        </w:rPr>
        <w:t>0%</w:t>
      </w:r>
      <w:r>
        <w:rPr>
          <w:rFonts w:ascii="仿宋" w:eastAsia="仿宋" w:hint="eastAsia"/>
          <w:color w:val="000000"/>
          <w:sz w:val="32"/>
          <w:szCs w:val="32"/>
        </w:rPr>
        <w:t>；经营支出</w:t>
      </w:r>
      <w:r>
        <w:rPr>
          <w:rFonts w:ascii="仿宋" w:eastAsia="仿宋"/>
          <w:color w:val="000000"/>
          <w:sz w:val="32"/>
          <w:szCs w:val="32"/>
        </w:rPr>
        <w:t>0</w:t>
      </w:r>
      <w:r>
        <w:rPr>
          <w:rFonts w:ascii="仿宋" w:eastAsia="仿宋" w:hint="eastAsia"/>
          <w:color w:val="000000"/>
          <w:sz w:val="32"/>
          <w:szCs w:val="32"/>
        </w:rPr>
        <w:t>万元，占</w:t>
      </w:r>
      <w:r>
        <w:rPr>
          <w:rFonts w:ascii="仿宋" w:eastAsia="仿宋"/>
          <w:color w:val="000000"/>
          <w:sz w:val="32"/>
          <w:szCs w:val="32"/>
        </w:rPr>
        <w:t>0%</w:t>
      </w:r>
      <w:r>
        <w:rPr>
          <w:rFonts w:ascii="仿宋" w:eastAsia="仿宋" w:hint="eastAsia"/>
          <w:color w:val="000000"/>
          <w:sz w:val="32"/>
          <w:szCs w:val="32"/>
        </w:rPr>
        <w:t>；对附属单位补助支出</w:t>
      </w:r>
      <w:r>
        <w:rPr>
          <w:rFonts w:ascii="仿宋" w:eastAsia="仿宋"/>
          <w:color w:val="000000"/>
          <w:sz w:val="32"/>
          <w:szCs w:val="32"/>
        </w:rPr>
        <w:t>0</w:t>
      </w:r>
      <w:r>
        <w:rPr>
          <w:rFonts w:ascii="仿宋" w:eastAsia="仿宋" w:hint="eastAsia"/>
          <w:color w:val="000000"/>
          <w:sz w:val="32"/>
          <w:szCs w:val="32"/>
        </w:rPr>
        <w:t>万元，占</w:t>
      </w:r>
      <w:r>
        <w:rPr>
          <w:rFonts w:ascii="仿宋" w:eastAsia="仿宋"/>
          <w:color w:val="000000"/>
          <w:sz w:val="32"/>
          <w:szCs w:val="32"/>
        </w:rPr>
        <w:t>0%</w:t>
      </w:r>
      <w:r>
        <w:rPr>
          <w:rFonts w:ascii="仿宋" w:eastAsia="仿宋" w:hint="eastAsia"/>
          <w:color w:val="000000"/>
          <w:sz w:val="32"/>
          <w:szCs w:val="32"/>
        </w:rPr>
        <w:t>。</w:t>
      </w:r>
    </w:p>
    <w:p>
      <w:pPr>
        <w:spacing w:line="576" w:lineRule="exact"/>
        <w:ind w:firstLineChars="200" w:firstLine="640"/>
        <w:rPr>
          <w:rFonts w:ascii="仿宋" w:eastAsia="仿宋"/>
          <w:color w:val="000000"/>
          <w:sz w:val="32"/>
          <w:szCs w:val="32"/>
        </w:rPr>
      </w:pPr>
      <w:r>
        <w:rPr>
          <w:rFonts w:ascii="仿宋" w:eastAsia="仿宋" w:hint="eastAsia"/>
          <w:color w:val="000000"/>
          <w:sz w:val="32"/>
          <w:szCs w:val="32"/>
        </w:rPr>
        <w:t>（图</w:t>
      </w:r>
      <w:r>
        <w:rPr>
          <w:rFonts w:ascii="仿宋" w:eastAsia="仿宋"/>
          <w:color w:val="000000"/>
          <w:sz w:val="32"/>
          <w:szCs w:val="32"/>
        </w:rPr>
        <w:t>3</w:t>
      </w:r>
      <w:r>
        <w:rPr>
          <w:rFonts w:ascii="仿宋" w:eastAsia="仿宋" w:hint="eastAsia"/>
          <w:color w:val="000000"/>
          <w:sz w:val="32"/>
          <w:szCs w:val="32"/>
        </w:rPr>
        <w:t>：支出决算结构图）（单位：万元）</w:t>
      </w:r>
    </w:p>
    <w:p>
      <w:pPr>
        <w:rPr>
          <w:rFonts w:ascii="仿宋" w:eastAsia="仿宋"/>
          <w:color w:val="000000"/>
          <w:sz w:val="32"/>
          <w:szCs w:val="32"/>
        </w:rPr>
      </w:pPr>
      <w:r>
        <w:drawing>
          <wp:inline distT="0" distB="0" distL="0" distR="0">
            <wp:extent cx="4572000" cy="2714625"/>
            <wp:effectExtent l="0" t="0" r="0" b="0"/>
            <wp:docPr id="3" name="图片 3"/>
            <wp:cNvGraphicFramePr>
              <a:graphicFrameLocks noChangeAspect="1"/>
            </wp:cNvGraphicFramePr>
            <a:graphic>
              <a:graphicData uri="http://schemas.openxmlformats.org/drawingml/2006/chart">
                <c:chart xmlns:c="http://schemas.openxmlformats.org/drawingml/2006/chart" r:id="rId6"/>
              </a:graphicData>
            </a:graphic>
          </wp:inline>
        </w:drawing>
      </w:r>
    </w:p>
    <w:p>
      <w:pPr>
        <w:pStyle w:val="2"/>
        <w:spacing w:line="576" w:lineRule="exact"/>
        <w:ind w:firstLineChars="200" w:firstLine="640"/>
        <w:rPr>
          <w:rStyle w:val="2Char"/>
          <w:rFonts w:ascii="黑体" w:eastAsia="黑体" w:cs="Times New Roman"/>
          <w:b w:val="0"/>
          <w:bCs w:val="0"/>
        </w:rPr>
      </w:pPr>
      <w:bookmarkStart w:id="31" w:name="_Toc15377208"/>
      <w:bookmarkStart w:id="32" w:name="_Toc15396606"/>
      <w:r>
        <w:rPr>
          <w:rFonts w:ascii="黑体" w:eastAsia="黑体" w:cs="黑体" w:hint="eastAsia"/>
          <w:b w:val="0"/>
          <w:bCs w:val="0"/>
          <w:color w:val="000000"/>
        </w:rPr>
        <w:t>四、财</w:t>
      </w:r>
      <w:r>
        <w:rPr>
          <w:rStyle w:val="2Char"/>
          <w:rFonts w:ascii="黑体" w:eastAsia="黑体" w:cs="黑体" w:hint="eastAsia"/>
          <w:b w:val="0"/>
          <w:bCs w:val="0"/>
        </w:rPr>
        <w:t>政拨款收入支出决算总体情况说明</w:t>
      </w:r>
      <w:bookmarkEnd w:id="31"/>
      <w:bookmarkEnd w:id="32"/>
    </w:p>
    <w:p>
      <w:pPr>
        <w:spacing w:line="576" w:lineRule="exact"/>
        <w:ind w:firstLineChars="200" w:firstLine="640"/>
        <w:rPr>
          <w:rFonts w:ascii="仿宋" w:eastAsia="仿宋"/>
          <w:color w:val="000000"/>
          <w:sz w:val="32"/>
          <w:szCs w:val="32"/>
        </w:rPr>
      </w:pPr>
      <w:r>
        <w:rPr>
          <w:rFonts w:ascii="仿宋" w:eastAsia="仿宋"/>
          <w:color w:val="000000"/>
          <w:sz w:val="32"/>
          <w:szCs w:val="32"/>
        </w:rPr>
        <w:t>2018</w:t>
      </w:r>
      <w:r>
        <w:rPr>
          <w:rFonts w:ascii="仿宋" w:eastAsia="仿宋" w:hint="eastAsia"/>
          <w:color w:val="000000"/>
          <w:sz w:val="32"/>
          <w:szCs w:val="32"/>
        </w:rPr>
        <w:t>年财政拨款收、支总计</w:t>
      </w:r>
      <w:r>
        <w:rPr>
          <w:rFonts w:ascii="仿宋" w:eastAsia="仿宋"/>
          <w:color w:val="000000"/>
          <w:sz w:val="32"/>
          <w:szCs w:val="32"/>
        </w:rPr>
        <w:t>224.84</w:t>
      </w:r>
      <w:r>
        <w:rPr>
          <w:rFonts w:ascii="仿宋" w:eastAsia="仿宋" w:hint="eastAsia"/>
          <w:color w:val="000000"/>
          <w:sz w:val="32"/>
          <w:szCs w:val="32"/>
        </w:rPr>
        <w:t>万。与</w:t>
      </w:r>
      <w:r>
        <w:rPr>
          <w:rFonts w:ascii="仿宋" w:eastAsia="仿宋"/>
          <w:color w:val="000000"/>
          <w:sz w:val="32"/>
          <w:szCs w:val="32"/>
        </w:rPr>
        <w:t>2017</w:t>
      </w:r>
      <w:r>
        <w:rPr>
          <w:rFonts w:ascii="仿宋" w:eastAsia="仿宋" w:hint="eastAsia"/>
          <w:color w:val="000000"/>
          <w:sz w:val="32"/>
          <w:szCs w:val="32"/>
        </w:rPr>
        <w:t>年相比，财政拨款收、支总计增加</w:t>
      </w:r>
      <w:r>
        <w:rPr>
          <w:rFonts w:ascii="仿宋" w:eastAsia="仿宋"/>
          <w:color w:val="000000"/>
          <w:sz w:val="32"/>
          <w:szCs w:val="32"/>
        </w:rPr>
        <w:t>25.63</w:t>
      </w:r>
      <w:r>
        <w:rPr>
          <w:rFonts w:ascii="仿宋" w:eastAsia="仿宋" w:hint="eastAsia"/>
          <w:color w:val="000000"/>
          <w:sz w:val="32"/>
          <w:szCs w:val="32"/>
        </w:rPr>
        <w:t>万元，增长</w:t>
      </w:r>
      <w:r>
        <w:rPr>
          <w:rFonts w:ascii="仿宋" w:eastAsia="仿宋"/>
          <w:color w:val="000000"/>
          <w:sz w:val="32"/>
          <w:szCs w:val="32"/>
        </w:rPr>
        <w:t>12.87%</w:t>
      </w:r>
      <w:r>
        <w:rPr>
          <w:rFonts w:ascii="仿宋" w:eastAsia="仿宋" w:hint="eastAsia"/>
          <w:color w:val="000000"/>
          <w:sz w:val="32"/>
          <w:szCs w:val="32"/>
        </w:rPr>
        <w:t>。主要变动原因是工资上调。</w:t>
      </w:r>
    </w:p>
    <w:p>
      <w:pPr>
        <w:spacing w:line="576" w:lineRule="exact"/>
        <w:ind w:firstLineChars="200" w:firstLine="640"/>
        <w:rPr>
          <w:rFonts w:ascii="仿宋" w:eastAsia="仿宋"/>
          <w:color w:val="000000"/>
          <w:sz w:val="32"/>
          <w:szCs w:val="32"/>
        </w:rPr>
      </w:pPr>
      <w:r>
        <w:rPr>
          <w:rFonts w:ascii="仿宋" w:eastAsia="仿宋" w:hint="eastAsia"/>
          <w:color w:val="000000"/>
          <w:sz w:val="32"/>
          <w:szCs w:val="32"/>
        </w:rPr>
        <w:t>（图</w:t>
      </w:r>
      <w:r>
        <w:rPr>
          <w:rFonts w:ascii="仿宋" w:eastAsia="仿宋"/>
          <w:color w:val="000000"/>
          <w:sz w:val="32"/>
          <w:szCs w:val="32"/>
        </w:rPr>
        <w:t>4</w:t>
      </w:r>
      <w:r>
        <w:rPr>
          <w:rFonts w:ascii="仿宋" w:eastAsia="仿宋" w:hint="eastAsia"/>
          <w:color w:val="000000"/>
          <w:sz w:val="32"/>
          <w:szCs w:val="32"/>
        </w:rPr>
        <w:t>：财政拨款收、支决算总计变动情况）（单位：万元）</w:t>
      </w:r>
    </w:p>
    <w:p>
      <w:pPr>
        <w:ind w:firstLine="641"/>
        <w:rPr>
          <w:rFonts w:ascii="仿宋" w:eastAsia="仿宋"/>
          <w:b/>
          <w:bCs/>
          <w:color w:val="00B050"/>
          <w:sz w:val="32"/>
          <w:szCs w:val="32"/>
        </w:rPr>
      </w:pPr>
      <w:r>
        <w:drawing>
          <wp:inline distT="0" distB="0" distL="0" distR="0">
            <wp:extent cx="4572000" cy="2714625"/>
            <wp:effectExtent l="0" t="0" r="0" b="0"/>
            <wp:docPr id="4" name="图片 4"/>
            <wp:cNvGraphicFramePr>
              <a:graphicFrameLocks noChangeAspect="1"/>
            </wp:cNvGraphicFramePr>
            <a:graphic>
              <a:graphicData uri="http://schemas.openxmlformats.org/drawingml/2006/chart">
                <c:chart xmlns:c="http://schemas.openxmlformats.org/drawingml/2006/chart" r:id="rId7"/>
              </a:graphicData>
            </a:graphic>
          </wp:inline>
        </w:drawing>
      </w:r>
    </w:p>
    <w:p>
      <w:pPr>
        <w:pStyle w:val="2"/>
        <w:spacing w:line="576" w:lineRule="exact"/>
        <w:ind w:firstLineChars="200" w:firstLine="640"/>
        <w:rPr>
          <w:rFonts w:ascii="仿宋" w:eastAsia="仿宋" w:cs="Times New Roman"/>
          <w:color w:val="000000"/>
        </w:rPr>
      </w:pPr>
      <w:bookmarkStart w:id="33" w:name="_Toc15396607"/>
      <w:bookmarkStart w:id="34" w:name="_Toc15377209"/>
      <w:r>
        <w:rPr>
          <w:rFonts w:ascii="黑体" w:eastAsia="黑体" w:cs="黑体" w:hint="eastAsia"/>
          <w:b w:val="0"/>
          <w:bCs w:val="0"/>
          <w:color w:val="000000"/>
        </w:rPr>
        <w:t>五、一</w:t>
      </w:r>
      <w:r>
        <w:rPr>
          <w:rStyle w:val="2Char"/>
          <w:rFonts w:ascii="黑体" w:eastAsia="黑体" w:cs="黑体" w:hint="eastAsia"/>
          <w:b w:val="0"/>
          <w:bCs w:val="0"/>
        </w:rPr>
        <w:t>般公共预算财政拨款支出决算情况说明</w:t>
      </w:r>
      <w:bookmarkStart w:id="35" w:name="_Toc15377210"/>
      <w:bookmarkEnd w:id="33"/>
      <w:bookmarkEnd w:id="34"/>
    </w:p>
    <w:p>
      <w:pPr>
        <w:spacing w:line="576" w:lineRule="exact"/>
        <w:ind w:firstLineChars="147" w:firstLine="470"/>
        <w:outlineLvl w:val="1"/>
        <w:rPr>
          <w:rFonts w:ascii="仿宋" w:eastAsia="仿宋"/>
          <w:b/>
          <w:color w:val="000000"/>
          <w:sz w:val="32"/>
          <w:szCs w:val="32"/>
        </w:rPr>
      </w:pPr>
      <w:r>
        <w:rPr>
          <w:rFonts w:ascii="仿宋" w:eastAsia="仿宋" w:hint="eastAsia"/>
          <w:b/>
          <w:color w:val="000000"/>
          <w:sz w:val="32"/>
          <w:szCs w:val="32"/>
        </w:rPr>
        <w:t>（一）一般公共预算财政拨款支出决算总体情况</w:t>
      </w:r>
    </w:p>
    <w:p>
      <w:pPr>
        <w:spacing w:line="576" w:lineRule="exact"/>
        <w:ind w:firstLineChars="200" w:firstLine="640"/>
        <w:rPr>
          <w:rFonts w:ascii="仿宋" w:eastAsia="仿宋"/>
          <w:color w:val="000000"/>
          <w:sz w:val="32"/>
          <w:szCs w:val="32"/>
        </w:rPr>
      </w:pPr>
      <w:r>
        <w:rPr>
          <w:rFonts w:ascii="仿宋" w:eastAsia="仿宋"/>
          <w:color w:val="000000"/>
          <w:sz w:val="32"/>
          <w:szCs w:val="32"/>
        </w:rPr>
        <w:t>2018</w:t>
      </w:r>
      <w:r>
        <w:rPr>
          <w:rFonts w:ascii="仿宋" w:eastAsia="仿宋" w:hint="eastAsia"/>
          <w:color w:val="000000"/>
          <w:sz w:val="32"/>
          <w:szCs w:val="32"/>
        </w:rPr>
        <w:t>年一般公共预算财政拨款支出</w:t>
      </w:r>
      <w:r>
        <w:rPr>
          <w:rFonts w:ascii="仿宋" w:eastAsia="仿宋"/>
          <w:color w:val="000000"/>
          <w:sz w:val="32"/>
          <w:szCs w:val="32"/>
        </w:rPr>
        <w:t>224.84</w:t>
      </w:r>
      <w:r>
        <w:rPr>
          <w:rFonts w:ascii="仿宋" w:eastAsia="仿宋" w:hint="eastAsia"/>
          <w:color w:val="000000"/>
          <w:sz w:val="32"/>
          <w:szCs w:val="32"/>
        </w:rPr>
        <w:t>万元，占本年支出合计的</w:t>
      </w:r>
      <w:r>
        <w:rPr>
          <w:rFonts w:ascii="仿宋" w:eastAsia="仿宋"/>
          <w:color w:val="000000"/>
          <w:sz w:val="32"/>
          <w:szCs w:val="32"/>
        </w:rPr>
        <w:t>100%</w:t>
      </w:r>
      <w:r>
        <w:rPr>
          <w:rFonts w:ascii="仿宋" w:eastAsia="仿宋" w:hint="eastAsia"/>
          <w:color w:val="000000"/>
          <w:sz w:val="32"/>
          <w:szCs w:val="32"/>
        </w:rPr>
        <w:t>。与</w:t>
      </w:r>
      <w:r>
        <w:rPr>
          <w:rFonts w:ascii="仿宋" w:eastAsia="仿宋"/>
          <w:color w:val="000000"/>
          <w:sz w:val="32"/>
          <w:szCs w:val="32"/>
        </w:rPr>
        <w:t>2017</w:t>
      </w:r>
      <w:r>
        <w:rPr>
          <w:rFonts w:ascii="仿宋" w:eastAsia="仿宋" w:hint="eastAsia"/>
          <w:color w:val="000000"/>
          <w:sz w:val="32"/>
          <w:szCs w:val="32"/>
        </w:rPr>
        <w:t>年相比，一般公共预算财政拨款增加</w:t>
      </w:r>
      <w:r>
        <w:rPr>
          <w:rFonts w:ascii="仿宋" w:eastAsia="仿宋"/>
          <w:color w:val="000000"/>
          <w:sz w:val="32"/>
          <w:szCs w:val="32"/>
        </w:rPr>
        <w:t>25.63</w:t>
      </w:r>
      <w:r>
        <w:rPr>
          <w:rFonts w:ascii="仿宋" w:eastAsia="仿宋" w:hint="eastAsia"/>
          <w:color w:val="000000"/>
          <w:sz w:val="32"/>
          <w:szCs w:val="32"/>
        </w:rPr>
        <w:t>万元，增长</w:t>
      </w:r>
      <w:r>
        <w:rPr>
          <w:rFonts w:ascii="仿宋" w:eastAsia="仿宋"/>
          <w:color w:val="000000"/>
          <w:sz w:val="32"/>
          <w:szCs w:val="32"/>
        </w:rPr>
        <w:t>12.87%</w:t>
      </w:r>
      <w:r>
        <w:rPr>
          <w:rFonts w:ascii="仿宋" w:eastAsia="仿宋" w:hint="eastAsia"/>
          <w:color w:val="000000"/>
          <w:sz w:val="32"/>
          <w:szCs w:val="32"/>
        </w:rPr>
        <w:t>。主要变动原因是工资增加。</w:t>
      </w:r>
    </w:p>
    <w:p>
      <w:pPr>
        <w:spacing w:line="576" w:lineRule="exact"/>
        <w:ind w:firstLineChars="150" w:firstLine="480"/>
        <w:rPr>
          <w:rFonts w:ascii="仿宋" w:eastAsia="仿宋"/>
          <w:color w:val="000000"/>
          <w:sz w:val="32"/>
          <w:szCs w:val="32"/>
        </w:rPr>
      </w:pPr>
      <w:r>
        <w:rPr>
          <w:rFonts w:ascii="仿宋" w:eastAsia="仿宋" w:hint="eastAsia"/>
          <w:color w:val="000000"/>
          <w:sz w:val="32"/>
          <w:szCs w:val="32"/>
        </w:rPr>
        <w:t>（图</w:t>
      </w:r>
      <w:r>
        <w:rPr>
          <w:rFonts w:ascii="仿宋" w:eastAsia="仿宋"/>
          <w:color w:val="000000"/>
          <w:sz w:val="32"/>
          <w:szCs w:val="32"/>
        </w:rPr>
        <w:t>5</w:t>
      </w:r>
      <w:r>
        <w:rPr>
          <w:rFonts w:ascii="仿宋" w:eastAsia="仿宋" w:hint="eastAsia"/>
          <w:color w:val="000000"/>
          <w:sz w:val="32"/>
          <w:szCs w:val="32"/>
        </w:rPr>
        <w:t>：一般公共预算财政拨款支出决算变动情况）（单位：万元）</w:t>
      </w:r>
    </w:p>
    <w:p>
      <w:pPr>
        <w:spacing w:line="576" w:lineRule="exact"/>
        <w:ind w:firstLineChars="200" w:firstLine="640"/>
        <w:outlineLvl w:val="1"/>
        <w:rPr>
          <w:rFonts w:ascii="楷体" w:eastAsia="楷体" w:cs="楷体"/>
          <w:b/>
          <w:color w:val="000000"/>
          <w:sz w:val="32"/>
          <w:szCs w:val="32"/>
        </w:rPr>
      </w:pPr>
      <w:r>
        <w:rPr>
          <w:rFonts w:ascii="楷体" w:eastAsia="楷体" w:cs="楷体" w:hint="eastAsia"/>
          <w:b/>
          <w:color w:val="000000"/>
          <w:sz w:val="32"/>
          <w:szCs w:val="32"/>
        </w:rPr>
        <w:t>（二）一般公共预算财政拨款支出决算结构情况</w:t>
      </w:r>
    </w:p>
    <w:p>
      <w:pPr>
        <w:spacing w:line="576" w:lineRule="exact"/>
        <w:ind w:firstLineChars="200" w:firstLine="640"/>
        <w:rPr>
          <w:rFonts w:ascii="仿宋" w:eastAsia="仿宋"/>
          <w:color w:val="000000"/>
          <w:sz w:val="32"/>
          <w:szCs w:val="32"/>
        </w:rPr>
      </w:pPr>
      <w:r>
        <w:rPr>
          <w:rFonts w:ascii="仿宋" w:eastAsia="仿宋"/>
          <w:color w:val="000000"/>
          <w:sz w:val="32"/>
          <w:szCs w:val="32"/>
        </w:rPr>
        <w:t>2018</w:t>
      </w:r>
      <w:r>
        <w:rPr>
          <w:rFonts w:ascii="仿宋" w:eastAsia="仿宋" w:hint="eastAsia"/>
          <w:color w:val="000000"/>
          <w:sz w:val="32"/>
          <w:szCs w:val="32"/>
        </w:rPr>
        <w:t>年一般公共预算财政拨款支出</w:t>
      </w:r>
      <w:r>
        <w:rPr>
          <w:rFonts w:ascii="仿宋" w:eastAsia="仿宋"/>
          <w:color w:val="000000"/>
          <w:sz w:val="32"/>
          <w:szCs w:val="32"/>
        </w:rPr>
        <w:t>224.84</w:t>
      </w:r>
      <w:r>
        <w:rPr>
          <w:rFonts w:ascii="仿宋" w:eastAsia="仿宋" w:hint="eastAsia"/>
          <w:color w:val="000000"/>
          <w:sz w:val="32"/>
          <w:szCs w:val="32"/>
        </w:rPr>
        <w:t>万元，主要用于以下方面</w:t>
      </w:r>
      <w:r>
        <w:rPr>
          <w:rFonts w:ascii="仿宋" w:eastAsia="仿宋"/>
          <w:color w:val="000000"/>
          <w:sz w:val="32"/>
          <w:szCs w:val="32"/>
        </w:rPr>
        <w:t>:</w:t>
      </w:r>
      <w:r>
        <w:rPr>
          <w:rFonts w:ascii="仿宋" w:eastAsia="仿宋" w:hint="eastAsia"/>
          <w:b/>
          <w:color w:val="000000"/>
          <w:sz w:val="32"/>
          <w:szCs w:val="32"/>
        </w:rPr>
        <w:t>一般公共服务（类）</w:t>
      </w:r>
      <w:r>
        <w:rPr>
          <w:rFonts w:ascii="仿宋" w:eastAsia="仿宋" w:hint="eastAsia"/>
          <w:color w:val="000000"/>
          <w:sz w:val="32"/>
          <w:szCs w:val="32"/>
        </w:rPr>
        <w:t>支出</w:t>
      </w:r>
      <w:r>
        <w:rPr>
          <w:rFonts w:ascii="仿宋" w:eastAsia="仿宋"/>
          <w:color w:val="000000"/>
          <w:sz w:val="32"/>
          <w:szCs w:val="32"/>
        </w:rPr>
        <w:t>172.46</w:t>
      </w:r>
      <w:r>
        <w:rPr>
          <w:rFonts w:ascii="仿宋" w:eastAsia="仿宋" w:hint="eastAsia"/>
          <w:color w:val="000000"/>
          <w:sz w:val="32"/>
          <w:szCs w:val="32"/>
        </w:rPr>
        <w:t>万元，占</w:t>
      </w:r>
      <w:r>
        <w:rPr>
          <w:rFonts w:ascii="仿宋" w:eastAsia="仿宋"/>
          <w:color w:val="000000"/>
          <w:sz w:val="32"/>
          <w:szCs w:val="32"/>
        </w:rPr>
        <w:t>76.70%</w:t>
      </w:r>
      <w:r>
        <w:rPr>
          <w:rFonts w:ascii="仿宋" w:eastAsia="仿宋" w:hint="eastAsia"/>
          <w:color w:val="000000"/>
          <w:sz w:val="32"/>
          <w:szCs w:val="32"/>
        </w:rPr>
        <w:t>；</w:t>
      </w:r>
      <w:r>
        <w:rPr>
          <w:rFonts w:ascii="仿宋" w:eastAsia="仿宋" w:hint="eastAsia"/>
          <w:b/>
          <w:color w:val="000000"/>
          <w:sz w:val="32"/>
          <w:szCs w:val="32"/>
        </w:rPr>
        <w:t>社会保障和就业（类）</w:t>
      </w:r>
      <w:r>
        <w:rPr>
          <w:rFonts w:ascii="仿宋" w:eastAsia="仿宋" w:hint="eastAsia"/>
          <w:color w:val="000000"/>
          <w:sz w:val="32"/>
          <w:szCs w:val="32"/>
        </w:rPr>
        <w:t>支出</w:t>
      </w:r>
      <w:r>
        <w:rPr>
          <w:rFonts w:ascii="仿宋" w:eastAsia="仿宋"/>
          <w:color w:val="000000"/>
          <w:sz w:val="32"/>
          <w:szCs w:val="32"/>
        </w:rPr>
        <w:t>27.32</w:t>
      </w:r>
      <w:r>
        <w:rPr>
          <w:rFonts w:ascii="仿宋" w:eastAsia="仿宋" w:hint="eastAsia"/>
          <w:color w:val="000000"/>
          <w:sz w:val="32"/>
          <w:szCs w:val="32"/>
        </w:rPr>
        <w:t>万元，占</w:t>
      </w:r>
      <w:r>
        <w:rPr>
          <w:rFonts w:ascii="仿宋" w:eastAsia="仿宋"/>
          <w:color w:val="000000"/>
          <w:sz w:val="32"/>
          <w:szCs w:val="32"/>
        </w:rPr>
        <w:t>12.15%</w:t>
      </w:r>
      <w:r>
        <w:rPr>
          <w:rFonts w:ascii="仿宋" w:eastAsia="仿宋" w:hint="eastAsia"/>
          <w:color w:val="000000"/>
          <w:sz w:val="32"/>
          <w:szCs w:val="32"/>
        </w:rPr>
        <w:t>；</w:t>
      </w:r>
      <w:r>
        <w:rPr>
          <w:rFonts w:ascii="仿宋" w:eastAsia="仿宋" w:hint="eastAsia"/>
          <w:b/>
          <w:color w:val="000000"/>
          <w:sz w:val="32"/>
          <w:szCs w:val="32"/>
        </w:rPr>
        <w:t>医疗卫生</w:t>
      </w:r>
      <w:r>
        <w:rPr>
          <w:rFonts w:ascii="仿宋" w:eastAsia="仿宋"/>
          <w:b/>
          <w:color w:val="000000"/>
          <w:sz w:val="32"/>
          <w:szCs w:val="32"/>
        </w:rPr>
        <w:t>(</w:t>
      </w:r>
      <w:r>
        <w:rPr>
          <w:rFonts w:ascii="仿宋" w:eastAsia="仿宋" w:hint="eastAsia"/>
          <w:b/>
          <w:color w:val="000000"/>
          <w:sz w:val="32"/>
          <w:szCs w:val="32"/>
        </w:rPr>
        <w:t>类</w:t>
      </w:r>
      <w:r>
        <w:rPr>
          <w:rFonts w:ascii="仿宋" w:eastAsia="仿宋"/>
          <w:b/>
          <w:color w:val="000000"/>
          <w:sz w:val="32"/>
          <w:szCs w:val="32"/>
        </w:rPr>
        <w:t>)</w:t>
      </w:r>
      <w:r>
        <w:rPr>
          <w:rFonts w:ascii="仿宋" w:eastAsia="仿宋" w:hint="eastAsia"/>
          <w:color w:val="000000"/>
          <w:sz w:val="32"/>
          <w:szCs w:val="32"/>
        </w:rPr>
        <w:t>支出</w:t>
      </w:r>
      <w:r>
        <w:rPr>
          <w:rFonts w:ascii="仿宋" w:eastAsia="仿宋"/>
          <w:color w:val="000000"/>
          <w:sz w:val="32"/>
          <w:szCs w:val="32"/>
        </w:rPr>
        <w:t>10.94</w:t>
      </w:r>
      <w:r>
        <w:rPr>
          <w:rFonts w:ascii="仿宋" w:eastAsia="仿宋" w:hint="eastAsia"/>
          <w:color w:val="000000"/>
          <w:sz w:val="32"/>
          <w:szCs w:val="32"/>
        </w:rPr>
        <w:t>万元，占</w:t>
      </w:r>
      <w:r>
        <w:rPr>
          <w:rFonts w:ascii="仿宋" w:eastAsia="仿宋"/>
          <w:color w:val="000000"/>
          <w:sz w:val="32"/>
          <w:szCs w:val="32"/>
        </w:rPr>
        <w:t>4.87%</w:t>
      </w:r>
      <w:r>
        <w:rPr>
          <w:rFonts w:ascii="仿宋" w:eastAsia="仿宋" w:hint="eastAsia"/>
          <w:color w:val="000000"/>
          <w:sz w:val="32"/>
          <w:szCs w:val="32"/>
        </w:rPr>
        <w:t>；</w:t>
      </w:r>
      <w:r>
        <w:rPr>
          <w:rFonts w:ascii="仿宋" w:eastAsia="仿宋" w:hint="eastAsia"/>
          <w:b/>
          <w:color w:val="000000"/>
          <w:sz w:val="32"/>
          <w:szCs w:val="32"/>
        </w:rPr>
        <w:t>住房保障（类）</w:t>
      </w:r>
      <w:r>
        <w:rPr>
          <w:rFonts w:ascii="仿宋" w:eastAsia="仿宋" w:hint="eastAsia"/>
          <w:color w:val="000000"/>
          <w:sz w:val="32"/>
          <w:szCs w:val="32"/>
        </w:rPr>
        <w:t>支出</w:t>
      </w:r>
      <w:r>
        <w:rPr>
          <w:rFonts w:ascii="仿宋" w:eastAsia="仿宋"/>
          <w:color w:val="000000"/>
          <w:sz w:val="32"/>
          <w:szCs w:val="32"/>
        </w:rPr>
        <w:t>14.12</w:t>
      </w:r>
      <w:r>
        <w:rPr>
          <w:rFonts w:ascii="仿宋" w:eastAsia="仿宋" w:hint="eastAsia"/>
          <w:color w:val="000000"/>
          <w:sz w:val="32"/>
          <w:szCs w:val="32"/>
        </w:rPr>
        <w:t>万元，占</w:t>
      </w:r>
      <w:r>
        <w:rPr>
          <w:rFonts w:ascii="仿宋" w:eastAsia="仿宋"/>
          <w:color w:val="000000"/>
          <w:sz w:val="32"/>
          <w:szCs w:val="32"/>
        </w:rPr>
        <w:t>6.28%</w:t>
      </w:r>
      <w:r>
        <w:rPr>
          <w:rFonts w:ascii="仿宋" w:eastAsia="仿宋" w:hint="eastAsia"/>
          <w:color w:val="000000"/>
          <w:sz w:val="32"/>
          <w:szCs w:val="32"/>
        </w:rPr>
        <w:t>。</w:t>
      </w:r>
    </w:p>
    <w:p>
      <w:pPr>
        <w:spacing w:line="576" w:lineRule="exact"/>
        <w:ind w:firstLineChars="200" w:firstLine="420"/>
        <w:rPr>
          <w:rFonts w:ascii="仿宋" w:eastAsia="仿宋"/>
          <w:color w:val="000000"/>
          <w:sz w:val="32"/>
          <w:szCs w:val="32"/>
        </w:rPr>
      </w:pPr>
      <w:r>
        <w:drawing>
          <wp:anchor distT="0" distB="0" distL="114300" distR="114300" simplePos="0" relativeHeight="27" behindDoc="0" locked="0" layoutInCell="1" hidden="0" allowOverlap="1">
            <wp:simplePos x="0" y="0"/>
            <wp:positionH relativeFrom="column">
              <wp:posOffset>720090</wp:posOffset>
            </wp:positionH>
            <wp:positionV relativeFrom="paragraph">
              <wp:posOffset>927100</wp:posOffset>
            </wp:positionV>
            <wp:extent cx="4572000" cy="2743200"/>
            <wp:effectExtent l="0" t="0" r="0" b="0"/>
            <wp:wrapTopAndBottom/>
            <wp:docPr id="5" name="图表 15"/>
            <wp:cNvGraphicFramePr>
              <a:graphicFrameLocks noChangeAspect="0"/>
            </wp:cNvGraphicFramePr>
            <a:graphic>
              <a:graphicData uri="http://schemas.openxmlformats.org/drawingml/2006/chart">
                <c:chart xmlns:c="http://schemas.openxmlformats.org/drawingml/2006/chart" r:id="rId8"/>
              </a:graphicData>
            </a:graphic>
          </wp:anchor>
        </w:drawing>
      </w:r>
      <w:r>
        <w:rPr>
          <w:rFonts w:ascii="仿宋" w:eastAsia="仿宋" w:hint="eastAsia"/>
          <w:color w:val="000000"/>
          <w:sz w:val="32"/>
          <w:szCs w:val="32"/>
        </w:rPr>
        <w:t>（图</w:t>
      </w:r>
      <w:r>
        <w:rPr>
          <w:rFonts w:ascii="仿宋" w:eastAsia="仿宋"/>
          <w:color w:val="000000"/>
          <w:sz w:val="32"/>
          <w:szCs w:val="32"/>
        </w:rPr>
        <w:t>6</w:t>
      </w:r>
      <w:r>
        <w:rPr>
          <w:rFonts w:ascii="仿宋" w:eastAsia="仿宋" w:hint="eastAsia"/>
          <w:color w:val="000000"/>
          <w:sz w:val="32"/>
          <w:szCs w:val="32"/>
        </w:rPr>
        <w:t>：一般公共预算财政拨款支出决算结构）（单位：万元）</w:t>
      </w:r>
    </w:p>
    <w:p>
      <w:pPr>
        <w:spacing w:line="576" w:lineRule="exact"/>
        <w:ind w:firstLineChars="200" w:firstLine="640"/>
        <w:outlineLvl w:val="1"/>
        <w:rPr>
          <w:rFonts w:ascii="楷体" w:eastAsia="楷体" w:cs="楷体"/>
          <w:b/>
          <w:bCs/>
          <w:color w:val="000000"/>
          <w:sz w:val="32"/>
          <w:szCs w:val="32"/>
        </w:rPr>
      </w:pPr>
      <w:r>
        <w:rPr>
          <w:rFonts w:ascii="楷体" w:eastAsia="楷体" w:cs="楷体" w:hint="eastAsia"/>
          <w:b/>
          <w:bCs/>
          <w:color w:val="000000"/>
          <w:sz w:val="32"/>
          <w:szCs w:val="32"/>
        </w:rPr>
        <w:t>（三）一般公共预算财政拨款支出决算总体情况</w:t>
      </w:r>
      <w:bookmarkEnd w:id="35"/>
    </w:p>
    <w:p>
      <w:pPr>
        <w:spacing w:line="576" w:lineRule="exact"/>
        <w:ind w:firstLineChars="200" w:firstLine="640"/>
        <w:outlineLvl w:val="2"/>
        <w:rPr>
          <w:rFonts w:ascii="仿宋" w:eastAsia="仿宋"/>
          <w:color w:val="FF0000"/>
          <w:sz w:val="32"/>
          <w:szCs w:val="32"/>
        </w:rPr>
      </w:pPr>
      <w:r>
        <w:rPr>
          <w:rFonts w:ascii="仿宋" w:eastAsia="仿宋"/>
          <w:b/>
          <w:color w:val="000000"/>
          <w:sz w:val="32"/>
          <w:szCs w:val="32"/>
        </w:rPr>
        <w:t>2018</w:t>
      </w:r>
      <w:r>
        <w:rPr>
          <w:rFonts w:ascii="仿宋" w:eastAsia="仿宋" w:hint="eastAsia"/>
          <w:b/>
          <w:color w:val="000000"/>
          <w:sz w:val="32"/>
          <w:szCs w:val="32"/>
        </w:rPr>
        <w:t>年一般公共预算支出决算数为</w:t>
      </w:r>
      <w:r>
        <w:rPr>
          <w:rFonts w:ascii="仿宋" w:eastAsia="仿宋"/>
          <w:b/>
          <w:color w:val="000000"/>
          <w:sz w:val="32"/>
          <w:szCs w:val="32"/>
        </w:rPr>
        <w:t>224.84</w:t>
      </w:r>
      <w:r>
        <w:rPr>
          <w:rFonts w:ascii="仿宋" w:eastAsia="仿宋" w:hint="eastAsia"/>
          <w:b/>
          <w:color w:val="000000"/>
          <w:sz w:val="32"/>
          <w:szCs w:val="32"/>
        </w:rPr>
        <w:t>万元</w:t>
      </w:r>
      <w:r>
        <w:rPr>
          <w:rFonts w:ascii="仿宋" w:eastAsia="仿宋" w:hint="eastAsia"/>
          <w:color w:val="000000"/>
          <w:sz w:val="32"/>
          <w:szCs w:val="32"/>
        </w:rPr>
        <w:t>，</w:t>
      </w:r>
      <w:r>
        <w:rPr>
          <w:rStyle w:val="23"/>
          <w:rFonts w:ascii="仿宋" w:eastAsia="仿宋" w:hint="eastAsia"/>
          <w:bCs w:val="0"/>
          <w:color w:val="000000"/>
          <w:sz w:val="32"/>
          <w:szCs w:val="32"/>
        </w:rPr>
        <w:t>完成预算</w:t>
      </w:r>
      <w:r>
        <w:rPr>
          <w:rStyle w:val="23"/>
          <w:rFonts w:ascii="仿宋" w:eastAsia="仿宋"/>
          <w:bCs w:val="0"/>
          <w:color w:val="000000"/>
          <w:sz w:val="32"/>
          <w:szCs w:val="32"/>
        </w:rPr>
        <w:t>100%</w:t>
      </w:r>
      <w:r>
        <w:rPr>
          <w:rStyle w:val="23"/>
          <w:rFonts w:ascii="仿宋" w:eastAsia="仿宋" w:hint="eastAsia"/>
          <w:bCs w:val="0"/>
          <w:color w:val="000000"/>
          <w:sz w:val="32"/>
          <w:szCs w:val="32"/>
        </w:rPr>
        <w:t>。其中：</w:t>
      </w:r>
    </w:p>
    <w:p>
      <w:pPr>
        <w:spacing w:line="576" w:lineRule="exact"/>
        <w:ind w:firstLineChars="200" w:firstLine="640"/>
        <w:rPr>
          <w:rStyle w:val="23"/>
          <w:rFonts w:ascii="仿宋" w:eastAsia="仿宋"/>
          <w:bCs w:val="0"/>
          <w:color w:val="000000"/>
          <w:sz w:val="32"/>
          <w:szCs w:val="32"/>
        </w:rPr>
      </w:pPr>
      <w:r>
        <w:rPr>
          <w:rStyle w:val="23"/>
          <w:rFonts w:ascii="仿宋" w:eastAsia="仿宋"/>
          <w:bCs w:val="0"/>
          <w:color w:val="000000"/>
          <w:sz w:val="32"/>
          <w:szCs w:val="32"/>
        </w:rPr>
        <w:t>1.</w:t>
      </w:r>
      <w:r>
        <w:rPr>
          <w:rStyle w:val="23"/>
          <w:rFonts w:ascii="仿宋" w:eastAsia="仿宋" w:hint="eastAsia"/>
          <w:bCs w:val="0"/>
          <w:color w:val="000000"/>
          <w:sz w:val="32"/>
          <w:szCs w:val="32"/>
        </w:rPr>
        <w:t>一般公共服务一般公共服务（类）统战事务（款）行政运行（项）</w:t>
      </w:r>
      <w:r>
        <w:rPr>
          <w:rStyle w:val="23"/>
          <w:rFonts w:ascii="仿宋" w:eastAsia="仿宋"/>
          <w:bCs w:val="0"/>
          <w:color w:val="000000"/>
          <w:sz w:val="32"/>
          <w:szCs w:val="32"/>
        </w:rPr>
        <w:t xml:space="preserve">: </w:t>
      </w:r>
      <w:r>
        <w:rPr>
          <w:rStyle w:val="23"/>
          <w:rFonts w:ascii="仿宋_GB2312" w:eastAsia="仿宋_GB2312" w:hint="eastAsia"/>
          <w:b w:val="0"/>
          <w:bCs w:val="0"/>
          <w:color w:val="000000"/>
          <w:sz w:val="32"/>
          <w:szCs w:val="32"/>
        </w:rPr>
        <w:t>支出决算为</w:t>
      </w:r>
      <w:r>
        <w:rPr>
          <w:rStyle w:val="23"/>
          <w:rFonts w:ascii="仿宋_GB2312" w:eastAsia="仿宋_GB2312"/>
          <w:b w:val="0"/>
          <w:bCs w:val="0"/>
          <w:color w:val="000000"/>
          <w:sz w:val="32"/>
          <w:szCs w:val="32"/>
        </w:rPr>
        <w:t>1</w:t>
      </w:r>
      <w:r>
        <w:rPr>
          <w:rStyle w:val="23"/>
          <w:rFonts w:ascii="仿宋_GB2312" w:eastAsia="仿宋_GB2312" w:hint="eastAsia"/>
          <w:b w:val="0"/>
          <w:bCs w:val="0"/>
          <w:color w:val="000000"/>
          <w:sz w:val="32"/>
          <w:szCs w:val="32"/>
        </w:rPr>
        <w:t>67.46万元，完成预算</w:t>
      </w:r>
      <w:r>
        <w:rPr>
          <w:rStyle w:val="23"/>
          <w:rFonts w:ascii="仿宋_GB2312" w:eastAsia="仿宋_GB2312"/>
          <w:b w:val="0"/>
          <w:bCs w:val="0"/>
          <w:color w:val="000000"/>
          <w:sz w:val="32"/>
          <w:szCs w:val="32"/>
        </w:rPr>
        <w:t>100%</w:t>
      </w:r>
      <w:r>
        <w:rPr>
          <w:rStyle w:val="23"/>
          <w:rFonts w:ascii="仿宋_GB2312" w:eastAsia="仿宋_GB2312" w:hint="eastAsia"/>
          <w:b w:val="0"/>
          <w:bCs w:val="0"/>
          <w:color w:val="000000"/>
          <w:sz w:val="32"/>
          <w:szCs w:val="32"/>
        </w:rPr>
        <w:t>。</w:t>
      </w:r>
      <w:r>
        <w:rPr>
          <w:rStyle w:val="23"/>
          <w:rFonts w:ascii="仿宋_GB2312" w:eastAsia="仿宋_GB2312"/>
          <w:b w:val="0"/>
          <w:bCs w:val="0"/>
          <w:color w:val="000000"/>
          <w:sz w:val="32"/>
          <w:szCs w:val="32"/>
        </w:rPr>
        <w:t xml:space="preserve">  </w:t>
      </w:r>
      <w:r>
        <w:rPr>
          <w:rStyle w:val="23"/>
          <w:rFonts w:ascii="仿宋" w:eastAsia="仿宋"/>
          <w:bCs w:val="0"/>
          <w:color w:val="000000"/>
          <w:sz w:val="32"/>
          <w:szCs w:val="32"/>
        </w:rPr>
        <w:t xml:space="preserve">                  </w:t>
      </w:r>
    </w:p>
    <w:p>
      <w:pPr>
        <w:spacing w:line="576" w:lineRule="exact"/>
        <w:ind w:firstLineChars="200" w:firstLine="640"/>
        <w:rPr>
          <w:rFonts w:ascii="仿宋_GB2312" w:eastAsia="仿宋_GB2312"/>
          <w:b/>
          <w:color w:val="000000"/>
          <w:sz w:val="32"/>
          <w:szCs w:val="32"/>
        </w:rPr>
      </w:pPr>
      <w:r>
        <w:rPr>
          <w:rStyle w:val="23"/>
          <w:rFonts w:ascii="仿宋" w:eastAsia="仿宋"/>
          <w:bCs w:val="0"/>
          <w:color w:val="000000"/>
          <w:sz w:val="32"/>
          <w:szCs w:val="32"/>
        </w:rPr>
        <w:t>2.</w:t>
      </w:r>
      <w:r>
        <w:rPr>
          <w:rStyle w:val="23"/>
          <w:rFonts w:ascii="仿宋" w:eastAsia="仿宋" w:hint="eastAsia"/>
          <w:bCs w:val="0"/>
          <w:color w:val="000000"/>
          <w:sz w:val="32"/>
          <w:szCs w:val="32"/>
        </w:rPr>
        <w:t>一般公共服务一般公共服务（类）统战事务（款）其他统战事务支出（项）：</w:t>
      </w:r>
      <w:r>
        <w:rPr>
          <w:rStyle w:val="23"/>
          <w:rFonts w:ascii="仿宋_GB2312" w:eastAsia="仿宋_GB2312" w:hint="eastAsia"/>
          <w:b w:val="0"/>
          <w:bCs w:val="0"/>
          <w:color w:val="000000"/>
          <w:sz w:val="32"/>
          <w:szCs w:val="32"/>
        </w:rPr>
        <w:t>支出决算为</w:t>
      </w:r>
      <w:r>
        <w:rPr>
          <w:rStyle w:val="23"/>
          <w:rFonts w:ascii="仿宋_GB2312" w:eastAsia="仿宋_GB2312"/>
          <w:b w:val="0"/>
          <w:bCs w:val="0"/>
          <w:color w:val="000000"/>
          <w:sz w:val="32"/>
          <w:szCs w:val="32"/>
        </w:rPr>
        <w:t>5.0</w:t>
      </w:r>
      <w:r>
        <w:rPr>
          <w:rStyle w:val="23"/>
          <w:rFonts w:ascii="仿宋_GB2312" w:eastAsia="仿宋_GB2312" w:hint="eastAsia"/>
          <w:b w:val="0"/>
          <w:bCs w:val="0"/>
          <w:color w:val="000000"/>
          <w:sz w:val="32"/>
          <w:szCs w:val="32"/>
        </w:rPr>
        <w:t>万元，完成预算</w:t>
      </w:r>
      <w:r>
        <w:rPr>
          <w:rStyle w:val="23"/>
          <w:rFonts w:ascii="仿宋_GB2312" w:eastAsia="仿宋_GB2312"/>
          <w:b w:val="0"/>
          <w:bCs w:val="0"/>
          <w:color w:val="000000"/>
          <w:sz w:val="32"/>
          <w:szCs w:val="32"/>
        </w:rPr>
        <w:t>100%</w:t>
      </w:r>
      <w:r>
        <w:rPr>
          <w:rStyle w:val="23"/>
          <w:rFonts w:ascii="仿宋_GB2312" w:eastAsia="仿宋_GB2312" w:hint="eastAsia"/>
          <w:b w:val="0"/>
          <w:bCs w:val="0"/>
          <w:color w:val="000000"/>
          <w:sz w:val="32"/>
          <w:szCs w:val="32"/>
        </w:rPr>
        <w:t>。</w:t>
      </w:r>
    </w:p>
    <w:p>
      <w:pPr>
        <w:spacing w:line="576" w:lineRule="exact"/>
        <w:ind w:firstLineChars="200" w:firstLine="640"/>
        <w:rPr>
          <w:rStyle w:val="23"/>
          <w:rFonts w:ascii="仿宋" w:eastAsia="仿宋"/>
          <w:bCs w:val="0"/>
          <w:color w:val="000000"/>
          <w:sz w:val="32"/>
          <w:szCs w:val="32"/>
        </w:rPr>
      </w:pPr>
      <w:r>
        <w:rPr>
          <w:rStyle w:val="23"/>
          <w:rFonts w:ascii="仿宋" w:eastAsia="仿宋"/>
          <w:bCs w:val="0"/>
          <w:color w:val="000000"/>
          <w:sz w:val="32"/>
          <w:szCs w:val="32"/>
        </w:rPr>
        <w:t>3.</w:t>
      </w:r>
      <w:r>
        <w:rPr>
          <w:rStyle w:val="23"/>
          <w:rFonts w:ascii="仿宋" w:eastAsia="仿宋" w:hint="eastAsia"/>
          <w:bCs w:val="0"/>
          <w:color w:val="000000"/>
          <w:sz w:val="32"/>
          <w:szCs w:val="32"/>
        </w:rPr>
        <w:t>社会保障和就业社会保障和就业支出（类）行政单位离退休（款）机关事业单位基本养老保险缴费支出（项）</w:t>
      </w:r>
      <w:r>
        <w:rPr>
          <w:rStyle w:val="23"/>
          <w:rFonts w:ascii="仿宋" w:eastAsia="仿宋"/>
          <w:bCs w:val="0"/>
          <w:color w:val="000000"/>
          <w:sz w:val="32"/>
          <w:szCs w:val="32"/>
        </w:rPr>
        <w:t xml:space="preserve">: </w:t>
      </w:r>
      <w:r>
        <w:rPr>
          <w:rStyle w:val="23"/>
          <w:rFonts w:ascii="仿宋_GB2312" w:eastAsia="仿宋_GB2312" w:hint="eastAsia"/>
          <w:b w:val="0"/>
          <w:bCs w:val="0"/>
          <w:color w:val="000000"/>
          <w:sz w:val="32"/>
          <w:szCs w:val="32"/>
        </w:rPr>
        <w:t>支出决算为19.58万元，完成预算</w:t>
      </w:r>
      <w:r>
        <w:rPr>
          <w:rStyle w:val="23"/>
          <w:rFonts w:ascii="仿宋_GB2312" w:eastAsia="仿宋_GB2312"/>
          <w:b w:val="0"/>
          <w:bCs w:val="0"/>
          <w:color w:val="000000"/>
          <w:sz w:val="32"/>
          <w:szCs w:val="32"/>
        </w:rPr>
        <w:t>100%</w:t>
      </w:r>
      <w:r>
        <w:rPr>
          <w:rStyle w:val="23"/>
          <w:rFonts w:ascii="仿宋_GB2312" w:eastAsia="仿宋_GB2312" w:hint="eastAsia"/>
          <w:b w:val="0"/>
          <w:bCs w:val="0"/>
          <w:color w:val="000000"/>
          <w:sz w:val="32"/>
          <w:szCs w:val="32"/>
        </w:rPr>
        <w:t>。</w:t>
      </w:r>
    </w:p>
    <w:p>
      <w:pPr>
        <w:spacing w:line="576" w:lineRule="exact"/>
        <w:ind w:firstLineChars="200" w:firstLine="640"/>
        <w:rPr>
          <w:rFonts w:ascii="仿宋_GB2312" w:eastAsia="仿宋_GB2312"/>
          <w:b/>
          <w:color w:val="000000"/>
          <w:sz w:val="32"/>
          <w:szCs w:val="32"/>
        </w:rPr>
      </w:pPr>
      <w:r>
        <w:rPr>
          <w:rStyle w:val="23"/>
          <w:rFonts w:ascii="仿宋" w:eastAsia="仿宋"/>
          <w:bCs w:val="0"/>
          <w:color w:val="000000"/>
          <w:sz w:val="32"/>
          <w:szCs w:val="32"/>
        </w:rPr>
        <w:t>4.</w:t>
      </w:r>
      <w:r>
        <w:rPr>
          <w:rStyle w:val="23"/>
          <w:rFonts w:ascii="仿宋" w:eastAsia="仿宋" w:hint="eastAsia"/>
          <w:bCs w:val="0"/>
          <w:color w:val="000000"/>
          <w:sz w:val="32"/>
          <w:szCs w:val="32"/>
        </w:rPr>
        <w:t>社会保障和就业社会保障和就业支出（类）行政单位离退休（款）机关事业单位职业年金缴费支出（项）</w:t>
      </w:r>
      <w:r>
        <w:rPr>
          <w:rStyle w:val="23"/>
          <w:rFonts w:ascii="仿宋" w:eastAsia="仿宋"/>
          <w:bCs w:val="0"/>
          <w:color w:val="000000"/>
          <w:sz w:val="32"/>
          <w:szCs w:val="32"/>
        </w:rPr>
        <w:t xml:space="preserve">: </w:t>
      </w:r>
      <w:r>
        <w:rPr>
          <w:rStyle w:val="23"/>
          <w:rFonts w:ascii="仿宋_GB2312" w:eastAsia="仿宋_GB2312" w:hint="eastAsia"/>
          <w:b w:val="0"/>
          <w:bCs w:val="0"/>
          <w:color w:val="000000"/>
          <w:sz w:val="32"/>
          <w:szCs w:val="32"/>
        </w:rPr>
        <w:t>支出决算为</w:t>
      </w:r>
      <w:r>
        <w:rPr>
          <w:rStyle w:val="23"/>
          <w:rFonts w:ascii="仿宋_GB2312" w:eastAsia="仿宋_GB2312"/>
          <w:b w:val="0"/>
          <w:bCs w:val="0"/>
          <w:color w:val="000000"/>
          <w:sz w:val="32"/>
          <w:szCs w:val="32"/>
        </w:rPr>
        <w:t>7.74</w:t>
      </w:r>
      <w:r>
        <w:rPr>
          <w:rStyle w:val="23"/>
          <w:rFonts w:ascii="仿宋_GB2312" w:eastAsia="仿宋_GB2312" w:hint="eastAsia"/>
          <w:b w:val="0"/>
          <w:bCs w:val="0"/>
          <w:color w:val="000000"/>
          <w:sz w:val="32"/>
          <w:szCs w:val="32"/>
        </w:rPr>
        <w:t>万元，完成预算</w:t>
      </w:r>
      <w:r>
        <w:rPr>
          <w:rStyle w:val="23"/>
          <w:rFonts w:ascii="仿宋_GB2312" w:eastAsia="仿宋_GB2312"/>
          <w:b w:val="0"/>
          <w:bCs w:val="0"/>
          <w:color w:val="000000"/>
          <w:sz w:val="32"/>
          <w:szCs w:val="32"/>
        </w:rPr>
        <w:t>100%</w:t>
      </w:r>
      <w:r>
        <w:rPr>
          <w:rStyle w:val="23"/>
          <w:rFonts w:ascii="仿宋_GB2312" w:eastAsia="仿宋_GB2312" w:hint="eastAsia"/>
          <w:b w:val="0"/>
          <w:bCs w:val="0"/>
          <w:color w:val="000000"/>
          <w:sz w:val="32"/>
          <w:szCs w:val="32"/>
        </w:rPr>
        <w:t>。</w:t>
      </w:r>
    </w:p>
    <w:p>
      <w:pPr>
        <w:spacing w:line="576" w:lineRule="exact"/>
        <w:ind w:firstLineChars="200" w:firstLine="640"/>
        <w:rPr>
          <w:rFonts w:ascii="仿宋_GB2312" w:eastAsia="仿宋_GB2312"/>
          <w:b/>
          <w:color w:val="000000"/>
          <w:sz w:val="32"/>
          <w:szCs w:val="32"/>
        </w:rPr>
      </w:pPr>
      <w:r>
        <w:rPr>
          <w:rStyle w:val="23"/>
          <w:rFonts w:ascii="仿宋" w:eastAsia="仿宋"/>
          <w:bCs w:val="0"/>
          <w:color w:val="000000"/>
          <w:sz w:val="32"/>
          <w:szCs w:val="32"/>
        </w:rPr>
        <w:t>5.</w:t>
      </w:r>
      <w:r>
        <w:rPr>
          <w:rStyle w:val="23"/>
          <w:rFonts w:ascii="仿宋" w:eastAsia="仿宋" w:hint="eastAsia"/>
          <w:bCs w:val="0"/>
          <w:color w:val="000000"/>
          <w:sz w:val="32"/>
          <w:szCs w:val="32"/>
        </w:rPr>
        <w:t>医疗卫生与计划生育支出（类）行政事业单位医疗（款）行政单位医疗（项）</w:t>
      </w:r>
      <w:r>
        <w:rPr>
          <w:rStyle w:val="23"/>
          <w:rFonts w:ascii="仿宋" w:eastAsia="仿宋"/>
          <w:bCs w:val="0"/>
          <w:color w:val="000000"/>
          <w:sz w:val="32"/>
          <w:szCs w:val="32"/>
        </w:rPr>
        <w:t>:</w:t>
      </w:r>
      <w:r>
        <w:rPr>
          <w:rStyle w:val="23"/>
          <w:rFonts w:ascii="仿宋_GB2312" w:eastAsia="仿宋_GB2312" w:hint="eastAsia"/>
          <w:b w:val="0"/>
          <w:bCs w:val="0"/>
          <w:color w:val="000000"/>
          <w:sz w:val="32"/>
          <w:szCs w:val="32"/>
        </w:rPr>
        <w:t>支出决算为</w:t>
      </w:r>
      <w:r>
        <w:rPr>
          <w:rStyle w:val="23"/>
          <w:rFonts w:ascii="仿宋_GB2312" w:eastAsia="仿宋_GB2312"/>
          <w:b w:val="0"/>
          <w:bCs w:val="0"/>
          <w:color w:val="000000"/>
          <w:sz w:val="32"/>
          <w:szCs w:val="32"/>
        </w:rPr>
        <w:t>10.94</w:t>
      </w:r>
      <w:r>
        <w:rPr>
          <w:rStyle w:val="23"/>
          <w:rFonts w:ascii="仿宋_GB2312" w:eastAsia="仿宋_GB2312" w:hint="eastAsia"/>
          <w:b w:val="0"/>
          <w:bCs w:val="0"/>
          <w:color w:val="000000"/>
          <w:sz w:val="32"/>
          <w:szCs w:val="32"/>
        </w:rPr>
        <w:t>万元，完成预算</w:t>
      </w:r>
      <w:r>
        <w:rPr>
          <w:rStyle w:val="23"/>
          <w:rFonts w:ascii="仿宋_GB2312" w:eastAsia="仿宋_GB2312"/>
          <w:b w:val="0"/>
          <w:bCs w:val="0"/>
          <w:color w:val="000000"/>
          <w:sz w:val="32"/>
          <w:szCs w:val="32"/>
        </w:rPr>
        <w:t>100%</w:t>
      </w:r>
      <w:r>
        <w:rPr>
          <w:rStyle w:val="23"/>
          <w:rFonts w:ascii="仿宋_GB2312" w:eastAsia="仿宋_GB2312" w:hint="eastAsia"/>
          <w:b w:val="0"/>
          <w:bCs w:val="0"/>
          <w:color w:val="000000"/>
          <w:sz w:val="32"/>
          <w:szCs w:val="32"/>
        </w:rPr>
        <w:t>。</w:t>
      </w:r>
    </w:p>
    <w:p>
      <w:pPr>
        <w:spacing w:line="576" w:lineRule="exact"/>
        <w:ind w:firstLineChars="200" w:firstLine="640"/>
        <w:rPr>
          <w:rStyle w:val="23"/>
          <w:rFonts w:ascii="仿宋" w:eastAsia="仿宋"/>
          <w:b w:val="0"/>
          <w:bCs w:val="0"/>
          <w:color w:val="000000"/>
          <w:sz w:val="32"/>
          <w:szCs w:val="32"/>
        </w:rPr>
      </w:pPr>
      <w:r>
        <w:rPr>
          <w:rFonts w:ascii="仿宋" w:eastAsia="仿宋"/>
          <w:b/>
          <w:color w:val="000000"/>
          <w:sz w:val="32"/>
          <w:szCs w:val="32"/>
        </w:rPr>
        <w:t>6.</w:t>
      </w:r>
      <w:r>
        <w:rPr>
          <w:rFonts w:ascii="仿宋" w:eastAsia="仿宋" w:hint="eastAsia"/>
          <w:b/>
          <w:color w:val="000000"/>
          <w:sz w:val="32"/>
          <w:szCs w:val="32"/>
        </w:rPr>
        <w:t>住房保障支出（类）住房改革支出（款）住房公积金（项）</w:t>
      </w:r>
      <w:r>
        <w:rPr>
          <w:rStyle w:val="23"/>
          <w:rFonts w:ascii="仿宋" w:eastAsia="仿宋"/>
          <w:b w:val="0"/>
          <w:bCs w:val="0"/>
          <w:color w:val="000000"/>
          <w:sz w:val="32"/>
          <w:szCs w:val="32"/>
        </w:rPr>
        <w:t>:</w:t>
      </w:r>
      <w:r>
        <w:rPr>
          <w:rStyle w:val="23"/>
          <w:rFonts w:ascii="仿宋_GB2312" w:eastAsia="仿宋_GB2312" w:hint="eastAsia"/>
          <w:b w:val="0"/>
          <w:bCs w:val="0"/>
          <w:color w:val="000000"/>
          <w:sz w:val="32"/>
          <w:szCs w:val="32"/>
        </w:rPr>
        <w:t>支出决算为</w:t>
      </w:r>
      <w:r>
        <w:rPr>
          <w:rStyle w:val="23"/>
          <w:rFonts w:ascii="仿宋_GB2312" w:eastAsia="仿宋_GB2312"/>
          <w:b w:val="0"/>
          <w:bCs w:val="0"/>
          <w:color w:val="000000"/>
          <w:sz w:val="32"/>
          <w:szCs w:val="32"/>
        </w:rPr>
        <w:t>14.12</w:t>
      </w:r>
      <w:r>
        <w:rPr>
          <w:rStyle w:val="23"/>
          <w:rFonts w:ascii="仿宋_GB2312" w:eastAsia="仿宋_GB2312" w:hint="eastAsia"/>
          <w:b w:val="0"/>
          <w:bCs w:val="0"/>
          <w:color w:val="000000"/>
          <w:sz w:val="32"/>
          <w:szCs w:val="32"/>
        </w:rPr>
        <w:t>万元，完成预算</w:t>
      </w:r>
      <w:r>
        <w:rPr>
          <w:rStyle w:val="23"/>
          <w:rFonts w:ascii="仿宋_GB2312" w:eastAsia="仿宋_GB2312"/>
          <w:b w:val="0"/>
          <w:bCs w:val="0"/>
          <w:color w:val="000000"/>
          <w:sz w:val="32"/>
          <w:szCs w:val="32"/>
        </w:rPr>
        <w:t>100%</w:t>
      </w:r>
      <w:r>
        <w:rPr>
          <w:rStyle w:val="23"/>
          <w:rFonts w:ascii="仿宋_GB2312" w:eastAsia="仿宋_GB2312" w:hint="eastAsia"/>
          <w:b w:val="0"/>
          <w:bCs w:val="0"/>
          <w:color w:val="000000"/>
          <w:sz w:val="32"/>
          <w:szCs w:val="32"/>
        </w:rPr>
        <w:t>。</w:t>
      </w:r>
    </w:p>
    <w:p>
      <w:pPr>
        <w:pStyle w:val="2"/>
        <w:spacing w:line="576" w:lineRule="exact"/>
        <w:ind w:firstLineChars="200" w:firstLine="640"/>
        <w:rPr>
          <w:rStyle w:val="2Char"/>
          <w:rFonts w:ascii="黑体" w:eastAsia="黑体" w:cs="黑体"/>
          <w:b/>
          <w:bCs/>
        </w:rPr>
      </w:pPr>
      <w:bookmarkStart w:id="36" w:name="_Toc15377214"/>
      <w:bookmarkStart w:id="37" w:name="_Toc15396608"/>
      <w:r>
        <w:rPr>
          <w:rFonts w:ascii="黑体" w:eastAsia="黑体" w:cs="黑体" w:hint="eastAsia"/>
          <w:b w:val="0"/>
          <w:bCs w:val="0"/>
          <w:color w:val="000000"/>
        </w:rPr>
        <w:t>六、</w:t>
      </w:r>
      <w:r>
        <w:rPr>
          <w:rFonts w:ascii="黑体" w:eastAsia="黑体" w:cs="黑体" w:hint="eastAsia"/>
          <w:color w:val="000000"/>
        </w:rPr>
        <w:t>一</w:t>
      </w:r>
      <w:r>
        <w:rPr>
          <w:rStyle w:val="2Char"/>
          <w:rFonts w:ascii="黑体" w:eastAsia="黑体" w:cs="黑体" w:hint="eastAsia"/>
          <w:b w:val="0"/>
          <w:bCs w:val="0"/>
        </w:rPr>
        <w:t>般公共预算财政拨款基本支出决算情况说明</w:t>
      </w:r>
      <w:bookmarkEnd w:id="36"/>
      <w:bookmarkEnd w:id="37"/>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color w:val="000000"/>
          <w:sz w:val="32"/>
          <w:szCs w:val="32"/>
        </w:rPr>
        <w:t>2018</w:t>
      </w:r>
      <w:r>
        <w:rPr>
          <w:rFonts w:ascii="仿宋_GB2312" w:eastAsia="仿宋_GB2312" w:cs="仿宋_GB2312" w:hint="eastAsia"/>
          <w:color w:val="000000"/>
          <w:sz w:val="32"/>
          <w:szCs w:val="32"/>
        </w:rPr>
        <w:t>年一般公共预算财政拨款基本支出</w:t>
      </w:r>
      <w:r>
        <w:rPr>
          <w:rFonts w:ascii="仿宋_GB2312" w:eastAsia="仿宋_GB2312" w:cs="仿宋_GB2312"/>
          <w:color w:val="000000"/>
          <w:sz w:val="32"/>
          <w:szCs w:val="32"/>
        </w:rPr>
        <w:t>219.84</w:t>
      </w:r>
      <w:r>
        <w:rPr>
          <w:rFonts w:ascii="仿宋_GB2312" w:eastAsia="仿宋_GB2312" w:cs="仿宋_GB2312" w:hint="eastAsia"/>
          <w:color w:val="000000"/>
          <w:sz w:val="32"/>
          <w:szCs w:val="32"/>
        </w:rPr>
        <w:t>万元，其中：</w:t>
      </w:r>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hint="eastAsia"/>
          <w:color w:val="000000"/>
          <w:sz w:val="32"/>
          <w:szCs w:val="32"/>
        </w:rPr>
        <w:t>人员经费</w:t>
      </w:r>
      <w:r>
        <w:rPr>
          <w:rFonts w:ascii="仿宋_GB2312" w:eastAsia="仿宋_GB2312" w:cs="仿宋_GB2312"/>
          <w:color w:val="000000"/>
          <w:sz w:val="32"/>
          <w:szCs w:val="32"/>
        </w:rPr>
        <w:t>194.48</w:t>
      </w:r>
      <w:r>
        <w:rPr>
          <w:rFonts w:ascii="仿宋_GB2312" w:eastAsia="仿宋_GB2312" w:cs="仿宋_GB2312" w:hint="eastAsia"/>
          <w:color w:val="000000"/>
          <w:sz w:val="32"/>
          <w:szCs w:val="32"/>
        </w:rPr>
        <w:t>万元，主要包括：基本工资、津贴补贴、奖金、机关事业单位基本养老保险缴费、职业年金缴费、其他社会保障缴费、生活补助、医疗费、奖励金、住房公积金等。</w:t>
      </w:r>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hint="eastAsia"/>
          <w:color w:val="000000"/>
          <w:sz w:val="32"/>
          <w:szCs w:val="32"/>
        </w:rPr>
        <w:t>公用经费</w:t>
      </w:r>
      <w:r>
        <w:rPr>
          <w:rFonts w:ascii="仿宋_GB2312" w:eastAsia="仿宋_GB2312" w:cs="仿宋_GB2312"/>
          <w:color w:val="000000"/>
          <w:sz w:val="32"/>
          <w:szCs w:val="32"/>
        </w:rPr>
        <w:t>25.36</w:t>
      </w:r>
      <w:r>
        <w:rPr>
          <w:rFonts w:ascii="仿宋_GB2312" w:eastAsia="仿宋_GB2312" w:cs="仿宋_GB2312" w:hint="eastAsia"/>
          <w:color w:val="000000"/>
          <w:sz w:val="32"/>
          <w:szCs w:val="32"/>
        </w:rPr>
        <w:t>万元，主要包括：办公费、邮电费、差旅费、培训费、公务接待费、工会经费支出等。</w:t>
      </w:r>
      <w:bookmarkStart w:id="38" w:name="_Toc15377215"/>
      <w:bookmarkStart w:id="39" w:name="_Toc15396609"/>
    </w:p>
    <w:p>
      <w:pPr>
        <w:spacing w:line="576" w:lineRule="exact"/>
        <w:ind w:firstLineChars="200" w:firstLine="640"/>
        <w:rPr>
          <w:rStyle w:val="2Char"/>
          <w:rFonts w:ascii="黑体" w:eastAsia="黑体" w:cs="仿宋_GB2312"/>
          <w:b w:val="0"/>
          <w:bCs w:val="0"/>
          <w:color w:val="000000"/>
        </w:rPr>
      </w:pPr>
      <w:r>
        <w:rPr>
          <w:rFonts w:ascii="黑体" w:eastAsia="黑体" w:cs="黑体" w:hint="eastAsia"/>
          <w:color w:val="000000"/>
          <w:sz w:val="32"/>
          <w:szCs w:val="32"/>
        </w:rPr>
        <w:t>七、</w:t>
      </w:r>
      <w:r>
        <w:rPr>
          <w:rStyle w:val="2Char"/>
          <w:rFonts w:ascii="黑体" w:eastAsia="黑体" w:cs="黑体" w:hint="eastAsia"/>
          <w:b w:val="0"/>
          <w:bCs w:val="0"/>
        </w:rPr>
        <w:t>“三公”经费财政拨款支出决算情况说明</w:t>
      </w:r>
      <w:bookmarkEnd w:id="38"/>
      <w:bookmarkEnd w:id="39"/>
    </w:p>
    <w:p>
      <w:pPr>
        <w:spacing w:line="576" w:lineRule="exact"/>
        <w:ind w:firstLineChars="200" w:firstLine="640"/>
        <w:outlineLvl w:val="1"/>
        <w:rPr>
          <w:rFonts w:ascii="楷体" w:eastAsia="楷体" w:cs="楷体"/>
          <w:b/>
          <w:bCs/>
          <w:color w:val="000000"/>
          <w:sz w:val="32"/>
          <w:szCs w:val="32"/>
        </w:rPr>
      </w:pPr>
      <w:bookmarkStart w:id="40" w:name="_Toc15377216"/>
      <w:r>
        <w:rPr>
          <w:rFonts w:ascii="楷体" w:eastAsia="楷体" w:cs="楷体" w:hint="eastAsia"/>
          <w:b/>
          <w:bCs/>
          <w:color w:val="000000"/>
          <w:sz w:val="32"/>
          <w:szCs w:val="32"/>
        </w:rPr>
        <w:t>（一）“三公”经费财政拨款支出决算总体情况说明</w:t>
      </w:r>
      <w:bookmarkEnd w:id="40"/>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color w:val="000000"/>
          <w:sz w:val="32"/>
          <w:szCs w:val="32"/>
        </w:rPr>
        <w:t>2018</w:t>
      </w:r>
      <w:r>
        <w:rPr>
          <w:rFonts w:ascii="仿宋_GB2312" w:eastAsia="仿宋_GB2312" w:cs="仿宋_GB2312" w:hint="eastAsia"/>
          <w:color w:val="000000"/>
          <w:sz w:val="32"/>
          <w:szCs w:val="32"/>
        </w:rPr>
        <w:t>年“三公”经费财政拨款支出决算为1.39万元，完成预算</w:t>
      </w:r>
      <w:r>
        <w:rPr>
          <w:rFonts w:ascii="仿宋_GB2312" w:eastAsia="仿宋_GB2312" w:cs="仿宋_GB2312"/>
          <w:color w:val="000000"/>
          <w:sz w:val="32"/>
          <w:szCs w:val="32"/>
        </w:rPr>
        <w:t>100%</w:t>
      </w:r>
      <w:r>
        <w:rPr>
          <w:rFonts w:ascii="仿宋_GB2312" w:eastAsia="仿宋_GB2312" w:cs="仿宋_GB2312" w:hint="eastAsia"/>
          <w:color w:val="000000"/>
          <w:sz w:val="32"/>
          <w:szCs w:val="32"/>
        </w:rPr>
        <w:t>。</w:t>
      </w:r>
    </w:p>
    <w:p>
      <w:pPr>
        <w:spacing w:line="576" w:lineRule="exact"/>
        <w:ind w:firstLineChars="200" w:firstLine="640"/>
        <w:outlineLvl w:val="1"/>
        <w:rPr>
          <w:rFonts w:ascii="楷体" w:eastAsia="楷体" w:cs="楷体"/>
          <w:b/>
          <w:bCs/>
          <w:color w:val="000000"/>
          <w:sz w:val="32"/>
          <w:szCs w:val="32"/>
        </w:rPr>
      </w:pPr>
      <w:bookmarkStart w:id="41" w:name="_Toc15377217"/>
      <w:r>
        <w:rPr>
          <w:rFonts w:ascii="楷体" w:eastAsia="楷体" w:cs="楷体" w:hint="eastAsia"/>
          <w:b/>
          <w:bCs/>
          <w:color w:val="000000"/>
          <w:sz w:val="32"/>
          <w:szCs w:val="32"/>
        </w:rPr>
        <w:t>（二）“三公”经费财政拨款支出决算具体情况说明</w:t>
      </w:r>
      <w:bookmarkEnd w:id="41"/>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color w:val="000000"/>
          <w:sz w:val="32"/>
          <w:szCs w:val="32"/>
        </w:rPr>
        <w:t>2018</w:t>
      </w:r>
      <w:r>
        <w:rPr>
          <w:rFonts w:ascii="仿宋_GB2312" w:eastAsia="仿宋_GB2312" w:cs="仿宋_GB2312" w:hint="eastAsia"/>
          <w:color w:val="000000"/>
          <w:sz w:val="32"/>
          <w:szCs w:val="32"/>
        </w:rPr>
        <w:t>年“三公”经费财政拨款支出决算中，因公出国（境）费支出决算</w:t>
      </w:r>
      <w:r>
        <w:rPr>
          <w:rFonts w:ascii="仿宋_GB2312" w:eastAsia="仿宋_GB2312" w:cs="仿宋_GB2312"/>
          <w:color w:val="000000"/>
          <w:sz w:val="32"/>
          <w:szCs w:val="32"/>
        </w:rPr>
        <w:t>0</w:t>
      </w:r>
      <w:r>
        <w:rPr>
          <w:rFonts w:ascii="仿宋_GB2312" w:eastAsia="仿宋_GB2312" w:cs="仿宋_GB2312" w:hint="eastAsia"/>
          <w:color w:val="000000"/>
          <w:sz w:val="32"/>
          <w:szCs w:val="32"/>
        </w:rPr>
        <w:t>万元，占</w:t>
      </w:r>
      <w:r>
        <w:rPr>
          <w:rFonts w:ascii="仿宋_GB2312" w:eastAsia="仿宋_GB2312" w:cs="仿宋_GB2312"/>
          <w:color w:val="000000"/>
          <w:sz w:val="32"/>
          <w:szCs w:val="32"/>
        </w:rPr>
        <w:t>0%</w:t>
      </w:r>
      <w:r>
        <w:rPr>
          <w:rFonts w:ascii="仿宋_GB2312" w:eastAsia="仿宋_GB2312" w:cs="仿宋_GB2312" w:hint="eastAsia"/>
          <w:color w:val="000000"/>
          <w:sz w:val="32"/>
          <w:szCs w:val="32"/>
        </w:rPr>
        <w:t>；公务用车购置及运行维护费支出决算</w:t>
      </w:r>
      <w:r>
        <w:rPr>
          <w:rFonts w:ascii="仿宋_GB2312" w:eastAsia="仿宋_GB2312" w:cs="仿宋_GB2312"/>
          <w:color w:val="000000"/>
          <w:sz w:val="32"/>
          <w:szCs w:val="32"/>
        </w:rPr>
        <w:t>0</w:t>
      </w:r>
      <w:r>
        <w:rPr>
          <w:rFonts w:ascii="仿宋_GB2312" w:eastAsia="仿宋_GB2312" w:cs="仿宋_GB2312" w:hint="eastAsia"/>
          <w:color w:val="000000"/>
          <w:sz w:val="32"/>
          <w:szCs w:val="32"/>
        </w:rPr>
        <w:t>万元，占</w:t>
      </w:r>
      <w:r>
        <w:rPr>
          <w:rFonts w:ascii="仿宋_GB2312" w:eastAsia="仿宋_GB2312" w:cs="仿宋_GB2312"/>
          <w:color w:val="000000"/>
          <w:sz w:val="32"/>
          <w:szCs w:val="32"/>
        </w:rPr>
        <w:t>0%</w:t>
      </w:r>
      <w:r>
        <w:rPr>
          <w:rFonts w:ascii="仿宋_GB2312" w:eastAsia="仿宋_GB2312" w:cs="仿宋_GB2312" w:hint="eastAsia"/>
          <w:color w:val="000000"/>
          <w:sz w:val="32"/>
          <w:szCs w:val="32"/>
        </w:rPr>
        <w:t>；公务接待费支出决算</w:t>
      </w:r>
      <w:r>
        <w:rPr>
          <w:rFonts w:ascii="仿宋_GB2312" w:eastAsia="仿宋_GB2312" w:cs="仿宋_GB2312"/>
          <w:color w:val="000000"/>
          <w:sz w:val="32"/>
          <w:szCs w:val="32"/>
        </w:rPr>
        <w:t>1.39</w:t>
      </w:r>
      <w:r>
        <w:rPr>
          <w:rFonts w:ascii="仿宋_GB2312" w:eastAsia="仿宋_GB2312" w:cs="仿宋_GB2312" w:hint="eastAsia"/>
          <w:color w:val="000000"/>
          <w:sz w:val="32"/>
          <w:szCs w:val="32"/>
        </w:rPr>
        <w:t>万元，占</w:t>
      </w:r>
      <w:r>
        <w:rPr>
          <w:rFonts w:ascii="仿宋_GB2312" w:eastAsia="仿宋_GB2312" w:cs="仿宋_GB2312"/>
          <w:color w:val="000000"/>
          <w:sz w:val="32"/>
          <w:szCs w:val="32"/>
        </w:rPr>
        <w:t>100%</w:t>
      </w:r>
      <w:r>
        <w:rPr>
          <w:rFonts w:ascii="仿宋_GB2312" w:eastAsia="仿宋_GB2312" w:cs="仿宋_GB2312" w:hint="eastAsia"/>
          <w:color w:val="000000"/>
          <w:sz w:val="32"/>
          <w:szCs w:val="32"/>
        </w:rPr>
        <w:t>。具体情况如下：</w:t>
      </w:r>
    </w:p>
    <w:p>
      <w:pPr>
        <w:spacing w:line="576" w:lineRule="exact"/>
        <w:ind w:firstLineChars="200" w:firstLine="640"/>
        <w:rPr>
          <w:rFonts w:ascii="仿宋" w:eastAsia="仿宋"/>
          <w:color w:val="000000"/>
          <w:sz w:val="32"/>
          <w:szCs w:val="32"/>
        </w:rPr>
      </w:pPr>
      <w:r>
        <w:rPr>
          <w:rFonts w:ascii="仿宋_GB2312" w:eastAsia="仿宋_GB2312" w:cs="仿宋_GB2312" w:hint="eastAsia"/>
          <w:color w:val="000000"/>
          <w:sz w:val="32"/>
          <w:szCs w:val="32"/>
        </w:rPr>
        <w:t>（图</w:t>
      </w:r>
      <w:r>
        <w:rPr>
          <w:rFonts w:ascii="仿宋_GB2312" w:eastAsia="仿宋_GB2312" w:cs="仿宋_GB2312"/>
          <w:color w:val="000000"/>
          <w:sz w:val="32"/>
          <w:szCs w:val="32"/>
        </w:rPr>
        <w:t>8</w:t>
      </w:r>
      <w:r>
        <w:rPr>
          <w:rFonts w:ascii="仿宋_GB2312" w:eastAsia="仿宋_GB2312" w:cs="仿宋_GB2312" w:hint="eastAsia"/>
          <w:color w:val="000000"/>
          <w:sz w:val="32"/>
          <w:szCs w:val="32"/>
        </w:rPr>
        <w:t>：“三公”经费财政拨款支出结构）（单位：万元）</w:t>
      </w:r>
    </w:p>
    <w:p>
      <w:pPr>
        <w:ind w:firstLine="641"/>
        <w:rPr>
          <w:rFonts w:ascii="仿宋" w:eastAsia="仿宋"/>
          <w:color w:val="000000"/>
          <w:sz w:val="32"/>
          <w:szCs w:val="32"/>
        </w:rPr>
      </w:pPr>
      <w:r>
        <w:drawing>
          <wp:inline distT="0" distB="0" distL="0" distR="0">
            <wp:extent cx="4572000" cy="2714625"/>
            <wp:effectExtent l="0" t="0" r="0" b="0"/>
            <wp:docPr id="6" name="图片 5"/>
            <wp:cNvGraphicFramePr>
              <a:graphicFrameLocks noChangeAspect="1"/>
            </wp:cNvGraphicFramePr>
            <a:graphic>
              <a:graphicData uri="http://schemas.openxmlformats.org/drawingml/2006/chart">
                <c:chart xmlns:c="http://schemas.openxmlformats.org/drawingml/2006/chart" r:id="rId9"/>
              </a:graphicData>
            </a:graphic>
          </wp:inline>
        </w:drawing>
      </w:r>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b/>
          <w:bCs/>
          <w:color w:val="000000"/>
          <w:sz w:val="32"/>
          <w:szCs w:val="32"/>
        </w:rPr>
        <w:t>1.</w:t>
      </w:r>
      <w:r>
        <w:rPr>
          <w:rFonts w:ascii="仿宋_GB2312" w:eastAsia="仿宋_GB2312" w:cs="仿宋_GB2312" w:hint="eastAsia"/>
          <w:b/>
          <w:bCs/>
          <w:color w:val="000000"/>
          <w:sz w:val="32"/>
          <w:szCs w:val="32"/>
        </w:rPr>
        <w:t>因公出国（境）经费支出</w:t>
      </w:r>
      <w:r>
        <w:rPr>
          <w:rFonts w:ascii="仿宋_GB2312" w:eastAsia="仿宋_GB2312" w:cs="仿宋_GB2312"/>
          <w:color w:val="000000"/>
          <w:sz w:val="32"/>
          <w:szCs w:val="32"/>
        </w:rPr>
        <w:t>0</w:t>
      </w:r>
      <w:r>
        <w:rPr>
          <w:rFonts w:ascii="仿宋_GB2312" w:eastAsia="仿宋_GB2312" w:cs="仿宋_GB2312" w:hint="eastAsia"/>
          <w:color w:val="000000"/>
          <w:sz w:val="32"/>
          <w:szCs w:val="32"/>
        </w:rPr>
        <w:t>万元。</w:t>
      </w:r>
    </w:p>
    <w:p>
      <w:pPr>
        <w:spacing w:line="576" w:lineRule="exact"/>
        <w:ind w:firstLineChars="200" w:firstLine="640"/>
        <w:rPr>
          <w:rFonts w:ascii="仿宋_GB2312" w:eastAsia="仿宋_GB2312" w:cs="仿宋_GB2312"/>
          <w:b/>
          <w:bCs/>
          <w:color w:val="000000"/>
          <w:sz w:val="32"/>
          <w:szCs w:val="32"/>
        </w:rPr>
      </w:pPr>
      <w:r>
        <w:rPr>
          <w:rFonts w:ascii="仿宋_GB2312" w:eastAsia="仿宋_GB2312" w:cs="仿宋_GB2312"/>
          <w:b/>
          <w:bCs/>
          <w:color w:val="000000"/>
          <w:sz w:val="32"/>
          <w:szCs w:val="32"/>
        </w:rPr>
        <w:t>2.</w:t>
      </w:r>
      <w:r>
        <w:rPr>
          <w:rFonts w:ascii="仿宋_GB2312" w:eastAsia="仿宋_GB2312" w:cs="仿宋_GB2312" w:hint="eastAsia"/>
          <w:b/>
          <w:bCs/>
          <w:color w:val="000000"/>
          <w:sz w:val="32"/>
          <w:szCs w:val="32"/>
        </w:rPr>
        <w:t>公务用车购置及运行维护费支出</w:t>
      </w:r>
      <w:r>
        <w:rPr>
          <w:rFonts w:ascii="仿宋_GB2312" w:eastAsia="仿宋_GB2312" w:cs="仿宋_GB2312"/>
          <w:color w:val="000000"/>
          <w:sz w:val="32"/>
          <w:szCs w:val="32"/>
        </w:rPr>
        <w:t>0</w:t>
      </w:r>
      <w:r>
        <w:rPr>
          <w:rFonts w:ascii="仿宋_GB2312" w:eastAsia="仿宋_GB2312" w:cs="仿宋_GB2312" w:hint="eastAsia"/>
          <w:color w:val="000000"/>
          <w:sz w:val="32"/>
          <w:szCs w:val="32"/>
        </w:rPr>
        <w:t>万元</w:t>
      </w:r>
      <w:r>
        <w:rPr>
          <w:rStyle w:val="23"/>
          <w:rFonts w:ascii="仿宋_GB2312" w:eastAsia="仿宋_GB2312" w:cs="仿宋_GB2312" w:hint="eastAsia"/>
          <w:b w:val="0"/>
          <w:bCs w:val="0"/>
          <w:color w:val="000000"/>
          <w:sz w:val="32"/>
          <w:szCs w:val="32"/>
        </w:rPr>
        <w:t>。</w:t>
      </w:r>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b/>
          <w:bCs/>
          <w:color w:val="000000"/>
          <w:sz w:val="32"/>
          <w:szCs w:val="32"/>
        </w:rPr>
        <w:t>3.</w:t>
      </w:r>
      <w:r>
        <w:rPr>
          <w:rFonts w:ascii="仿宋_GB2312" w:eastAsia="仿宋_GB2312" w:cs="仿宋_GB2312" w:hint="eastAsia"/>
          <w:b/>
          <w:bCs/>
          <w:color w:val="000000"/>
          <w:sz w:val="32"/>
          <w:szCs w:val="32"/>
        </w:rPr>
        <w:t>公务接待费支出</w:t>
      </w:r>
      <w:r>
        <w:rPr>
          <w:rFonts w:ascii="仿宋_GB2312" w:eastAsia="仿宋_GB2312" w:cs="仿宋_GB2312"/>
          <w:color w:val="000000"/>
          <w:sz w:val="32"/>
          <w:szCs w:val="32"/>
        </w:rPr>
        <w:t>1.39</w:t>
      </w:r>
      <w:r>
        <w:rPr>
          <w:rFonts w:ascii="仿宋_GB2312" w:eastAsia="仿宋_GB2312" w:cs="仿宋_GB2312" w:hint="eastAsia"/>
          <w:color w:val="000000"/>
          <w:sz w:val="32"/>
          <w:szCs w:val="32"/>
        </w:rPr>
        <w:t>万元，</w:t>
      </w:r>
      <w:r>
        <w:rPr>
          <w:rStyle w:val="23"/>
          <w:rFonts w:ascii="仿宋_GB2312" w:eastAsia="仿宋_GB2312" w:cs="仿宋_GB2312" w:hint="eastAsia"/>
          <w:b w:val="0"/>
          <w:bCs w:val="0"/>
          <w:color w:val="000000"/>
          <w:sz w:val="32"/>
          <w:szCs w:val="32"/>
        </w:rPr>
        <w:t>完成预算</w:t>
      </w:r>
      <w:r>
        <w:rPr>
          <w:rStyle w:val="23"/>
          <w:rFonts w:ascii="仿宋_GB2312" w:eastAsia="仿宋_GB2312" w:cs="仿宋_GB2312"/>
          <w:b w:val="0"/>
          <w:bCs w:val="0"/>
          <w:color w:val="000000"/>
          <w:sz w:val="32"/>
          <w:szCs w:val="32"/>
        </w:rPr>
        <w:t>100%</w:t>
      </w:r>
      <w:r>
        <w:rPr>
          <w:rStyle w:val="23"/>
          <w:rFonts w:ascii="仿宋_GB2312" w:eastAsia="仿宋_GB2312" w:cs="仿宋_GB2312" w:hint="eastAsia"/>
          <w:b w:val="0"/>
          <w:bCs w:val="0"/>
          <w:color w:val="000000"/>
          <w:sz w:val="32"/>
          <w:szCs w:val="32"/>
        </w:rPr>
        <w:t>。</w:t>
      </w:r>
      <w:r>
        <w:rPr>
          <w:rFonts w:ascii="仿宋_GB2312" w:eastAsia="仿宋_GB2312" w:cs="仿宋_GB2312" w:hint="eastAsia"/>
          <w:color w:val="000000"/>
          <w:sz w:val="32"/>
          <w:szCs w:val="32"/>
        </w:rPr>
        <w:t>公务接待费支出决算比</w:t>
      </w:r>
      <w:r>
        <w:rPr>
          <w:rFonts w:ascii="仿宋_GB2312" w:eastAsia="仿宋_GB2312" w:cs="仿宋_GB2312"/>
          <w:color w:val="000000"/>
          <w:sz w:val="32"/>
          <w:szCs w:val="32"/>
        </w:rPr>
        <w:t>2017</w:t>
      </w:r>
      <w:r>
        <w:rPr>
          <w:rFonts w:ascii="仿宋_GB2312" w:eastAsia="仿宋_GB2312" w:cs="仿宋_GB2312" w:hint="eastAsia"/>
          <w:color w:val="000000"/>
          <w:sz w:val="32"/>
          <w:szCs w:val="32"/>
        </w:rPr>
        <w:t>年增加</w:t>
      </w:r>
      <w:r>
        <w:rPr>
          <w:rFonts w:ascii="仿宋_GB2312" w:eastAsia="仿宋_GB2312" w:cs="仿宋_GB2312"/>
          <w:color w:val="000000"/>
          <w:sz w:val="32"/>
          <w:szCs w:val="32"/>
        </w:rPr>
        <w:t>0.37</w:t>
      </w:r>
      <w:r>
        <w:rPr>
          <w:rFonts w:ascii="仿宋_GB2312" w:eastAsia="仿宋_GB2312" w:cs="仿宋_GB2312" w:hint="eastAsia"/>
          <w:color w:val="000000"/>
          <w:sz w:val="32"/>
          <w:szCs w:val="32"/>
        </w:rPr>
        <w:t>万元，增长</w:t>
      </w:r>
      <w:r>
        <w:rPr>
          <w:rFonts w:ascii="仿宋_GB2312" w:eastAsia="仿宋_GB2312" w:cs="仿宋_GB2312"/>
          <w:color w:val="000000"/>
          <w:sz w:val="32"/>
          <w:szCs w:val="32"/>
        </w:rPr>
        <w:t>36.27%</w:t>
      </w:r>
      <w:r>
        <w:rPr>
          <w:rFonts w:ascii="仿宋_GB2312" w:eastAsia="仿宋_GB2312" w:cs="仿宋_GB2312" w:hint="eastAsia"/>
          <w:color w:val="000000"/>
          <w:sz w:val="32"/>
          <w:szCs w:val="32"/>
        </w:rPr>
        <w:t>。主要原因是接待人数增加。</w:t>
      </w:r>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hint="eastAsia"/>
          <w:color w:val="000000"/>
          <w:sz w:val="32"/>
          <w:szCs w:val="32"/>
        </w:rPr>
        <w:t>主要用于执行公务、开展业务活动开支的交通费、住宿费、用餐费等。国内公务接待1批次，15人次（不包括陪同人员），共计支出</w:t>
      </w:r>
      <w:r>
        <w:rPr>
          <w:rFonts w:ascii="仿宋_GB2312" w:eastAsia="仿宋_GB2312" w:cs="仿宋_GB2312"/>
          <w:color w:val="000000"/>
          <w:sz w:val="32"/>
          <w:szCs w:val="32"/>
        </w:rPr>
        <w:t>1.39</w:t>
      </w:r>
      <w:r>
        <w:rPr>
          <w:rFonts w:ascii="仿宋_GB2312" w:eastAsia="仿宋_GB2312" w:cs="仿宋_GB2312" w:hint="eastAsia"/>
          <w:color w:val="000000"/>
          <w:sz w:val="32"/>
          <w:szCs w:val="32"/>
        </w:rPr>
        <w:t>万元，具体内容包括：</w:t>
      </w:r>
      <w:r>
        <w:rPr>
          <w:rFonts w:ascii="仿宋_GB2312" w:eastAsia="仿宋_GB2312" w:hint="eastAsia"/>
          <w:color w:val="000000"/>
          <w:sz w:val="32"/>
          <w:szCs w:val="32"/>
        </w:rPr>
        <w:t>具体内容包括：接待四川公书画院到四川茂县开展采风交流活动</w:t>
      </w:r>
      <w:r>
        <w:rPr>
          <w:rFonts w:ascii="仿宋_GB2312" w:eastAsia="仿宋_GB2312"/>
          <w:color w:val="000000"/>
          <w:sz w:val="32"/>
          <w:szCs w:val="32"/>
        </w:rPr>
        <w:t>15</w:t>
      </w:r>
      <w:r>
        <w:rPr>
          <w:rFonts w:ascii="仿宋_GB2312" w:eastAsia="仿宋_GB2312" w:hint="eastAsia"/>
          <w:color w:val="000000"/>
          <w:sz w:val="32"/>
          <w:szCs w:val="32"/>
        </w:rPr>
        <w:t>人。</w:t>
      </w:r>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hint="eastAsia"/>
          <w:b/>
          <w:bCs/>
          <w:color w:val="000000"/>
          <w:sz w:val="32"/>
          <w:szCs w:val="32"/>
        </w:rPr>
        <w:t>外事接待支出</w:t>
      </w:r>
      <w:r>
        <w:rPr>
          <w:rFonts w:ascii="仿宋_GB2312" w:eastAsia="仿宋_GB2312" w:cs="仿宋_GB2312"/>
          <w:color w:val="000000"/>
          <w:sz w:val="32"/>
          <w:szCs w:val="32"/>
        </w:rPr>
        <w:t>0</w:t>
      </w:r>
      <w:r>
        <w:rPr>
          <w:rFonts w:ascii="仿宋_GB2312" w:eastAsia="仿宋_GB2312" w:cs="仿宋_GB2312" w:hint="eastAsia"/>
          <w:color w:val="000000"/>
          <w:sz w:val="32"/>
          <w:szCs w:val="32"/>
        </w:rPr>
        <w:t>万元。</w:t>
      </w:r>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hint="eastAsia"/>
          <w:b/>
          <w:bCs/>
          <w:color w:val="000000"/>
          <w:sz w:val="32"/>
          <w:szCs w:val="32"/>
        </w:rPr>
        <w:t>其他国内公务接待支出</w:t>
      </w:r>
      <w:r>
        <w:rPr>
          <w:rFonts w:ascii="仿宋_GB2312" w:eastAsia="仿宋_GB2312" w:cs="仿宋_GB2312"/>
          <w:color w:val="000000"/>
          <w:sz w:val="32"/>
          <w:szCs w:val="32"/>
        </w:rPr>
        <w:t>0</w:t>
      </w:r>
      <w:r>
        <w:rPr>
          <w:rFonts w:ascii="仿宋_GB2312" w:eastAsia="仿宋_GB2312" w:cs="仿宋_GB2312" w:hint="eastAsia"/>
          <w:color w:val="000000"/>
          <w:sz w:val="32"/>
          <w:szCs w:val="32"/>
        </w:rPr>
        <w:t>万元。</w:t>
      </w:r>
    </w:p>
    <w:p>
      <w:pPr>
        <w:pStyle w:val="2"/>
        <w:spacing w:line="576" w:lineRule="exact"/>
        <w:ind w:firstLineChars="200" w:firstLine="640"/>
        <w:rPr>
          <w:rFonts w:ascii="仿宋" w:eastAsia="仿宋" w:cs="Times New Roman"/>
          <w:color w:val="000000"/>
        </w:rPr>
      </w:pPr>
      <w:bookmarkStart w:id="42" w:name="_Toc15377218"/>
      <w:bookmarkStart w:id="43" w:name="_Toc15396610"/>
      <w:r>
        <w:rPr>
          <w:rFonts w:ascii="黑体" w:eastAsia="黑体" w:cs="黑体" w:hint="eastAsia"/>
          <w:b w:val="0"/>
          <w:bCs w:val="0"/>
          <w:color w:val="000000"/>
        </w:rPr>
        <w:t>八、</w:t>
      </w:r>
      <w:r>
        <w:rPr>
          <w:rStyle w:val="2Char"/>
          <w:rFonts w:ascii="黑体" w:eastAsia="黑体" w:cs="黑体" w:hint="eastAsia"/>
          <w:b w:val="0"/>
          <w:bCs w:val="0"/>
        </w:rPr>
        <w:t>政府性基金预算支出决算情况说明</w:t>
      </w:r>
      <w:bookmarkEnd w:id="42"/>
      <w:bookmarkEnd w:id="43"/>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hint="eastAsia"/>
          <w:color w:val="000000"/>
          <w:sz w:val="32"/>
          <w:szCs w:val="32"/>
        </w:rPr>
        <w:t>茂县统战部</w:t>
      </w:r>
      <w:r>
        <w:rPr>
          <w:rFonts w:ascii="仿宋_GB2312" w:eastAsia="仿宋_GB2312" w:cs="仿宋_GB2312"/>
          <w:color w:val="000000"/>
          <w:sz w:val="32"/>
          <w:szCs w:val="32"/>
        </w:rPr>
        <w:t>2018</w:t>
      </w:r>
      <w:r>
        <w:rPr>
          <w:rFonts w:ascii="仿宋_GB2312" w:eastAsia="仿宋_GB2312" w:cs="仿宋_GB2312" w:hint="eastAsia"/>
          <w:color w:val="000000"/>
          <w:sz w:val="32"/>
          <w:szCs w:val="32"/>
        </w:rPr>
        <w:t>年无政府性基金预算拨款支出。</w:t>
      </w:r>
    </w:p>
    <w:p>
      <w:pPr>
        <w:pStyle w:val="2"/>
        <w:spacing w:line="576" w:lineRule="exact"/>
        <w:ind w:firstLineChars="200" w:firstLine="640"/>
        <w:rPr>
          <w:rStyle w:val="2Char"/>
          <w:rFonts w:ascii="黑体" w:eastAsia="黑体" w:cs="Times New Roman"/>
          <w:b w:val="0"/>
          <w:bCs w:val="0"/>
        </w:rPr>
      </w:pPr>
      <w:bookmarkStart w:id="44" w:name="_Toc15396611"/>
      <w:bookmarkStart w:id="45" w:name="_Toc15377219"/>
      <w:r>
        <w:rPr>
          <w:rStyle w:val="2Char"/>
          <w:rFonts w:ascii="黑体" w:eastAsia="黑体" w:cs="黑体" w:hint="eastAsia"/>
          <w:b w:val="0"/>
          <w:bCs w:val="0"/>
        </w:rPr>
        <w:t>九、国有资本经营预算支出决算情况说明</w:t>
      </w:r>
      <w:bookmarkEnd w:id="44"/>
      <w:bookmarkEnd w:id="45"/>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hint="eastAsia"/>
          <w:color w:val="000000"/>
          <w:sz w:val="32"/>
          <w:szCs w:val="32"/>
        </w:rPr>
        <w:t>茂县统战部</w:t>
      </w:r>
      <w:r>
        <w:rPr>
          <w:rFonts w:ascii="仿宋_GB2312" w:eastAsia="仿宋_GB2312" w:cs="仿宋_GB2312"/>
          <w:color w:val="000000"/>
          <w:sz w:val="32"/>
          <w:szCs w:val="32"/>
        </w:rPr>
        <w:t>2018</w:t>
      </w:r>
      <w:r>
        <w:rPr>
          <w:rFonts w:ascii="仿宋_GB2312" w:eastAsia="仿宋_GB2312" w:cs="仿宋_GB2312" w:hint="eastAsia"/>
          <w:color w:val="000000"/>
          <w:sz w:val="32"/>
          <w:szCs w:val="32"/>
        </w:rPr>
        <w:t>年无国有资本经营预算拨款支出。</w:t>
      </w:r>
    </w:p>
    <w:p>
      <w:pPr>
        <w:pStyle w:val="2"/>
        <w:spacing w:line="576" w:lineRule="exact"/>
        <w:ind w:firstLineChars="200" w:firstLine="640"/>
        <w:rPr>
          <w:rStyle w:val="2Char"/>
          <w:rFonts w:ascii="黑体" w:eastAsia="黑体" w:cs="Times New Roman"/>
          <w:b w:val="0"/>
          <w:bCs w:val="0"/>
        </w:rPr>
      </w:pPr>
      <w:r>
        <w:rPr>
          <w:rStyle w:val="2Char"/>
          <w:rFonts w:ascii="黑体" w:eastAsia="黑体" w:cs="黑体" w:hint="eastAsia"/>
          <w:b w:val="0"/>
          <w:bCs w:val="0"/>
        </w:rPr>
        <w:t>十、预算绩效情况说明</w:t>
      </w:r>
    </w:p>
    <w:p>
      <w:pPr>
        <w:spacing w:line="576" w:lineRule="exact"/>
        <w:ind w:firstLineChars="200" w:firstLine="640"/>
        <w:outlineLvl w:val="1"/>
        <w:rPr>
          <w:rFonts w:ascii="仿宋_GB2312" w:eastAsia="仿宋_GB2312" w:cs="仿宋_GB2312"/>
          <w:sz w:val="32"/>
          <w:szCs w:val="32"/>
        </w:rPr>
      </w:pPr>
      <w:r>
        <w:rPr>
          <w:rFonts w:ascii="仿宋_GB2312" w:eastAsia="仿宋_GB2312" w:cs="仿宋_GB2312" w:hint="eastAsia"/>
          <w:sz w:val="32"/>
          <w:szCs w:val="32"/>
        </w:rPr>
        <w:t>本部门无项目绩效评价报告。</w:t>
      </w:r>
    </w:p>
    <w:p>
      <w:pPr>
        <w:spacing w:line="576" w:lineRule="exact"/>
        <w:ind w:firstLineChars="200" w:firstLine="640"/>
        <w:outlineLvl w:val="1"/>
        <w:rPr>
          <w:rStyle w:val="2Char"/>
          <w:rFonts w:ascii="黑体" w:eastAsia="黑体" w:cs="Times New Roman"/>
        </w:rPr>
      </w:pPr>
      <w:bookmarkStart w:id="46" w:name="_Toc15377221"/>
      <w:bookmarkStart w:id="47" w:name="_Toc15396612"/>
      <w:r>
        <w:rPr>
          <w:rFonts w:ascii="黑体" w:eastAsia="黑体" w:cs="黑体" w:hint="eastAsia"/>
          <w:color w:val="000000"/>
          <w:sz w:val="32"/>
          <w:szCs w:val="32"/>
        </w:rPr>
        <w:t>十</w:t>
      </w:r>
      <w:r>
        <w:rPr>
          <w:rStyle w:val="2Char"/>
          <w:rFonts w:ascii="黑体" w:eastAsia="黑体" w:cs="黑体" w:hint="eastAsia"/>
          <w:b w:val="0"/>
          <w:bCs w:val="0"/>
        </w:rPr>
        <w:t>一、其他重要事项的情况说明</w:t>
      </w:r>
      <w:bookmarkEnd w:id="46"/>
      <w:bookmarkEnd w:id="47"/>
    </w:p>
    <w:p>
      <w:pPr>
        <w:spacing w:line="576" w:lineRule="exact"/>
        <w:ind w:firstLineChars="200" w:firstLine="640"/>
        <w:outlineLvl w:val="2"/>
        <w:rPr>
          <w:rFonts w:ascii="楷体" w:eastAsia="楷体" w:cs="楷体"/>
          <w:color w:val="000000"/>
          <w:sz w:val="32"/>
          <w:szCs w:val="32"/>
        </w:rPr>
      </w:pPr>
      <w:bookmarkStart w:id="48" w:name="_Toc15377222"/>
      <w:r>
        <w:rPr>
          <w:rFonts w:ascii="楷体" w:eastAsia="楷体" w:cs="楷体" w:hint="eastAsia"/>
          <w:b/>
          <w:bCs/>
          <w:color w:val="000000"/>
          <w:sz w:val="32"/>
          <w:szCs w:val="32"/>
        </w:rPr>
        <w:t>（一）机关运行经费支出情况</w:t>
      </w:r>
      <w:bookmarkEnd w:id="48"/>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color w:val="000000"/>
          <w:sz w:val="32"/>
          <w:szCs w:val="32"/>
        </w:rPr>
        <w:t>2018</w:t>
      </w:r>
      <w:r>
        <w:rPr>
          <w:rFonts w:ascii="仿宋_GB2312" w:eastAsia="仿宋_GB2312" w:cs="仿宋_GB2312" w:hint="eastAsia"/>
          <w:color w:val="000000"/>
          <w:sz w:val="32"/>
          <w:szCs w:val="32"/>
        </w:rPr>
        <w:t>年，茂县统战部机关运行经费支出</w:t>
      </w:r>
      <w:r>
        <w:rPr>
          <w:rFonts w:ascii="仿宋_GB2312" w:eastAsia="仿宋_GB2312" w:cs="仿宋_GB2312"/>
          <w:color w:val="000000"/>
          <w:sz w:val="32"/>
          <w:szCs w:val="32"/>
        </w:rPr>
        <w:t>25.37</w:t>
      </w:r>
      <w:r>
        <w:rPr>
          <w:rFonts w:ascii="仿宋_GB2312" w:eastAsia="仿宋_GB2312" w:cs="仿宋_GB2312" w:hint="eastAsia"/>
          <w:color w:val="000000"/>
          <w:sz w:val="32"/>
          <w:szCs w:val="32"/>
        </w:rPr>
        <w:t>万元，比</w:t>
      </w:r>
      <w:r>
        <w:rPr>
          <w:rFonts w:ascii="仿宋_GB2312" w:eastAsia="仿宋_GB2312" w:cs="仿宋_GB2312"/>
          <w:color w:val="000000"/>
          <w:sz w:val="32"/>
          <w:szCs w:val="32"/>
        </w:rPr>
        <w:t>2017</w:t>
      </w:r>
      <w:r>
        <w:rPr>
          <w:rFonts w:ascii="仿宋_GB2312" w:eastAsia="仿宋_GB2312" w:cs="仿宋_GB2312" w:hint="eastAsia"/>
          <w:color w:val="000000"/>
          <w:sz w:val="32"/>
          <w:szCs w:val="32"/>
        </w:rPr>
        <w:t>年减少</w:t>
      </w:r>
      <w:r>
        <w:rPr>
          <w:rFonts w:ascii="仿宋_GB2312" w:eastAsia="仿宋_GB2312" w:cs="仿宋_GB2312"/>
          <w:color w:val="000000"/>
          <w:sz w:val="32"/>
          <w:szCs w:val="32"/>
        </w:rPr>
        <w:t>1.64</w:t>
      </w:r>
      <w:r>
        <w:rPr>
          <w:rFonts w:ascii="仿宋_GB2312" w:eastAsia="仿宋_GB2312" w:cs="仿宋_GB2312" w:hint="eastAsia"/>
          <w:color w:val="000000"/>
          <w:sz w:val="32"/>
          <w:szCs w:val="32"/>
        </w:rPr>
        <w:t>万元，下降</w:t>
      </w:r>
      <w:r>
        <w:rPr>
          <w:rFonts w:ascii="仿宋_GB2312" w:eastAsia="仿宋_GB2312" w:cs="仿宋_GB2312"/>
          <w:color w:val="000000"/>
          <w:sz w:val="32"/>
          <w:szCs w:val="32"/>
        </w:rPr>
        <w:t>0.61%</w:t>
      </w:r>
      <w:r>
        <w:rPr>
          <w:rFonts w:ascii="仿宋_GB2312" w:eastAsia="仿宋_GB2312" w:cs="仿宋_GB2312" w:hint="eastAsia"/>
          <w:color w:val="000000"/>
          <w:sz w:val="32"/>
          <w:szCs w:val="32"/>
        </w:rPr>
        <w:t>。主要原因是继续积极贯彻落实中央八项规定，加强行政事业单位日常经费管理。</w:t>
      </w:r>
    </w:p>
    <w:p>
      <w:pPr>
        <w:spacing w:line="576" w:lineRule="exact"/>
        <w:ind w:firstLineChars="200" w:firstLine="640"/>
        <w:outlineLvl w:val="1"/>
        <w:rPr>
          <w:rFonts w:ascii="楷体" w:eastAsia="楷体" w:cs="楷体"/>
          <w:b/>
          <w:bCs/>
          <w:color w:val="000000"/>
          <w:sz w:val="32"/>
          <w:szCs w:val="32"/>
        </w:rPr>
      </w:pPr>
      <w:bookmarkStart w:id="49" w:name="_Toc15377223"/>
      <w:r>
        <w:rPr>
          <w:rFonts w:ascii="楷体" w:eastAsia="楷体" w:cs="楷体" w:hint="eastAsia"/>
          <w:b/>
          <w:bCs/>
          <w:color w:val="000000"/>
          <w:sz w:val="32"/>
          <w:szCs w:val="32"/>
        </w:rPr>
        <w:t>（二）政府采购支出情况</w:t>
      </w:r>
      <w:bookmarkEnd w:id="49"/>
    </w:p>
    <w:p>
      <w:pPr>
        <w:spacing w:line="576" w:lineRule="exact"/>
        <w:ind w:firstLineChars="200" w:firstLine="640"/>
        <w:rPr>
          <w:rFonts w:ascii="仿宋_GB2312" w:eastAsia="仿宋_GB2312" w:cs="仿宋_GB2312"/>
          <w:color w:val="000000"/>
          <w:sz w:val="32"/>
          <w:szCs w:val="32"/>
        </w:rPr>
      </w:pPr>
      <w:r>
        <w:rPr>
          <w:rFonts w:ascii="仿宋_GB2312" w:eastAsia="仿宋_GB2312" w:cs="仿宋_GB2312"/>
          <w:color w:val="000000"/>
          <w:sz w:val="32"/>
          <w:szCs w:val="32"/>
        </w:rPr>
        <w:t>2018</w:t>
      </w:r>
      <w:r>
        <w:rPr>
          <w:rFonts w:ascii="仿宋_GB2312" w:eastAsia="仿宋_GB2312" w:cs="仿宋_GB2312" w:hint="eastAsia"/>
          <w:color w:val="000000"/>
          <w:sz w:val="32"/>
          <w:szCs w:val="32"/>
        </w:rPr>
        <w:t>年，茂县统战部政府采购支出总额</w:t>
      </w:r>
      <w:r>
        <w:rPr>
          <w:rFonts w:ascii="仿宋_GB2312" w:eastAsia="仿宋_GB2312" w:cs="仿宋_GB2312"/>
          <w:color w:val="000000"/>
          <w:sz w:val="32"/>
          <w:szCs w:val="32"/>
        </w:rPr>
        <w:t>0</w:t>
      </w:r>
      <w:r>
        <w:rPr>
          <w:rFonts w:ascii="仿宋_GB2312" w:eastAsia="仿宋_GB2312" w:cs="仿宋_GB2312" w:hint="eastAsia"/>
          <w:color w:val="000000"/>
          <w:sz w:val="32"/>
          <w:szCs w:val="32"/>
        </w:rPr>
        <w:t>万元。</w:t>
      </w:r>
    </w:p>
    <w:p>
      <w:pPr>
        <w:spacing w:line="576" w:lineRule="exact"/>
        <w:ind w:firstLineChars="200" w:firstLine="640"/>
        <w:outlineLvl w:val="1"/>
        <w:rPr>
          <w:rFonts w:ascii="楷体" w:eastAsia="楷体" w:cs="楷体"/>
          <w:b/>
          <w:bCs/>
          <w:color w:val="000000"/>
          <w:sz w:val="32"/>
          <w:szCs w:val="32"/>
        </w:rPr>
      </w:pPr>
      <w:bookmarkStart w:id="50" w:name="_Toc15377224"/>
      <w:r>
        <w:rPr>
          <w:rFonts w:ascii="楷体" w:eastAsia="楷体" w:cs="楷体" w:hint="eastAsia"/>
          <w:b/>
          <w:bCs/>
          <w:color w:val="000000"/>
          <w:sz w:val="32"/>
          <w:szCs w:val="32"/>
        </w:rPr>
        <w:t>（三）国有资产占有使用情况</w:t>
      </w:r>
      <w:bookmarkEnd w:id="50"/>
    </w:p>
    <w:p>
      <w:pPr>
        <w:autoSpaceDE w:val="0"/>
        <w:autoSpaceDN w:val="0"/>
        <w:adjustRightInd w:val="0"/>
        <w:spacing w:line="576" w:lineRule="exact"/>
        <w:ind w:firstLineChars="200" w:firstLine="640"/>
        <w:jc w:val="left"/>
        <w:rPr>
          <w:rFonts w:ascii="仿宋_GB2312" w:eastAsia="仿宋_GB2312" w:cs="仿宋_GB2312"/>
          <w:color w:val="000000"/>
          <w:sz w:val="32"/>
          <w:szCs w:val="32"/>
        </w:rPr>
      </w:pPr>
      <w:r>
        <w:rPr>
          <w:rFonts w:ascii="仿宋_GB2312" w:eastAsia="仿宋_GB2312" w:cs="仿宋_GB2312" w:hint="eastAsia"/>
          <w:color w:val="000000"/>
          <w:sz w:val="32"/>
          <w:szCs w:val="32"/>
        </w:rPr>
        <w:t>截至</w:t>
      </w:r>
      <w:r>
        <w:rPr>
          <w:rFonts w:ascii="仿宋_GB2312" w:eastAsia="仿宋_GB2312" w:cs="仿宋_GB2312"/>
          <w:color w:val="000000"/>
          <w:sz w:val="32"/>
          <w:szCs w:val="32"/>
        </w:rPr>
        <w:t>2018</w:t>
      </w:r>
      <w:r>
        <w:rPr>
          <w:rFonts w:ascii="仿宋_GB2312" w:eastAsia="仿宋_GB2312" w:cs="仿宋_GB2312" w:hint="eastAsia"/>
          <w:color w:val="000000"/>
          <w:sz w:val="32"/>
          <w:szCs w:val="32"/>
        </w:rPr>
        <w:t>年</w:t>
      </w:r>
      <w:r>
        <w:rPr>
          <w:rFonts w:ascii="仿宋_GB2312" w:eastAsia="仿宋_GB2312" w:cs="仿宋_GB2312"/>
          <w:color w:val="000000"/>
          <w:sz w:val="32"/>
          <w:szCs w:val="32"/>
        </w:rPr>
        <w:t>12</w:t>
      </w:r>
      <w:r>
        <w:rPr>
          <w:rFonts w:ascii="仿宋_GB2312" w:eastAsia="仿宋_GB2312" w:cs="仿宋_GB2312" w:hint="eastAsia"/>
          <w:color w:val="000000"/>
          <w:sz w:val="32"/>
          <w:szCs w:val="32"/>
        </w:rPr>
        <w:t>月</w:t>
      </w:r>
      <w:r>
        <w:rPr>
          <w:rFonts w:ascii="仿宋_GB2312" w:eastAsia="仿宋_GB2312" w:cs="仿宋_GB2312"/>
          <w:color w:val="000000"/>
          <w:sz w:val="32"/>
          <w:szCs w:val="32"/>
        </w:rPr>
        <w:t>31</w:t>
      </w:r>
      <w:r>
        <w:rPr>
          <w:rFonts w:ascii="仿宋_GB2312" w:eastAsia="仿宋_GB2312" w:cs="仿宋_GB2312" w:hint="eastAsia"/>
          <w:color w:val="000000"/>
          <w:sz w:val="32"/>
          <w:szCs w:val="32"/>
        </w:rPr>
        <w:t>日，茂县统战部共有车辆</w:t>
      </w:r>
      <w:r>
        <w:rPr>
          <w:rFonts w:ascii="仿宋_GB2312" w:eastAsia="仿宋_GB2312" w:cs="仿宋_GB2312"/>
          <w:color w:val="000000"/>
          <w:sz w:val="32"/>
          <w:szCs w:val="32"/>
        </w:rPr>
        <w:t>0</w:t>
      </w:r>
      <w:r>
        <w:rPr>
          <w:rFonts w:ascii="仿宋_GB2312" w:eastAsia="仿宋_GB2312" w:cs="仿宋_GB2312" w:hint="eastAsia"/>
          <w:color w:val="000000"/>
          <w:sz w:val="32"/>
          <w:szCs w:val="32"/>
        </w:rPr>
        <w:t>辆。</w:t>
      </w:r>
    </w:p>
    <w:p>
      <w:pPr>
        <w:widowControl/>
        <w:spacing w:line="576" w:lineRule="exact"/>
        <w:ind w:firstLine="200"/>
        <w:jc w:val="center"/>
        <w:rPr>
          <w:rFonts w:ascii="黑体" w:eastAsia="黑体" w:cs="黑体"/>
          <w:color w:val="000000"/>
          <w:sz w:val="44"/>
          <w:szCs w:val="44"/>
        </w:rPr>
      </w:pPr>
      <w:bookmarkStart w:id="51" w:name="_Toc15396613"/>
      <w:bookmarkStart w:id="52" w:name="_Toc15377225"/>
    </w:p>
    <w:p>
      <w:pPr>
        <w:widowControl/>
        <w:spacing w:line="576" w:lineRule="exact"/>
        <w:ind w:firstLine="200"/>
        <w:jc w:val="center"/>
        <w:rPr>
          <w:rFonts w:ascii="黑体" w:eastAsia="黑体" w:cs="黑体"/>
          <w:color w:val="000000"/>
          <w:sz w:val="44"/>
          <w:szCs w:val="44"/>
        </w:rPr>
      </w:pPr>
    </w:p>
    <w:p>
      <w:pPr>
        <w:widowControl/>
        <w:spacing w:line="576" w:lineRule="exact"/>
        <w:ind w:firstLine="200"/>
        <w:jc w:val="center"/>
        <w:rPr>
          <w:rFonts w:ascii="黑体" w:eastAsia="黑体" w:cs="黑体"/>
          <w:color w:val="000000"/>
          <w:sz w:val="44"/>
          <w:szCs w:val="44"/>
        </w:rPr>
      </w:pPr>
    </w:p>
    <w:p>
      <w:pPr>
        <w:widowControl/>
        <w:spacing w:line="576" w:lineRule="exact"/>
        <w:ind w:firstLine="200"/>
        <w:jc w:val="center"/>
        <w:rPr>
          <w:rFonts w:ascii="黑体" w:eastAsia="黑体" w:cs="黑体"/>
          <w:color w:val="000000"/>
          <w:sz w:val="44"/>
          <w:szCs w:val="44"/>
        </w:rPr>
      </w:pPr>
    </w:p>
    <w:p>
      <w:pPr>
        <w:widowControl/>
        <w:spacing w:line="576" w:lineRule="exact"/>
        <w:ind w:firstLine="200"/>
        <w:jc w:val="center"/>
        <w:rPr>
          <w:rFonts w:ascii="黑体" w:eastAsia="黑体" w:cs="黑体"/>
          <w:color w:val="000000"/>
          <w:sz w:val="44"/>
          <w:szCs w:val="44"/>
        </w:rPr>
      </w:pPr>
    </w:p>
    <w:p>
      <w:pPr>
        <w:widowControl/>
        <w:spacing w:line="576" w:lineRule="exact"/>
        <w:ind w:firstLine="200"/>
        <w:jc w:val="center"/>
        <w:rPr>
          <w:rFonts w:ascii="黑体" w:eastAsia="黑体" w:cs="黑体"/>
          <w:color w:val="000000"/>
          <w:sz w:val="44"/>
          <w:szCs w:val="44"/>
        </w:rPr>
      </w:pPr>
    </w:p>
    <w:p>
      <w:pPr>
        <w:widowControl/>
        <w:spacing w:line="576" w:lineRule="exact"/>
        <w:ind w:firstLine="200"/>
        <w:jc w:val="center"/>
        <w:rPr>
          <w:rStyle w:val="1Char"/>
          <w:rFonts w:ascii="黑体" w:eastAsia="黑体"/>
          <w:b w:val="0"/>
          <w:bCs w:val="0"/>
        </w:rPr>
      </w:pPr>
      <w:r>
        <w:rPr>
          <w:rFonts w:ascii="黑体" w:eastAsia="黑体" w:cs="黑体" w:hint="eastAsia"/>
          <w:color w:val="000000"/>
          <w:sz w:val="44"/>
          <w:szCs w:val="44"/>
        </w:rPr>
        <w:t>第三部分</w:t>
      </w:r>
      <w:r>
        <w:rPr>
          <w:rFonts w:ascii="黑体" w:eastAsia="黑体" w:cs="黑体"/>
          <w:color w:val="000000"/>
          <w:sz w:val="44"/>
          <w:szCs w:val="44"/>
        </w:rPr>
        <w:t xml:space="preserve"> </w:t>
      </w:r>
      <w:r>
        <w:rPr>
          <w:rFonts w:ascii="黑体" w:eastAsia="黑体" w:cs="黑体" w:hint="eastAsia"/>
          <w:color w:val="000000"/>
          <w:sz w:val="44"/>
          <w:szCs w:val="44"/>
        </w:rPr>
        <w:t>名</w:t>
      </w:r>
      <w:r>
        <w:rPr>
          <w:rStyle w:val="1Char"/>
          <w:rFonts w:ascii="黑体" w:eastAsia="黑体" w:cs="黑体" w:hint="eastAsia"/>
          <w:b w:val="0"/>
          <w:bCs w:val="0"/>
        </w:rPr>
        <w:t>词解释</w:t>
      </w:r>
      <w:bookmarkEnd w:id="51"/>
      <w:bookmarkEnd w:id="52"/>
    </w:p>
    <w:p>
      <w:pPr>
        <w:spacing w:line="576" w:lineRule="exact"/>
        <w:ind w:firstLine="200"/>
        <w:jc w:val="left"/>
        <w:rPr>
          <w:rFonts w:ascii="宋体"/>
          <w:b/>
          <w:bCs/>
          <w:color w:val="000000"/>
          <w:sz w:val="44"/>
          <w:szCs w:val="44"/>
        </w:rPr>
      </w:pP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1.</w:t>
      </w:r>
      <w:r>
        <w:rPr>
          <w:rFonts w:ascii="仿宋_GB2312" w:eastAsia="仿宋_GB2312" w:cs="仿宋_GB2312" w:hint="eastAsia"/>
          <w:sz w:val="32"/>
          <w:szCs w:val="32"/>
        </w:rPr>
        <w:t>财政拨款收入：指单位从同级财政部门取得的财政预算资金。</w:t>
      </w: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2.</w:t>
      </w:r>
      <w:r>
        <w:rPr>
          <w:rFonts w:ascii="仿宋_GB2312" w:eastAsia="仿宋_GB2312" w:cs="仿宋_GB2312" w:hint="eastAsia"/>
          <w:sz w:val="32"/>
          <w:szCs w:val="32"/>
        </w:rPr>
        <w:t>事业收入：指事业单位开展专业业务活动及辅助活动取得的收入。</w:t>
      </w: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3.</w:t>
      </w:r>
      <w:r>
        <w:rPr>
          <w:rFonts w:ascii="仿宋_GB2312" w:eastAsia="仿宋_GB2312" w:cs="仿宋_GB2312" w:hint="eastAsia"/>
          <w:sz w:val="32"/>
          <w:szCs w:val="32"/>
        </w:rPr>
        <w:t>经营收入：指事业单位在专业业务活动及其辅助活动之外开展非独立核算经营活动取得的收入。</w:t>
      </w: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4.</w:t>
      </w:r>
      <w:r>
        <w:rPr>
          <w:rFonts w:ascii="仿宋_GB2312" w:eastAsia="仿宋_GB2312" w:cs="仿宋_GB2312" w:hint="eastAsia"/>
          <w:sz w:val="32"/>
          <w:szCs w:val="32"/>
        </w:rPr>
        <w:t>其他收入：指单位取得的除上述收入以外的各项收入。</w:t>
      </w: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5.</w:t>
      </w:r>
      <w:r>
        <w:rPr>
          <w:rFonts w:ascii="仿宋_GB2312" w:eastAsia="仿宋_GB2312" w:cs="仿宋_GB2312" w:hint="eastAsia"/>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6.</w:t>
      </w:r>
      <w:r>
        <w:rPr>
          <w:rFonts w:ascii="仿宋_GB2312" w:eastAsia="仿宋_GB2312" w:cs="仿宋_GB2312" w:hint="eastAsia"/>
          <w:sz w:val="32"/>
          <w:szCs w:val="32"/>
        </w:rPr>
        <w:t>年初结转和结余：指以前年度尚未完成、结转到本年按有关规定继续使用的资金。</w:t>
      </w: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7.</w:t>
      </w:r>
      <w:r>
        <w:rPr>
          <w:rFonts w:ascii="仿宋_GB2312" w:eastAsia="仿宋_GB2312" w:cs="仿宋_GB2312" w:hint="eastAsia"/>
          <w:sz w:val="32"/>
          <w:szCs w:val="32"/>
        </w:rPr>
        <w:t>结余分配：指事业单位按照事业单位会计制度的规定从非财政补助结余中分配的事业基金和职工福利基金等。</w:t>
      </w: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8.</w:t>
      </w:r>
      <w:r>
        <w:rPr>
          <w:rFonts w:ascii="仿宋_GB2312" w:eastAsia="仿宋_GB2312" w:cs="仿宋_GB2312" w:hint="eastAsia"/>
          <w:sz w:val="32"/>
          <w:szCs w:val="32"/>
        </w:rPr>
        <w:t>年末结转和结余：指单位按有关规定结转到下年或以后年度继续使用的资金。</w:t>
      </w:r>
    </w:p>
    <w:p>
      <w:pPr>
        <w:spacing w:line="576" w:lineRule="exact"/>
        <w:ind w:firstLineChars="200" w:firstLine="640"/>
        <w:rPr>
          <w:rFonts w:ascii="仿宋_GB2312" w:eastAsia="仿宋_GB2312"/>
          <w:color w:val="000000"/>
          <w:sz w:val="32"/>
          <w:szCs w:val="32"/>
        </w:rPr>
      </w:pPr>
      <w:r>
        <w:rPr>
          <w:rFonts w:ascii="仿宋_GB2312" w:eastAsia="仿宋_GB2312"/>
          <w:color w:val="000000"/>
          <w:sz w:val="32"/>
          <w:szCs w:val="32"/>
        </w:rPr>
        <w:t>9.</w:t>
      </w:r>
      <w:r>
        <w:rPr>
          <w:rFonts w:ascii="仿宋_GB2312" w:eastAsia="仿宋_GB2312" w:hint="eastAsia"/>
          <w:color w:val="000000"/>
          <w:sz w:val="32"/>
          <w:szCs w:val="32"/>
        </w:rPr>
        <w:t>一般公共服务（类）统战事务（款）行政运行（项）：指反映中国共产党统战部门事务支出。</w:t>
      </w:r>
    </w:p>
    <w:p>
      <w:pPr>
        <w:spacing w:line="576" w:lineRule="exact"/>
        <w:ind w:firstLineChars="200" w:firstLine="640"/>
        <w:rPr>
          <w:rFonts w:ascii="仿宋_GB2312" w:eastAsia="仿宋_GB2312"/>
          <w:color w:val="000000"/>
          <w:sz w:val="32"/>
          <w:szCs w:val="32"/>
        </w:rPr>
      </w:pPr>
      <w:r>
        <w:rPr>
          <w:rFonts w:ascii="仿宋_GB2312" w:eastAsia="仿宋_GB2312" w:cs="仿宋_GB2312"/>
          <w:color w:val="000000"/>
          <w:sz w:val="32"/>
          <w:szCs w:val="32"/>
        </w:rPr>
        <w:t>10.</w:t>
      </w:r>
      <w:r>
        <w:rPr>
          <w:rFonts w:ascii="仿宋_GB2312" w:eastAsia="仿宋_GB2312" w:cs="仿宋_GB2312" w:hint="eastAsia"/>
          <w:color w:val="000000"/>
          <w:sz w:val="32"/>
          <w:szCs w:val="32"/>
        </w:rPr>
        <w:t>社会保障和就业（类）行政单位离退休（款）机关事业单位基本养老保险（项）：指机关事业单位实施养老保险制度由单位缴纳的基本养老保险费支出。</w:t>
      </w:r>
    </w:p>
    <w:p>
      <w:pPr>
        <w:spacing w:line="576" w:lineRule="exact"/>
        <w:ind w:firstLineChars="200" w:firstLine="640"/>
        <w:rPr>
          <w:rFonts w:ascii="仿宋_GB2312" w:eastAsia="仿宋_GB2312"/>
          <w:color w:val="000000"/>
          <w:sz w:val="32"/>
          <w:szCs w:val="32"/>
        </w:rPr>
      </w:pPr>
      <w:r>
        <w:rPr>
          <w:rFonts w:ascii="仿宋_GB2312" w:eastAsia="仿宋_GB2312" w:cs="仿宋_GB2312"/>
          <w:color w:val="000000"/>
          <w:sz w:val="32"/>
          <w:szCs w:val="32"/>
        </w:rPr>
        <w:t>11.</w:t>
      </w:r>
      <w:r>
        <w:rPr>
          <w:rFonts w:ascii="仿宋_GB2312" w:eastAsia="仿宋_GB2312" w:cs="仿宋_GB2312" w:hint="eastAsia"/>
          <w:color w:val="000000"/>
          <w:sz w:val="32"/>
          <w:szCs w:val="32"/>
        </w:rPr>
        <w:t>医疗卫生与计划生育（类）行政事业单位医（款）行政单位医（项）：指行政单位医疗方面的支出。</w:t>
      </w:r>
    </w:p>
    <w:p>
      <w:pPr>
        <w:spacing w:line="576" w:lineRule="exact"/>
        <w:ind w:firstLineChars="200" w:firstLine="640"/>
        <w:rPr>
          <w:rFonts w:ascii="仿宋_GB2312" w:eastAsia="仿宋_GB2312"/>
          <w:color w:val="000000"/>
          <w:sz w:val="32"/>
          <w:szCs w:val="32"/>
        </w:rPr>
      </w:pPr>
      <w:r>
        <w:rPr>
          <w:rFonts w:ascii="仿宋_GB2312" w:eastAsia="仿宋_GB2312" w:cs="仿宋_GB2312"/>
          <w:color w:val="000000"/>
          <w:sz w:val="32"/>
          <w:szCs w:val="32"/>
        </w:rPr>
        <w:t>12.</w:t>
      </w:r>
      <w:r>
        <w:rPr>
          <w:rFonts w:ascii="仿宋_GB2312" w:eastAsia="仿宋_GB2312" w:cs="仿宋_GB2312" w:hint="eastAsia"/>
          <w:color w:val="000000"/>
          <w:sz w:val="32"/>
          <w:szCs w:val="32"/>
        </w:rPr>
        <w:t>住房保障（类）住房保障（款）住房改革支出（项）：指行政单位用财政拨款资金和其他资金安排的住房改革支出。</w:t>
      </w:r>
    </w:p>
    <w:p>
      <w:pPr>
        <w:spacing w:line="576" w:lineRule="exact"/>
        <w:ind w:firstLineChars="200" w:firstLine="640"/>
        <w:rPr>
          <w:rFonts w:ascii="仿宋_GB2312" w:eastAsia="仿宋_GB2312"/>
          <w:color w:val="000000"/>
          <w:sz w:val="32"/>
          <w:szCs w:val="32"/>
        </w:rPr>
      </w:pPr>
      <w:r>
        <w:rPr>
          <w:rFonts w:ascii="仿宋_GB2312" w:eastAsia="仿宋_GB2312" w:cs="仿宋_GB2312"/>
          <w:color w:val="000000"/>
          <w:sz w:val="32"/>
          <w:szCs w:val="32"/>
        </w:rPr>
        <w:t>13.</w:t>
      </w:r>
      <w:r>
        <w:rPr>
          <w:rFonts w:ascii="仿宋_GB2312" w:eastAsia="仿宋_GB2312" w:cs="仿宋_GB2312" w:hint="eastAsia"/>
          <w:color w:val="000000"/>
          <w:sz w:val="32"/>
          <w:szCs w:val="32"/>
        </w:rPr>
        <w:t>基本支出：指为保障机构正常运转、完成日常工作任务而发生的人员支出和公用支出。</w:t>
      </w:r>
    </w:p>
    <w:p>
      <w:pPr>
        <w:spacing w:line="576" w:lineRule="exact"/>
        <w:ind w:firstLineChars="200" w:firstLine="640"/>
        <w:rPr>
          <w:rFonts w:ascii="仿宋_GB2312" w:eastAsia="仿宋_GB2312"/>
          <w:color w:val="000000"/>
          <w:sz w:val="32"/>
          <w:szCs w:val="32"/>
        </w:rPr>
      </w:pPr>
      <w:r>
        <w:rPr>
          <w:rFonts w:ascii="仿宋_GB2312" w:eastAsia="仿宋_GB2312" w:cs="仿宋_GB2312"/>
          <w:color w:val="000000"/>
          <w:sz w:val="32"/>
          <w:szCs w:val="32"/>
        </w:rPr>
        <w:t>14.</w:t>
      </w:r>
      <w:r>
        <w:rPr>
          <w:rFonts w:ascii="仿宋_GB2312" w:eastAsia="仿宋_GB2312" w:cs="仿宋_GB2312" w:hint="eastAsia"/>
          <w:color w:val="000000"/>
          <w:sz w:val="32"/>
          <w:szCs w:val="32"/>
        </w:rPr>
        <w:t>项目支出：指在基本支出之外为完成特定行政任务和事业发展目标所发生的支出。</w:t>
      </w:r>
    </w:p>
    <w:p>
      <w:pPr>
        <w:spacing w:line="576" w:lineRule="exact"/>
        <w:ind w:firstLineChars="200" w:firstLine="640"/>
        <w:rPr>
          <w:rFonts w:ascii="仿宋_GB2312" w:eastAsia="仿宋_GB2312"/>
          <w:color w:val="000000"/>
          <w:sz w:val="32"/>
          <w:szCs w:val="32"/>
        </w:rPr>
      </w:pPr>
      <w:r>
        <w:rPr>
          <w:rFonts w:ascii="仿宋_GB2312" w:eastAsia="仿宋_GB2312" w:cs="仿宋_GB2312"/>
          <w:color w:val="000000"/>
          <w:sz w:val="32"/>
          <w:szCs w:val="32"/>
        </w:rPr>
        <w:t>15.</w:t>
      </w:r>
      <w:r>
        <w:rPr>
          <w:rFonts w:ascii="仿宋_GB2312" w:eastAsia="仿宋_GB2312" w:cs="仿宋_GB2312" w:hint="eastAsia"/>
          <w:color w:val="000000"/>
          <w:sz w:val="32"/>
          <w:szCs w:val="32"/>
        </w:rPr>
        <w:t>经营支出：指事业单位在专业业务活动及其辅助活动之外开展非独立核算经营活动发生的支出。</w:t>
      </w: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16.</w:t>
      </w:r>
      <w:r>
        <w:rPr>
          <w:rFonts w:ascii="仿宋_GB2312" w:eastAsia="仿宋_GB2312" w:cs="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5"/>
        <w:spacing w:line="576" w:lineRule="exact"/>
        <w:ind w:firstLineChars="200" w:firstLine="640"/>
        <w:jc w:val="both"/>
        <w:rPr>
          <w:rFonts w:ascii="仿宋_GB2312" w:eastAsia="仿宋_GB2312" w:cs="Times New Roman"/>
          <w:sz w:val="32"/>
          <w:szCs w:val="32"/>
        </w:rPr>
      </w:pPr>
      <w:r>
        <w:rPr>
          <w:rFonts w:ascii="仿宋_GB2312" w:eastAsia="仿宋_GB2312" w:cs="仿宋_GB2312"/>
          <w:sz w:val="32"/>
          <w:szCs w:val="32"/>
        </w:rPr>
        <w:t>17.</w:t>
      </w:r>
      <w:r>
        <w:rPr>
          <w:rFonts w:ascii="仿宋_GB2312"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pStyle w:val="25"/>
        <w:spacing w:line="576" w:lineRule="exact"/>
        <w:ind w:firstLineChars="200" w:firstLine="640"/>
        <w:rPr>
          <w:rFonts w:ascii="仿宋_GB2312" w:eastAsia="仿宋_GB2312" w:cs="Times New Roman"/>
          <w:sz w:val="32"/>
          <w:szCs w:val="32"/>
        </w:rPr>
      </w:pPr>
    </w:p>
    <w:p>
      <w:pPr>
        <w:spacing w:line="576" w:lineRule="exact"/>
        <w:ind w:firstLine="200"/>
        <w:jc w:val="center"/>
        <w:outlineLvl w:val="0"/>
        <w:rPr>
          <w:rStyle w:val="1Char"/>
          <w:rFonts w:ascii="方正小标宋简体" w:eastAsia="方正小标宋简体" w:cs="方正小标宋简体"/>
          <w:b w:val="0"/>
          <w:bCs w:val="0"/>
        </w:rPr>
      </w:pPr>
      <w:bookmarkStart w:id="53" w:name="_Toc15377226"/>
    </w:p>
    <w:p>
      <w:pPr>
        <w:spacing w:line="576" w:lineRule="exact"/>
        <w:ind w:firstLine="200"/>
        <w:jc w:val="center"/>
        <w:outlineLvl w:val="0"/>
        <w:rPr>
          <w:rStyle w:val="1Char"/>
          <w:rFonts w:ascii="方正小标宋简体" w:eastAsia="方正小标宋简体" w:cs="方正小标宋简体"/>
          <w:b w:val="0"/>
          <w:bCs w:val="0"/>
        </w:rPr>
      </w:pPr>
    </w:p>
    <w:p>
      <w:pPr>
        <w:spacing w:line="576" w:lineRule="exact"/>
        <w:ind w:firstLine="200"/>
        <w:jc w:val="center"/>
        <w:outlineLvl w:val="0"/>
        <w:rPr>
          <w:rStyle w:val="1Char"/>
          <w:rFonts w:ascii="方正小标宋简体" w:eastAsia="方正小标宋简体" w:cs="方正小标宋简体"/>
          <w:b w:val="0"/>
          <w:bCs w:val="0"/>
        </w:rPr>
      </w:pPr>
    </w:p>
    <w:p>
      <w:pPr>
        <w:spacing w:line="576" w:lineRule="exact"/>
        <w:ind w:firstLine="200"/>
        <w:jc w:val="center"/>
        <w:outlineLvl w:val="0"/>
        <w:rPr>
          <w:rStyle w:val="1Char"/>
          <w:rFonts w:ascii="方正小标宋简体" w:eastAsia="方正小标宋简体" w:cs="方正小标宋简体"/>
          <w:b w:val="0"/>
          <w:bCs w:val="0"/>
        </w:rPr>
      </w:pPr>
    </w:p>
    <w:p>
      <w:pPr>
        <w:spacing w:line="576" w:lineRule="exact"/>
        <w:ind w:firstLine="200"/>
        <w:jc w:val="center"/>
        <w:outlineLvl w:val="0"/>
        <w:rPr>
          <w:rStyle w:val="1Char"/>
          <w:rFonts w:ascii="方正小标宋简体" w:eastAsia="方正小标宋简体" w:cs="方正小标宋简体"/>
          <w:b w:val="0"/>
          <w:bCs w:val="0"/>
        </w:rPr>
      </w:pPr>
    </w:p>
    <w:p>
      <w:pPr>
        <w:spacing w:line="576" w:lineRule="exact"/>
        <w:ind w:firstLine="200"/>
        <w:jc w:val="center"/>
        <w:outlineLvl w:val="0"/>
        <w:rPr>
          <w:rStyle w:val="1Char"/>
          <w:rFonts w:ascii="方正小标宋简体" w:eastAsia="方正小标宋简体" w:cs="方正小标宋简体"/>
          <w:b w:val="0"/>
          <w:bCs w:val="0"/>
        </w:rPr>
      </w:pPr>
    </w:p>
    <w:p>
      <w:pPr>
        <w:spacing w:line="576" w:lineRule="exact"/>
        <w:ind w:firstLine="200"/>
        <w:jc w:val="center"/>
        <w:outlineLvl w:val="0"/>
        <w:rPr>
          <w:rStyle w:val="1Char"/>
          <w:rFonts w:ascii="方正小标宋简体" w:eastAsia="方正小标宋简体" w:cs="方正小标宋简体"/>
          <w:b w:val="0"/>
          <w:bCs w:val="0"/>
        </w:rPr>
      </w:pPr>
      <w:r>
        <w:rPr>
          <w:rStyle w:val="1Char"/>
          <w:rFonts w:ascii="方正小标宋简体" w:eastAsia="方正小标宋简体" w:cs="方正小标宋简体" w:hint="eastAsia"/>
          <w:b w:val="0"/>
          <w:bCs w:val="0"/>
        </w:rPr>
        <w:t>第四部分</w:t>
      </w:r>
      <w:r>
        <w:rPr>
          <w:rStyle w:val="1Char"/>
          <w:rFonts w:ascii="方正小标宋简体" w:eastAsia="方正小标宋简体" w:cs="方正小标宋简体"/>
          <w:b w:val="0"/>
          <w:bCs w:val="0"/>
        </w:rPr>
        <w:t xml:space="preserve"> </w:t>
      </w:r>
      <w:r>
        <w:rPr>
          <w:rStyle w:val="1Char"/>
          <w:rFonts w:ascii="方正小标宋简体" w:eastAsia="方正小标宋简体" w:cs="方正小标宋简体" w:hint="eastAsia"/>
          <w:b w:val="0"/>
          <w:bCs w:val="0"/>
        </w:rPr>
        <w:t>附件</w:t>
      </w:r>
    </w:p>
    <w:p>
      <w:pPr>
        <w:spacing w:line="576" w:lineRule="exact"/>
        <w:ind w:firstLine="200"/>
        <w:jc w:val="center"/>
        <w:outlineLvl w:val="0"/>
        <w:rPr>
          <w:rFonts w:ascii="黑体" w:eastAsia="黑体"/>
          <w:sz w:val="36"/>
          <w:szCs w:val="36"/>
        </w:rPr>
      </w:pPr>
      <w:bookmarkStart w:id="54" w:name="_Toc15396616"/>
    </w:p>
    <w:p>
      <w:pPr>
        <w:spacing w:line="576" w:lineRule="exact"/>
        <w:ind w:firstLine="200"/>
        <w:jc w:val="center"/>
        <w:outlineLvl w:val="0"/>
        <w:rPr>
          <w:rFonts w:ascii="方正小标宋简体" w:eastAsia="方正小标宋简体" w:cs="方正小标宋简体"/>
          <w:sz w:val="44"/>
          <w:szCs w:val="44"/>
        </w:rPr>
      </w:pPr>
      <w:r>
        <w:rPr>
          <w:rFonts w:ascii="方正小标宋简体" w:eastAsia="方正小标宋简体" w:cs="方正小标宋简体" w:hint="eastAsia"/>
          <w:sz w:val="44"/>
          <w:szCs w:val="44"/>
        </w:rPr>
        <w:t>茂县统战部</w:t>
      </w:r>
      <w:r>
        <w:rPr>
          <w:rFonts w:ascii="方正小标宋简体" w:eastAsia="方正小标宋简体" w:cs="方正小标宋简体"/>
          <w:sz w:val="44"/>
          <w:szCs w:val="44"/>
        </w:rPr>
        <w:t>2018</w:t>
      </w:r>
      <w:r>
        <w:rPr>
          <w:rFonts w:ascii="方正小标宋简体" w:eastAsia="方正小标宋简体" w:cs="方正小标宋简体" w:hint="eastAsia"/>
          <w:sz w:val="44"/>
          <w:szCs w:val="44"/>
        </w:rPr>
        <w:t>年部门整体支出绩效评价报告</w:t>
      </w:r>
      <w:bookmarkEnd w:id="54"/>
    </w:p>
    <w:p>
      <w:pPr>
        <w:pStyle w:val="2"/>
        <w:spacing w:line="576" w:lineRule="exact"/>
        <w:ind w:firstLineChars="200" w:firstLine="640"/>
        <w:rPr>
          <w:rFonts w:ascii="黑体" w:eastAsia="黑体" w:cs="黑体"/>
          <w:b w:val="0"/>
          <w:bCs w:val="0"/>
        </w:rPr>
      </w:pPr>
      <w:r>
        <w:rPr>
          <w:rFonts w:ascii="黑体" w:eastAsia="黑体" w:cs="黑体" w:hint="eastAsia"/>
          <w:b w:val="0"/>
          <w:bCs w:val="0"/>
        </w:rPr>
        <w:t>一、部门概况</w:t>
      </w:r>
    </w:p>
    <w:p>
      <w:pPr>
        <w:widowControl/>
        <w:adjustRightInd w:val="0"/>
        <w:snapToGrid w:val="0"/>
        <w:spacing w:line="576" w:lineRule="exact"/>
        <w:ind w:firstLineChars="200" w:firstLine="640"/>
        <w:rPr>
          <w:rFonts w:ascii="楷体" w:eastAsia="楷体" w:cs="楷体"/>
          <w:b/>
          <w:bCs/>
          <w:color w:val="000000"/>
          <w:kern w:val="0"/>
          <w:sz w:val="32"/>
          <w:szCs w:val="32"/>
          <w:shd w:val="clear" w:color="auto" w:fill="FFFFFF"/>
          <w:lang w:val="zh-CN"/>
        </w:rPr>
      </w:pPr>
      <w:r>
        <w:rPr>
          <w:rFonts w:ascii="楷体" w:eastAsia="楷体" w:cs="楷体" w:hint="eastAsia"/>
          <w:b/>
          <w:bCs/>
          <w:sz w:val="32"/>
          <w:szCs w:val="32"/>
        </w:rPr>
        <w:t>（一）机构组成</w:t>
      </w:r>
    </w:p>
    <w:p>
      <w:pPr>
        <w:widowControl/>
        <w:adjustRightInd w:val="0"/>
        <w:snapToGrid w:val="0"/>
        <w:spacing w:line="576" w:lineRule="exact"/>
        <w:ind w:firstLineChars="200" w:firstLine="640"/>
        <w:rPr>
          <w:rFonts w:ascii="仿宋_GB2312" w:eastAsia="仿宋_GB2312" w:cs="仿宋_GB2312"/>
          <w:color w:val="000000"/>
          <w:kern w:val="0"/>
          <w:sz w:val="32"/>
          <w:szCs w:val="32"/>
          <w:shd w:val="clear" w:color="auto" w:fill="FFFFFF"/>
          <w:lang w:val="zh-CN"/>
        </w:rPr>
      </w:pPr>
      <w:r>
        <w:rPr>
          <w:rFonts w:ascii="仿宋_GB2312" w:eastAsia="仿宋_GB2312" w:cs="仿宋_GB2312" w:hint="eastAsia"/>
          <w:color w:val="000000"/>
          <w:kern w:val="0"/>
          <w:sz w:val="32"/>
          <w:szCs w:val="32"/>
          <w:shd w:val="clear" w:color="auto" w:fill="FFFFFF"/>
          <w:lang w:val="zh-CN"/>
        </w:rPr>
        <w:t>本部门是行政单位，属于一级预算单位，下设办公室、民族宗教股、党外干部股、非公有制经济股、党外知识分子与新的社会阶层人士股、港澳台统战工作股、侨务工作股、宣传文化股共</w:t>
      </w:r>
      <w:r>
        <w:rPr>
          <w:rFonts w:ascii="仿宋_GB2312" w:eastAsia="仿宋_GB2312" w:cs="仿宋_GB2312"/>
          <w:color w:val="000000"/>
          <w:kern w:val="0"/>
          <w:sz w:val="32"/>
          <w:szCs w:val="32"/>
          <w:shd w:val="clear" w:color="auto" w:fill="FFFFFF"/>
        </w:rPr>
        <w:t>8</w:t>
      </w:r>
      <w:r>
        <w:rPr>
          <w:rFonts w:ascii="仿宋_GB2312" w:eastAsia="仿宋_GB2312" w:cs="仿宋_GB2312" w:hint="eastAsia"/>
          <w:color w:val="000000"/>
          <w:kern w:val="0"/>
          <w:sz w:val="32"/>
          <w:szCs w:val="32"/>
          <w:shd w:val="clear" w:color="auto" w:fill="FFFFFF"/>
          <w:lang w:val="zh-CN"/>
        </w:rPr>
        <w:t>个股室。</w:t>
      </w:r>
    </w:p>
    <w:p>
      <w:pPr>
        <w:spacing w:line="576" w:lineRule="exact"/>
        <w:ind w:firstLineChars="150" w:firstLine="480"/>
        <w:rPr>
          <w:rFonts w:ascii="楷体" w:eastAsia="楷体" w:cs="楷体"/>
          <w:b/>
          <w:bCs/>
          <w:sz w:val="32"/>
          <w:szCs w:val="32"/>
        </w:rPr>
      </w:pPr>
      <w:r>
        <w:rPr>
          <w:rFonts w:ascii="楷体" w:eastAsia="楷体" w:cs="楷体" w:hint="eastAsia"/>
          <w:b/>
          <w:bCs/>
          <w:sz w:val="32"/>
          <w:szCs w:val="32"/>
        </w:rPr>
        <w:t>（二）机构职能</w:t>
      </w:r>
    </w:p>
    <w:p>
      <w:pPr>
        <w:spacing w:line="576" w:lineRule="exact"/>
        <w:ind w:firstLineChars="218" w:firstLine="698"/>
        <w:rPr>
          <w:rFonts w:ascii="仿宋_GB2312" w:eastAsia="仿宋_GB2312"/>
          <w:sz w:val="32"/>
          <w:szCs w:val="32"/>
        </w:rPr>
      </w:pPr>
      <w:r>
        <w:rPr>
          <w:rFonts w:ascii="仿宋" w:eastAsia="仿宋"/>
          <w:bCs/>
          <w:color w:val="000000"/>
          <w:sz w:val="32"/>
          <w:szCs w:val="32"/>
        </w:rPr>
        <w:t>1.</w:t>
      </w:r>
      <w:r>
        <w:rPr>
          <w:rFonts w:ascii="仿宋_GB2312" w:eastAsia="仿宋_GB2312" w:hint="eastAsia"/>
          <w:sz w:val="32"/>
          <w:szCs w:val="32"/>
        </w:rPr>
        <w:t>贯彻落实加强党对统一战线工作集中统一领导的要求，发挥县委在统战工作方面的参谋机构、组织协调机构、具体执行机构、督促检查机构作用，了解情况、掌握政策、协调关系、安排人事、增进共识、加强团结，协调统一战线各方面关系，组织落实党中央、省委、州委和县委关于统一战线工作重大决策部署，巩固壮大最广泛的统一战线。</w:t>
      </w:r>
    </w:p>
    <w:p>
      <w:pPr>
        <w:spacing w:line="576" w:lineRule="exact"/>
        <w:ind w:firstLineChars="218" w:firstLine="698"/>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推动落实统一战线工作的政策，深入调查研究，向县委反映统一战线工作情况，提出开展统战工作的意见和建议；负责协调、监督全县统一战线工作；牵头协调处理统战工作中的重大问题和组织统一战线的重大活动。</w:t>
      </w:r>
    </w:p>
    <w:p>
      <w:pPr>
        <w:spacing w:line="576" w:lineRule="exact"/>
        <w:ind w:firstLineChars="168" w:firstLine="538"/>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完成县委交办的其他任务。</w:t>
      </w:r>
    </w:p>
    <w:p>
      <w:pPr>
        <w:widowControl/>
        <w:adjustRightInd w:val="0"/>
        <w:snapToGrid w:val="0"/>
        <w:spacing w:line="576" w:lineRule="exact"/>
        <w:ind w:firstLineChars="200" w:firstLine="640"/>
        <w:rPr>
          <w:rFonts w:ascii="楷体" w:eastAsia="楷体" w:cs="楷体"/>
          <w:b/>
          <w:bCs/>
          <w:sz w:val="32"/>
          <w:szCs w:val="32"/>
        </w:rPr>
      </w:pPr>
      <w:r>
        <w:rPr>
          <w:rFonts w:ascii="楷体" w:eastAsia="楷体" w:cs="楷体" w:hint="eastAsia"/>
          <w:b/>
          <w:bCs/>
          <w:sz w:val="32"/>
          <w:szCs w:val="32"/>
        </w:rPr>
        <w:t>（三）人员概况</w:t>
      </w:r>
    </w:p>
    <w:p>
      <w:pPr>
        <w:spacing w:line="576" w:lineRule="exact"/>
        <w:ind w:firstLineChars="218" w:firstLine="698"/>
        <w:rPr>
          <w:rFonts w:ascii="仿宋_GB2312" w:eastAsia="仿宋_GB2312"/>
          <w:sz w:val="32"/>
          <w:szCs w:val="32"/>
        </w:rPr>
      </w:pPr>
      <w:r>
        <w:rPr>
          <w:rFonts w:ascii="仿宋_GB2312" w:eastAsia="仿宋_GB2312" w:hint="eastAsia"/>
          <w:sz w:val="32"/>
          <w:szCs w:val="32"/>
        </w:rPr>
        <w:t>本单位是行政单位，属一级预算单位，其中内设机构</w:t>
      </w:r>
      <w:r>
        <w:rPr>
          <w:rFonts w:ascii="仿宋_GB2312" w:eastAsia="仿宋_GB2312"/>
          <w:sz w:val="32"/>
          <w:szCs w:val="32"/>
        </w:rPr>
        <w:t>8</w:t>
      </w:r>
      <w:r>
        <w:rPr>
          <w:rFonts w:ascii="仿宋_GB2312" w:eastAsia="仿宋_GB2312" w:hint="eastAsia"/>
          <w:sz w:val="32"/>
          <w:szCs w:val="32"/>
        </w:rPr>
        <w:t>个，县委统战部行政编制</w:t>
      </w:r>
      <w:r>
        <w:rPr>
          <w:rFonts w:ascii="仿宋_GB2312" w:eastAsia="仿宋_GB2312"/>
          <w:sz w:val="32"/>
          <w:szCs w:val="32"/>
        </w:rPr>
        <w:t>12</w:t>
      </w:r>
      <w:r>
        <w:rPr>
          <w:rFonts w:ascii="仿宋_GB2312" w:eastAsia="仿宋_GB2312" w:hint="eastAsia"/>
          <w:sz w:val="32"/>
          <w:szCs w:val="32"/>
        </w:rPr>
        <w:t>名。其中：部长</w:t>
      </w:r>
      <w:r>
        <w:rPr>
          <w:rFonts w:ascii="仿宋_GB2312" w:eastAsia="仿宋_GB2312"/>
          <w:sz w:val="32"/>
          <w:szCs w:val="32"/>
        </w:rPr>
        <w:t>1</w:t>
      </w:r>
      <w:r>
        <w:rPr>
          <w:rFonts w:ascii="仿宋_GB2312" w:eastAsia="仿宋_GB2312" w:hint="eastAsia"/>
          <w:sz w:val="32"/>
          <w:szCs w:val="32"/>
        </w:rPr>
        <w:t>名，副部长3名；股级领导职数</w:t>
      </w:r>
      <w:r>
        <w:rPr>
          <w:rFonts w:ascii="仿宋_GB2312" w:eastAsia="仿宋_GB2312"/>
          <w:sz w:val="32"/>
          <w:szCs w:val="32"/>
        </w:rPr>
        <w:t>8</w:t>
      </w:r>
      <w:r>
        <w:rPr>
          <w:rFonts w:ascii="仿宋_GB2312" w:eastAsia="仿宋_GB2312" w:hint="eastAsia"/>
          <w:sz w:val="32"/>
          <w:szCs w:val="32"/>
        </w:rPr>
        <w:t>名，退休人员</w:t>
      </w:r>
      <w:r>
        <w:rPr>
          <w:rFonts w:ascii="仿宋_GB2312" w:eastAsia="仿宋_GB2312"/>
          <w:sz w:val="32"/>
          <w:szCs w:val="32"/>
        </w:rPr>
        <w:t>7</w:t>
      </w:r>
      <w:r>
        <w:rPr>
          <w:rFonts w:ascii="仿宋_GB2312" w:eastAsia="仿宋_GB2312" w:hint="eastAsia"/>
          <w:sz w:val="32"/>
          <w:szCs w:val="32"/>
        </w:rPr>
        <w:t>人。</w:t>
      </w:r>
    </w:p>
    <w:p>
      <w:pPr>
        <w:spacing w:line="576" w:lineRule="exact"/>
        <w:ind w:firstLineChars="218" w:firstLine="698"/>
        <w:rPr>
          <w:rFonts w:ascii="仿宋_GB2312" w:eastAsia="仿宋_GB2312"/>
          <w:sz w:val="32"/>
          <w:szCs w:val="32"/>
        </w:rPr>
      </w:pPr>
      <w:r>
        <w:rPr>
          <w:rFonts w:ascii="仿宋_GB2312" w:eastAsia="仿宋_GB2312" w:hint="eastAsia"/>
          <w:sz w:val="32"/>
          <w:szCs w:val="32"/>
        </w:rPr>
        <w:t>机关工勤人员事业编制</w:t>
      </w:r>
      <w:r>
        <w:rPr>
          <w:rFonts w:ascii="仿宋_GB2312" w:eastAsia="仿宋_GB2312"/>
          <w:sz w:val="32"/>
          <w:szCs w:val="32"/>
        </w:rPr>
        <w:t>1</w:t>
      </w:r>
      <w:r>
        <w:rPr>
          <w:rFonts w:ascii="仿宋_GB2312" w:eastAsia="仿宋_GB2312" w:hint="eastAsia"/>
          <w:sz w:val="32"/>
          <w:szCs w:val="32"/>
        </w:rPr>
        <w:t>名。</w:t>
      </w:r>
    </w:p>
    <w:p>
      <w:pPr>
        <w:pStyle w:val="2"/>
        <w:spacing w:line="576" w:lineRule="exact"/>
        <w:ind w:firstLineChars="250" w:firstLine="800"/>
        <w:rPr>
          <w:rFonts w:ascii="仿宋" w:eastAsia="仿宋" w:cs="Times New Roman"/>
          <w:b w:val="0"/>
          <w:bCs w:val="0"/>
          <w:color w:val="000000"/>
        </w:rPr>
      </w:pPr>
      <w:r>
        <w:rPr>
          <w:rFonts w:ascii="黑体" w:eastAsia="黑体" w:cs="黑体" w:hint="eastAsia"/>
          <w:b w:val="0"/>
          <w:bCs w:val="0"/>
        </w:rPr>
        <w:t>二、部门财政资金收支情况</w:t>
      </w:r>
    </w:p>
    <w:p>
      <w:pPr>
        <w:widowControl/>
        <w:shd w:val="clear" w:color="auto" w:fill="FFFFFF"/>
        <w:adjustRightInd w:val="0"/>
        <w:snapToGrid w:val="0"/>
        <w:spacing w:line="576" w:lineRule="exact"/>
        <w:ind w:leftChars="304" w:left="638" w:firstLine="200"/>
        <w:jc w:val="left"/>
        <w:rPr>
          <w:rFonts w:ascii="仿宋" w:eastAsia="仿宋" w:cs="仿宋_GB2312"/>
          <w:sz w:val="32"/>
          <w:szCs w:val="32"/>
        </w:rPr>
      </w:pPr>
      <w:r>
        <w:rPr>
          <w:rFonts w:ascii="楷体" w:eastAsia="楷体" w:cs="仿宋_GB2312" w:hint="eastAsia"/>
          <w:b/>
          <w:sz w:val="32"/>
          <w:szCs w:val="32"/>
        </w:rPr>
        <w:t>（一）部门财政资金收入情况</w:t>
      </w:r>
      <w:r>
        <w:rPr>
          <w:rFonts w:ascii="楷体" w:eastAsia="楷体" w:cs="仿宋_GB2312"/>
          <w:b/>
          <w:sz w:val="32"/>
          <w:szCs w:val="32"/>
        </w:rPr>
        <w:t xml:space="preserve">       </w:t>
      </w:r>
      <w:r>
        <w:rPr>
          <w:rFonts w:ascii="仿宋" w:eastAsia="仿宋" w:cs="仿宋_GB2312"/>
          <w:sz w:val="32"/>
          <w:szCs w:val="32"/>
        </w:rPr>
        <w:t xml:space="preserve">           </w:t>
      </w:r>
    </w:p>
    <w:p>
      <w:pPr>
        <w:widowControl/>
        <w:shd w:val="clear" w:color="auto" w:fill="FFFFFF"/>
        <w:adjustRightInd w:val="0"/>
        <w:snapToGrid w:val="0"/>
        <w:spacing w:line="576" w:lineRule="exact"/>
        <w:ind w:leftChars="304" w:left="638" w:firstLineChars="50" w:firstLine="160"/>
        <w:jc w:val="left"/>
        <w:rPr>
          <w:rFonts w:ascii="仿宋" w:eastAsia="仿宋" w:cs="仿宋_GB2312"/>
          <w:sz w:val="32"/>
          <w:szCs w:val="32"/>
        </w:rPr>
      </w:pPr>
      <w:r>
        <w:rPr>
          <w:rFonts w:ascii="仿宋" w:eastAsia="仿宋" w:cs="仿宋_GB2312"/>
          <w:sz w:val="32"/>
          <w:szCs w:val="32"/>
        </w:rPr>
        <w:t>2018</w:t>
      </w:r>
      <w:r>
        <w:rPr>
          <w:rFonts w:ascii="仿宋" w:eastAsia="仿宋" w:cs="仿宋_GB2312" w:hint="eastAsia"/>
          <w:sz w:val="32"/>
          <w:szCs w:val="32"/>
        </w:rPr>
        <w:t>年我单位财政拨款收入决算总额为</w:t>
      </w:r>
      <w:r>
        <w:rPr>
          <w:rFonts w:ascii="仿宋" w:eastAsia="仿宋" w:cs="仿宋_GB2312"/>
          <w:sz w:val="32"/>
          <w:szCs w:val="32"/>
        </w:rPr>
        <w:t>224.84</w:t>
      </w:r>
      <w:r>
        <w:rPr>
          <w:rFonts w:ascii="仿宋" w:eastAsia="仿宋" w:cs="仿宋_GB2312" w:hint="eastAsia"/>
          <w:sz w:val="32"/>
          <w:szCs w:val="32"/>
        </w:rPr>
        <w:t>万元，</w:t>
      </w:r>
    </w:p>
    <w:p>
      <w:pPr>
        <w:widowControl/>
        <w:shd w:val="clear" w:color="auto" w:fill="FFFFFF"/>
        <w:adjustRightInd w:val="0"/>
        <w:snapToGrid w:val="0"/>
        <w:spacing w:line="576" w:lineRule="exact"/>
        <w:ind w:firstLine="200"/>
        <w:jc w:val="left"/>
        <w:rPr>
          <w:rFonts w:ascii="仿宋_GB2312" w:eastAsia="仿宋_GB2312" w:cs="仿宋_GB2312"/>
          <w:sz w:val="32"/>
          <w:szCs w:val="32"/>
        </w:rPr>
      </w:pPr>
      <w:r>
        <w:rPr>
          <w:rFonts w:ascii="仿宋" w:eastAsia="仿宋" w:cs="仿宋_GB2312" w:hint="eastAsia"/>
          <w:sz w:val="32"/>
          <w:szCs w:val="32"/>
        </w:rPr>
        <w:t>其中：当年财政拨款收入</w:t>
      </w:r>
      <w:r>
        <w:rPr>
          <w:rFonts w:ascii="仿宋" w:eastAsia="仿宋" w:cs="仿宋_GB2312"/>
          <w:sz w:val="32"/>
          <w:szCs w:val="32"/>
        </w:rPr>
        <w:t>224.84</w:t>
      </w:r>
      <w:r>
        <w:rPr>
          <w:rFonts w:ascii="仿宋" w:eastAsia="仿宋" w:cs="仿宋_GB2312" w:hint="eastAsia"/>
          <w:sz w:val="32"/>
          <w:szCs w:val="32"/>
        </w:rPr>
        <w:t>万元，均为一般公共预算财政拨款。</w:t>
      </w:r>
    </w:p>
    <w:p>
      <w:pPr>
        <w:widowControl/>
        <w:shd w:val="clear" w:color="auto" w:fill="FFFFFF"/>
        <w:adjustRightInd w:val="0"/>
        <w:snapToGrid w:val="0"/>
        <w:spacing w:line="576" w:lineRule="exact"/>
        <w:ind w:firstLineChars="150" w:firstLine="480"/>
        <w:rPr>
          <w:rFonts w:ascii="楷体" w:eastAsia="楷体" w:cs="楷体"/>
          <w:b/>
          <w:sz w:val="32"/>
          <w:szCs w:val="32"/>
        </w:rPr>
      </w:pPr>
      <w:r>
        <w:rPr>
          <w:rFonts w:ascii="楷体" w:eastAsia="楷体" w:cs="楷体" w:hint="eastAsia"/>
          <w:b/>
          <w:sz w:val="32"/>
          <w:szCs w:val="32"/>
        </w:rPr>
        <w:t>（二）部门财政资金支出情况</w:t>
      </w:r>
    </w:p>
    <w:p>
      <w:pPr>
        <w:widowControl/>
        <w:adjustRightInd w:val="0"/>
        <w:snapToGrid w:val="0"/>
        <w:spacing w:line="576" w:lineRule="exact"/>
        <w:ind w:firstLine="200"/>
        <w:jc w:val="left"/>
        <w:rPr>
          <w:rFonts w:ascii="仿宋" w:eastAsia="仿宋" w:cs="宋体"/>
          <w:color w:val="000000"/>
          <w:kern w:val="0"/>
          <w:sz w:val="32"/>
          <w:szCs w:val="32"/>
          <w:shd w:val="clear" w:color="auto" w:fill="FFFFFF"/>
          <w:lang w:val="zh-CN"/>
        </w:rPr>
      </w:pPr>
      <w:r>
        <w:rPr>
          <w:rFonts w:ascii="仿宋" w:eastAsia="仿宋" w:cs="宋体"/>
          <w:color w:val="000000"/>
          <w:kern w:val="0"/>
          <w:sz w:val="32"/>
          <w:szCs w:val="32"/>
          <w:shd w:val="clear" w:color="auto" w:fill="FFFFFF"/>
          <w:lang w:val="zh-CN"/>
        </w:rPr>
        <w:t>2018</w:t>
      </w:r>
      <w:r>
        <w:rPr>
          <w:rFonts w:ascii="仿宋" w:eastAsia="仿宋" w:cs="宋体" w:hint="eastAsia"/>
          <w:color w:val="000000"/>
          <w:kern w:val="0"/>
          <w:sz w:val="32"/>
          <w:szCs w:val="32"/>
          <w:shd w:val="clear" w:color="auto" w:fill="FFFFFF"/>
          <w:lang w:val="zh-CN"/>
        </w:rPr>
        <w:t>年本单位财政拨款支出决算总额</w:t>
      </w:r>
      <w:r>
        <w:rPr>
          <w:rFonts w:ascii="仿宋" w:eastAsia="仿宋" w:cs="宋体"/>
          <w:color w:val="000000"/>
          <w:kern w:val="0"/>
          <w:sz w:val="32"/>
          <w:szCs w:val="32"/>
          <w:shd w:val="clear" w:color="auto" w:fill="FFFFFF"/>
          <w:lang w:val="zh-CN"/>
        </w:rPr>
        <w:t>224.84</w:t>
      </w:r>
      <w:r>
        <w:rPr>
          <w:rFonts w:ascii="仿宋" w:eastAsia="仿宋" w:cs="宋体" w:hint="eastAsia"/>
          <w:color w:val="000000"/>
          <w:kern w:val="0"/>
          <w:sz w:val="32"/>
          <w:szCs w:val="32"/>
          <w:shd w:val="clear" w:color="auto" w:fill="FFFFFF"/>
          <w:lang w:val="zh-CN"/>
        </w:rPr>
        <w:t>万元。其中按功能分类，一般公共服务支出</w:t>
      </w:r>
      <w:r>
        <w:rPr>
          <w:rFonts w:ascii="仿宋" w:eastAsia="仿宋" w:cs="宋体"/>
          <w:color w:val="000000"/>
          <w:kern w:val="0"/>
          <w:sz w:val="32"/>
          <w:szCs w:val="32"/>
          <w:shd w:val="clear" w:color="auto" w:fill="FFFFFF"/>
          <w:lang w:val="zh-CN"/>
        </w:rPr>
        <w:t>172.46</w:t>
      </w:r>
      <w:r>
        <w:rPr>
          <w:rFonts w:ascii="仿宋" w:eastAsia="仿宋" w:cs="宋体" w:hint="eastAsia"/>
          <w:color w:val="000000"/>
          <w:kern w:val="0"/>
          <w:sz w:val="32"/>
          <w:szCs w:val="32"/>
          <w:shd w:val="clear" w:color="auto" w:fill="FFFFFF"/>
          <w:lang w:val="zh-CN"/>
        </w:rPr>
        <w:t>万元，社会保障和就业支出</w:t>
      </w:r>
      <w:r>
        <w:rPr>
          <w:rFonts w:ascii="仿宋" w:eastAsia="仿宋" w:cs="宋体"/>
          <w:color w:val="000000"/>
          <w:kern w:val="0"/>
          <w:sz w:val="32"/>
          <w:szCs w:val="32"/>
          <w:shd w:val="clear" w:color="auto" w:fill="FFFFFF"/>
          <w:lang w:val="zh-CN"/>
        </w:rPr>
        <w:t>27.32</w:t>
      </w:r>
      <w:r>
        <w:rPr>
          <w:rFonts w:ascii="仿宋" w:eastAsia="仿宋" w:cs="宋体" w:hint="eastAsia"/>
          <w:color w:val="000000"/>
          <w:kern w:val="0"/>
          <w:sz w:val="32"/>
          <w:szCs w:val="32"/>
          <w:shd w:val="clear" w:color="auto" w:fill="FFFFFF"/>
          <w:lang w:val="zh-CN"/>
        </w:rPr>
        <w:t>万元，医疗卫生与计划生育支出</w:t>
      </w:r>
      <w:r>
        <w:rPr>
          <w:rFonts w:ascii="仿宋" w:eastAsia="仿宋" w:cs="宋体"/>
          <w:color w:val="000000"/>
          <w:kern w:val="0"/>
          <w:sz w:val="32"/>
          <w:szCs w:val="32"/>
          <w:shd w:val="clear" w:color="auto" w:fill="FFFFFF"/>
          <w:lang w:val="zh-CN"/>
        </w:rPr>
        <w:t>10.94</w:t>
      </w:r>
      <w:r>
        <w:rPr>
          <w:rFonts w:ascii="仿宋" w:eastAsia="仿宋" w:cs="宋体" w:hint="eastAsia"/>
          <w:color w:val="000000"/>
          <w:kern w:val="0"/>
          <w:sz w:val="32"/>
          <w:szCs w:val="32"/>
          <w:shd w:val="clear" w:color="auto" w:fill="FFFFFF"/>
          <w:lang w:val="zh-CN"/>
        </w:rPr>
        <w:t>万元，住房保障支出</w:t>
      </w:r>
      <w:r>
        <w:rPr>
          <w:rFonts w:ascii="仿宋" w:eastAsia="仿宋" w:cs="宋体"/>
          <w:color w:val="000000"/>
          <w:kern w:val="0"/>
          <w:sz w:val="32"/>
          <w:szCs w:val="32"/>
          <w:shd w:val="clear" w:color="auto" w:fill="FFFFFF"/>
          <w:lang w:val="zh-CN"/>
        </w:rPr>
        <w:t>14.12</w:t>
      </w:r>
      <w:r>
        <w:rPr>
          <w:rFonts w:ascii="仿宋" w:eastAsia="仿宋" w:cs="宋体" w:hint="eastAsia"/>
          <w:color w:val="000000"/>
          <w:kern w:val="0"/>
          <w:sz w:val="32"/>
          <w:szCs w:val="32"/>
          <w:shd w:val="clear" w:color="auto" w:fill="FFFFFF"/>
          <w:lang w:val="zh-CN"/>
        </w:rPr>
        <w:t>万元；按支出性质分类，基本支出</w:t>
      </w:r>
      <w:r>
        <w:rPr>
          <w:rFonts w:ascii="仿宋" w:eastAsia="仿宋" w:cs="宋体"/>
          <w:color w:val="000000"/>
          <w:kern w:val="0"/>
          <w:sz w:val="32"/>
          <w:szCs w:val="32"/>
          <w:shd w:val="clear" w:color="auto" w:fill="FFFFFF"/>
          <w:lang w:val="zh-CN"/>
        </w:rPr>
        <w:t>219.84</w:t>
      </w:r>
      <w:r>
        <w:rPr>
          <w:rFonts w:ascii="仿宋" w:eastAsia="仿宋" w:cs="宋体" w:hint="eastAsia"/>
          <w:color w:val="000000"/>
          <w:kern w:val="0"/>
          <w:sz w:val="32"/>
          <w:szCs w:val="32"/>
          <w:shd w:val="clear" w:color="auto" w:fill="FFFFFF"/>
          <w:lang w:val="zh-CN"/>
        </w:rPr>
        <w:t>万元，项目支出</w:t>
      </w:r>
      <w:r>
        <w:rPr>
          <w:rFonts w:ascii="仿宋" w:eastAsia="仿宋" w:cs="宋体"/>
          <w:color w:val="000000"/>
          <w:kern w:val="0"/>
          <w:sz w:val="32"/>
          <w:szCs w:val="32"/>
          <w:shd w:val="clear" w:color="auto" w:fill="FFFFFF"/>
          <w:lang w:val="zh-CN"/>
        </w:rPr>
        <w:t>5.0</w:t>
      </w:r>
      <w:r>
        <w:rPr>
          <w:rFonts w:ascii="仿宋" w:eastAsia="仿宋" w:cs="宋体" w:hint="eastAsia"/>
          <w:color w:val="000000"/>
          <w:kern w:val="0"/>
          <w:sz w:val="32"/>
          <w:szCs w:val="32"/>
          <w:shd w:val="clear" w:color="auto" w:fill="FFFFFF"/>
          <w:lang w:val="zh-CN"/>
        </w:rPr>
        <w:t>万元；按经济分类工资福利支出</w:t>
      </w:r>
      <w:r>
        <w:rPr>
          <w:rFonts w:ascii="仿宋" w:eastAsia="仿宋" w:cs="宋体"/>
          <w:color w:val="000000"/>
          <w:kern w:val="0"/>
          <w:sz w:val="32"/>
          <w:szCs w:val="32"/>
          <w:shd w:val="clear" w:color="auto" w:fill="FFFFFF"/>
          <w:lang w:val="zh-CN"/>
        </w:rPr>
        <w:t>178.06</w:t>
      </w:r>
      <w:r>
        <w:rPr>
          <w:rFonts w:ascii="仿宋" w:eastAsia="仿宋" w:cs="宋体" w:hint="eastAsia"/>
          <w:color w:val="000000"/>
          <w:kern w:val="0"/>
          <w:sz w:val="32"/>
          <w:szCs w:val="32"/>
          <w:shd w:val="clear" w:color="auto" w:fill="FFFFFF"/>
          <w:lang w:val="zh-CN"/>
        </w:rPr>
        <w:t>万元，商品服务支出</w:t>
      </w:r>
      <w:r>
        <w:rPr>
          <w:rFonts w:ascii="仿宋" w:eastAsia="仿宋" w:cs="宋体"/>
          <w:color w:val="000000"/>
          <w:kern w:val="0"/>
          <w:sz w:val="32"/>
          <w:szCs w:val="32"/>
          <w:shd w:val="clear" w:color="auto" w:fill="FFFFFF"/>
          <w:lang w:val="zh-CN"/>
        </w:rPr>
        <w:t>25.36</w:t>
      </w:r>
      <w:r>
        <w:rPr>
          <w:rFonts w:ascii="仿宋" w:eastAsia="仿宋" w:cs="宋体" w:hint="eastAsia"/>
          <w:color w:val="000000"/>
          <w:kern w:val="0"/>
          <w:sz w:val="32"/>
          <w:szCs w:val="32"/>
          <w:shd w:val="clear" w:color="auto" w:fill="FFFFFF"/>
          <w:lang w:val="zh-CN"/>
        </w:rPr>
        <w:t>万元，对个人和家庭的部长</w:t>
      </w:r>
      <w:r>
        <w:rPr>
          <w:rFonts w:ascii="仿宋" w:eastAsia="仿宋" w:cs="宋体"/>
          <w:color w:val="000000"/>
          <w:kern w:val="0"/>
          <w:sz w:val="32"/>
          <w:szCs w:val="32"/>
          <w:shd w:val="clear" w:color="auto" w:fill="FFFFFF"/>
          <w:lang w:val="zh-CN"/>
        </w:rPr>
        <w:t>16.42</w:t>
      </w:r>
      <w:r>
        <w:rPr>
          <w:rFonts w:ascii="仿宋" w:eastAsia="仿宋" w:cs="宋体" w:hint="eastAsia"/>
          <w:color w:val="000000"/>
          <w:kern w:val="0"/>
          <w:sz w:val="32"/>
          <w:szCs w:val="32"/>
          <w:shd w:val="clear" w:color="auto" w:fill="FFFFFF"/>
          <w:lang w:val="zh-CN"/>
        </w:rPr>
        <w:t>万元。其他统战事务支出</w:t>
      </w:r>
      <w:r>
        <w:rPr>
          <w:rFonts w:ascii="仿宋" w:eastAsia="仿宋" w:cs="宋体"/>
          <w:color w:val="000000"/>
          <w:kern w:val="0"/>
          <w:sz w:val="32"/>
          <w:szCs w:val="32"/>
          <w:shd w:val="clear" w:color="auto" w:fill="FFFFFF"/>
          <w:lang w:val="zh-CN"/>
        </w:rPr>
        <w:t>5.0</w:t>
      </w:r>
      <w:r>
        <w:rPr>
          <w:rFonts w:ascii="仿宋" w:eastAsia="仿宋" w:cs="宋体" w:hint="eastAsia"/>
          <w:color w:val="000000"/>
          <w:kern w:val="0"/>
          <w:sz w:val="32"/>
          <w:szCs w:val="32"/>
          <w:shd w:val="clear" w:color="auto" w:fill="FFFFFF"/>
          <w:lang w:val="zh-CN"/>
        </w:rPr>
        <w:t>万元。</w:t>
      </w:r>
    </w:p>
    <w:p>
      <w:pPr>
        <w:pStyle w:val="2"/>
        <w:spacing w:line="576" w:lineRule="exact"/>
        <w:ind w:firstLineChars="200" w:firstLine="640"/>
        <w:rPr>
          <w:rFonts w:ascii="黑体" w:eastAsia="黑体" w:cs="Times New Roman"/>
          <w:b w:val="0"/>
          <w:bCs w:val="0"/>
        </w:rPr>
      </w:pPr>
      <w:r>
        <w:rPr>
          <w:rFonts w:ascii="黑体" w:eastAsia="黑体" w:cs="黑体" w:hint="eastAsia"/>
          <w:b w:val="0"/>
          <w:bCs w:val="0"/>
        </w:rPr>
        <w:t>三、部门整体预算绩效管理情况</w:t>
      </w:r>
    </w:p>
    <w:p>
      <w:pPr>
        <w:widowControl/>
        <w:adjustRightInd w:val="0"/>
        <w:snapToGrid w:val="0"/>
        <w:spacing w:line="576" w:lineRule="exact"/>
        <w:ind w:firstLineChars="200" w:firstLine="640"/>
        <w:rPr>
          <w:rFonts w:ascii="楷体" w:eastAsia="楷体"/>
          <w:b/>
          <w:bCs/>
          <w:sz w:val="32"/>
          <w:szCs w:val="32"/>
        </w:rPr>
      </w:pPr>
      <w:r>
        <w:rPr>
          <w:rFonts w:ascii="楷体" w:eastAsia="楷体" w:cs="楷体" w:hint="eastAsia"/>
          <w:b/>
          <w:bCs/>
          <w:sz w:val="32"/>
          <w:szCs w:val="32"/>
        </w:rPr>
        <w:t>（一）部门预算管理</w:t>
      </w:r>
    </w:p>
    <w:p>
      <w:pPr>
        <w:widowControl/>
        <w:spacing w:line="576" w:lineRule="exact"/>
        <w:ind w:firstLineChars="200" w:firstLine="640"/>
        <w:rPr>
          <w:rFonts w:ascii="仿宋_GB2312" w:eastAsia="仿宋_GB2312" w:cs="仿宋_GB2312"/>
          <w:sz w:val="32"/>
          <w:szCs w:val="32"/>
        </w:rPr>
      </w:pPr>
      <w:r>
        <w:rPr>
          <w:rFonts w:ascii="仿宋_GB2312" w:eastAsia="仿宋_GB2312" w:cs="仿宋_GB2312" w:hint="eastAsia"/>
          <w:color w:val="000000"/>
          <w:kern w:val="0"/>
          <w:sz w:val="32"/>
          <w:szCs w:val="32"/>
        </w:rPr>
        <w:t>我会认真学习贯彻党的十九大、省第十一次党代会和省</w:t>
      </w:r>
      <w:r>
        <w:rPr>
          <w:rFonts w:ascii="仿宋_GB2312" w:eastAsia="仿宋_GB2312" w:cs="仿宋_GB2312"/>
          <w:color w:val="000000"/>
          <w:kern w:val="0"/>
          <w:sz w:val="32"/>
          <w:szCs w:val="32"/>
        </w:rPr>
        <w:t xml:space="preserve"> </w:t>
      </w:r>
      <w:r>
        <w:rPr>
          <w:rFonts w:ascii="仿宋_GB2312" w:eastAsia="仿宋_GB2312" w:cs="仿宋_GB2312" w:hint="eastAsia"/>
          <w:color w:val="000000"/>
          <w:kern w:val="0"/>
          <w:sz w:val="32"/>
          <w:szCs w:val="32"/>
        </w:rPr>
        <w:t>委十一届三次、四次全会精神，以习近平新时代中国特色社会主义思想为指导，紧紧围绕构建“一干多支、五区协同”的发展战略目标，自觉践行新发展理念，根据职能职责积极谋划，确定目标任务，积极发挥公共财政职能作用，推动落实稳增长、促改革、调结构、惠民生、防风险各项工作。</w:t>
      </w:r>
      <w:r>
        <w:rPr>
          <w:rFonts w:ascii="仿宋_GB2312" w:eastAsia="仿宋_GB2312" w:cs="仿宋_GB2312"/>
          <w:color w:val="000000"/>
          <w:kern w:val="0"/>
          <w:sz w:val="32"/>
          <w:szCs w:val="32"/>
        </w:rPr>
        <w:t xml:space="preserve"> </w:t>
      </w:r>
    </w:p>
    <w:p>
      <w:pPr>
        <w:widowControl/>
        <w:spacing w:line="576" w:lineRule="exact"/>
        <w:ind w:firstLineChars="200" w:firstLine="640"/>
        <w:rPr>
          <w:rFonts w:ascii="仿宋_GB2312" w:eastAsia="仿宋_GB2312" w:cs="仿宋_GB2312"/>
          <w:sz w:val="32"/>
          <w:szCs w:val="32"/>
        </w:rPr>
      </w:pPr>
      <w:r>
        <w:rPr>
          <w:rFonts w:ascii="仿宋_GB2312" w:eastAsia="仿宋_GB2312" w:cs="仿宋_GB2312" w:hint="eastAsia"/>
          <w:color w:val="000000"/>
          <w:kern w:val="0"/>
          <w:sz w:val="32"/>
          <w:szCs w:val="32"/>
        </w:rPr>
        <w:t>一是按照</w:t>
      </w:r>
      <w:r>
        <w:rPr>
          <w:rFonts w:ascii="仿宋_GB2312" w:eastAsia="仿宋_GB2312" w:cs="仿宋_GB2312"/>
          <w:color w:val="000000"/>
          <w:kern w:val="0"/>
          <w:sz w:val="32"/>
          <w:szCs w:val="32"/>
        </w:rPr>
        <w:t xml:space="preserve"> 2018 </w:t>
      </w:r>
      <w:r>
        <w:rPr>
          <w:rFonts w:ascii="仿宋_GB2312" w:eastAsia="仿宋_GB2312" w:cs="仿宋_GB2312" w:hint="eastAsia"/>
          <w:color w:val="000000"/>
          <w:kern w:val="0"/>
          <w:sz w:val="32"/>
          <w:szCs w:val="32"/>
        </w:rPr>
        <w:t>年部门预算编审要求，根据我会职能职</w:t>
      </w:r>
      <w:r>
        <w:rPr>
          <w:rFonts w:ascii="仿宋_GB2312" w:eastAsia="仿宋_GB2312" w:cs="仿宋_GB2312"/>
          <w:color w:val="000000"/>
          <w:kern w:val="0"/>
          <w:sz w:val="32"/>
          <w:szCs w:val="32"/>
        </w:rPr>
        <w:t xml:space="preserve"> </w:t>
      </w:r>
    </w:p>
    <w:p>
      <w:pPr>
        <w:widowControl/>
        <w:spacing w:line="576" w:lineRule="exact"/>
        <w:ind w:firstLine="200"/>
        <w:rPr>
          <w:rFonts w:ascii="仿宋_GB2312" w:eastAsia="仿宋_GB2312" w:cs="仿宋_GB2312"/>
          <w:sz w:val="32"/>
          <w:szCs w:val="32"/>
        </w:rPr>
      </w:pPr>
      <w:r>
        <w:rPr>
          <w:rFonts w:ascii="仿宋_GB2312" w:eastAsia="仿宋_GB2312" w:cs="仿宋_GB2312" w:hint="eastAsia"/>
          <w:color w:val="000000"/>
          <w:kern w:val="0"/>
          <w:sz w:val="32"/>
          <w:szCs w:val="32"/>
        </w:rPr>
        <w:t>责，结合中长期规划和年度工作计划，明确了年度主要工作任务及年度内履职所要达到的总体产出和效果，认真填报了我会整体支出绩效目标，具体说明了项目概况，设定了年度绩效数量指标、成本指标、效益指标等，详细反映了相应项目工作任务、达成的效果。</w:t>
      </w:r>
      <w:r>
        <w:rPr>
          <w:rFonts w:ascii="仿宋_GB2312" w:eastAsia="仿宋_GB2312" w:cs="仿宋_GB2312"/>
          <w:color w:val="000000"/>
          <w:kern w:val="0"/>
          <w:sz w:val="32"/>
          <w:szCs w:val="32"/>
        </w:rPr>
        <w:t xml:space="preserve"> </w:t>
      </w:r>
    </w:p>
    <w:p>
      <w:pPr>
        <w:widowControl/>
        <w:spacing w:line="576" w:lineRule="exact"/>
        <w:ind w:firstLineChars="200" w:firstLine="640"/>
        <w:rPr>
          <w:rFonts w:ascii="仿宋_GB2312" w:eastAsia="仿宋_GB2312" w:cs="仿宋_GB2312"/>
          <w:sz w:val="32"/>
          <w:szCs w:val="32"/>
        </w:rPr>
      </w:pPr>
      <w:r>
        <w:rPr>
          <w:rFonts w:ascii="仿宋_GB2312" w:eastAsia="仿宋_GB2312" w:cs="仿宋_GB2312" w:hint="eastAsia"/>
          <w:color w:val="000000"/>
          <w:kern w:val="0"/>
          <w:sz w:val="32"/>
          <w:szCs w:val="32"/>
        </w:rPr>
        <w:t>二是按照《四川省省级预算绩效运行监控管理暂行办</w:t>
      </w:r>
      <w:r>
        <w:rPr>
          <w:rFonts w:ascii="仿宋_GB2312" w:eastAsia="仿宋_GB2312" w:cs="仿宋_GB2312"/>
          <w:color w:val="000000"/>
          <w:kern w:val="0"/>
          <w:sz w:val="32"/>
          <w:szCs w:val="32"/>
        </w:rPr>
        <w:t xml:space="preserve"> </w:t>
      </w:r>
      <w:r>
        <w:rPr>
          <w:rFonts w:ascii="仿宋_GB2312" w:eastAsia="仿宋_GB2312" w:cs="仿宋_GB2312" w:hint="eastAsia"/>
          <w:color w:val="000000"/>
          <w:kern w:val="0"/>
          <w:sz w:val="32"/>
          <w:szCs w:val="32"/>
        </w:rPr>
        <w:t>法》要求，认真组织开展所属单位的绩效监控工作，对项目进度、预算执行、投入产出、各项效益的阶段完成情况进行动态跟踪监控，填报《项目预算绩效监控分析表》，进一步明确项目完成目标可能性及时间。保障了全县工会工作顺利开展。</w:t>
      </w:r>
      <w:r>
        <w:rPr>
          <w:rFonts w:ascii="仿宋_GB2312" w:eastAsia="仿宋_GB2312" w:cs="仿宋_GB2312"/>
          <w:color w:val="000000"/>
          <w:kern w:val="0"/>
          <w:sz w:val="32"/>
          <w:szCs w:val="32"/>
        </w:rPr>
        <w:t xml:space="preserve"> </w:t>
      </w:r>
    </w:p>
    <w:p>
      <w:pPr>
        <w:widowControl/>
        <w:spacing w:line="576" w:lineRule="exact"/>
        <w:ind w:firstLineChars="200" w:firstLine="640"/>
        <w:rPr>
          <w:rFonts w:ascii="仿宋_GB2312" w:eastAsia="仿宋_GB2312" w:cs="仿宋_GB2312"/>
          <w:sz w:val="32"/>
          <w:szCs w:val="32"/>
        </w:rPr>
      </w:pPr>
      <w:r>
        <w:rPr>
          <w:rFonts w:ascii="仿宋_GB2312" w:eastAsia="仿宋_GB2312" w:cs="仿宋_GB2312" w:hint="eastAsia"/>
          <w:color w:val="000000"/>
          <w:kern w:val="0"/>
          <w:sz w:val="32"/>
          <w:szCs w:val="32"/>
        </w:rPr>
        <w:t>三是按照财政部门统一部署，我部于</w:t>
      </w:r>
      <w:r>
        <w:rPr>
          <w:rFonts w:ascii="仿宋_GB2312" w:eastAsia="仿宋_GB2312" w:cs="仿宋_GB2312"/>
          <w:color w:val="000000"/>
          <w:kern w:val="0"/>
          <w:sz w:val="32"/>
          <w:szCs w:val="32"/>
        </w:rPr>
        <w:t>2019</w:t>
      </w:r>
      <w:r>
        <w:rPr>
          <w:rFonts w:ascii="仿宋_GB2312" w:eastAsia="仿宋_GB2312" w:cs="仿宋_GB2312" w:hint="eastAsia"/>
          <w:color w:val="000000"/>
          <w:kern w:val="0"/>
          <w:sz w:val="32"/>
          <w:szCs w:val="32"/>
        </w:rPr>
        <w:t>年</w:t>
      </w:r>
      <w:r>
        <w:rPr>
          <w:rFonts w:ascii="仿宋_GB2312" w:eastAsia="仿宋_GB2312" w:cs="仿宋_GB2312"/>
          <w:color w:val="000000"/>
          <w:kern w:val="0"/>
          <w:sz w:val="32"/>
          <w:szCs w:val="32"/>
        </w:rPr>
        <w:t>7</w:t>
      </w:r>
      <w:r>
        <w:rPr>
          <w:rFonts w:ascii="仿宋_GB2312" w:eastAsia="仿宋_GB2312" w:cs="仿宋_GB2312" w:hint="eastAsia"/>
          <w:color w:val="000000"/>
          <w:kern w:val="0"/>
          <w:sz w:val="32"/>
          <w:szCs w:val="32"/>
        </w:rPr>
        <w:t>月</w:t>
      </w:r>
      <w:r>
        <w:rPr>
          <w:rFonts w:ascii="仿宋_GB2312" w:eastAsia="仿宋_GB2312" w:cs="仿宋_GB2312"/>
          <w:color w:val="000000"/>
          <w:kern w:val="0"/>
          <w:sz w:val="32"/>
          <w:szCs w:val="32"/>
        </w:rPr>
        <w:t>10</w:t>
      </w:r>
      <w:r>
        <w:rPr>
          <w:rFonts w:ascii="仿宋_GB2312" w:eastAsia="仿宋_GB2312" w:cs="仿宋_GB2312" w:hint="eastAsia"/>
          <w:color w:val="000000"/>
          <w:kern w:val="0"/>
          <w:sz w:val="32"/>
          <w:szCs w:val="32"/>
        </w:rPr>
        <w:t>日</w:t>
      </w:r>
      <w:r>
        <w:rPr>
          <w:rFonts w:ascii="仿宋_GB2312" w:eastAsia="仿宋_GB2312" w:cs="仿宋_GB2312"/>
          <w:color w:val="000000"/>
          <w:kern w:val="0"/>
          <w:sz w:val="32"/>
          <w:szCs w:val="32"/>
        </w:rPr>
        <w:t xml:space="preserve"> </w:t>
      </w:r>
      <w:r>
        <w:rPr>
          <w:rFonts w:ascii="仿宋_GB2312" w:eastAsia="仿宋_GB2312" w:cs="仿宋_GB2312" w:hint="eastAsia"/>
          <w:color w:val="000000"/>
          <w:kern w:val="0"/>
          <w:sz w:val="32"/>
          <w:szCs w:val="32"/>
        </w:rPr>
        <w:t>按要求随同本部门</w:t>
      </w:r>
      <w:r>
        <w:rPr>
          <w:rFonts w:ascii="仿宋_GB2312" w:eastAsia="仿宋_GB2312" w:cs="仿宋_GB2312"/>
          <w:color w:val="000000"/>
          <w:kern w:val="0"/>
          <w:sz w:val="32"/>
          <w:szCs w:val="32"/>
        </w:rPr>
        <w:t xml:space="preserve"> 2018 </w:t>
      </w:r>
      <w:r>
        <w:rPr>
          <w:rFonts w:ascii="仿宋_GB2312" w:eastAsia="仿宋_GB2312" w:cs="仿宋_GB2312" w:hint="eastAsia"/>
          <w:color w:val="000000"/>
          <w:kern w:val="0"/>
          <w:sz w:val="32"/>
          <w:szCs w:val="32"/>
        </w:rPr>
        <w:t>年预算同时公开了预算项目绩效目标。</w:t>
      </w:r>
    </w:p>
    <w:p>
      <w:pPr>
        <w:pStyle w:val="2"/>
        <w:spacing w:line="576" w:lineRule="exact"/>
        <w:ind w:firstLineChars="200" w:firstLine="640"/>
        <w:rPr>
          <w:rFonts w:ascii="楷体" w:eastAsia="楷体" w:cs="楷体"/>
        </w:rPr>
      </w:pPr>
      <w:r>
        <w:rPr>
          <w:rFonts w:ascii="楷体" w:eastAsia="楷体" w:cs="楷体" w:hint="eastAsia"/>
        </w:rPr>
        <w:t>（二）专项预算管理</w:t>
      </w:r>
    </w:p>
    <w:p>
      <w:pPr>
        <w:spacing w:line="576"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本部门不涉及此项内容。</w:t>
      </w:r>
    </w:p>
    <w:p>
      <w:pPr>
        <w:spacing w:line="576"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包括专项预算项目程序严密、规划合理、结果符合、分配科学、分配及时、专项预算绩效目标完成、实施绩效、违规记录等情况。</w:t>
      </w:r>
    </w:p>
    <w:p>
      <w:pPr>
        <w:pStyle w:val="2"/>
        <w:spacing w:line="576" w:lineRule="exact"/>
        <w:ind w:firstLineChars="200" w:firstLine="640"/>
        <w:rPr>
          <w:rFonts w:ascii="楷体" w:eastAsia="楷体" w:cs="楷体"/>
        </w:rPr>
      </w:pPr>
      <w:r>
        <w:rPr>
          <w:rFonts w:ascii="楷体" w:eastAsia="楷体" w:cs="楷体" w:hint="eastAsia"/>
        </w:rPr>
        <w:t>（三）结果应用情况</w:t>
      </w:r>
    </w:p>
    <w:p>
      <w:pPr>
        <w:spacing w:line="576" w:lineRule="exact"/>
        <w:ind w:firstLineChars="200" w:firstLine="640"/>
        <w:rPr>
          <w:rFonts w:ascii="楷体" w:eastAsia="楷体" w:cs="楷体"/>
          <w:sz w:val="32"/>
          <w:szCs w:val="32"/>
        </w:rPr>
      </w:pPr>
      <w:r>
        <w:rPr>
          <w:rFonts w:ascii="仿宋_GB2312" w:eastAsia="仿宋_GB2312" w:cs="仿宋_GB2312" w:hint="eastAsia"/>
          <w:sz w:val="32"/>
          <w:szCs w:val="32"/>
        </w:rPr>
        <w:t>包括部门自评质量、绩效目标公开和自评公开、评价结果整改和应用结果反馈等情况。</w:t>
      </w:r>
    </w:p>
    <w:p>
      <w:pPr>
        <w:spacing w:line="576" w:lineRule="exact"/>
        <w:ind w:firstLineChars="200" w:firstLine="640"/>
        <w:rPr>
          <w:rFonts w:ascii="黑体" w:eastAsia="黑体" w:cs="黑体"/>
          <w:sz w:val="32"/>
          <w:szCs w:val="32"/>
        </w:rPr>
      </w:pPr>
      <w:r>
        <w:rPr>
          <w:rFonts w:ascii="黑体" w:eastAsia="黑体" w:cs="仿宋_GB2312" w:hint="eastAsia"/>
          <w:sz w:val="32"/>
          <w:szCs w:val="32"/>
        </w:rPr>
        <w:t>四、</w:t>
      </w:r>
      <w:r>
        <w:rPr>
          <w:rFonts w:ascii="黑体" w:eastAsia="黑体" w:cs="黑体" w:hint="eastAsia"/>
          <w:sz w:val="32"/>
          <w:szCs w:val="32"/>
        </w:rPr>
        <w:t>评价结论及建议</w:t>
      </w:r>
    </w:p>
    <w:p>
      <w:pPr>
        <w:spacing w:line="576" w:lineRule="exact"/>
        <w:ind w:firstLineChars="200" w:firstLine="640"/>
        <w:rPr>
          <w:rStyle w:val="2Char"/>
          <w:rFonts w:ascii="黑体" w:eastAsia="黑体" w:cs="黑体"/>
          <w:b w:val="0"/>
          <w:bCs w:val="0"/>
        </w:rPr>
      </w:pPr>
      <w:r>
        <w:rPr>
          <w:rFonts w:ascii="楷体" w:eastAsia="楷体" w:cs="楷体" w:hint="eastAsia"/>
          <w:b/>
          <w:sz w:val="32"/>
          <w:szCs w:val="32"/>
        </w:rPr>
        <w:t>（一）评价结论</w:t>
      </w:r>
    </w:p>
    <w:p>
      <w:pPr>
        <w:spacing w:line="576" w:lineRule="exact"/>
        <w:ind w:firstLineChars="200" w:firstLine="640"/>
        <w:rPr>
          <w:rFonts w:ascii="仿宋_GB2312" w:eastAsia="仿宋_GB2312" w:cs="仿宋_GB2312"/>
          <w:sz w:val="32"/>
          <w:szCs w:val="32"/>
        </w:rPr>
      </w:pPr>
      <w:r>
        <w:rPr>
          <w:rFonts w:ascii="仿宋_GB2312" w:eastAsia="仿宋_GB2312" w:cs="仿宋_GB2312"/>
          <w:sz w:val="32"/>
          <w:szCs w:val="32"/>
        </w:rPr>
        <w:t>2018</w:t>
      </w:r>
      <w:r>
        <w:rPr>
          <w:rFonts w:ascii="仿宋_GB2312" w:eastAsia="仿宋_GB2312" w:cs="仿宋_GB2312" w:hint="eastAsia"/>
          <w:sz w:val="32"/>
          <w:szCs w:val="32"/>
        </w:rPr>
        <w:t>年我单位整体支出绩效评价自查自评结果良好，全年基本支出保证了单位的正常运行和日常工作的正常开展，项目支出保障了重点工作的开展，达到预期绩效目标。绩效评价指标体系自评得分</w:t>
      </w:r>
      <w:r>
        <w:rPr>
          <w:rFonts w:ascii="仿宋_GB2312" w:eastAsia="仿宋_GB2312" w:cs="仿宋_GB2312"/>
          <w:sz w:val="32"/>
          <w:szCs w:val="32"/>
        </w:rPr>
        <w:t>98.5</w:t>
      </w:r>
      <w:r>
        <w:rPr>
          <w:rFonts w:ascii="仿宋_GB2312" w:eastAsia="仿宋_GB2312" w:cs="仿宋_GB2312" w:hint="eastAsia"/>
          <w:sz w:val="32"/>
          <w:szCs w:val="32"/>
        </w:rPr>
        <w:t>分。</w:t>
      </w:r>
    </w:p>
    <w:p>
      <w:pPr>
        <w:spacing w:line="576" w:lineRule="exact"/>
        <w:ind w:firstLineChars="200" w:firstLine="640"/>
        <w:rPr>
          <w:rStyle w:val="2Char"/>
          <w:rFonts w:ascii="楷体" w:eastAsia="楷体"/>
          <w:b w:val="0"/>
        </w:rPr>
      </w:pPr>
      <w:r>
        <w:rPr>
          <w:rFonts w:ascii="楷体" w:eastAsia="楷体" w:cs="楷体" w:hint="eastAsia"/>
          <w:b/>
          <w:sz w:val="32"/>
          <w:szCs w:val="32"/>
        </w:rPr>
        <w:t>（二）存在问题</w:t>
      </w:r>
    </w:p>
    <w:p>
      <w:pPr>
        <w:widowControl/>
        <w:shd w:val="clear" w:color="auto" w:fill="FFFFFF"/>
        <w:spacing w:line="576" w:lineRule="exact"/>
        <w:ind w:firstLineChars="200" w:firstLine="640"/>
        <w:rPr>
          <w:rFonts w:ascii="仿宋_GB2312" w:eastAsia="仿宋_GB2312" w:cs="仿宋_GB2312"/>
          <w:color w:val="333333"/>
          <w:kern w:val="0"/>
          <w:sz w:val="32"/>
          <w:szCs w:val="32"/>
        </w:rPr>
      </w:pPr>
      <w:r>
        <w:rPr>
          <w:rFonts w:ascii="仿宋_GB2312" w:eastAsia="仿宋_GB2312" w:cs="仿宋_GB2312"/>
          <w:color w:val="333333"/>
          <w:kern w:val="0"/>
          <w:sz w:val="32"/>
          <w:szCs w:val="32"/>
        </w:rPr>
        <w:t>1.</w:t>
      </w:r>
      <w:r>
        <w:rPr>
          <w:rFonts w:ascii="仿宋_GB2312" w:eastAsia="仿宋_GB2312" w:cs="仿宋_GB2312" w:hint="eastAsia"/>
          <w:color w:val="333333"/>
          <w:kern w:val="0"/>
          <w:sz w:val="32"/>
          <w:szCs w:val="32"/>
        </w:rPr>
        <w:t>基本支出经费保障水平偏低</w:t>
      </w:r>
    </w:p>
    <w:p>
      <w:pPr>
        <w:widowControl/>
        <w:shd w:val="clear" w:color="auto" w:fill="FFFFFF"/>
        <w:spacing w:line="576" w:lineRule="exact"/>
        <w:ind w:firstLineChars="200" w:firstLine="640"/>
        <w:rPr>
          <w:rFonts w:ascii="仿宋_GB2312" w:eastAsia="仿宋_GB2312" w:cs="仿宋_GB2312"/>
          <w:color w:val="333333"/>
          <w:kern w:val="0"/>
          <w:sz w:val="32"/>
          <w:szCs w:val="32"/>
        </w:rPr>
      </w:pPr>
      <w:r>
        <w:rPr>
          <w:rFonts w:ascii="仿宋_GB2312" w:eastAsia="仿宋_GB2312" w:cs="仿宋_GB2312" w:hint="eastAsia"/>
          <w:color w:val="333333"/>
          <w:kern w:val="0"/>
          <w:sz w:val="32"/>
          <w:szCs w:val="32"/>
        </w:rPr>
        <w:t>综合近几年我会批复预算看，预算执行基本围绕保人员经费、保正常运转进行。从决算情况看，基本支出比重比较大。</w:t>
      </w:r>
    </w:p>
    <w:p>
      <w:pPr>
        <w:widowControl/>
        <w:shd w:val="clear" w:color="auto" w:fill="FFFFFF"/>
        <w:spacing w:line="576" w:lineRule="exact"/>
        <w:ind w:firstLineChars="200" w:firstLine="640"/>
        <w:rPr>
          <w:rFonts w:ascii="仿宋_GB2312" w:eastAsia="仿宋_GB2312" w:cs="仿宋_GB2312"/>
          <w:color w:val="333333"/>
          <w:kern w:val="0"/>
          <w:sz w:val="32"/>
          <w:szCs w:val="32"/>
        </w:rPr>
      </w:pPr>
      <w:r>
        <w:rPr>
          <w:rFonts w:ascii="仿宋_GB2312" w:eastAsia="仿宋_GB2312" w:cs="仿宋_GB2312"/>
          <w:color w:val="333333"/>
          <w:kern w:val="0"/>
          <w:sz w:val="32"/>
          <w:szCs w:val="32"/>
        </w:rPr>
        <w:t>2.</w:t>
      </w:r>
      <w:r>
        <w:rPr>
          <w:rFonts w:ascii="仿宋_GB2312" w:eastAsia="仿宋_GB2312" w:cs="仿宋_GB2312" w:hint="eastAsia"/>
          <w:color w:val="333333"/>
          <w:kern w:val="0"/>
          <w:sz w:val="32"/>
          <w:szCs w:val="32"/>
        </w:rPr>
        <w:t>科学合理编制预算，严格执行预算</w:t>
      </w:r>
    </w:p>
    <w:p>
      <w:pPr>
        <w:widowControl/>
        <w:shd w:val="clear" w:color="auto" w:fill="FFFFFF"/>
        <w:spacing w:line="576" w:lineRule="exact"/>
        <w:ind w:firstLineChars="200" w:firstLine="640"/>
        <w:rPr>
          <w:rFonts w:ascii="仿宋_GB2312" w:eastAsia="仿宋_GB2312" w:cs="仿宋_GB2312"/>
          <w:color w:val="333333"/>
          <w:kern w:val="0"/>
          <w:sz w:val="32"/>
          <w:szCs w:val="32"/>
        </w:rPr>
      </w:pPr>
      <w:r>
        <w:rPr>
          <w:rFonts w:ascii="仿宋_GB2312" w:eastAsia="仿宋_GB2312" w:cs="仿宋_GB2312" w:hint="eastAsia"/>
          <w:color w:val="333333"/>
          <w:kern w:val="0"/>
          <w:sz w:val="32"/>
          <w:szCs w:val="32"/>
        </w:rPr>
        <w:t>加强预算编制的前瞻性，按照新《预算法》及其实施条例的相关规定，按政策规定及本部门的发展规划，结合上一年度预算执行情况和本年度预算收支变化因素，科学、合理地编制本年预算草案，避免项目支出与基本支出划分不准或预算支出与实际执行出现较大偏差的情况，执行中确需调剂预算的，按规定程序报经批准。</w:t>
      </w:r>
    </w:p>
    <w:p>
      <w:pPr>
        <w:widowControl/>
        <w:shd w:val="clear" w:color="auto" w:fill="FFFFFF"/>
        <w:spacing w:line="576" w:lineRule="exact"/>
        <w:ind w:firstLineChars="200" w:firstLine="640"/>
        <w:rPr>
          <w:rFonts w:ascii="仿宋_GB2312" w:eastAsia="仿宋_GB2312" w:cs="仿宋_GB2312"/>
          <w:color w:val="333333"/>
          <w:kern w:val="0"/>
          <w:sz w:val="32"/>
          <w:szCs w:val="32"/>
        </w:rPr>
      </w:pPr>
      <w:r>
        <w:rPr>
          <w:rFonts w:ascii="仿宋_GB2312" w:eastAsia="仿宋_GB2312" w:cs="仿宋_GB2312"/>
          <w:color w:val="333333"/>
          <w:kern w:val="0"/>
          <w:sz w:val="32"/>
          <w:szCs w:val="32"/>
        </w:rPr>
        <w:t>3.</w:t>
      </w:r>
      <w:r>
        <w:rPr>
          <w:rFonts w:ascii="仿宋_GB2312" w:eastAsia="仿宋_GB2312" w:cs="仿宋_GB2312" w:hint="eastAsia"/>
          <w:color w:val="333333"/>
          <w:kern w:val="0"/>
          <w:sz w:val="32"/>
          <w:szCs w:val="32"/>
        </w:rPr>
        <w:t>完善管理制度，进一步加强资产管理</w:t>
      </w:r>
    </w:p>
    <w:p>
      <w:pPr>
        <w:widowControl/>
        <w:shd w:val="clear" w:color="auto" w:fill="FFFFFF"/>
        <w:spacing w:line="576" w:lineRule="exact"/>
        <w:ind w:firstLineChars="200" w:firstLine="640"/>
        <w:rPr>
          <w:rFonts w:ascii="仿宋_GB2312" w:eastAsia="仿宋_GB2312" w:cs="仿宋_GB2312"/>
          <w:color w:val="333333"/>
          <w:kern w:val="0"/>
          <w:sz w:val="32"/>
          <w:szCs w:val="32"/>
        </w:rPr>
      </w:pPr>
      <w:r>
        <w:rPr>
          <w:rFonts w:ascii="仿宋_GB2312" w:eastAsia="仿宋_GB2312" w:cs="仿宋_GB2312" w:hint="eastAsia"/>
          <w:color w:val="333333"/>
          <w:kern w:val="0"/>
          <w:sz w:val="32"/>
          <w:szCs w:val="32"/>
        </w:rPr>
        <w:t>进一步贯彻落实中央八项规定，建立本部门“三公经费”等公务支出管理制度及厉行节约制度，加强经费审批和控制，规范支出标准与范围，并严格执行。严格按照《固定资产管理办法》的规定加强固定资产管理，及时登记、更新台账，加强资产卡片管理，年终前对各类实物资产进行全面盘点，确保账账、账实相符。</w:t>
      </w:r>
    </w:p>
    <w:p>
      <w:pPr>
        <w:widowControl/>
        <w:spacing w:line="576" w:lineRule="exact"/>
        <w:ind w:firstLineChars="200" w:firstLine="640"/>
        <w:rPr>
          <w:rFonts w:ascii="仿宋_GB2312" w:eastAsia="仿宋_GB2312" w:cs="仿宋_GB2312"/>
          <w:color w:val="000000"/>
          <w:kern w:val="0"/>
          <w:sz w:val="32"/>
          <w:szCs w:val="32"/>
        </w:rPr>
      </w:pPr>
      <w:r>
        <w:rPr>
          <w:rFonts w:ascii="仿宋_GB2312" w:eastAsia="仿宋_GB2312" w:cs="仿宋_GB2312"/>
          <w:color w:val="000000"/>
          <w:kern w:val="0"/>
          <w:sz w:val="32"/>
          <w:szCs w:val="32"/>
        </w:rPr>
        <w:t>4.</w:t>
      </w:r>
      <w:r>
        <w:rPr>
          <w:rFonts w:ascii="仿宋_GB2312" w:eastAsia="仿宋_GB2312" w:cs="仿宋_GB2312" w:hint="eastAsia"/>
          <w:color w:val="000000"/>
          <w:kern w:val="0"/>
          <w:sz w:val="32"/>
          <w:szCs w:val="32"/>
        </w:rPr>
        <w:t>绩效目标设定有待更科学更合理。</w:t>
      </w:r>
    </w:p>
    <w:p>
      <w:pPr>
        <w:widowControl/>
        <w:spacing w:line="576" w:lineRule="exact"/>
        <w:ind w:firstLineChars="200" w:firstLine="640"/>
        <w:rPr>
          <w:rFonts w:ascii="仿宋_GB2312" w:eastAsia="仿宋_GB2312" w:cs="仿宋_GB2312"/>
          <w:b/>
          <w:sz w:val="32"/>
          <w:szCs w:val="32"/>
        </w:rPr>
      </w:pPr>
      <w:r>
        <w:rPr>
          <w:rFonts w:ascii="楷体" w:eastAsia="楷体" w:cs="楷体" w:hint="eastAsia"/>
          <w:b/>
          <w:sz w:val="32"/>
          <w:szCs w:val="32"/>
        </w:rPr>
        <w:t>（三）改进建议</w:t>
      </w:r>
    </w:p>
    <w:p>
      <w:pPr>
        <w:widowControl/>
        <w:shd w:val="clear" w:color="auto" w:fill="FFFFFF"/>
        <w:spacing w:line="576" w:lineRule="exact"/>
        <w:ind w:firstLineChars="200" w:firstLine="640"/>
        <w:rPr>
          <w:rFonts w:ascii="仿宋_GB2312" w:eastAsia="仿宋_GB2312" w:cs="仿宋_GB2312"/>
          <w:color w:val="333333"/>
          <w:kern w:val="0"/>
          <w:sz w:val="32"/>
          <w:szCs w:val="32"/>
        </w:rPr>
      </w:pPr>
      <w:r>
        <w:rPr>
          <w:rFonts w:ascii="仿宋_GB2312" w:eastAsia="仿宋_GB2312" w:cs="仿宋_GB2312" w:hint="eastAsia"/>
          <w:color w:val="333333"/>
          <w:kern w:val="0"/>
          <w:sz w:val="32"/>
          <w:szCs w:val="32"/>
        </w:rPr>
        <w:t>加强新《预算法》、《行政单位会计制度》等学习培训，规范部门预算收支核算，一是制定和完善基本支出、项目支出等各项支出标准，严格按项目和进度执行预算，增强预算的约束力和严肃性。二是落实预算执行分析，及时了解预算执行差异，合理调整、纠正预算执行偏差，切实提高部门预算收支管理水平。</w:t>
      </w:r>
    </w:p>
    <w:tbl>
      <w:tblPr>
        <w:jc w:val="left"/>
        <w:tblInd w:w="2" w:type="dxa"/>
        <w:tblW w:w="850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447"/>
        <w:gridCol w:w="678"/>
        <w:gridCol w:w="1105"/>
        <w:gridCol w:w="2509"/>
        <w:gridCol w:w="338"/>
        <w:gridCol w:w="374"/>
        <w:gridCol w:w="3053"/>
      </w:tblGrid>
      <w:tr>
        <w:trPr>
          <w:trHeight w:val="335"/>
        </w:trPr>
        <w:tc>
          <w:tcPr>
            <w:tcW w:w="8504" w:type="dxa"/>
            <w:gridSpan w:val="7"/>
            <w:tcBorders>
              <w:top w:val="nil"/>
              <w:left w:val="nil"/>
              <w:bottom w:val="single" w:sz="4" w:space="0" w:color="000000"/>
              <w:right w:val="nil"/>
            </w:tcBorders>
            <w:noWrap/>
            <w:tcMar>
              <w:top w:w="15" w:type="dxa"/>
              <w:left w:w="15" w:type="dxa"/>
              <w:right w:w="15" w:type="dxa"/>
            </w:tcMar>
            <w:vAlign w:val="center"/>
          </w:tcPr>
          <w:p>
            <w:pPr>
              <w:widowControl/>
              <w:jc w:val="center"/>
              <w:textAlignment w:val="center"/>
              <w:rPr>
                <w:rFonts w:ascii="宋体"/>
                <w:b/>
                <w:bCs/>
                <w:color w:val="000000"/>
                <w:sz w:val="16"/>
                <w:szCs w:val="16"/>
              </w:rPr>
            </w:pPr>
            <w:r>
              <w:rPr>
                <w:rFonts w:ascii="宋体" w:cs="宋体"/>
                <w:b/>
                <w:bCs/>
                <w:color w:val="000000"/>
                <w:kern w:val="0"/>
                <w:sz w:val="16"/>
                <w:szCs w:val="16"/>
              </w:rPr>
              <w:t>2018</w:t>
            </w:r>
            <w:r>
              <w:rPr>
                <w:rFonts w:ascii="宋体" w:cs="宋体" w:hint="eastAsia"/>
                <w:b/>
                <w:bCs/>
                <w:color w:val="000000"/>
                <w:kern w:val="0"/>
                <w:sz w:val="16"/>
                <w:szCs w:val="16"/>
              </w:rPr>
              <w:t>年县级部门整体支出绩效评价指标体系</w:t>
            </w:r>
          </w:p>
        </w:tc>
      </w:tr>
      <w:tr>
        <w:trPr>
          <w:trHeight w:val="665"/>
        </w:trPr>
        <w:tc>
          <w:tcPr>
            <w:tcW w:w="44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b/>
                <w:bCs/>
                <w:color w:val="000000"/>
                <w:sz w:val="16"/>
                <w:szCs w:val="16"/>
              </w:rPr>
            </w:pPr>
            <w:r>
              <w:rPr>
                <w:rFonts w:ascii="宋体" w:cs="宋体" w:hint="eastAsia"/>
                <w:b/>
                <w:bCs/>
                <w:color w:val="000000"/>
                <w:kern w:val="0"/>
                <w:sz w:val="16"/>
                <w:szCs w:val="16"/>
              </w:rPr>
              <w:t>一级指标</w:t>
            </w:r>
          </w:p>
        </w:tc>
        <w:tc>
          <w:tcPr>
            <w:tcW w:w="6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b/>
                <w:bCs/>
                <w:color w:val="000000"/>
                <w:sz w:val="16"/>
                <w:szCs w:val="16"/>
              </w:rPr>
            </w:pPr>
            <w:r>
              <w:rPr>
                <w:rFonts w:ascii="宋体" w:cs="宋体" w:hint="eastAsia"/>
                <w:b/>
                <w:bCs/>
                <w:color w:val="000000"/>
                <w:kern w:val="0"/>
                <w:sz w:val="16"/>
                <w:szCs w:val="16"/>
              </w:rPr>
              <w:t>二级指标</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b/>
                <w:bCs/>
                <w:color w:val="000000"/>
                <w:sz w:val="16"/>
                <w:szCs w:val="16"/>
              </w:rPr>
            </w:pPr>
            <w:r>
              <w:rPr>
                <w:rFonts w:ascii="宋体" w:cs="宋体" w:hint="eastAsia"/>
                <w:b/>
                <w:bCs/>
                <w:color w:val="000000"/>
                <w:kern w:val="0"/>
                <w:sz w:val="16"/>
                <w:szCs w:val="16"/>
              </w:rPr>
              <w:t>三级指标</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b/>
                <w:bCs/>
                <w:color w:val="000000"/>
                <w:sz w:val="16"/>
                <w:szCs w:val="16"/>
              </w:rPr>
            </w:pPr>
            <w:r>
              <w:rPr>
                <w:rFonts w:ascii="宋体" w:cs="宋体" w:hint="eastAsia"/>
                <w:b/>
                <w:bCs/>
                <w:color w:val="000000"/>
                <w:kern w:val="0"/>
                <w:sz w:val="16"/>
                <w:szCs w:val="16"/>
              </w:rPr>
              <w:t>指标解释</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widowControl/>
              <w:jc w:val="center"/>
              <w:textAlignment w:val="center"/>
              <w:rPr>
                <w:rFonts w:ascii="宋体"/>
                <w:b/>
                <w:bCs/>
                <w:color w:val="000000"/>
                <w:sz w:val="16"/>
                <w:szCs w:val="16"/>
              </w:rPr>
            </w:pPr>
            <w:r>
              <w:rPr>
                <w:rFonts w:ascii="宋体" w:cs="宋体" w:hint="eastAsia"/>
                <w:b/>
                <w:bCs/>
                <w:color w:val="000000"/>
                <w:kern w:val="0"/>
                <w:sz w:val="16"/>
                <w:szCs w:val="16"/>
              </w:rPr>
              <w:t>扣分</w:t>
            </w: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widowControl/>
              <w:jc w:val="center"/>
              <w:textAlignment w:val="center"/>
              <w:rPr>
                <w:rFonts w:ascii="宋体"/>
                <w:b/>
                <w:bCs/>
                <w:color w:val="000000"/>
                <w:sz w:val="16"/>
                <w:szCs w:val="16"/>
              </w:rPr>
            </w:pPr>
            <w:r>
              <w:rPr>
                <w:rFonts w:ascii="宋体" w:cs="宋体" w:hint="eastAsia"/>
                <w:b/>
                <w:bCs/>
                <w:color w:val="000000"/>
                <w:kern w:val="0"/>
                <w:sz w:val="16"/>
                <w:szCs w:val="16"/>
              </w:rPr>
              <w:t>扣分理由</w:t>
            </w: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b/>
                <w:bCs/>
                <w:color w:val="000000"/>
                <w:sz w:val="16"/>
                <w:szCs w:val="16"/>
              </w:rPr>
            </w:pPr>
            <w:r>
              <w:rPr>
                <w:rFonts w:ascii="宋体" w:cs="宋体" w:hint="eastAsia"/>
                <w:b/>
                <w:bCs/>
                <w:color w:val="000000"/>
                <w:kern w:val="0"/>
                <w:sz w:val="16"/>
                <w:szCs w:val="16"/>
              </w:rPr>
              <w:t>计分标准（备注）</w:t>
            </w:r>
          </w:p>
        </w:tc>
      </w:tr>
      <w:tr>
        <w:trPr>
          <w:trHeight w:val="884"/>
        </w:trPr>
        <w:tc>
          <w:tcPr>
            <w:tcW w:w="447" w:type="dxa"/>
            <w:vMerge w:val="restart"/>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pPr>
              <w:widowControl/>
              <w:jc w:val="center"/>
              <w:textAlignment w:val="center"/>
              <w:rPr>
                <w:rFonts w:ascii="宋体"/>
                <w:color w:val="000000"/>
                <w:sz w:val="16"/>
                <w:szCs w:val="16"/>
              </w:rPr>
            </w:pPr>
            <w:r>
              <w:rPr>
                <w:rFonts w:ascii="宋体" w:cs="宋体" w:hint="eastAsia"/>
                <w:color w:val="000000"/>
                <w:kern w:val="0"/>
                <w:sz w:val="16"/>
                <w:szCs w:val="16"/>
              </w:rPr>
              <w:t>预算编制（</w:t>
            </w:r>
            <w:r>
              <w:rPr>
                <w:rFonts w:ascii="宋体" w:cs="宋体"/>
                <w:color w:val="000000"/>
                <w:kern w:val="0"/>
                <w:sz w:val="16"/>
                <w:szCs w:val="16"/>
              </w:rPr>
              <w:t>10</w:t>
            </w:r>
            <w:r>
              <w:rPr>
                <w:rFonts w:ascii="宋体" w:cs="宋体" w:hint="eastAsia"/>
                <w:color w:val="000000"/>
                <w:kern w:val="0"/>
                <w:sz w:val="16"/>
                <w:szCs w:val="16"/>
              </w:rPr>
              <w:t>分）</w:t>
            </w:r>
          </w:p>
        </w:tc>
        <w:tc>
          <w:tcPr>
            <w:tcW w:w="6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报送时效（</w:t>
            </w:r>
            <w:r>
              <w:rPr>
                <w:rFonts w:ascii="宋体" w:cs="宋体"/>
                <w:color w:val="000000"/>
                <w:kern w:val="0"/>
                <w:sz w:val="16"/>
                <w:szCs w:val="16"/>
              </w:rPr>
              <w:t>2</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基础信息更新（</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部门是否按照县级部门预算编制通知和有关要求，按时完成基础库、项目库报送工作</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超过规定</w:t>
            </w:r>
            <w:r>
              <w:rPr>
                <w:rFonts w:ascii="宋体" w:cs="宋体"/>
                <w:color w:val="000000"/>
                <w:kern w:val="0"/>
                <w:sz w:val="16"/>
                <w:szCs w:val="16"/>
              </w:rPr>
              <w:t>5</w:t>
            </w:r>
            <w:r>
              <w:rPr>
                <w:rFonts w:ascii="宋体" w:cs="宋体" w:hint="eastAsia"/>
                <w:color w:val="000000"/>
                <w:kern w:val="0"/>
                <w:sz w:val="16"/>
                <w:szCs w:val="16"/>
              </w:rPr>
              <w:t>个工作日扣</w:t>
            </w:r>
            <w:r>
              <w:rPr>
                <w:rFonts w:ascii="宋体" w:cs="宋体"/>
                <w:color w:val="000000"/>
                <w:kern w:val="0"/>
                <w:sz w:val="16"/>
                <w:szCs w:val="16"/>
              </w:rPr>
              <w:t>0.5</w:t>
            </w:r>
            <w:r>
              <w:rPr>
                <w:rFonts w:ascii="宋体" w:cs="宋体" w:hint="eastAsia"/>
                <w:color w:val="000000"/>
                <w:kern w:val="0"/>
                <w:sz w:val="16"/>
                <w:szCs w:val="16"/>
              </w:rPr>
              <w:t>分，</w:t>
            </w:r>
            <w:r>
              <w:rPr>
                <w:rFonts w:ascii="宋体" w:cs="宋体"/>
                <w:color w:val="000000"/>
                <w:kern w:val="0"/>
                <w:sz w:val="16"/>
                <w:szCs w:val="16"/>
              </w:rPr>
              <w:t>10</w:t>
            </w:r>
            <w:r>
              <w:rPr>
                <w:rFonts w:ascii="宋体" w:cs="宋体" w:hint="eastAsia"/>
                <w:color w:val="000000"/>
                <w:kern w:val="0"/>
                <w:sz w:val="16"/>
                <w:szCs w:val="16"/>
              </w:rPr>
              <w:t>个工作日扣</w:t>
            </w:r>
            <w:r>
              <w:rPr>
                <w:rFonts w:ascii="宋体" w:cs="宋体"/>
                <w:color w:val="000000"/>
                <w:kern w:val="0"/>
                <w:sz w:val="16"/>
                <w:szCs w:val="16"/>
              </w:rPr>
              <w:t>1</w:t>
            </w:r>
            <w:r>
              <w:rPr>
                <w:rFonts w:ascii="宋体" w:cs="宋体" w:hint="eastAsia"/>
                <w:color w:val="000000"/>
                <w:kern w:val="0"/>
                <w:sz w:val="16"/>
                <w:szCs w:val="16"/>
              </w:rPr>
              <w:t>分，以此类推，直至扣完</w:t>
            </w:r>
          </w:p>
        </w:tc>
      </w:tr>
      <w:tr>
        <w:trPr>
          <w:trHeight w:val="985"/>
        </w:trPr>
        <w:tc>
          <w:tcPr>
            <w:tcW w:w="447" w:type="dxa"/>
            <w:vMerge/>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tc>
        <w:tc>
          <w:tcPr>
            <w:tcW w:w="67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编制质量（</w:t>
            </w:r>
            <w:r>
              <w:rPr>
                <w:rFonts w:ascii="宋体" w:cs="宋体"/>
                <w:color w:val="000000"/>
                <w:kern w:val="0"/>
                <w:sz w:val="16"/>
                <w:szCs w:val="16"/>
              </w:rPr>
              <w:t>3</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预算编制准确（</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（预算资金总来源</w:t>
            </w:r>
            <w:r>
              <w:rPr>
                <w:rFonts w:ascii="宋体" w:cs="宋体"/>
                <w:color w:val="000000"/>
                <w:kern w:val="0"/>
                <w:sz w:val="16"/>
                <w:szCs w:val="16"/>
              </w:rPr>
              <w:t>-</w:t>
            </w:r>
            <w:r>
              <w:rPr>
                <w:rFonts w:ascii="宋体" w:cs="宋体" w:hint="eastAsia"/>
                <w:color w:val="000000"/>
                <w:kern w:val="0"/>
                <w:sz w:val="16"/>
                <w:szCs w:val="16"/>
              </w:rPr>
              <w:t>中期评估调整取消资金</w:t>
            </w:r>
            <w:r>
              <w:rPr>
                <w:rFonts w:ascii="宋体" w:cs="宋体"/>
                <w:color w:val="000000"/>
                <w:kern w:val="0"/>
                <w:sz w:val="16"/>
                <w:szCs w:val="16"/>
              </w:rPr>
              <w:t>-</w:t>
            </w:r>
            <w:r>
              <w:rPr>
                <w:rFonts w:ascii="宋体" w:cs="宋体" w:hint="eastAsia"/>
                <w:color w:val="000000"/>
                <w:kern w:val="0"/>
                <w:sz w:val="16"/>
                <w:szCs w:val="16"/>
              </w:rPr>
              <w:t>预算结余注销资金）÷预算资金总来源</w:t>
            </w:r>
            <w:r>
              <w:rPr>
                <w:rFonts w:ascii="宋体" w:cs="宋体"/>
                <w:color w:val="000000"/>
                <w:kern w:val="0"/>
                <w:sz w:val="16"/>
                <w:szCs w:val="16"/>
              </w:rPr>
              <w:t>*</w:t>
            </w:r>
            <w:r>
              <w:rPr>
                <w:rFonts w:ascii="宋体" w:cs="宋体" w:hint="eastAsia"/>
                <w:color w:val="000000"/>
                <w:kern w:val="0"/>
                <w:sz w:val="16"/>
                <w:szCs w:val="16"/>
              </w:rPr>
              <w:t>指标分值</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其中：预算资金总来源是指县级年初预算与执行中追加预算（不含当年专款）总和</w:t>
            </w:r>
          </w:p>
        </w:tc>
      </w:tr>
      <w:tr>
        <w:trPr>
          <w:trHeight w:val="665"/>
        </w:trPr>
        <w:tc>
          <w:tcPr>
            <w:tcW w:w="447" w:type="dxa"/>
            <w:vMerge/>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部门预算审查（</w:t>
            </w:r>
            <w:r>
              <w:rPr>
                <w:rFonts w:ascii="宋体" w:cs="宋体"/>
                <w:color w:val="000000"/>
                <w:kern w:val="0"/>
                <w:sz w:val="16"/>
                <w:szCs w:val="16"/>
              </w:rPr>
              <w:t>1</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根据县人大财经委对预算草案审查结果进行考核</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对财经委审查后提出并确需修改的问题，每个问题扣</w:t>
            </w:r>
            <w:r>
              <w:rPr>
                <w:rFonts w:ascii="宋体" w:cs="宋体"/>
                <w:color w:val="000000"/>
                <w:kern w:val="0"/>
                <w:sz w:val="16"/>
                <w:szCs w:val="16"/>
              </w:rPr>
              <w:t>0.02</w:t>
            </w:r>
            <w:r>
              <w:rPr>
                <w:rFonts w:ascii="宋体" w:cs="宋体" w:hint="eastAsia"/>
                <w:color w:val="000000"/>
                <w:kern w:val="0"/>
                <w:sz w:val="16"/>
                <w:szCs w:val="16"/>
              </w:rPr>
              <w:t>分，直至扣完</w:t>
            </w:r>
          </w:p>
        </w:tc>
      </w:tr>
      <w:tr>
        <w:trPr>
          <w:trHeight w:val="775"/>
        </w:trPr>
        <w:tc>
          <w:tcPr>
            <w:tcW w:w="447" w:type="dxa"/>
            <w:vMerge/>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tc>
        <w:tc>
          <w:tcPr>
            <w:tcW w:w="67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绩效目标（</w:t>
            </w:r>
            <w:r>
              <w:rPr>
                <w:rFonts w:ascii="宋体" w:cs="宋体"/>
                <w:color w:val="000000"/>
                <w:kern w:val="0"/>
                <w:sz w:val="16"/>
                <w:szCs w:val="16"/>
              </w:rPr>
              <w:t>5</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部门整体绩效目标（</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部门整体绩效目标编制完整、合理</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部门整体绩效目标能完整、合理反映部门年度职责履行情况的得分，否则不得分</w:t>
            </w:r>
          </w:p>
        </w:tc>
      </w:tr>
      <w:tr>
        <w:trPr>
          <w:trHeight w:val="775"/>
        </w:trPr>
        <w:tc>
          <w:tcPr>
            <w:tcW w:w="447" w:type="dxa"/>
            <w:vMerge/>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重点项目绩效目标（</w:t>
            </w:r>
            <w:r>
              <w:rPr>
                <w:rFonts w:ascii="宋体" w:cs="宋体"/>
                <w:color w:val="000000"/>
                <w:kern w:val="0"/>
                <w:sz w:val="16"/>
                <w:szCs w:val="16"/>
              </w:rPr>
              <w:t>3</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项目绩效目标编制明确、量化</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项目支出绩效目标编制不明确和量化的发现一个扣</w:t>
            </w:r>
            <w:r>
              <w:rPr>
                <w:rFonts w:ascii="宋体" w:cs="宋体"/>
                <w:color w:val="000000"/>
                <w:kern w:val="0"/>
                <w:sz w:val="16"/>
                <w:szCs w:val="16"/>
              </w:rPr>
              <w:t>0.5</w:t>
            </w:r>
            <w:r>
              <w:rPr>
                <w:rFonts w:ascii="宋体" w:cs="宋体" w:hint="eastAsia"/>
                <w:color w:val="000000"/>
                <w:kern w:val="0"/>
                <w:sz w:val="16"/>
                <w:szCs w:val="16"/>
              </w:rPr>
              <w:t>分，直至扣完</w:t>
            </w:r>
          </w:p>
        </w:tc>
      </w:tr>
      <w:tr>
        <w:trPr>
          <w:trHeight w:val="775"/>
        </w:trPr>
        <w:tc>
          <w:tcPr>
            <w:tcW w:w="447"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olor w:val="000000"/>
                <w:sz w:val="16"/>
                <w:szCs w:val="16"/>
              </w:rPr>
            </w:pPr>
            <w:r>
              <w:rPr>
                <w:rFonts w:ascii="宋体" w:cs="宋体" w:hint="eastAsia"/>
                <w:color w:val="000000"/>
                <w:kern w:val="0"/>
                <w:sz w:val="16"/>
                <w:szCs w:val="16"/>
              </w:rPr>
              <w:t>预算执行（</w:t>
            </w:r>
            <w:r>
              <w:rPr>
                <w:rFonts w:ascii="宋体" w:cs="宋体"/>
                <w:color w:val="000000"/>
                <w:kern w:val="0"/>
                <w:sz w:val="16"/>
                <w:szCs w:val="16"/>
              </w:rPr>
              <w:t>20</w:t>
            </w:r>
            <w:r>
              <w:rPr>
                <w:rFonts w:ascii="宋体" w:cs="宋体" w:hint="eastAsia"/>
                <w:color w:val="000000"/>
                <w:kern w:val="0"/>
                <w:sz w:val="16"/>
                <w:szCs w:val="16"/>
              </w:rPr>
              <w:t>分）</w:t>
            </w:r>
          </w:p>
        </w:tc>
        <w:tc>
          <w:tcPr>
            <w:tcW w:w="67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执行进度（</w:t>
            </w:r>
            <w:r>
              <w:rPr>
                <w:rFonts w:ascii="宋体" w:cs="宋体"/>
                <w:color w:val="000000"/>
                <w:kern w:val="0"/>
                <w:sz w:val="16"/>
                <w:szCs w:val="16"/>
              </w:rPr>
              <w:t>10</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财力专项预算分配时限（</w:t>
            </w:r>
            <w:r>
              <w:rPr>
                <w:rFonts w:ascii="宋体" w:cs="宋体"/>
                <w:color w:val="000000"/>
                <w:kern w:val="0"/>
                <w:sz w:val="16"/>
                <w:szCs w:val="16"/>
              </w:rPr>
              <w:t>4</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按规定及时分配财力专项预算</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s="宋体"/>
                <w:color w:val="000000"/>
                <w:sz w:val="16"/>
                <w:szCs w:val="16"/>
              </w:rPr>
            </w:pPr>
            <w:r>
              <w:rPr>
                <w:rFonts w:ascii="宋体" w:cs="宋体"/>
                <w:color w:val="000000"/>
                <w:sz w:val="16"/>
                <w:szCs w:val="16"/>
              </w:rPr>
              <w:t>0.5</w:t>
            </w: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rPr>
                <w:rFonts w:ascii="宋体"/>
                <w:color w:val="000000"/>
                <w:sz w:val="16"/>
                <w:szCs w:val="16"/>
              </w:rPr>
            </w:pPr>
            <w:r>
              <w:rPr>
                <w:rFonts w:ascii="宋体" w:cs="宋体" w:hint="eastAsia"/>
                <w:color w:val="000000"/>
                <w:sz w:val="16"/>
                <w:szCs w:val="16"/>
              </w:rPr>
              <w:t>按规定及时分配</w:t>
            </w: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按《预算法》规定时限完成分配的考核得分，否则不得分</w:t>
            </w:r>
          </w:p>
        </w:tc>
      </w:tr>
      <w:tr>
        <w:trPr>
          <w:trHeight w:val="775"/>
        </w:trPr>
        <w:tc>
          <w:tcPr>
            <w:tcW w:w="447"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部门预算执行进度（</w:t>
            </w:r>
            <w:r>
              <w:rPr>
                <w:rFonts w:ascii="宋体" w:cs="宋体"/>
                <w:color w:val="000000"/>
                <w:kern w:val="0"/>
                <w:sz w:val="16"/>
                <w:szCs w:val="16"/>
              </w:rPr>
              <w:t>6</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部门按要求严格预算执行管理</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部门预算实际列支数÷部门预算总额</w:t>
            </w:r>
            <w:r>
              <w:rPr>
                <w:rFonts w:ascii="宋体" w:cs="宋体"/>
                <w:color w:val="000000"/>
                <w:kern w:val="0"/>
                <w:sz w:val="16"/>
                <w:szCs w:val="16"/>
              </w:rPr>
              <w:t>*</w:t>
            </w:r>
            <w:r>
              <w:rPr>
                <w:rFonts w:ascii="宋体" w:cs="宋体" w:hint="eastAsia"/>
                <w:color w:val="000000"/>
                <w:kern w:val="0"/>
                <w:sz w:val="16"/>
                <w:szCs w:val="16"/>
              </w:rPr>
              <w:t>指标分值</w:t>
            </w:r>
          </w:p>
        </w:tc>
      </w:tr>
      <w:tr>
        <w:trPr>
          <w:trHeight w:val="884"/>
        </w:trPr>
        <w:tc>
          <w:tcPr>
            <w:tcW w:w="447"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预算调整（</w:t>
            </w:r>
            <w:r>
              <w:rPr>
                <w:rFonts w:ascii="宋体" w:cs="宋体"/>
                <w:color w:val="000000"/>
                <w:kern w:val="0"/>
                <w:sz w:val="16"/>
                <w:szCs w:val="16"/>
              </w:rPr>
              <w:t>4</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执行中期评估（</w:t>
            </w:r>
            <w:r>
              <w:rPr>
                <w:rFonts w:ascii="宋体" w:cs="宋体"/>
                <w:color w:val="000000"/>
                <w:kern w:val="0"/>
                <w:sz w:val="16"/>
                <w:szCs w:val="16"/>
              </w:rPr>
              <w:t>4</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部门中期评估调整取消资金÷</w:t>
            </w:r>
            <w:r>
              <w:rPr>
                <w:rFonts w:ascii="宋体" w:cs="宋体"/>
                <w:color w:val="000000"/>
                <w:kern w:val="0"/>
                <w:sz w:val="16"/>
                <w:szCs w:val="16"/>
              </w:rPr>
              <w:t>(</w:t>
            </w:r>
            <w:r>
              <w:rPr>
                <w:rFonts w:ascii="宋体" w:cs="宋体" w:hint="eastAsia"/>
                <w:color w:val="000000"/>
                <w:kern w:val="0"/>
                <w:sz w:val="16"/>
                <w:szCs w:val="16"/>
              </w:rPr>
              <w:t>中期评估调整取消资金</w:t>
            </w:r>
            <w:r>
              <w:rPr>
                <w:rFonts w:ascii="宋体" w:cs="宋体"/>
                <w:color w:val="000000"/>
                <w:kern w:val="0"/>
                <w:sz w:val="16"/>
                <w:szCs w:val="16"/>
              </w:rPr>
              <w:t>+</w:t>
            </w:r>
            <w:r>
              <w:rPr>
                <w:rFonts w:ascii="宋体" w:cs="宋体" w:hint="eastAsia"/>
                <w:color w:val="000000"/>
                <w:kern w:val="0"/>
                <w:sz w:val="16"/>
                <w:szCs w:val="16"/>
              </w:rPr>
              <w:t>预算结余注销资金）</w:t>
            </w:r>
            <w:r>
              <w:rPr>
                <w:rFonts w:ascii="宋体" w:cs="宋体"/>
                <w:color w:val="000000"/>
                <w:kern w:val="0"/>
                <w:sz w:val="16"/>
                <w:szCs w:val="16"/>
              </w:rPr>
              <w:t>*</w:t>
            </w:r>
            <w:r>
              <w:rPr>
                <w:rFonts w:ascii="宋体" w:cs="宋体" w:hint="eastAsia"/>
                <w:color w:val="000000"/>
                <w:kern w:val="0"/>
                <w:sz w:val="16"/>
                <w:szCs w:val="16"/>
              </w:rPr>
              <w:t>指标分值</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当中期评估调整取消资金与结余注销资金之和为零时，得满分</w:t>
            </w:r>
          </w:p>
        </w:tc>
      </w:tr>
      <w:tr>
        <w:trPr>
          <w:trHeight w:val="665"/>
        </w:trPr>
        <w:tc>
          <w:tcPr>
            <w:tcW w:w="447"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tcBorders>
              <w:top w:val="nil"/>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行政成本（</w:t>
            </w:r>
            <w:r>
              <w:rPr>
                <w:rFonts w:ascii="宋体" w:cs="宋体"/>
                <w:color w:val="000000"/>
                <w:kern w:val="0"/>
                <w:sz w:val="16"/>
                <w:szCs w:val="16"/>
              </w:rPr>
              <w:t>6</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三公经费（</w:t>
            </w:r>
            <w:r>
              <w:rPr>
                <w:rFonts w:ascii="宋体" w:cs="宋体"/>
                <w:color w:val="000000"/>
                <w:kern w:val="0"/>
                <w:sz w:val="16"/>
                <w:szCs w:val="16"/>
              </w:rPr>
              <w:t>6</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严格执行“三公经费”预算</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部门“三公”经费决算数一项超预算扣</w:t>
            </w:r>
            <w:r>
              <w:rPr>
                <w:rFonts w:ascii="宋体" w:cs="宋体"/>
                <w:color w:val="000000"/>
                <w:kern w:val="0"/>
                <w:sz w:val="16"/>
                <w:szCs w:val="16"/>
              </w:rPr>
              <w:t>1</w:t>
            </w:r>
            <w:r>
              <w:rPr>
                <w:rFonts w:ascii="宋体" w:cs="宋体" w:hint="eastAsia"/>
                <w:color w:val="000000"/>
                <w:kern w:val="0"/>
                <w:sz w:val="16"/>
                <w:szCs w:val="16"/>
              </w:rPr>
              <w:t>分，两项超预算扣</w:t>
            </w:r>
            <w:r>
              <w:rPr>
                <w:rFonts w:ascii="宋体" w:cs="宋体"/>
                <w:color w:val="000000"/>
                <w:kern w:val="0"/>
                <w:sz w:val="16"/>
                <w:szCs w:val="16"/>
              </w:rPr>
              <w:t>2</w:t>
            </w:r>
            <w:r>
              <w:rPr>
                <w:rFonts w:ascii="宋体" w:cs="宋体" w:hint="eastAsia"/>
                <w:color w:val="000000"/>
                <w:kern w:val="0"/>
                <w:sz w:val="16"/>
                <w:szCs w:val="16"/>
              </w:rPr>
              <w:t>分，以此类推，直至扣完</w:t>
            </w:r>
          </w:p>
        </w:tc>
      </w:tr>
      <w:tr>
        <w:trPr>
          <w:trHeight w:val="775"/>
        </w:trPr>
        <w:tc>
          <w:tcPr>
            <w:tcW w:w="447" w:type="dxa"/>
            <w:vMerge w:val="restart"/>
            <w:tcBorders>
              <w:top w:val="nil"/>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olor w:val="000000"/>
                <w:sz w:val="16"/>
                <w:szCs w:val="16"/>
              </w:rPr>
            </w:pPr>
            <w:r>
              <w:rPr>
                <w:rFonts w:ascii="宋体" w:cs="宋体" w:hint="eastAsia"/>
                <w:color w:val="000000"/>
                <w:kern w:val="0"/>
                <w:sz w:val="16"/>
                <w:szCs w:val="16"/>
              </w:rPr>
              <w:t>综合管理（</w:t>
            </w:r>
            <w:r>
              <w:rPr>
                <w:rFonts w:ascii="宋体" w:cs="宋体"/>
                <w:color w:val="000000"/>
                <w:kern w:val="0"/>
                <w:sz w:val="16"/>
                <w:szCs w:val="16"/>
              </w:rPr>
              <w:t>40</w:t>
            </w:r>
            <w:r>
              <w:rPr>
                <w:rFonts w:ascii="宋体" w:cs="宋体" w:hint="eastAsia"/>
                <w:color w:val="000000"/>
                <w:kern w:val="0"/>
                <w:sz w:val="16"/>
                <w:szCs w:val="16"/>
              </w:rPr>
              <w:t>分）</w:t>
            </w:r>
          </w:p>
        </w:tc>
        <w:tc>
          <w:tcPr>
            <w:tcW w:w="67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政府采购实施计划（</w:t>
            </w:r>
            <w:r>
              <w:rPr>
                <w:rFonts w:ascii="宋体" w:cs="宋体"/>
                <w:color w:val="000000"/>
                <w:kern w:val="0"/>
                <w:sz w:val="16"/>
                <w:szCs w:val="16"/>
              </w:rPr>
              <w:t>4</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政府采购实施计划编制（</w:t>
            </w:r>
            <w:r>
              <w:rPr>
                <w:rFonts w:ascii="宋体" w:cs="宋体"/>
                <w:color w:val="000000"/>
                <w:kern w:val="0"/>
                <w:sz w:val="16"/>
                <w:szCs w:val="16"/>
              </w:rPr>
              <w:t>2</w:t>
            </w:r>
            <w:r>
              <w:rPr>
                <w:rFonts w:ascii="宋体" w:cs="宋体" w:hint="eastAsia"/>
                <w:color w:val="000000"/>
                <w:kern w:val="0"/>
                <w:sz w:val="16"/>
                <w:szCs w:val="16"/>
              </w:rPr>
              <w:t>）</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实施计划与政府采购预算的一致性</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w:t>
            </w:r>
            <w:r>
              <w:rPr>
                <w:rFonts w:ascii="宋体" w:cs="宋体"/>
                <w:color w:val="000000"/>
                <w:kern w:val="0"/>
                <w:sz w:val="16"/>
                <w:szCs w:val="16"/>
              </w:rPr>
              <w:t>1-</w:t>
            </w:r>
            <w:r>
              <w:rPr>
                <w:rFonts w:ascii="宋体" w:cs="宋体" w:hint="eastAsia"/>
                <w:color w:val="000000"/>
                <w:kern w:val="0"/>
                <w:sz w:val="16"/>
                <w:szCs w:val="16"/>
              </w:rPr>
              <w:t>调整或细化资金</w:t>
            </w:r>
            <w:r>
              <w:rPr>
                <w:rFonts w:ascii="宋体" w:cs="宋体"/>
                <w:color w:val="000000"/>
                <w:kern w:val="0"/>
                <w:sz w:val="16"/>
                <w:szCs w:val="16"/>
              </w:rPr>
              <w:t>/</w:t>
            </w:r>
            <w:r>
              <w:rPr>
                <w:rFonts w:ascii="宋体" w:cs="宋体" w:hint="eastAsia"/>
                <w:color w:val="000000"/>
                <w:kern w:val="0"/>
                <w:sz w:val="16"/>
                <w:szCs w:val="16"/>
              </w:rPr>
              <w:t>政府采购预算资金）</w:t>
            </w:r>
            <w:r>
              <w:rPr>
                <w:rFonts w:ascii="宋体" w:cs="宋体"/>
                <w:color w:val="000000"/>
                <w:kern w:val="0"/>
                <w:sz w:val="16"/>
                <w:szCs w:val="16"/>
              </w:rPr>
              <w:t>*</w:t>
            </w:r>
            <w:r>
              <w:rPr>
                <w:rFonts w:ascii="宋体" w:cs="宋体" w:hint="eastAsia"/>
                <w:color w:val="000000"/>
                <w:kern w:val="0"/>
                <w:sz w:val="16"/>
                <w:szCs w:val="16"/>
              </w:rPr>
              <w:t>分值</w:t>
            </w:r>
          </w:p>
        </w:tc>
      </w:tr>
      <w:tr>
        <w:trPr>
          <w:trHeight w:val="77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政府采购实施计划的执行（</w:t>
            </w:r>
            <w:r>
              <w:rPr>
                <w:rFonts w:ascii="宋体" w:cs="宋体"/>
                <w:color w:val="000000"/>
                <w:kern w:val="0"/>
                <w:sz w:val="16"/>
                <w:szCs w:val="16"/>
              </w:rPr>
              <w:t>2</w:t>
            </w:r>
            <w:r>
              <w:rPr>
                <w:rFonts w:ascii="宋体" w:cs="宋体" w:hint="eastAsia"/>
                <w:color w:val="000000"/>
                <w:kern w:val="0"/>
                <w:sz w:val="16"/>
                <w:szCs w:val="16"/>
              </w:rPr>
              <w:t>）</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执行的实施计划与备案的实施计划的一致性</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w:t>
            </w:r>
            <w:r>
              <w:rPr>
                <w:rFonts w:ascii="宋体" w:cs="宋体"/>
                <w:color w:val="000000"/>
                <w:kern w:val="0"/>
                <w:sz w:val="16"/>
                <w:szCs w:val="16"/>
              </w:rPr>
              <w:t>1-</w:t>
            </w:r>
            <w:r>
              <w:rPr>
                <w:rFonts w:ascii="宋体" w:cs="宋体" w:hint="eastAsia"/>
                <w:color w:val="000000"/>
                <w:kern w:val="0"/>
                <w:sz w:val="16"/>
                <w:szCs w:val="16"/>
              </w:rPr>
              <w:t>实施计划备案后的调整或细化资金</w:t>
            </w:r>
            <w:r>
              <w:rPr>
                <w:rFonts w:ascii="宋体" w:cs="宋体"/>
                <w:color w:val="000000"/>
                <w:kern w:val="0"/>
                <w:sz w:val="16"/>
                <w:szCs w:val="16"/>
              </w:rPr>
              <w:t>/</w:t>
            </w:r>
            <w:r>
              <w:rPr>
                <w:rFonts w:ascii="宋体" w:cs="宋体" w:hint="eastAsia"/>
                <w:color w:val="000000"/>
                <w:kern w:val="0"/>
                <w:sz w:val="16"/>
                <w:szCs w:val="16"/>
              </w:rPr>
              <w:t>实施计划备案后的资金）</w:t>
            </w:r>
            <w:r>
              <w:rPr>
                <w:rFonts w:ascii="宋体" w:cs="宋体"/>
                <w:color w:val="000000"/>
                <w:kern w:val="0"/>
                <w:sz w:val="16"/>
                <w:szCs w:val="16"/>
              </w:rPr>
              <w:t>*</w:t>
            </w:r>
            <w:r>
              <w:rPr>
                <w:rFonts w:ascii="宋体" w:cs="宋体" w:hint="eastAsia"/>
                <w:color w:val="000000"/>
                <w:kern w:val="0"/>
                <w:sz w:val="16"/>
                <w:szCs w:val="16"/>
              </w:rPr>
              <w:t>分值</w:t>
            </w:r>
          </w:p>
        </w:tc>
      </w:tr>
      <w:tr>
        <w:trPr>
          <w:trHeight w:val="1057"/>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资产管理（</w:t>
            </w:r>
            <w:r>
              <w:rPr>
                <w:rFonts w:ascii="宋体" w:cs="宋体"/>
                <w:color w:val="000000"/>
                <w:kern w:val="0"/>
                <w:sz w:val="16"/>
                <w:szCs w:val="16"/>
              </w:rPr>
              <w:t>6</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资产管理信息系统建设情况（</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考核部门和单位将国有资产纳入资产信息系统管理情况</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①未将所属单位国有资产纳入系统管理，每少一个单位扣</w:t>
            </w:r>
            <w:r>
              <w:rPr>
                <w:rFonts w:ascii="宋体" w:cs="宋体"/>
                <w:color w:val="000000"/>
                <w:kern w:val="0"/>
                <w:sz w:val="16"/>
                <w:szCs w:val="16"/>
              </w:rPr>
              <w:t>1</w:t>
            </w:r>
            <w:r>
              <w:rPr>
                <w:rFonts w:ascii="宋体" w:cs="宋体" w:hint="eastAsia"/>
                <w:color w:val="000000"/>
                <w:kern w:val="0"/>
                <w:sz w:val="16"/>
                <w:szCs w:val="16"/>
              </w:rPr>
              <w:t>分。②未将资产变动情况及时录入系统，每次扣</w:t>
            </w:r>
            <w:r>
              <w:rPr>
                <w:rFonts w:ascii="宋体" w:cs="宋体"/>
                <w:color w:val="000000"/>
                <w:kern w:val="0"/>
                <w:sz w:val="16"/>
                <w:szCs w:val="16"/>
              </w:rPr>
              <w:t>0.5</w:t>
            </w:r>
            <w:r>
              <w:rPr>
                <w:rFonts w:ascii="宋体" w:cs="宋体" w:hint="eastAsia"/>
                <w:color w:val="000000"/>
                <w:kern w:val="0"/>
                <w:sz w:val="16"/>
                <w:szCs w:val="16"/>
              </w:rPr>
              <w:t>分。③未落实人员负责管理系统，扣</w:t>
            </w:r>
            <w:r>
              <w:rPr>
                <w:rFonts w:ascii="宋体" w:cs="宋体"/>
                <w:color w:val="000000"/>
                <w:kern w:val="0"/>
                <w:sz w:val="16"/>
                <w:szCs w:val="16"/>
              </w:rPr>
              <w:t>1</w:t>
            </w:r>
            <w:r>
              <w:rPr>
                <w:rFonts w:ascii="宋体" w:cs="宋体" w:hint="eastAsia"/>
                <w:color w:val="000000"/>
                <w:kern w:val="0"/>
                <w:sz w:val="16"/>
                <w:szCs w:val="16"/>
              </w:rPr>
              <w:t>分。</w:t>
            </w:r>
          </w:p>
        </w:tc>
      </w:tr>
      <w:tr>
        <w:trPr>
          <w:trHeight w:val="162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行政事业单位资产清查开展情况（</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考核行政事业单位按要求及时、准确、全面开展资产清查工作情况</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①未在规定时间内完成资产清查任务扣</w:t>
            </w:r>
            <w:r>
              <w:rPr>
                <w:rFonts w:ascii="宋体" w:cs="宋体"/>
                <w:color w:val="000000"/>
                <w:kern w:val="0"/>
                <w:sz w:val="16"/>
                <w:szCs w:val="16"/>
              </w:rPr>
              <w:t>1</w:t>
            </w:r>
            <w:r>
              <w:rPr>
                <w:rFonts w:ascii="宋体" w:cs="宋体" w:hint="eastAsia"/>
                <w:color w:val="000000"/>
                <w:kern w:val="0"/>
                <w:sz w:val="16"/>
                <w:szCs w:val="16"/>
              </w:rPr>
              <w:t>分。②资产清查结果与财政组织复核的结果误差超过</w:t>
            </w:r>
            <w:r>
              <w:rPr>
                <w:rFonts w:ascii="宋体" w:cs="宋体"/>
                <w:color w:val="000000"/>
                <w:kern w:val="0"/>
                <w:sz w:val="16"/>
                <w:szCs w:val="16"/>
              </w:rPr>
              <w:t>10%</w:t>
            </w:r>
            <w:r>
              <w:rPr>
                <w:rFonts w:ascii="宋体" w:cs="宋体" w:hint="eastAsia"/>
                <w:color w:val="000000"/>
                <w:kern w:val="0"/>
                <w:sz w:val="16"/>
                <w:szCs w:val="16"/>
              </w:rPr>
              <w:t>的扣</w:t>
            </w:r>
            <w:r>
              <w:rPr>
                <w:rFonts w:ascii="宋体" w:cs="宋体"/>
                <w:color w:val="000000"/>
                <w:kern w:val="0"/>
                <w:sz w:val="16"/>
                <w:szCs w:val="16"/>
              </w:rPr>
              <w:t>1</w:t>
            </w:r>
            <w:r>
              <w:rPr>
                <w:rFonts w:ascii="宋体" w:cs="宋体" w:hint="eastAsia"/>
                <w:color w:val="000000"/>
                <w:kern w:val="0"/>
                <w:sz w:val="16"/>
                <w:szCs w:val="16"/>
              </w:rPr>
              <w:t>分。③未及时按批复的清查结果进行账务调整扣</w:t>
            </w:r>
            <w:r>
              <w:rPr>
                <w:rFonts w:ascii="宋体" w:cs="宋体"/>
                <w:color w:val="000000"/>
                <w:kern w:val="0"/>
                <w:sz w:val="16"/>
                <w:szCs w:val="16"/>
              </w:rPr>
              <w:t>1</w:t>
            </w:r>
            <w:r>
              <w:rPr>
                <w:rFonts w:ascii="宋体" w:cs="宋体" w:hint="eastAsia"/>
                <w:color w:val="000000"/>
                <w:kern w:val="0"/>
                <w:sz w:val="16"/>
                <w:szCs w:val="16"/>
              </w:rPr>
              <w:t>分。④未及时更新资产管理信息系统，导致系统资产数据与上报财政的资产清查结果不一致扣</w:t>
            </w:r>
            <w:r>
              <w:rPr>
                <w:rFonts w:ascii="宋体" w:cs="宋体"/>
                <w:color w:val="000000"/>
                <w:kern w:val="0"/>
                <w:sz w:val="16"/>
                <w:szCs w:val="16"/>
              </w:rPr>
              <w:t>1</w:t>
            </w:r>
            <w:r>
              <w:rPr>
                <w:rFonts w:ascii="宋体" w:cs="宋体" w:hint="eastAsia"/>
                <w:color w:val="000000"/>
                <w:kern w:val="0"/>
                <w:sz w:val="16"/>
                <w:szCs w:val="16"/>
              </w:rPr>
              <w:t>分。</w:t>
            </w:r>
          </w:p>
        </w:tc>
      </w:tr>
      <w:tr>
        <w:trPr>
          <w:trHeight w:val="130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行政事业单位资产报表上报情况（</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考核行政事业单位上报国有资产报表数据的真实性、准确性、全面性</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①未落实专人负责资产报表，未及时上报资产报表扣</w:t>
            </w:r>
            <w:r>
              <w:rPr>
                <w:rFonts w:ascii="宋体" w:cs="宋体"/>
                <w:color w:val="000000"/>
                <w:kern w:val="0"/>
                <w:sz w:val="16"/>
                <w:szCs w:val="16"/>
              </w:rPr>
              <w:t>1</w:t>
            </w:r>
            <w:r>
              <w:rPr>
                <w:rFonts w:ascii="宋体" w:cs="宋体" w:hint="eastAsia"/>
                <w:color w:val="000000"/>
                <w:kern w:val="0"/>
                <w:sz w:val="16"/>
                <w:szCs w:val="16"/>
              </w:rPr>
              <w:t>分。②报表填报不规范，内容不完整，数据不真实，扣</w:t>
            </w:r>
            <w:r>
              <w:rPr>
                <w:rFonts w:ascii="宋体" w:cs="宋体"/>
                <w:color w:val="000000"/>
                <w:kern w:val="0"/>
                <w:sz w:val="16"/>
                <w:szCs w:val="16"/>
              </w:rPr>
              <w:t>1</w:t>
            </w:r>
            <w:r>
              <w:rPr>
                <w:rFonts w:ascii="宋体" w:cs="宋体" w:hint="eastAsia"/>
                <w:color w:val="000000"/>
                <w:kern w:val="0"/>
                <w:sz w:val="16"/>
                <w:szCs w:val="16"/>
              </w:rPr>
              <w:t>分。③未提交分析报告，对资产变动情况未作分析说明，扣</w:t>
            </w:r>
            <w:r>
              <w:rPr>
                <w:rFonts w:ascii="宋体" w:cs="宋体"/>
                <w:color w:val="000000"/>
                <w:kern w:val="0"/>
                <w:sz w:val="16"/>
                <w:szCs w:val="16"/>
              </w:rPr>
              <w:t>1</w:t>
            </w:r>
            <w:r>
              <w:rPr>
                <w:rFonts w:ascii="宋体" w:cs="宋体" w:hint="eastAsia"/>
                <w:color w:val="000000"/>
                <w:kern w:val="0"/>
                <w:sz w:val="16"/>
                <w:szCs w:val="16"/>
              </w:rPr>
              <w:t>分。</w:t>
            </w:r>
          </w:p>
        </w:tc>
      </w:tr>
      <w:tr>
        <w:trPr>
          <w:trHeight w:val="1057"/>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tcBorders>
              <w:top w:val="single" w:sz="4" w:space="0" w:color="000000"/>
              <w:left w:val="single" w:sz="4" w:space="0" w:color="000000"/>
              <w:bottom w:val="nil"/>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内控制度管理（</w:t>
            </w:r>
            <w:r>
              <w:rPr>
                <w:rFonts w:ascii="宋体" w:cs="宋体"/>
                <w:color w:val="000000"/>
                <w:kern w:val="0"/>
                <w:sz w:val="16"/>
                <w:szCs w:val="16"/>
              </w:rPr>
              <w:t>4</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内部控制度健全完整（</w:t>
            </w:r>
            <w:r>
              <w:rPr>
                <w:rFonts w:ascii="宋体" w:cs="宋体"/>
                <w:color w:val="000000"/>
                <w:kern w:val="0"/>
                <w:sz w:val="16"/>
                <w:szCs w:val="16"/>
              </w:rPr>
              <w:t>4</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考核部门内部控制制度的设置和执行情况</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r>
              <w:rPr>
                <w:rFonts w:ascii="宋体" w:cs="宋体"/>
                <w:color w:val="000000"/>
                <w:sz w:val="16"/>
                <w:szCs w:val="16"/>
              </w:rPr>
              <w:t>1</w:t>
            </w: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rPr>
                <w:rFonts w:ascii="宋体"/>
                <w:color w:val="000000"/>
                <w:sz w:val="16"/>
                <w:szCs w:val="16"/>
              </w:rPr>
            </w:pPr>
            <w:r>
              <w:rPr>
                <w:rFonts w:ascii="宋体" w:cs="宋体" w:hint="eastAsia"/>
                <w:color w:val="000000"/>
                <w:sz w:val="16"/>
                <w:szCs w:val="16"/>
              </w:rPr>
              <w:t>制度有待进一步完善</w:t>
            </w: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内部控制制度健全完整并执行良好的得分，否则不得分。在本年度内因内控制度不健全或执行不到位，造成单位出现廉政风险或发生重大责任事故的不得分。</w:t>
            </w:r>
          </w:p>
        </w:tc>
      </w:tr>
      <w:tr>
        <w:trPr>
          <w:trHeight w:val="130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信息公开（</w:t>
            </w:r>
            <w:r>
              <w:rPr>
                <w:rFonts w:ascii="宋体" w:cs="宋体"/>
                <w:color w:val="000000"/>
                <w:kern w:val="0"/>
                <w:sz w:val="16"/>
                <w:szCs w:val="16"/>
              </w:rPr>
              <w:t>10</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预算公开（</w:t>
            </w:r>
            <w:r>
              <w:rPr>
                <w:rFonts w:ascii="宋体" w:cs="宋体"/>
                <w:color w:val="000000"/>
                <w:kern w:val="0"/>
                <w:sz w:val="16"/>
                <w:szCs w:val="16"/>
              </w:rPr>
              <w:t>4</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除涉密信息外，各部门要在财政部门批复后二十日内向社会公开本部门预算（含所有财政资金安排的“三公”经费、机关运行经费的安排、使用情况等）</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按县财政通知要求公开预算，未按要求公开的，发现一处扣</w:t>
            </w:r>
            <w:r>
              <w:rPr>
                <w:rFonts w:ascii="宋体" w:cs="宋体"/>
                <w:color w:val="000000"/>
                <w:kern w:val="0"/>
                <w:sz w:val="16"/>
                <w:szCs w:val="16"/>
              </w:rPr>
              <w:t>0.5</w:t>
            </w:r>
            <w:r>
              <w:rPr>
                <w:rFonts w:ascii="宋体" w:cs="宋体" w:hint="eastAsia"/>
                <w:color w:val="000000"/>
                <w:kern w:val="0"/>
                <w:sz w:val="16"/>
                <w:szCs w:val="16"/>
              </w:rPr>
              <w:t>分，直至扣完</w:t>
            </w:r>
          </w:p>
        </w:tc>
      </w:tr>
      <w:tr>
        <w:trPr>
          <w:trHeight w:val="130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决算公开（</w:t>
            </w:r>
            <w:r>
              <w:rPr>
                <w:rFonts w:ascii="宋体" w:cs="宋体"/>
                <w:color w:val="000000"/>
                <w:kern w:val="0"/>
                <w:sz w:val="16"/>
                <w:szCs w:val="16"/>
              </w:rPr>
              <w:t>4</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除涉密信息外，各部门要在财政部门批复二十日内向社会公开本部门决算（含所有财政资金安排的“三公”经费、机关运行经费的安排、使用情况等）</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未按要求公开的，发现一处问题</w:t>
            </w:r>
            <w:r>
              <w:rPr>
                <w:rFonts w:ascii="宋体" w:cs="宋体"/>
                <w:color w:val="000000"/>
                <w:kern w:val="0"/>
                <w:sz w:val="16"/>
                <w:szCs w:val="16"/>
              </w:rPr>
              <w:t>0.5</w:t>
            </w:r>
            <w:r>
              <w:rPr>
                <w:rFonts w:ascii="宋体" w:cs="宋体" w:hint="eastAsia"/>
                <w:color w:val="000000"/>
                <w:kern w:val="0"/>
                <w:sz w:val="16"/>
                <w:szCs w:val="16"/>
              </w:rPr>
              <w:t>分，直至扣完</w:t>
            </w:r>
          </w:p>
        </w:tc>
      </w:tr>
      <w:tr>
        <w:trPr>
          <w:trHeight w:val="66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绩效信息公开（</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按要求公开部门整体支出绩效自评报告及其他按要求应公开的绩效信息</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未按要求公开的，发现一处问题</w:t>
            </w:r>
            <w:r>
              <w:rPr>
                <w:rFonts w:ascii="宋体" w:cs="宋体"/>
                <w:color w:val="000000"/>
                <w:kern w:val="0"/>
                <w:sz w:val="16"/>
                <w:szCs w:val="16"/>
              </w:rPr>
              <w:t>0.5</w:t>
            </w:r>
            <w:r>
              <w:rPr>
                <w:rFonts w:ascii="宋体" w:cs="宋体" w:hint="eastAsia"/>
                <w:color w:val="000000"/>
                <w:kern w:val="0"/>
                <w:sz w:val="16"/>
                <w:szCs w:val="16"/>
              </w:rPr>
              <w:t>分，直至扣完</w:t>
            </w:r>
          </w:p>
        </w:tc>
      </w:tr>
      <w:tr>
        <w:trPr>
          <w:trHeight w:val="130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绩效评价（</w:t>
            </w:r>
            <w:r>
              <w:rPr>
                <w:rFonts w:ascii="宋体" w:cs="宋体"/>
                <w:color w:val="000000"/>
                <w:kern w:val="0"/>
                <w:sz w:val="16"/>
                <w:szCs w:val="16"/>
              </w:rPr>
              <w:t>10</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评价项目覆盖率（</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部门实施绩效评价项目数量占部门管理专项预算项目数量的比重，部门申报绩效目标项目数量的比重，用以反映和考核部门实施绩效评价项目资金覆盖情况</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评价覆盖率</w:t>
            </w:r>
            <w:r>
              <w:rPr>
                <w:rFonts w:ascii="宋体" w:cs="宋体"/>
                <w:color w:val="000000"/>
                <w:kern w:val="0"/>
                <w:sz w:val="16"/>
                <w:szCs w:val="16"/>
              </w:rPr>
              <w:t>=</w:t>
            </w:r>
            <w:r>
              <w:rPr>
                <w:rFonts w:ascii="宋体" w:cs="宋体" w:hint="eastAsia"/>
                <w:color w:val="000000"/>
                <w:kern w:val="0"/>
                <w:sz w:val="16"/>
                <w:szCs w:val="16"/>
              </w:rPr>
              <w:t>实施绩效评价项目数量</w:t>
            </w:r>
            <w:r>
              <w:rPr>
                <w:rFonts w:ascii="宋体" w:cs="宋体"/>
                <w:color w:val="000000"/>
                <w:kern w:val="0"/>
                <w:sz w:val="16"/>
                <w:szCs w:val="16"/>
              </w:rPr>
              <w:t>/</w:t>
            </w:r>
            <w:r>
              <w:rPr>
                <w:rFonts w:ascii="宋体" w:cs="宋体" w:hint="eastAsia"/>
                <w:color w:val="000000"/>
                <w:kern w:val="0"/>
                <w:sz w:val="16"/>
                <w:szCs w:val="16"/>
              </w:rPr>
              <w:t>部门管理专项预算项目数量×</w:t>
            </w:r>
            <w:r>
              <w:rPr>
                <w:rFonts w:ascii="宋体" w:cs="宋体"/>
                <w:color w:val="000000"/>
                <w:kern w:val="0"/>
                <w:sz w:val="16"/>
                <w:szCs w:val="16"/>
              </w:rPr>
              <w:t>100%</w:t>
            </w:r>
          </w:p>
        </w:tc>
      </w:tr>
      <w:tr>
        <w:trPr>
          <w:trHeight w:val="66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评价层次（</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部门（单位）是否对单位内部股室开展整体绩效评价</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对单位内部实施评价的得分，否则不得分</w:t>
            </w:r>
          </w:p>
        </w:tc>
      </w:tr>
      <w:tr>
        <w:trPr>
          <w:trHeight w:val="66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评价结果报告（</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部门是否按要求向财政部门报告自评报告等相关绩效信息</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未按要求报送的，发现一处扣</w:t>
            </w:r>
            <w:r>
              <w:rPr>
                <w:rFonts w:ascii="宋体" w:cs="宋体"/>
                <w:color w:val="000000"/>
                <w:kern w:val="0"/>
                <w:sz w:val="16"/>
                <w:szCs w:val="16"/>
              </w:rPr>
              <w:t>0.5</w:t>
            </w:r>
            <w:r>
              <w:rPr>
                <w:rFonts w:ascii="宋体" w:cs="宋体" w:hint="eastAsia"/>
                <w:color w:val="000000"/>
                <w:kern w:val="0"/>
                <w:sz w:val="16"/>
                <w:szCs w:val="16"/>
              </w:rPr>
              <w:t>分，直至扣完。</w:t>
            </w:r>
          </w:p>
        </w:tc>
      </w:tr>
      <w:tr>
        <w:trPr>
          <w:trHeight w:val="66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整改完成率（</w:t>
            </w:r>
            <w:r>
              <w:rPr>
                <w:rFonts w:ascii="宋体" w:cs="宋体"/>
                <w:color w:val="000000"/>
                <w:kern w:val="0"/>
                <w:sz w:val="16"/>
                <w:szCs w:val="16"/>
              </w:rPr>
              <w:t>4</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部门是否按要求针对绩效评价发现问题制定整改措施，并整改落实到位</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完成率</w:t>
            </w:r>
            <w:r>
              <w:rPr>
                <w:rFonts w:ascii="宋体" w:cs="宋体"/>
                <w:color w:val="000000"/>
                <w:kern w:val="0"/>
                <w:sz w:val="16"/>
                <w:szCs w:val="16"/>
              </w:rPr>
              <w:t>=</w:t>
            </w:r>
            <w:r>
              <w:rPr>
                <w:rFonts w:ascii="宋体" w:cs="宋体" w:hint="eastAsia"/>
                <w:color w:val="000000"/>
                <w:kern w:val="0"/>
                <w:sz w:val="16"/>
                <w:szCs w:val="16"/>
              </w:rPr>
              <w:t>应制定整改措施的项目数量</w:t>
            </w:r>
            <w:r>
              <w:rPr>
                <w:rFonts w:ascii="宋体" w:cs="宋体"/>
                <w:color w:val="000000"/>
                <w:kern w:val="0"/>
                <w:sz w:val="16"/>
                <w:szCs w:val="16"/>
              </w:rPr>
              <w:t>/</w:t>
            </w:r>
            <w:r>
              <w:rPr>
                <w:rFonts w:ascii="宋体" w:cs="宋体" w:hint="eastAsia"/>
                <w:color w:val="000000"/>
                <w:kern w:val="0"/>
                <w:sz w:val="16"/>
                <w:szCs w:val="16"/>
              </w:rPr>
              <w:t>部门实际制定整改措施项目数量×</w:t>
            </w:r>
            <w:r>
              <w:rPr>
                <w:rFonts w:ascii="宋体" w:cs="宋体"/>
                <w:color w:val="000000"/>
                <w:kern w:val="0"/>
                <w:sz w:val="16"/>
                <w:szCs w:val="16"/>
              </w:rPr>
              <w:t>100%</w:t>
            </w:r>
            <w:r>
              <w:rPr>
                <w:rFonts w:ascii="宋体" w:cs="宋体" w:hint="eastAsia"/>
                <w:color w:val="000000"/>
                <w:kern w:val="0"/>
                <w:sz w:val="16"/>
                <w:szCs w:val="16"/>
              </w:rPr>
              <w:t>。</w:t>
            </w:r>
          </w:p>
        </w:tc>
      </w:tr>
      <w:tr>
        <w:trPr>
          <w:trHeight w:val="130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依法接受财政监督（</w:t>
            </w:r>
            <w:r>
              <w:rPr>
                <w:rFonts w:ascii="宋体" w:cs="宋体"/>
                <w:color w:val="000000"/>
                <w:kern w:val="0"/>
                <w:sz w:val="16"/>
                <w:szCs w:val="16"/>
              </w:rPr>
              <w:t>6</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是否按要求开展自查自纠（</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根据相关自查自纠报告、报表报送时效和质量进行考核</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未在规定时间内报送自查自纠相关材料（包括：纸质和电子版）的，扣</w:t>
            </w:r>
            <w:r>
              <w:rPr>
                <w:rFonts w:ascii="宋体" w:cs="宋体"/>
                <w:color w:val="000000"/>
                <w:kern w:val="0"/>
                <w:sz w:val="16"/>
                <w:szCs w:val="16"/>
              </w:rPr>
              <w:t>0.5</w:t>
            </w:r>
            <w:r>
              <w:rPr>
                <w:rFonts w:ascii="宋体" w:cs="宋体" w:hint="eastAsia"/>
                <w:color w:val="000000"/>
                <w:kern w:val="0"/>
                <w:sz w:val="16"/>
                <w:szCs w:val="16"/>
              </w:rPr>
              <w:t>分；报告内容不完整，扣</w:t>
            </w:r>
            <w:r>
              <w:rPr>
                <w:rFonts w:ascii="宋体" w:cs="宋体"/>
                <w:color w:val="000000"/>
                <w:kern w:val="0"/>
                <w:sz w:val="16"/>
                <w:szCs w:val="16"/>
              </w:rPr>
              <w:t>1</w:t>
            </w:r>
            <w:r>
              <w:rPr>
                <w:rFonts w:ascii="宋体" w:cs="宋体" w:hint="eastAsia"/>
                <w:color w:val="000000"/>
                <w:kern w:val="0"/>
                <w:sz w:val="16"/>
                <w:szCs w:val="16"/>
              </w:rPr>
              <w:t>分；报表质量差（如：数据、逻辑、勾稽关系错误）等扣</w:t>
            </w:r>
            <w:r>
              <w:rPr>
                <w:rFonts w:ascii="宋体" w:cs="宋体"/>
                <w:color w:val="000000"/>
                <w:kern w:val="0"/>
                <w:sz w:val="16"/>
                <w:szCs w:val="16"/>
              </w:rPr>
              <w:t>0.5</w:t>
            </w:r>
            <w:r>
              <w:rPr>
                <w:rFonts w:ascii="宋体" w:cs="宋体" w:hint="eastAsia"/>
                <w:color w:val="000000"/>
                <w:kern w:val="0"/>
                <w:sz w:val="16"/>
                <w:szCs w:val="16"/>
              </w:rPr>
              <w:t>分；直至扣完</w:t>
            </w:r>
          </w:p>
        </w:tc>
      </w:tr>
      <w:tr>
        <w:trPr>
          <w:trHeight w:val="77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重点检查发现违规违纪问题（</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根据检查组提供的工作底稿、检查报告等资料进行考核</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专项检查发现的违纪违规问题，每个问题扣</w:t>
            </w:r>
            <w:r>
              <w:rPr>
                <w:rFonts w:ascii="宋体" w:cs="宋体"/>
                <w:color w:val="000000"/>
                <w:kern w:val="0"/>
                <w:sz w:val="16"/>
                <w:szCs w:val="16"/>
              </w:rPr>
              <w:t>0.5</w:t>
            </w:r>
            <w:r>
              <w:rPr>
                <w:rFonts w:ascii="宋体" w:cs="宋体" w:hint="eastAsia"/>
                <w:color w:val="000000"/>
                <w:kern w:val="0"/>
                <w:sz w:val="16"/>
                <w:szCs w:val="16"/>
              </w:rPr>
              <w:t>分，直至扣完</w:t>
            </w:r>
          </w:p>
        </w:tc>
      </w:tr>
      <w:tr>
        <w:trPr>
          <w:trHeight w:val="775"/>
        </w:trPr>
        <w:tc>
          <w:tcPr>
            <w:tcW w:w="447" w:type="dxa"/>
            <w:vMerge/>
            <w:tcBorders>
              <w:top w:val="nil"/>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存在问题整改是否到位（</w:t>
            </w:r>
            <w:r>
              <w:rPr>
                <w:rFonts w:ascii="宋体" w:cs="宋体"/>
                <w:color w:val="000000"/>
                <w:kern w:val="0"/>
                <w:sz w:val="16"/>
                <w:szCs w:val="16"/>
              </w:rPr>
              <w:t>2</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根据相关整改报告、凭证依据等相关证明材料进行考核</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left"/>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未在规定时间内完成整改，并提供相关证明材料的，每个问题</w:t>
            </w:r>
            <w:r>
              <w:rPr>
                <w:rFonts w:ascii="宋体" w:cs="宋体"/>
                <w:color w:val="000000"/>
                <w:kern w:val="0"/>
                <w:sz w:val="16"/>
                <w:szCs w:val="16"/>
              </w:rPr>
              <w:t>0.5</w:t>
            </w:r>
            <w:r>
              <w:rPr>
                <w:rFonts w:ascii="宋体" w:cs="宋体" w:hint="eastAsia"/>
                <w:color w:val="000000"/>
                <w:kern w:val="0"/>
                <w:sz w:val="16"/>
                <w:szCs w:val="16"/>
              </w:rPr>
              <w:t>分，直至扣完</w:t>
            </w:r>
          </w:p>
        </w:tc>
      </w:tr>
      <w:tr>
        <w:trPr>
          <w:trHeight w:val="775"/>
        </w:trPr>
        <w:tc>
          <w:tcPr>
            <w:tcW w:w="447"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olor w:val="000000"/>
                <w:sz w:val="16"/>
                <w:szCs w:val="16"/>
              </w:rPr>
            </w:pPr>
            <w:r>
              <w:rPr>
                <w:rFonts w:ascii="宋体" w:cs="宋体" w:hint="eastAsia"/>
                <w:color w:val="000000"/>
                <w:kern w:val="0"/>
                <w:sz w:val="16"/>
                <w:szCs w:val="16"/>
              </w:rPr>
              <w:t>整体效益（</w:t>
            </w:r>
            <w:r>
              <w:rPr>
                <w:rFonts w:ascii="宋体" w:cs="宋体"/>
                <w:color w:val="000000"/>
                <w:kern w:val="0"/>
                <w:sz w:val="16"/>
                <w:szCs w:val="16"/>
              </w:rPr>
              <w:t>30</w:t>
            </w:r>
            <w:r>
              <w:rPr>
                <w:rFonts w:ascii="宋体" w:cs="宋体" w:hint="eastAsia"/>
                <w:color w:val="000000"/>
                <w:kern w:val="0"/>
                <w:sz w:val="16"/>
                <w:szCs w:val="16"/>
              </w:rPr>
              <w:t>分）</w:t>
            </w:r>
          </w:p>
        </w:tc>
        <w:tc>
          <w:tcPr>
            <w:tcW w:w="67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部门整体绩效（</w:t>
            </w:r>
            <w:r>
              <w:rPr>
                <w:rFonts w:ascii="宋体" w:cs="宋体"/>
                <w:color w:val="000000"/>
                <w:kern w:val="0"/>
                <w:sz w:val="16"/>
                <w:szCs w:val="16"/>
              </w:rPr>
              <w:t>30</w:t>
            </w:r>
            <w:r>
              <w:rPr>
                <w:rFonts w:ascii="宋体" w:cs="宋体" w:hint="eastAsia"/>
                <w:color w:val="000000"/>
                <w:kern w:val="0"/>
                <w:sz w:val="16"/>
                <w:szCs w:val="16"/>
              </w:rPr>
              <w:t>分）</w:t>
            </w:r>
          </w:p>
        </w:tc>
        <w:tc>
          <w:tcPr>
            <w:tcW w:w="11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重点项目绩效评价结果（</w:t>
            </w:r>
            <w:r>
              <w:rPr>
                <w:rFonts w:ascii="宋体" w:cs="宋体"/>
                <w:color w:val="000000"/>
                <w:kern w:val="0"/>
                <w:sz w:val="16"/>
                <w:szCs w:val="16"/>
              </w:rPr>
              <w:t>10</w:t>
            </w:r>
            <w:r>
              <w:rPr>
                <w:rFonts w:ascii="宋体" w:cs="宋体" w:hint="eastAsia"/>
                <w:color w:val="000000"/>
                <w:kern w:val="0"/>
                <w:sz w:val="16"/>
                <w:szCs w:val="16"/>
              </w:rPr>
              <w:t>分）</w:t>
            </w:r>
          </w:p>
        </w:tc>
        <w:tc>
          <w:tcPr>
            <w:tcW w:w="25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部门实施重大项目的经济、社会效益</w:t>
            </w:r>
          </w:p>
        </w:tc>
        <w:tc>
          <w:tcPr>
            <w:tcW w:w="338"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rPr>
                <w:rFonts w:ascii="宋体"/>
                <w:color w:val="000000"/>
                <w:sz w:val="16"/>
                <w:szCs w:val="16"/>
              </w:rPr>
            </w:pPr>
          </w:p>
        </w:tc>
        <w:tc>
          <w:tcPr>
            <w:tcW w:w="305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根据县财政组织实施项目绩效评价结果换算</w:t>
            </w:r>
          </w:p>
        </w:tc>
      </w:tr>
      <w:tr>
        <w:trPr>
          <w:trHeight w:val="345"/>
        </w:trPr>
        <w:tc>
          <w:tcPr>
            <w:tcW w:w="447"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部门职能完成情况特性指标（</w:t>
            </w:r>
            <w:r>
              <w:rPr>
                <w:rFonts w:ascii="宋体" w:cs="宋体"/>
                <w:color w:val="000000"/>
                <w:kern w:val="0"/>
                <w:sz w:val="16"/>
                <w:szCs w:val="16"/>
              </w:rPr>
              <w:t>20</w:t>
            </w:r>
            <w:r>
              <w:rPr>
                <w:rFonts w:ascii="宋体" w:cs="宋体" w:hint="eastAsia"/>
                <w:color w:val="000000"/>
                <w:kern w:val="0"/>
                <w:sz w:val="16"/>
                <w:szCs w:val="16"/>
              </w:rPr>
              <w:t>分）</w:t>
            </w:r>
          </w:p>
        </w:tc>
        <w:tc>
          <w:tcPr>
            <w:tcW w:w="2509"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根据部门职能职责、州级主管部门和县委县政府安排的各项专项工作任务及其他年度重点工作任务等，汇总梳理形成能够量化衡量且全面反映部门职能工作完成情况的若干指标。</w:t>
            </w:r>
          </w:p>
        </w:tc>
        <w:tc>
          <w:tcPr>
            <w:tcW w:w="338" w:type="dxa"/>
            <w:vMerge w:val="restart"/>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74" w:type="dxa"/>
            <w:vMerge w:val="restart"/>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pPr>
              <w:jc w:val="center"/>
              <w:rPr>
                <w:rFonts w:ascii="宋体"/>
                <w:color w:val="000000"/>
                <w:sz w:val="16"/>
                <w:szCs w:val="16"/>
              </w:rPr>
            </w:pPr>
          </w:p>
        </w:tc>
        <w:tc>
          <w:tcPr>
            <w:tcW w:w="3053"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olor w:val="000000"/>
                <w:sz w:val="16"/>
                <w:szCs w:val="16"/>
              </w:rPr>
            </w:pPr>
            <w:r>
              <w:rPr>
                <w:rFonts w:ascii="宋体" w:cs="宋体" w:hint="eastAsia"/>
                <w:color w:val="000000"/>
                <w:kern w:val="0"/>
                <w:sz w:val="16"/>
                <w:szCs w:val="16"/>
              </w:rPr>
              <w:t>部门和评价组根据部门实际设置</w:t>
            </w:r>
          </w:p>
        </w:tc>
      </w:tr>
      <w:tr>
        <w:trPr>
          <w:trHeight w:val="1280"/>
        </w:trPr>
        <w:tc>
          <w:tcPr>
            <w:tcW w:w="447"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67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10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2509"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338" w:type="dxa"/>
            <w:vMerge/>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tc>
        <w:tc>
          <w:tcPr>
            <w:tcW w:w="374" w:type="dxa"/>
            <w:vMerge/>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tc>
        <w:tc>
          <w:tcPr>
            <w:tcW w:w="3053"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r>
      <w:tr>
        <w:trPr>
          <w:trHeight w:val="665"/>
        </w:trPr>
        <w:tc>
          <w:tcPr>
            <w:tcW w:w="8504" w:type="dxa"/>
            <w:gridSpan w:val="7"/>
            <w:tcBorders>
              <w:top w:val="single" w:sz="4" w:space="0" w:color="000000"/>
              <w:left w:val="nil"/>
              <w:bottom w:val="nil"/>
              <w:right w:val="nil"/>
            </w:tcBorders>
            <w:noWrap/>
            <w:tcMar>
              <w:top w:w="15" w:type="dxa"/>
              <w:left w:w="15" w:type="dxa"/>
              <w:right w:w="15" w:type="dxa"/>
            </w:tcMar>
            <w:vAlign w:val="center"/>
          </w:tcPr>
          <w:p>
            <w:pPr>
              <w:widowControl/>
              <w:jc w:val="left"/>
              <w:textAlignment w:val="center"/>
              <w:rPr>
                <w:rFonts w:ascii="宋体"/>
                <w:b/>
                <w:bCs/>
                <w:color w:val="000000"/>
                <w:sz w:val="16"/>
                <w:szCs w:val="16"/>
              </w:rPr>
            </w:pPr>
            <w:r>
              <w:rPr>
                <w:rFonts w:ascii="宋体" w:cs="宋体" w:hint="eastAsia"/>
                <w:b/>
                <w:bCs/>
                <w:color w:val="000000"/>
                <w:kern w:val="0"/>
                <w:sz w:val="16"/>
                <w:szCs w:val="16"/>
              </w:rPr>
              <w:t>注：若某部门不存在某项评价内容或评价指标，则该评价内容或评价指标不计入该部门考核评价范围，即该部门评价总分＝不含该评价内容或指标的评价总分</w:t>
            </w:r>
            <w:r>
              <w:rPr>
                <w:rFonts w:ascii="宋体" w:cs="宋体"/>
                <w:b/>
                <w:bCs/>
                <w:color w:val="000000"/>
                <w:kern w:val="0"/>
                <w:sz w:val="16"/>
                <w:szCs w:val="16"/>
              </w:rPr>
              <w:t>/</w:t>
            </w:r>
            <w:r>
              <w:rPr>
                <w:rFonts w:ascii="宋体" w:cs="宋体" w:hint="eastAsia"/>
                <w:b/>
                <w:bCs/>
                <w:color w:val="000000"/>
                <w:kern w:val="0"/>
                <w:sz w:val="16"/>
                <w:szCs w:val="16"/>
              </w:rPr>
              <w:t>（</w:t>
            </w:r>
            <w:r>
              <w:rPr>
                <w:rFonts w:ascii="宋体" w:cs="宋体"/>
                <w:b/>
                <w:bCs/>
                <w:color w:val="000000"/>
                <w:kern w:val="0"/>
                <w:sz w:val="16"/>
                <w:szCs w:val="16"/>
              </w:rPr>
              <w:t>100-</w:t>
            </w:r>
            <w:r>
              <w:rPr>
                <w:rFonts w:ascii="宋体" w:cs="宋体" w:hint="eastAsia"/>
                <w:b/>
                <w:bCs/>
                <w:color w:val="000000"/>
                <w:kern w:val="0"/>
                <w:sz w:val="16"/>
                <w:szCs w:val="16"/>
              </w:rPr>
              <w:t>该评价内容或指标所占分值）</w:t>
            </w:r>
            <w:r>
              <w:rPr>
                <w:rFonts w:ascii="宋体" w:cs="宋体"/>
                <w:b/>
                <w:bCs/>
                <w:color w:val="000000"/>
                <w:kern w:val="0"/>
                <w:sz w:val="16"/>
                <w:szCs w:val="16"/>
              </w:rPr>
              <w:t>*100</w:t>
            </w:r>
            <w:r>
              <w:rPr>
                <w:rFonts w:ascii="宋体" w:cs="宋体" w:hint="eastAsia"/>
                <w:b/>
                <w:bCs/>
                <w:color w:val="000000"/>
                <w:kern w:val="0"/>
                <w:sz w:val="16"/>
                <w:szCs w:val="16"/>
              </w:rPr>
              <w:t>。</w:t>
            </w:r>
          </w:p>
        </w:tc>
      </w:tr>
    </w:tbl>
    <w:p/>
    <w:p>
      <w:pPr>
        <w:spacing w:line="576" w:lineRule="exact"/>
        <w:ind w:firstLineChars="200" w:firstLine="640"/>
        <w:jc w:val="center"/>
        <w:rPr>
          <w:rStyle w:val="1Char"/>
          <w:rFonts w:ascii="黑体" w:eastAsia="黑体"/>
          <w:b w:val="0"/>
          <w:bCs w:val="0"/>
        </w:rPr>
      </w:pPr>
      <w:r>
        <w:rPr>
          <w:rFonts w:ascii="仿宋_GB2312" w:eastAsia="仿宋_GB2312"/>
          <w:sz w:val="32"/>
          <w:szCs w:val="32"/>
        </w:rPr>
        <w:br w:type="page"/>
      </w:r>
      <w:bookmarkStart w:id="55" w:name="_Toc15396618"/>
      <w:r>
        <w:rPr>
          <w:rFonts w:ascii="方正小标宋简体" w:eastAsia="方正小标宋简体" w:cs="方正小标宋简体" w:hint="eastAsia"/>
          <w:color w:val="000000"/>
          <w:sz w:val="44"/>
          <w:szCs w:val="44"/>
        </w:rPr>
        <w:t>第</w:t>
      </w:r>
      <w:r>
        <w:rPr>
          <w:rStyle w:val="1Char"/>
          <w:rFonts w:ascii="方正小标宋简体" w:eastAsia="方正小标宋简体" w:cs="方正小标宋简体" w:hint="eastAsia"/>
          <w:b w:val="0"/>
          <w:bCs w:val="0"/>
        </w:rPr>
        <w:t>五部分</w:t>
      </w:r>
      <w:r>
        <w:rPr>
          <w:rStyle w:val="1Char"/>
          <w:rFonts w:ascii="方正小标宋简体" w:eastAsia="方正小标宋简体" w:cs="方正小标宋简体"/>
          <w:b w:val="0"/>
          <w:bCs w:val="0"/>
        </w:rPr>
        <w:t xml:space="preserve"> </w:t>
      </w:r>
      <w:r>
        <w:rPr>
          <w:rStyle w:val="1Char"/>
          <w:rFonts w:ascii="方正小标宋简体" w:eastAsia="方正小标宋简体" w:cs="方正小标宋简体" w:hint="eastAsia"/>
          <w:b w:val="0"/>
          <w:bCs w:val="0"/>
        </w:rPr>
        <w:t>附表</w:t>
      </w:r>
      <w:bookmarkEnd w:id="53"/>
      <w:bookmarkEnd w:id="55"/>
    </w:p>
    <w:p>
      <w:pPr>
        <w:pStyle w:val="2"/>
        <w:spacing w:line="576" w:lineRule="exact"/>
        <w:ind w:firstLine="200"/>
        <w:rPr>
          <w:rFonts w:ascii="仿宋" w:eastAsia="仿宋" w:cs="Times New Roman"/>
          <w:color w:val="000000"/>
        </w:rPr>
      </w:pPr>
      <w:bookmarkStart w:id="56" w:name="_Toc15396619"/>
      <w:r>
        <w:rPr>
          <w:rFonts w:ascii="仿宋" w:eastAsia="仿宋" w:cs="仿宋" w:hint="eastAsia"/>
          <w:b w:val="0"/>
          <w:bCs w:val="0"/>
          <w:color w:val="000000"/>
        </w:rPr>
        <w:t>一、收</w:t>
      </w:r>
      <w:r>
        <w:rPr>
          <w:rStyle w:val="2Char"/>
          <w:rFonts w:ascii="仿宋" w:eastAsia="仿宋" w:cs="仿宋" w:hint="eastAsia"/>
          <w:b w:val="0"/>
          <w:bCs w:val="0"/>
        </w:rPr>
        <w:t>入支出决算总表</w:t>
      </w:r>
      <w:bookmarkEnd w:id="56"/>
    </w:p>
    <w:p>
      <w:pPr>
        <w:pStyle w:val="2"/>
        <w:spacing w:line="576" w:lineRule="exact"/>
        <w:ind w:firstLine="200"/>
        <w:rPr>
          <w:rFonts w:ascii="仿宋" w:eastAsia="仿宋" w:cs="Times New Roman"/>
          <w:color w:val="000000"/>
        </w:rPr>
      </w:pPr>
      <w:bookmarkStart w:id="57" w:name="_Toc15396620"/>
      <w:r>
        <w:rPr>
          <w:rFonts w:ascii="仿宋" w:eastAsia="仿宋" w:cs="仿宋" w:hint="eastAsia"/>
          <w:b w:val="0"/>
          <w:bCs w:val="0"/>
          <w:color w:val="000000"/>
        </w:rPr>
        <w:t>二、收</w:t>
      </w:r>
      <w:r>
        <w:rPr>
          <w:rStyle w:val="2Char"/>
          <w:rFonts w:ascii="仿宋" w:eastAsia="仿宋" w:cs="仿宋" w:hint="eastAsia"/>
          <w:b w:val="0"/>
          <w:bCs w:val="0"/>
        </w:rPr>
        <w:t>入总表</w:t>
      </w:r>
      <w:bookmarkEnd w:id="57"/>
    </w:p>
    <w:p>
      <w:pPr>
        <w:pStyle w:val="2"/>
        <w:spacing w:line="576" w:lineRule="exact"/>
        <w:ind w:firstLine="200"/>
        <w:rPr>
          <w:rFonts w:ascii="仿宋" w:eastAsia="仿宋" w:cs="Times New Roman"/>
          <w:color w:val="000000"/>
        </w:rPr>
      </w:pPr>
      <w:bookmarkStart w:id="58" w:name="_Toc15396621"/>
      <w:r>
        <w:rPr>
          <w:rStyle w:val="2Char"/>
          <w:rFonts w:ascii="仿宋" w:eastAsia="仿宋" w:cs="仿宋" w:hint="eastAsia"/>
          <w:b w:val="0"/>
          <w:bCs w:val="0"/>
        </w:rPr>
        <w:t>三、</w:t>
      </w:r>
      <w:r>
        <w:rPr>
          <w:rFonts w:ascii="仿宋" w:eastAsia="仿宋" w:cs="仿宋" w:hint="eastAsia"/>
          <w:b w:val="0"/>
          <w:bCs w:val="0"/>
          <w:color w:val="000000"/>
        </w:rPr>
        <w:t>支</w:t>
      </w:r>
      <w:r>
        <w:rPr>
          <w:rStyle w:val="2Char"/>
          <w:rFonts w:ascii="仿宋" w:eastAsia="仿宋" w:cs="仿宋" w:hint="eastAsia"/>
          <w:b w:val="0"/>
          <w:bCs w:val="0"/>
        </w:rPr>
        <w:t>出总表</w:t>
      </w:r>
      <w:bookmarkEnd w:id="58"/>
    </w:p>
    <w:p>
      <w:pPr>
        <w:pStyle w:val="2"/>
        <w:spacing w:line="576" w:lineRule="exact"/>
        <w:ind w:firstLine="200"/>
        <w:rPr>
          <w:rFonts w:ascii="仿宋" w:eastAsia="仿宋" w:cs="Times New Roman"/>
          <w:b w:val="0"/>
          <w:bCs w:val="0"/>
          <w:color w:val="000000"/>
        </w:rPr>
      </w:pPr>
      <w:bookmarkStart w:id="59" w:name="_Toc15396622"/>
      <w:r>
        <w:rPr>
          <w:rStyle w:val="2Char"/>
          <w:rFonts w:ascii="仿宋" w:eastAsia="仿宋" w:cs="仿宋" w:hint="eastAsia"/>
          <w:b w:val="0"/>
          <w:bCs w:val="0"/>
        </w:rPr>
        <w:t>四、</w:t>
      </w:r>
      <w:r>
        <w:rPr>
          <w:rFonts w:ascii="仿宋" w:eastAsia="仿宋" w:cs="仿宋" w:hint="eastAsia"/>
          <w:b w:val="0"/>
          <w:bCs w:val="0"/>
          <w:color w:val="000000"/>
        </w:rPr>
        <w:t>财</w:t>
      </w:r>
      <w:r>
        <w:rPr>
          <w:rStyle w:val="2Char"/>
          <w:rFonts w:ascii="仿宋" w:eastAsia="仿宋" w:cs="仿宋" w:hint="eastAsia"/>
          <w:b w:val="0"/>
          <w:bCs w:val="0"/>
        </w:rPr>
        <w:t>政拨款收入支出决算总表</w:t>
      </w:r>
      <w:bookmarkEnd w:id="59"/>
    </w:p>
    <w:p>
      <w:pPr>
        <w:pStyle w:val="2"/>
        <w:spacing w:line="576" w:lineRule="exact"/>
        <w:ind w:firstLine="200"/>
        <w:rPr>
          <w:rFonts w:ascii="仿宋" w:eastAsia="仿宋" w:cs="Times New Roman"/>
          <w:color w:val="000000"/>
        </w:rPr>
      </w:pPr>
      <w:bookmarkStart w:id="60" w:name="_Toc15396623"/>
      <w:r>
        <w:rPr>
          <w:rStyle w:val="2Char"/>
          <w:rFonts w:ascii="仿宋" w:eastAsia="仿宋" w:cs="仿宋" w:hint="eastAsia"/>
          <w:b w:val="0"/>
          <w:bCs w:val="0"/>
        </w:rPr>
        <w:t>五、</w:t>
      </w:r>
      <w:r>
        <w:rPr>
          <w:rFonts w:ascii="仿宋" w:eastAsia="仿宋" w:cs="仿宋" w:hint="eastAsia"/>
          <w:b w:val="0"/>
          <w:bCs w:val="0"/>
          <w:color w:val="000000"/>
        </w:rPr>
        <w:t>财</w:t>
      </w:r>
      <w:r>
        <w:rPr>
          <w:rStyle w:val="2Char"/>
          <w:rFonts w:ascii="仿宋" w:eastAsia="仿宋" w:cs="仿宋" w:hint="eastAsia"/>
          <w:b w:val="0"/>
          <w:bCs w:val="0"/>
        </w:rPr>
        <w:t>政拨款支出决算明细表（政府经济分类科目）</w:t>
      </w:r>
      <w:bookmarkEnd w:id="60"/>
    </w:p>
    <w:p>
      <w:pPr>
        <w:pStyle w:val="2"/>
        <w:spacing w:line="576" w:lineRule="exact"/>
        <w:ind w:firstLine="200"/>
        <w:rPr>
          <w:rFonts w:ascii="仿宋" w:eastAsia="仿宋" w:cs="Times New Roman"/>
          <w:color w:val="000000"/>
        </w:rPr>
      </w:pPr>
      <w:bookmarkStart w:id="61" w:name="_Toc15396624"/>
      <w:r>
        <w:rPr>
          <w:rStyle w:val="2Char"/>
          <w:rFonts w:ascii="仿宋" w:eastAsia="仿宋" w:cs="仿宋" w:hint="eastAsia"/>
          <w:b w:val="0"/>
          <w:bCs w:val="0"/>
        </w:rPr>
        <w:t>六、</w:t>
      </w:r>
      <w:r>
        <w:rPr>
          <w:rFonts w:ascii="仿宋" w:eastAsia="仿宋" w:cs="仿宋" w:hint="eastAsia"/>
          <w:b w:val="0"/>
          <w:bCs w:val="0"/>
          <w:color w:val="000000"/>
        </w:rPr>
        <w:t>一</w:t>
      </w:r>
      <w:r>
        <w:rPr>
          <w:rStyle w:val="2Char"/>
          <w:rFonts w:ascii="仿宋" w:eastAsia="仿宋" w:cs="仿宋" w:hint="eastAsia"/>
          <w:b w:val="0"/>
          <w:bCs w:val="0"/>
        </w:rPr>
        <w:t>般公共预算财政拨款支出决算表</w:t>
      </w:r>
      <w:bookmarkEnd w:id="61"/>
    </w:p>
    <w:p>
      <w:pPr>
        <w:pStyle w:val="2"/>
        <w:spacing w:line="576" w:lineRule="exact"/>
        <w:ind w:firstLine="200"/>
        <w:rPr>
          <w:rFonts w:ascii="仿宋" w:eastAsia="仿宋" w:cs="Times New Roman"/>
          <w:color w:val="000000"/>
        </w:rPr>
      </w:pPr>
      <w:bookmarkStart w:id="62" w:name="_Toc15396625"/>
      <w:r>
        <w:rPr>
          <w:rStyle w:val="2Char"/>
          <w:rFonts w:ascii="仿宋" w:eastAsia="仿宋" w:cs="仿宋" w:hint="eastAsia"/>
          <w:b w:val="0"/>
          <w:bCs w:val="0"/>
        </w:rPr>
        <w:t>七、</w:t>
      </w:r>
      <w:r>
        <w:rPr>
          <w:rFonts w:ascii="仿宋" w:eastAsia="仿宋" w:cs="仿宋" w:hint="eastAsia"/>
          <w:b w:val="0"/>
          <w:bCs w:val="0"/>
          <w:color w:val="000000"/>
        </w:rPr>
        <w:t>一</w:t>
      </w:r>
      <w:r>
        <w:rPr>
          <w:rStyle w:val="2Char"/>
          <w:rFonts w:ascii="仿宋" w:eastAsia="仿宋" w:cs="仿宋" w:hint="eastAsia"/>
          <w:b w:val="0"/>
          <w:bCs w:val="0"/>
        </w:rPr>
        <w:t>般公共预算财政拨款支出决算明细表</w:t>
      </w:r>
      <w:bookmarkEnd w:id="62"/>
    </w:p>
    <w:p>
      <w:pPr>
        <w:pStyle w:val="2"/>
        <w:spacing w:line="576" w:lineRule="exact"/>
        <w:ind w:firstLine="200"/>
        <w:rPr>
          <w:rFonts w:ascii="仿宋" w:eastAsia="仿宋" w:cs="Times New Roman"/>
          <w:color w:val="000000"/>
        </w:rPr>
      </w:pPr>
      <w:bookmarkStart w:id="63" w:name="_Toc15396626"/>
      <w:r>
        <w:rPr>
          <w:rStyle w:val="2Char"/>
          <w:rFonts w:ascii="仿宋" w:eastAsia="仿宋" w:cs="仿宋" w:hint="eastAsia"/>
          <w:b w:val="0"/>
          <w:bCs w:val="0"/>
        </w:rPr>
        <w:t>八、</w:t>
      </w:r>
      <w:r>
        <w:rPr>
          <w:rFonts w:ascii="仿宋" w:eastAsia="仿宋" w:cs="仿宋" w:hint="eastAsia"/>
          <w:b w:val="0"/>
          <w:bCs w:val="0"/>
          <w:color w:val="000000"/>
        </w:rPr>
        <w:t>一</w:t>
      </w:r>
      <w:r>
        <w:rPr>
          <w:rStyle w:val="2Char"/>
          <w:rFonts w:ascii="仿宋" w:eastAsia="仿宋" w:cs="仿宋" w:hint="eastAsia"/>
          <w:b w:val="0"/>
          <w:bCs w:val="0"/>
        </w:rPr>
        <w:t>般公共预算财政拨款基本支出决算表</w:t>
      </w:r>
      <w:bookmarkEnd w:id="63"/>
    </w:p>
    <w:p>
      <w:pPr>
        <w:pStyle w:val="2"/>
        <w:spacing w:line="576" w:lineRule="exact"/>
        <w:ind w:firstLine="200"/>
        <w:rPr>
          <w:rFonts w:ascii="仿宋" w:eastAsia="仿宋" w:cs="Times New Roman"/>
          <w:color w:val="000000"/>
        </w:rPr>
      </w:pPr>
      <w:bookmarkStart w:id="64" w:name="_Toc15396627"/>
      <w:r>
        <w:rPr>
          <w:rStyle w:val="2Char"/>
          <w:rFonts w:ascii="仿宋" w:eastAsia="仿宋" w:cs="仿宋" w:hint="eastAsia"/>
          <w:b w:val="0"/>
          <w:bCs w:val="0"/>
        </w:rPr>
        <w:t>九、</w:t>
      </w:r>
      <w:r>
        <w:rPr>
          <w:rFonts w:ascii="仿宋" w:eastAsia="仿宋" w:cs="仿宋" w:hint="eastAsia"/>
          <w:b w:val="0"/>
          <w:bCs w:val="0"/>
          <w:color w:val="000000"/>
        </w:rPr>
        <w:t>一</w:t>
      </w:r>
      <w:r>
        <w:rPr>
          <w:rStyle w:val="2Char"/>
          <w:rFonts w:ascii="仿宋" w:eastAsia="仿宋" w:cs="仿宋" w:hint="eastAsia"/>
          <w:b w:val="0"/>
          <w:bCs w:val="0"/>
        </w:rPr>
        <w:t>般公共预算财政拨款项目支出决算表</w:t>
      </w:r>
      <w:bookmarkEnd w:id="64"/>
    </w:p>
    <w:p>
      <w:pPr>
        <w:pStyle w:val="2"/>
        <w:spacing w:line="576" w:lineRule="exact"/>
        <w:ind w:firstLine="200"/>
        <w:rPr>
          <w:rFonts w:ascii="仿宋" w:eastAsia="仿宋" w:cs="Times New Roman"/>
          <w:color w:val="000000"/>
        </w:rPr>
      </w:pPr>
      <w:bookmarkStart w:id="65" w:name="_Toc15396628"/>
      <w:r>
        <w:rPr>
          <w:rStyle w:val="2Char"/>
          <w:rFonts w:ascii="仿宋" w:eastAsia="仿宋" w:cs="仿宋" w:hint="eastAsia"/>
          <w:b w:val="0"/>
          <w:bCs w:val="0"/>
        </w:rPr>
        <w:t>十、</w:t>
      </w:r>
      <w:r>
        <w:rPr>
          <w:rFonts w:ascii="仿宋" w:eastAsia="仿宋" w:cs="仿宋" w:hint="eastAsia"/>
          <w:b w:val="0"/>
          <w:bCs w:val="0"/>
          <w:color w:val="000000"/>
        </w:rPr>
        <w:t>一</w:t>
      </w:r>
      <w:r>
        <w:rPr>
          <w:rStyle w:val="2Char"/>
          <w:rFonts w:ascii="仿宋" w:eastAsia="仿宋" w:cs="仿宋" w:hint="eastAsia"/>
          <w:b w:val="0"/>
          <w:bCs w:val="0"/>
        </w:rPr>
        <w:t>般公共预算财政拨款“三公”经费支出决算表</w:t>
      </w:r>
      <w:bookmarkEnd w:id="65"/>
    </w:p>
    <w:p>
      <w:pPr>
        <w:pStyle w:val="2"/>
        <w:spacing w:line="576" w:lineRule="exact"/>
        <w:ind w:firstLine="200"/>
        <w:rPr>
          <w:rFonts w:ascii="仿宋" w:eastAsia="仿宋" w:cs="Times New Roman"/>
          <w:color w:val="000000"/>
        </w:rPr>
      </w:pPr>
      <w:bookmarkStart w:id="66" w:name="_Toc15396629"/>
      <w:r>
        <w:rPr>
          <w:rStyle w:val="2Char"/>
          <w:rFonts w:ascii="仿宋" w:eastAsia="仿宋" w:cs="仿宋" w:hint="eastAsia"/>
          <w:b w:val="0"/>
          <w:bCs w:val="0"/>
        </w:rPr>
        <w:t>十一、</w:t>
      </w:r>
      <w:r>
        <w:rPr>
          <w:rFonts w:ascii="仿宋" w:eastAsia="仿宋" w:cs="仿宋" w:hint="eastAsia"/>
          <w:b w:val="0"/>
          <w:bCs w:val="0"/>
          <w:color w:val="000000"/>
        </w:rPr>
        <w:t>政</w:t>
      </w:r>
      <w:r>
        <w:rPr>
          <w:rStyle w:val="2Char"/>
          <w:rFonts w:ascii="仿宋" w:eastAsia="仿宋" w:cs="仿宋" w:hint="eastAsia"/>
          <w:b w:val="0"/>
          <w:bCs w:val="0"/>
        </w:rPr>
        <w:t>府性基金预算财政拨款收入支出决算表</w:t>
      </w:r>
      <w:bookmarkEnd w:id="66"/>
    </w:p>
    <w:p>
      <w:pPr>
        <w:pStyle w:val="2"/>
        <w:spacing w:line="576" w:lineRule="exact"/>
        <w:ind w:firstLine="200"/>
        <w:rPr>
          <w:rFonts w:ascii="仿宋" w:eastAsia="仿宋" w:cs="Times New Roman"/>
          <w:color w:val="000000"/>
        </w:rPr>
      </w:pPr>
      <w:bookmarkStart w:id="67" w:name="_Toc15396630"/>
      <w:r>
        <w:rPr>
          <w:rStyle w:val="2Char"/>
          <w:rFonts w:ascii="仿宋" w:eastAsia="仿宋" w:cs="仿宋" w:hint="eastAsia"/>
          <w:b w:val="0"/>
          <w:bCs w:val="0"/>
        </w:rPr>
        <w:t>十二、</w:t>
      </w:r>
      <w:r>
        <w:rPr>
          <w:rFonts w:ascii="仿宋" w:eastAsia="仿宋" w:cs="仿宋" w:hint="eastAsia"/>
          <w:b w:val="0"/>
          <w:bCs w:val="0"/>
          <w:color w:val="000000"/>
        </w:rPr>
        <w:t>政</w:t>
      </w:r>
      <w:r>
        <w:rPr>
          <w:rStyle w:val="2Char"/>
          <w:rFonts w:ascii="仿宋" w:eastAsia="仿宋" w:cs="仿宋" w:hint="eastAsia"/>
          <w:b w:val="0"/>
          <w:bCs w:val="0"/>
        </w:rPr>
        <w:t>府性基金预算财政拨款“三公”经费支出决算表</w:t>
      </w:r>
      <w:bookmarkEnd w:id="67"/>
    </w:p>
    <w:p>
      <w:pPr>
        <w:pStyle w:val="2"/>
        <w:spacing w:line="576" w:lineRule="exact"/>
        <w:ind w:firstLine="200"/>
        <w:rPr>
          <w:rStyle w:val="2Char"/>
          <w:rFonts w:ascii="仿宋" w:eastAsia="仿宋" w:cs="Times New Roman"/>
          <w:b w:val="0"/>
          <w:bCs w:val="0"/>
        </w:rPr>
      </w:pPr>
      <w:bookmarkStart w:id="68" w:name="_Toc15396631"/>
      <w:r>
        <w:rPr>
          <w:rStyle w:val="2Char"/>
          <w:rFonts w:ascii="仿宋" w:eastAsia="仿宋" w:cs="仿宋" w:hint="eastAsia"/>
          <w:b w:val="0"/>
          <w:bCs w:val="0"/>
        </w:rPr>
        <w:t>十三、</w:t>
      </w:r>
      <w:r>
        <w:rPr>
          <w:rFonts w:ascii="仿宋" w:eastAsia="仿宋" w:cs="仿宋" w:hint="eastAsia"/>
          <w:b w:val="0"/>
          <w:bCs w:val="0"/>
          <w:color w:val="000000"/>
        </w:rPr>
        <w:t>国</w:t>
      </w:r>
      <w:r>
        <w:rPr>
          <w:rStyle w:val="2Char"/>
          <w:rFonts w:ascii="仿宋" w:eastAsia="仿宋" w:cs="仿宋" w:hint="eastAsia"/>
          <w:b w:val="0"/>
          <w:bCs w:val="0"/>
        </w:rPr>
        <w:t>有资本经营预算支出决算表</w:t>
      </w:r>
      <w:bookmarkEnd w:id="68"/>
    </w:p>
    <w:sectPr>
      <w:headerReference w:type="default" r:id="rId2"/>
      <w:footerReference w:type="default" r:id="rId3"/>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3000509000000000000"/>
    <w:charset w:val="86"/>
    <w:family w:val="auto"/>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仿宋">
    <w:altName w:val="方正仿宋_GBK"/>
    <w:panose1 w:val="02010609060101010101"/>
    <w:charset w:val="86"/>
    <w:family w:val="modern"/>
    <w:pitch w:val="variable"/>
    <w:sig w:usb0="00000000" w:usb1="00000000" w:usb2="00000016" w:usb3="00000000" w:csb0="00040001" w:csb1="00000000"/>
  </w:font>
  <w:font w:name="Times New Roman">
    <w:altName w:val="Nimbus Roman No9 L"/>
    <w:panose1 w:val="00000000000000000000"/>
    <w:charset w:val="01"/>
    <w:family w:val="auto"/>
    <w:pitch w:val="variable"/>
    <w:sig w:usb0="00000000" w:usb1="00000000" w:usb2="00000000" w:usb3="00000000" w:csb0="00000000" w:csb1="00000000"/>
  </w:font>
  <w:font w:name="楷体">
    <w:altName w:val="方正楷体_GBK"/>
    <w:panose1 w:val="02010609060101010101"/>
    <w:charset w:val="86"/>
    <w:family w:val="modern"/>
    <w:pitch w:val="variable"/>
    <w:sig w:usb0="00000000" w:usb1="00000000" w:usb2="00000016" w:usb3="00000000" w:csb0="00040001" w:csb1="00000000"/>
  </w:font>
  <w:font w:name="仿宋_GB2312">
    <w:panose1 w:val="02010609030101010101"/>
    <w:charset w:val="86"/>
    <w:family w:val="modern"/>
    <w:pitch w:val="variable"/>
    <w:sig w:usb0="00000001" w:usb1="080E0000" w:usb2="00000000" w:usb3="00000000" w:csb0="00040000" w:csb1="00000000"/>
  </w:font>
  <w:font w:name="宋体">
    <w:altName w:val="方正书宋_GBK"/>
    <w:panose1 w:val="00000000000000000000"/>
    <w:charset w:val="01"/>
    <w:family w:val="auto"/>
    <w:pitch w:val="variable"/>
    <w:sig w:usb0="00000000" w:usb1="00000000" w:usb2="00000000" w:usb3="00000000" w:csb0="00000000" w:csb1="00000000"/>
  </w:font>
  <w:font w:name="Cambria">
    <w:altName w:val="Noto Sans Syriac Eastern"/>
    <w:panose1 w:val="02040503050406030204"/>
    <w:charset w:val="00"/>
    <w:family w:val="roman"/>
    <w:pitch w:val="variable"/>
    <w:sig w:usb0="00000000" w:usb1="00000000" w:usb2="00000000"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jc w:val="center"/>
    </w:pPr>
    <w:r>
      <w:fldChar w:fldCharType="begin"/>
    </w:r>
    <w:r>
      <w:instrText>PAGE   \* MERGEFORMAT</w:instrText>
    </w:r>
    <w:r>
      <w:fldChar w:fldCharType="separate"/>
    </w:r>
    <w:r>
      <w:rPr>
        <w:lang w:val="zh-CN"/>
      </w:rPr>
      <w:t>11</w:t>
    </w:r>
    <w:r>
      <w:rPr>
        <w:lang w:val="zh-CN"/>
      </w:rPr>
      <w:fldChar w:fldCharType="end"/>
    </w:r>
  </w:p>
  <w:p>
    <w:pPr>
      <w:pStyle w:val="18"/>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46969C9D"/>
    <w:multiLevelType w:val="singleLevel"/>
    <w:tmpl w:val="46969C9D"/>
    <w:lvl w:ilvl="0">
      <w:start w:val="1"/>
      <w:numFmt w:val="chineseCounting"/>
      <w:lvlRestart w:val="0"/>
      <w:suff w:val="nothing"/>
      <w:lvlText w:val="%1、"/>
      <w:lvlJc w:val="left"/>
      <w:pPr>
        <w:ind w:left="0" w:hanging="0"/>
      </w:pPr>
      <w:rPr>
        <w:rFonts w:cs="Times New Roman" w:hint="eastAsia"/>
      </w:rPr>
    </w:lvl>
  </w:abstractNum>
  <w:abstractNum w:abstractNumId="1">
    <w:nsid w:val="91EA8927"/>
    <w:multiLevelType w:val="singleLevel"/>
    <w:tmpl w:val="91EA8927"/>
    <w:lvl w:ilvl="0">
      <w:start w:val="1"/>
      <w:numFmt w:val="chineseCounting"/>
      <w:lvlRestart w:val="0"/>
      <w:suff w:val="nothing"/>
      <w:lvlText w:val="（%1）"/>
      <w:lvlJc w:val="left"/>
      <w:pPr>
        <w:ind w:left="0" w:hanging="0"/>
      </w:pPr>
      <w:rPr>
        <w:rFonts w:cs="Times New Roman" w:hint="eastAsia"/>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1"/>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cs="Cambria" w:hAnsi="Cambria"/>
      <w:b/>
      <w:bCs/>
      <w:sz w:val="32"/>
      <w:szCs w:val="32"/>
    </w:rPr>
  </w:style>
  <w:style w:type="character" w:customStyle="1" w:styleId="2Char">
    <w:name w:val="heading 2 Char"/>
    <w:basedOn w:val="10"/>
    <w:link w:val="2"/>
    <w:rPr>
      <w:rFonts w:ascii="Cambria" w:eastAsia="宋体" w:cs="Cambria"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24"/>
      <w:szCs w:val="20"/>
    </w:rPr>
  </w:style>
  <w:style w:type="paragraph" w:styleId="16">
    <w:name w:val="toc 3"/>
    <w:basedOn w:val="0"/>
    <w:next w:val="0"/>
    <w:pPr>
      <w:tabs>
        <w:tab w:val="right" w:leader="dot" w:pos="8296"/>
      </w:tabs>
      <w:ind w:leftChars="400" w:left="400"/>
    </w:p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kern w:val="0"/>
      <w:sz w:val="18"/>
      <w:szCs w:val="20"/>
    </w:rPr>
  </w:style>
  <w:style w:type="paragraph" w:styleId="19">
    <w:name w:val="header"/>
    <w:basedOn w:val="0"/>
    <w:pPr>
      <w:pBdr>
        <w:bottom w:val="single" w:sz="6" w:space="1" w:color="auto"/>
      </w:pBdr>
      <w:tabs>
        <w:tab w:val="center" w:pos="4153"/>
        <w:tab w:val="right" w:pos="8306"/>
      </w:tabs>
      <w:snapToGrid w:val="0"/>
      <w:jc w:val="center"/>
    </w:pPr>
    <w:rPr>
      <w:kern w:val="0"/>
      <w:sz w:val="18"/>
      <w:szCs w:val="20"/>
    </w:rPr>
  </w:style>
  <w:style w:type="paragraph" w:styleId="20">
    <w:name w:val="toc 1"/>
    <w:basedOn w:val="0"/>
    <w:next w:val="0"/>
    <w:pPr>
      <w:tabs>
        <w:tab w:val="right" w:leader="dot" w:pos="8296"/>
      </w:tabs>
      <w:spacing w:before="93"/>
      <w:jc w:val="center"/>
    </w:pPr>
    <w:rPr>
      <w:rFonts w:ascii="仿宋" w:eastAsia="仿宋" w:cs="仿宋"/>
      <w:sz w:val="28"/>
      <w:szCs w:val="28"/>
    </w:rPr>
  </w:style>
  <w:style w:type="paragraph" w:styleId="21">
    <w:name w:val="toc 2"/>
    <w:basedOn w:val="0"/>
    <w:next w:val="0"/>
    <w:pPr>
      <w:tabs>
        <w:tab w:val="right" w:leader="dot" w:pos="8296"/>
      </w:tabs>
      <w:ind w:leftChars="200" w:left="200"/>
    </w:pPr>
  </w:style>
  <w:style w:type="paragraph" w:styleId="22">
    <w:name w:val="Normal (Web)"/>
    <w:basedOn w:val="0"/>
    <w:pPr>
      <w:widowControl/>
      <w:spacing w:before="100" w:beforeAutospacing="1" w:after="100" w:afterAutospacing="1"/>
      <w:jc w:val="left"/>
    </w:pPr>
    <w:rPr>
      <w:rFonts w:ascii="宋体" w:cs="宋体"/>
      <w:kern w:val="0"/>
      <w:sz w:val="24"/>
      <w:szCs w:val="24"/>
    </w:rPr>
  </w:style>
  <w:style w:type="character" w:styleId="23">
    <w:name w:val="Strong"/>
    <w:basedOn w:val="10"/>
    <w:rPr>
      <w:rFonts w:cs="Times New Roman"/>
      <w:b/>
      <w:bCs/>
    </w:rPr>
  </w:style>
  <w:style w:type="character" w:styleId="24">
    <w:name w:val="Hyperlink"/>
    <w:basedOn w:val="10"/>
    <w:rPr>
      <w:rFonts w:cs="Times New Roman"/>
      <w:color w:val="0000FF"/>
      <w:u w:val="single"/>
    </w:rPr>
  </w:style>
  <w:style w:type="paragraph" w:customStyle="1" w:styleId="25">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26">
    <w:name w:val="List Paragraph"/>
    <w:basedOn w:val="0"/>
    <w:pPr>
      <w:ind w:firstLineChars="200" w:firstLine="200"/>
    </w:pPr>
  </w:style>
  <w:style w:type="paragraph" w:customStyle="1" w:styleId="27">
    <w:name w:val="TOC Heading1"/>
    <w:basedOn w:val="1"/>
    <w:next w:val="0"/>
    <w:pPr>
      <w:keepNext/>
      <w:keepLines/>
      <w:widowControl/>
      <w:spacing w:before="480" w:after="0" w:line="276" w:lineRule="auto"/>
      <w:jc w:val="left"/>
      <w:outlineLvl w:val="9"/>
    </w:pPr>
    <w:rPr>
      <w:rFonts w:ascii="Cambria" w:cs="Cambria" w:hAnsi="Cambria"/>
      <w:color w:val="365F91"/>
      <w:kern w:val="0"/>
      <w:sz w:val="28"/>
      <w:szCs w:val="28"/>
    </w:rPr>
  </w:style>
  <w:style w:type="paragraph" w:customStyle="1" w:styleId="28">
    <w:name w:val="infodetail"/>
    <w:next w:val="0"/>
    <w:pPr>
      <w:spacing w:before="100" w:beforeAutospacing="1" w:after="100" w:afterAutospacing="1" w:line="360" w:lineRule="auto"/>
    </w:pPr>
    <w:rPr>
      <w:rFonts w:ascii="宋体" w:eastAsia="宋体" w:cs="宋体"/>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chart" Target="charts/chart1.xml"/><Relationship Id="rId5" Type="http://schemas.openxmlformats.org/officeDocument/2006/relationships/chart" Target="charts/chart2.xml"/><Relationship Id="rId6" Type="http://schemas.openxmlformats.org/officeDocument/2006/relationships/chart" Target="charts/chart3.xml"/><Relationship Id="rId7" Type="http://schemas.openxmlformats.org/officeDocument/2006/relationships/chart" Target="charts/chart4.xml"/><Relationship Id="rId8" Type="http://schemas.openxmlformats.org/officeDocument/2006/relationships/chart" Target="charts/chart5.xml"/><Relationship Id="rId9" Type="http://schemas.openxmlformats.org/officeDocument/2006/relationships/chart" Target="charts/chart6.xml"/><Relationship Id="rId10" Type="http://schemas.openxmlformats.org/officeDocument/2006/relationships/styles" Target="styles.xml"/><Relationship Id="rId11" Type="http://schemas.openxmlformats.org/officeDocument/2006/relationships/numbering" Target="numbering.xml"/><Relationship Id="rId1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rgbClr val="4F81BD"/>
            </a:solidFill>
            <a:ln>
              <a:noFill/>
            </a:ln>
          </c:spPr>
          <c:invertIfNegative val="0"/>
          <c:dLbls>
            <c:spPr>
              <a:noFill/>
              <a:ln>
                <a:noFill/>
              </a:ln>
            </c:spPr>
            <c:txPr>
              <a:bodyPr vert="horz"/>
              <a:lstStyle/>
              <a:p>
                <a:pPr>
                  <a:defRPr sz="900" b="0" i="0" u="none" strike="noStrike" baseline="0">
                    <a:solidFill>
                      <a:srgbClr val="707070"/>
                    </a:solidFill>
                    <a:latin typeface="Times New Roman"/>
                    <a:ea typeface="宋体"/>
                    <a:cs typeface="Lucida Sans"/>
                  </a:defRPr>
                </a:pPr>
                <a:endParaRPr lang="zh-CN"/>
              </a:p>
            </c:txPr>
            <c:numFmt formatCode="General" sourceLinked="0"/>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Lit>
              <c:ptCount val="6"/>
              <c:pt idx="0">
                <c:v>2017年</c:v>
              </c:pt>
              <c:pt idx="1">
                <c:v>2018年</c:v>
              </c:pt>
              <c:pt idx="2">
                <c:v>&amp;sxmk&amp;</c:v>
              </c:pt>
              <c:pt idx="3">
                <c:v>收、支决算总计变动情况图</c:v>
              </c:pt>
              <c:pt idx="4">
                <c:v>收、支决算总计变动情况图</c:v>
              </c:pt>
              <c:pt idx="5">
                <c:v>&amp;sxmk&amp;</c:v>
              </c:pt>
            </c:strLit>
          </c:cat>
          <c:val>
            <c:numRef>
              <c:f/>
              <c:numCache>
                <c:formatCode>General</c:formatCode>
                <c:ptCount val="2"/>
                <c:pt idx="0">
                  <c:v>199.21</c:v>
                </c:pt>
                <c:pt idx="1">
                  <c:v>224.84</c:v>
                </c:pt>
              </c:numCache>
            </c:numRef>
          </c:val>
        </c:ser>
        <c:overlap val="100"/>
        <c:gapWidth val="150"/>
        <c:axId val="0"/>
        <c:axId val="1"/>
      </c:barChart>
      <c:catAx>
        <c:axId val="0"/>
        <c:scaling>
          <c:orientation val="minMax"/>
        </c:scaling>
        <c:delete val="0"/>
        <c:axPos val="b"/>
        <c:numFmt formatCode="General" sourceLinked="0"/>
        <c:majorTickMark val="none"/>
        <c:minorTickMark val="none"/>
        <c:tickLblPos val="nextTo"/>
        <c:spPr>
          <a:ln w="6350">
            <a:solidFill>
              <a:srgbClr val="F9F9F9"/>
            </a:solidFill>
            <a:prstDash val="solid"/>
          </a:ln>
        </c:spPr>
        <c:txPr>
          <a:bodyPr/>
          <a:lstStyle/>
          <a:p>
            <a:pPr>
              <a:defRPr sz="900" b="0" i="0" u="none" strike="noStrike" baseline="0">
                <a:solidFill>
                  <a:srgbClr val="939393"/>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F9F9F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939393"/>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2018年 一般公共预算财政拨款收入</c:v>
          </c:tx>
          <c:spPr>
            <a:solidFill>
              <a:srgbClr val="4F81BD"/>
            </a:solidFill>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Lbls>
            <c:spPr>
              <a:noFill/>
              <a:ln>
                <a:noFill/>
              </a:ln>
            </c:spPr>
            <c:txPr>
              <a:bodyPr vert="horz"/>
              <a:lstStyle/>
              <a:p>
                <a:pPr>
                  <a:defRPr sz="900" b="0" i="0" u="none" strike="noStrike" baseline="0">
                    <a:solidFill>
                      <a:srgbClr val="707070"/>
                    </a:solidFill>
                    <a:latin typeface="Times New Roman"/>
                    <a:ea typeface="宋体"/>
                    <a:cs typeface="Lucida Sans"/>
                  </a:defRPr>
                </a:pPr>
                <a:endParaRPr lang="zh-CN"/>
              </a:p>
            </c:txPr>
            <c:numFmt formatCode="General" sourceLinked="0"/>
            <c:showLegendKey val="0"/>
            <c:showVal val="1"/>
            <c:showCatName val="0"/>
            <c:showSerName val="0"/>
            <c:showPercent val="0"/>
            <c:showBubbleSize val="0"/>
            <c:showLeaderLines val="1"/>
          </c:dLbls>
          <c:val>
            <c:numRef>
              <c:f/>
              <c:numCache>
                <c:formatCode>General</c:formatCode>
                <c:ptCount val="2"/>
                <c:pt idx="0">
                  <c:v>224.84</c:v>
                </c:pt>
                <c:pt idx="1">
                  <c:v>1.0</c:v>
                </c:pt>
              </c:numCache>
            </c:numRef>
          </c:val>
        </c:ser>
        <c:firstSliceAng val="0"/>
      </c:pieChart>
      <c:spPr>
        <a:noFill/>
        <a:ln>
          <a:noFill/>
        </a:ln>
      </c:spPr>
    </c:plotArea>
    <c:plotVisOnly val="1"/>
    <c:dispBlanksAs val="zero"/>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939393"/>
                </a:solidFill>
                <a:latin typeface="Times New Roman"/>
                <a:ea typeface="宋体"/>
                <a:cs typeface="Lucida Sans"/>
              </a:defRPr>
            </a:pPr>
            <a:r>
              <a:rPr lang="zh-CN"/>
              <a:t>支出决算结构图</a:t>
            </a:r>
          </a:p>
        </c:rich>
      </c:tx>
      <c:layout>
        <c:manualLayout>
          <c:xMode val="edge"/>
          <c:yMode val="edge"/>
          <c:x val="0.31861112"/>
          <c:y val="0.06944445"/>
        </c:manualLayout>
      </c:layout>
      <c:overlay val="0"/>
      <c:spPr>
        <a:noFill/>
        <a:ln>
          <a:noFill/>
        </a:ln>
      </c:spPr>
    </c:title>
    <c:autoTitleDeleted val="1"/>
    <c:plotArea>
      <c:layout/>
      <c:pieChart>
        <c:varyColors val="1"/>
        <c:ser>
          <c:idx val="0"/>
          <c:order val="0"/>
          <c:spPr>
            <a:solidFill>
              <a:srgbClr val="4F81BD"/>
            </a:solidFill>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a:ln w="19050">
                <a:solidFill>
                  <a:srgbClr val="FFFFFF"/>
                </a:solidFill>
                <a:prstDash val="solid"/>
              </a:ln>
            </c:spPr>
          </c:dPt>
          <c:dLbls>
            <c:spPr>
              <a:noFill/>
              <a:ln>
                <a:noFill/>
              </a:ln>
            </c:spPr>
            <c:txPr>
              <a:bodyPr vert="horz"/>
              <a:lstStyle/>
              <a:p>
                <a:pPr>
                  <a:defRPr sz="900" b="0" i="0" u="none" strike="noStrike" baseline="0">
                    <a:solidFill>
                      <a:srgbClr val="707070"/>
                    </a:solidFill>
                    <a:latin typeface="Times New Roman"/>
                    <a:ea typeface="宋体"/>
                    <a:cs typeface="Lucida Sans"/>
                  </a:defRPr>
                </a:pPr>
                <a:endParaRPr lang="zh-CN"/>
              </a:p>
            </c:txPr>
            <c:numFmt formatCode="General" sourceLinked="0"/>
            <c:showLegendKey val="0"/>
            <c:showVal val="1"/>
            <c:showCatName val="0"/>
            <c:showSerName val="0"/>
            <c:showPercent val="0"/>
            <c:showBubbleSize val="0"/>
            <c:showLeaderLines val="1"/>
          </c:dLbls>
          <c:cat>
            <c:strLit>
              <c:ptCount val="5"/>
              <c:pt idx="0">
                <c:v>基本支出</c:v>
              </c:pt>
              <c:pt idx="1">
                <c:v>项目支出</c:v>
              </c:pt>
              <c:pt idx="2">
                <c:v>上缴上级支出</c:v>
              </c:pt>
              <c:pt idx="3">
                <c:v>经营支出</c:v>
              </c:pt>
              <c:pt idx="4">
                <c:v>对附属单位补助支出</c:v>
              </c:pt>
            </c:strLit>
          </c:cat>
          <c:val>
            <c:numRef>
              <c:f/>
              <c:numCache>
                <c:formatCode>General</c:formatCode>
                <c:ptCount val="5"/>
                <c:pt idx="0">
                  <c:v>219.54</c:v>
                </c:pt>
                <c:pt idx="1">
                  <c:v>5.0</c:v>
                </c:pt>
                <c:pt idx="2">
                  <c:v>0.0</c:v>
                </c:pt>
                <c:pt idx="3">
                  <c:v>0.0</c:v>
                </c:pt>
                <c:pt idx="4">
                  <c:v>0.0</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939393"/>
              </a:solidFill>
              <a:latin typeface="Times New Roman"/>
              <a:ea typeface="宋体"/>
              <a:cs typeface="Lucida Sans"/>
            </a:defRPr>
          </a:pPr>
          <a:endParaRPr lang="zh-CN"/>
        </a:p>
      </c:txPr>
    </c:legend>
    <c:plotVisOnly val="1"/>
    <c:dispBlanksAs val="zero"/>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939393"/>
                </a:solidFill>
                <a:latin typeface="Times New Roman"/>
                <a:ea typeface="宋体"/>
                <a:cs typeface="Lucida Sans"/>
              </a:defRPr>
            </a:pPr>
            <a:r>
              <a:rPr lang="zh-CN"/>
              <a:t>财政拨款收、支决算总计变动情况</a:t>
            </a:r>
          </a:p>
        </c:rich>
      </c:tx>
      <c:layout>
        <c:manualLayout>
          <c:xMode val="edge"/>
          <c:yMode val="edge"/>
          <c:x val="0.19986111"/>
          <c:y val="0.034722224"/>
        </c:manualLayout>
      </c:layout>
      <c:overlay val="0"/>
      <c:spPr>
        <a:noFill/>
        <a:ln>
          <a:noFill/>
        </a:ln>
      </c:spPr>
    </c:title>
    <c:autoTitleDeleted val="1"/>
    <c:plotArea>
      <c:layout/>
      <c:barChart>
        <c:barDir val="col"/>
        <c:grouping val="stacked"/>
        <c:varyColors val="0"/>
        <c:ser>
          <c:idx val="0"/>
          <c:order val="0"/>
          <c:spPr>
            <a:solidFill>
              <a:srgbClr val="4F81BD"/>
            </a:solidFill>
            <a:ln>
              <a:noFill/>
            </a:ln>
          </c:spPr>
          <c:invertIfNegative val="0"/>
          <c:dLbls>
            <c:spPr>
              <a:noFill/>
              <a:ln>
                <a:noFill/>
              </a:ln>
            </c:spPr>
            <c:txPr>
              <a:bodyPr vert="horz"/>
              <a:lstStyle/>
              <a:p>
                <a:pPr>
                  <a:defRPr sz="900" b="0" i="0" u="none" strike="noStrike" baseline="0">
                    <a:solidFill>
                      <a:srgbClr val="707070"/>
                    </a:solidFill>
                    <a:latin typeface="Times New Roman"/>
                    <a:ea typeface="宋体"/>
                    <a:cs typeface="Lucida Sans"/>
                  </a:defRPr>
                </a:pPr>
                <a:endParaRPr lang="zh-CN"/>
              </a:p>
            </c:txPr>
            <c:numFmt formatCode="General" sourceLinked="0"/>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2017年</c:v>
              </c:pt>
              <c:pt idx="1">
                <c:v>2018年</c:v>
              </c:pt>
            </c:strLit>
          </c:cat>
          <c:val>
            <c:numRef>
              <c:f/>
              <c:numCache>
                <c:formatCode>General</c:formatCode>
                <c:ptCount val="2"/>
                <c:pt idx="0">
                  <c:v>199.21</c:v>
                </c:pt>
                <c:pt idx="1">
                  <c:v>224.84</c:v>
                </c:pt>
              </c:numCache>
            </c:numRef>
          </c:val>
        </c:ser>
        <c:overlap val="100"/>
        <c:gapWidth val="150"/>
        <c:axId val="0"/>
        <c:axId val="1"/>
      </c:barChart>
      <c:catAx>
        <c:axId val="0"/>
        <c:scaling>
          <c:orientation val="minMax"/>
        </c:scaling>
        <c:delete val="0"/>
        <c:axPos val="b"/>
        <c:numFmt formatCode="General" sourceLinked="0"/>
        <c:majorTickMark val="none"/>
        <c:minorTickMark val="none"/>
        <c:tickLblPos val="nextTo"/>
        <c:spPr>
          <a:ln w="6350">
            <a:solidFill>
              <a:srgbClr val="F9F9F9"/>
            </a:solidFill>
            <a:prstDash val="solid"/>
          </a:ln>
        </c:spPr>
        <c:txPr>
          <a:bodyPr/>
          <a:lstStyle/>
          <a:p>
            <a:pPr>
              <a:defRPr sz="900" b="0" i="0" u="none" strike="noStrike" baseline="0">
                <a:solidFill>
                  <a:srgbClr val="939393"/>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F9F9F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939393"/>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939393"/>
                </a:solidFill>
                <a:latin typeface="Times New Roman"/>
                <a:ea typeface="宋体"/>
                <a:cs typeface="Lucida Sans"/>
              </a:defRPr>
            </a:pPr>
            <a:r>
              <a:rPr lang="zh-CN"/>
              <a:t>一般公共预算财政拨款支出决算结构</a:t>
            </a:r>
          </a:p>
        </c:rich>
      </c:tx>
      <c:layout/>
      <c:overlay val="0"/>
      <c:spPr>
        <a:noFill/>
        <a:ln>
          <a:noFill/>
        </a:ln>
      </c:spPr>
    </c:title>
    <c:autoTitleDeleted val="1"/>
    <c:plotArea>
      <c:layout/>
      <c:pieChart>
        <c:varyColors val="1"/>
        <c:ser>
          <c:idx val="0"/>
          <c:order val="0"/>
          <c:spPr>
            <a:solidFill>
              <a:srgbClr val="4F81BD"/>
            </a:solidFill>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Lbls>
            <c:spPr>
              <a:noFill/>
              <a:ln>
                <a:noFill/>
              </a:ln>
            </c:spPr>
            <c:txPr>
              <a:bodyPr vert="horz"/>
              <a:lstStyle/>
              <a:p>
                <a:pPr>
                  <a:defRPr sz="900" b="0" i="0" u="none" strike="noStrike" baseline="0">
                    <a:solidFill>
                      <a:srgbClr val="707070"/>
                    </a:solidFill>
                    <a:latin typeface="Times New Roman"/>
                    <a:ea typeface="宋体"/>
                    <a:cs typeface="Lucida Sans"/>
                  </a:defRPr>
                </a:pPr>
                <a:endParaRPr lang="zh-CN"/>
              </a:p>
            </c:txPr>
            <c:numFmt formatCode="General" sourceLinked="0"/>
            <c:showLegendKey val="0"/>
            <c:showVal val="1"/>
            <c:showCatName val="0"/>
            <c:showSerName val="0"/>
            <c:showPercent val="0"/>
            <c:showBubbleSize val="0"/>
            <c:showLeaderLines val="1"/>
          </c:dLbls>
          <c:cat>
            <c:strLit>
              <c:ptCount val="4"/>
              <c:pt idx="0">
                <c:v>一般公共服务</c:v>
              </c:pt>
              <c:pt idx="1">
                <c:v>社会保障和就业</c:v>
              </c:pt>
              <c:pt idx="2">
                <c:v>医疗卫生</c:v>
              </c:pt>
              <c:pt idx="3">
                <c:v>住房保障</c:v>
              </c:pt>
            </c:strLit>
          </c:cat>
          <c:val>
            <c:numRef>
              <c:f/>
              <c:numCache>
                <c:formatCode>General</c:formatCode>
                <c:ptCount val="4"/>
                <c:pt idx="0">
                  <c:v>172.46</c:v>
                </c:pt>
                <c:pt idx="1">
                  <c:v>27.32</c:v>
                </c:pt>
                <c:pt idx="2">
                  <c:v>10.94</c:v>
                </c:pt>
                <c:pt idx="3">
                  <c:v>14.12</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939393"/>
              </a:solidFill>
              <a:latin typeface="Times New Roman"/>
              <a:ea typeface="宋体"/>
              <a:cs typeface="Lucida Sans"/>
            </a:defRPr>
          </a:pPr>
          <a:endParaRPr lang="zh-CN"/>
        </a:p>
      </c:txPr>
    </c:legend>
    <c:plotVisOnly val="1"/>
    <c:dispBlanksAs val="zero"/>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939393"/>
                </a:solidFill>
                <a:latin typeface="Times New Roman"/>
                <a:ea typeface="宋体"/>
                <a:cs typeface="Lucida Sans"/>
              </a:defRPr>
            </a:pPr>
            <a:r>
              <a:rPr lang="zh-CN"/>
              <a:t>“三公”经费财政拨款支出结构</a:t>
            </a:r>
          </a:p>
        </c:rich>
      </c:tx>
      <c:layout/>
      <c:overlay val="0"/>
      <c:spPr>
        <a:noFill/>
        <a:ln>
          <a:noFill/>
        </a:ln>
      </c:spPr>
    </c:title>
    <c:autoTitleDeleted val="1"/>
    <c:plotArea>
      <c:layout/>
      <c:pieChart>
        <c:varyColors val="1"/>
        <c:ser>
          <c:idx val="0"/>
          <c:order val="0"/>
          <c:spPr>
            <a:solidFill>
              <a:srgbClr val="4F81BD"/>
            </a:solidFill>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Lbls>
            <c:spPr>
              <a:noFill/>
              <a:ln>
                <a:noFill/>
              </a:ln>
            </c:spPr>
            <c:txPr>
              <a:bodyPr vert="horz"/>
              <a:lstStyle/>
              <a:p>
                <a:pPr>
                  <a:defRPr sz="900" b="0" i="0" u="none" strike="noStrike" baseline="0">
                    <a:solidFill>
                      <a:srgbClr val="707070"/>
                    </a:solidFill>
                    <a:latin typeface="Times New Roman"/>
                    <a:ea typeface="宋体"/>
                    <a:cs typeface="Lucida Sans"/>
                  </a:defRPr>
                </a:pPr>
                <a:endParaRPr lang="zh-CN"/>
              </a:p>
            </c:txPr>
            <c:numFmt formatCode="General" sourceLinked="0"/>
            <c:showLegendKey val="0"/>
            <c:showVal val="1"/>
            <c:showCatName val="0"/>
            <c:showSerName val="0"/>
            <c:showPercent val="0"/>
            <c:showBubbleSize val="0"/>
            <c:showLeaderLines val="1"/>
          </c:dLbls>
          <c:cat>
            <c:strLit>
              <c:ptCount val="2"/>
              <c:pt idx="0">
                <c:v>公务接待费支出</c:v>
              </c:pt>
              <c:pt idx="1">
                <c:v>公务用车购置及运行维护费支出</c:v>
              </c:pt>
            </c:strLit>
          </c:cat>
          <c:val>
            <c:numRef>
              <c:f/>
              <c:numCache>
                <c:formatCode>General</c:formatCode>
                <c:ptCount val="2"/>
                <c:pt idx="0">
                  <c:v>1.39</c:v>
                </c:pt>
                <c:pt idx="1">
                  <c:v>0.0</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939393"/>
              </a:solidFill>
              <a:latin typeface="Times New Roman"/>
              <a:ea typeface="宋体"/>
              <a:cs typeface="Lucida Sans"/>
            </a:defRPr>
          </a:pPr>
          <a:endParaRPr lang="zh-CN"/>
        </a:p>
      </c:txPr>
    </c:legend>
    <c:plotVisOnly val="1"/>
    <c:dispBlanksAs val="zero"/>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4</TotalTime>
  <Application>Yozo_Office27021597764231179</Application>
  <Pages>24</Pages>
  <Words>9599</Words>
  <Characters>10156</Characters>
  <Lines>736</Lines>
  <Paragraphs>298</Paragraphs>
  <CharactersWithSpaces>10248</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张彬茜</dc:creator>
  <cp:lastModifiedBy>user</cp:lastModifiedBy>
  <cp:revision>2</cp:revision>
  <cp:lastPrinted>2019-09-26T01:22:00Z</cp:lastPrinted>
  <dcterms:created xsi:type="dcterms:W3CDTF">2021-06-07T17:57:00Z</dcterms:created>
  <dcterms:modified xsi:type="dcterms:W3CDTF">2026-09-17T09:26:02Z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2052-11.1.0.10702</vt:lpwstr>
  </property>
  <property fmtid="{D5CDD505-2E9C-101B-9397-08002B2CF9AE}" pid="3" name="ICV">
    <vt:lpwstr>90CBD19CC9EA6B0420DFAF645ED5849A</vt:lpwstr>
  </property>
</Properties>
</file>