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C813D1">
      <w:pPr>
        <w:pageBreakBefore w:val="0"/>
        <w:kinsoku/>
        <w:wordWrap/>
        <w:overflowPunct/>
        <w:topLinePunct w:val="0"/>
        <w:bidi w:val="0"/>
        <w:spacing w:line="576" w:lineRule="exact"/>
        <w:jc w:val="center"/>
        <w:textAlignment w:val="auto"/>
        <w:rPr>
          <w:rFonts w:hint="eastAsia" w:ascii="方正小标宋简体" w:hAnsi="方正小标宋简体" w:eastAsia="方正小标宋简体" w:cs="方正小标宋简体"/>
          <w:sz w:val="48"/>
          <w:szCs w:val="48"/>
        </w:rPr>
      </w:pPr>
    </w:p>
    <w:p w14:paraId="5659196C">
      <w:pPr>
        <w:pageBreakBefore w:val="0"/>
        <w:kinsoku/>
        <w:wordWrap/>
        <w:overflowPunct/>
        <w:topLinePunct w:val="0"/>
        <w:bidi w:val="0"/>
        <w:spacing w:line="576" w:lineRule="exact"/>
        <w:jc w:val="center"/>
        <w:textAlignment w:val="auto"/>
        <w:rPr>
          <w:rFonts w:hint="eastAsia" w:ascii="方正小标宋简体" w:hAnsi="方正小标宋简体" w:eastAsia="方正小标宋简体" w:cs="方正小标宋简体"/>
          <w:sz w:val="48"/>
          <w:szCs w:val="48"/>
        </w:rPr>
      </w:pPr>
    </w:p>
    <w:p w14:paraId="42E3BD80">
      <w:pPr>
        <w:pageBreakBefore w:val="0"/>
        <w:kinsoku/>
        <w:wordWrap/>
        <w:overflowPunct/>
        <w:topLinePunct w:val="0"/>
        <w:bidi w:val="0"/>
        <w:spacing w:line="576" w:lineRule="exact"/>
        <w:jc w:val="center"/>
        <w:textAlignment w:val="auto"/>
        <w:rPr>
          <w:rFonts w:hint="eastAsia" w:ascii="方正小标宋简体" w:hAnsi="方正小标宋简体" w:eastAsia="方正小标宋简体" w:cs="方正小标宋简体"/>
          <w:sz w:val="48"/>
          <w:szCs w:val="48"/>
        </w:rPr>
      </w:pPr>
      <w:r>
        <w:rPr>
          <w:rFonts w:hint="eastAsia" w:ascii="方正小标宋简体" w:hAnsi="方正小标宋简体" w:eastAsia="方正小标宋简体" w:cs="方正小标宋简体"/>
          <w:sz w:val="48"/>
          <w:szCs w:val="48"/>
        </w:rPr>
        <w:t>202</w:t>
      </w:r>
      <w:r>
        <w:rPr>
          <w:rFonts w:hint="eastAsia" w:ascii="方正小标宋简体" w:hAnsi="方正小标宋简体" w:eastAsia="方正小标宋简体" w:cs="方正小标宋简体"/>
          <w:sz w:val="48"/>
          <w:szCs w:val="48"/>
          <w:lang w:val="en-US" w:eastAsia="zh-CN"/>
        </w:rPr>
        <w:t>5</w:t>
      </w:r>
      <w:r>
        <w:rPr>
          <w:rFonts w:hint="eastAsia" w:ascii="方正小标宋简体" w:hAnsi="方正小标宋简体" w:eastAsia="方正小标宋简体" w:cs="方正小标宋简体"/>
          <w:sz w:val="48"/>
          <w:szCs w:val="48"/>
        </w:rPr>
        <w:t>年度</w:t>
      </w:r>
    </w:p>
    <w:p w14:paraId="709DBF81">
      <w:pPr>
        <w:pageBreakBefore w:val="0"/>
        <w:kinsoku/>
        <w:wordWrap/>
        <w:overflowPunct/>
        <w:topLinePunct w:val="0"/>
        <w:bidi w:val="0"/>
        <w:spacing w:line="576" w:lineRule="exact"/>
        <w:jc w:val="center"/>
        <w:textAlignment w:val="auto"/>
        <w:rPr>
          <w:rFonts w:hint="eastAsia" w:ascii="方正小标宋简体" w:hAnsi="宋体" w:eastAsia="方正小标宋简体" w:cs="Times New Roman"/>
          <w:color w:val="auto"/>
          <w:kern w:val="2"/>
          <w:sz w:val="44"/>
          <w:szCs w:val="44"/>
          <w:highlight w:val="none"/>
          <w:lang w:val="en-US" w:eastAsia="zh-CN" w:bidi="ar-SA"/>
        </w:rPr>
      </w:pPr>
      <w:r>
        <w:rPr>
          <w:rFonts w:hint="eastAsia" w:ascii="方正小标宋简体" w:hAnsi="宋体" w:eastAsia="方正小标宋简体" w:cs="Times New Roman"/>
          <w:color w:val="auto"/>
          <w:kern w:val="2"/>
          <w:sz w:val="44"/>
          <w:szCs w:val="44"/>
          <w:highlight w:val="none"/>
          <w:lang w:val="en-US" w:eastAsia="zh-CN" w:bidi="ar-SA"/>
        </w:rPr>
        <w:t>四川省阿坝州</w:t>
      </w:r>
    </w:p>
    <w:p w14:paraId="76895D65">
      <w:pPr>
        <w:pageBreakBefore w:val="0"/>
        <w:kinsoku/>
        <w:wordWrap/>
        <w:overflowPunct/>
        <w:topLinePunct w:val="0"/>
        <w:bidi w:val="0"/>
        <w:spacing w:line="576" w:lineRule="exact"/>
        <w:jc w:val="center"/>
        <w:textAlignment w:val="auto"/>
        <w:rPr>
          <w:rFonts w:hint="eastAsia" w:ascii="方正小标宋简体" w:hAnsi="方正小标宋简体" w:eastAsia="方正小标宋简体" w:cs="方正小标宋简体"/>
          <w:sz w:val="48"/>
          <w:szCs w:val="48"/>
        </w:rPr>
      </w:pPr>
      <w:r>
        <w:rPr>
          <w:rFonts w:hint="eastAsia" w:ascii="方正小标宋简体" w:hAnsi="方正小标宋简体" w:eastAsia="方正小标宋简体" w:cs="方正小标宋简体"/>
          <w:sz w:val="48"/>
          <w:szCs w:val="48"/>
          <w:lang w:eastAsia="zh-CN"/>
        </w:rPr>
        <w:t>中共</w:t>
      </w:r>
      <w:r>
        <w:rPr>
          <w:rFonts w:hint="eastAsia" w:ascii="方正小标宋简体" w:hAnsi="方正小标宋简体" w:eastAsia="方正小标宋简体" w:cs="方正小标宋简体"/>
          <w:sz w:val="48"/>
          <w:szCs w:val="48"/>
        </w:rPr>
        <w:t>茂县</w:t>
      </w:r>
      <w:r>
        <w:rPr>
          <w:rFonts w:hint="eastAsia" w:ascii="方正小标宋简体" w:hAnsi="方正小标宋简体" w:eastAsia="方正小标宋简体" w:cs="方正小标宋简体"/>
          <w:sz w:val="48"/>
          <w:szCs w:val="48"/>
          <w:lang w:eastAsia="zh-CN"/>
        </w:rPr>
        <w:t>县委机构编制委员会办公室</w:t>
      </w:r>
    </w:p>
    <w:p w14:paraId="48734A92">
      <w:pPr>
        <w:pageBreakBefore w:val="0"/>
        <w:kinsoku/>
        <w:wordWrap/>
        <w:overflowPunct/>
        <w:topLinePunct w:val="0"/>
        <w:bidi w:val="0"/>
        <w:spacing w:line="576" w:lineRule="exact"/>
        <w:jc w:val="center"/>
        <w:textAlignment w:val="auto"/>
        <w:rPr>
          <w:rFonts w:hint="eastAsia" w:ascii="方正小标宋简体" w:hAnsi="方正小标宋简体" w:eastAsia="方正小标宋简体" w:cs="方正小标宋简体"/>
          <w:sz w:val="48"/>
          <w:szCs w:val="48"/>
        </w:rPr>
      </w:pPr>
      <w:r>
        <w:rPr>
          <w:rFonts w:hint="eastAsia" w:ascii="方正小标宋简体" w:hAnsi="方正小标宋简体" w:eastAsia="方正小标宋简体" w:cs="方正小标宋简体"/>
          <w:sz w:val="48"/>
          <w:szCs w:val="48"/>
        </w:rPr>
        <w:t>部门决算</w:t>
      </w:r>
    </w:p>
    <w:p w14:paraId="0DDADE7B">
      <w:pPr>
        <w:pageBreakBefore w:val="0"/>
        <w:kinsoku/>
        <w:wordWrap/>
        <w:overflowPunct/>
        <w:topLinePunct w:val="0"/>
        <w:bidi w:val="0"/>
        <w:spacing w:line="576" w:lineRule="exact"/>
        <w:jc w:val="center"/>
        <w:textAlignment w:val="auto"/>
        <w:rPr>
          <w:rFonts w:ascii="黑体" w:hAnsi="Times New Roman" w:eastAsia="黑体" w:cs="Times New Roman"/>
          <w:sz w:val="72"/>
          <w:szCs w:val="72"/>
        </w:rPr>
      </w:pPr>
      <w:r>
        <w:rPr>
          <w:rFonts w:ascii="黑体" w:hAnsi="Times New Roman" w:eastAsia="黑体" w:cs="Times New Roman"/>
          <w:sz w:val="72"/>
          <w:szCs w:val="72"/>
        </w:rPr>
        <w:t> </w:t>
      </w:r>
    </w:p>
    <w:p w14:paraId="4550B9EB">
      <w:pPr>
        <w:pageBreakBefore w:val="0"/>
        <w:kinsoku/>
        <w:wordWrap/>
        <w:overflowPunct/>
        <w:topLinePunct w:val="0"/>
        <w:bidi w:val="0"/>
        <w:spacing w:line="576" w:lineRule="exact"/>
        <w:jc w:val="center"/>
        <w:textAlignment w:val="auto"/>
        <w:rPr>
          <w:rFonts w:ascii="黑体" w:hAnsi="Times New Roman" w:eastAsia="黑体" w:cs="Times New Roman"/>
          <w:sz w:val="72"/>
          <w:szCs w:val="72"/>
        </w:rPr>
      </w:pPr>
      <w:r>
        <w:rPr>
          <w:rFonts w:ascii="黑体" w:hAnsi="Times New Roman" w:eastAsia="黑体" w:cs="Times New Roman"/>
          <w:sz w:val="72"/>
          <w:szCs w:val="72"/>
        </w:rPr>
        <w:t> </w:t>
      </w:r>
    </w:p>
    <w:p w14:paraId="0374411D">
      <w:pPr>
        <w:pageBreakBefore w:val="0"/>
        <w:kinsoku/>
        <w:wordWrap/>
        <w:overflowPunct/>
        <w:topLinePunct w:val="0"/>
        <w:bidi w:val="0"/>
        <w:spacing w:line="576" w:lineRule="exact"/>
        <w:jc w:val="center"/>
        <w:textAlignment w:val="auto"/>
        <w:rPr>
          <w:rFonts w:ascii="黑体" w:hAnsi="Times New Roman" w:eastAsia="黑体" w:cs="Times New Roman"/>
          <w:sz w:val="72"/>
          <w:szCs w:val="72"/>
        </w:rPr>
      </w:pPr>
      <w:r>
        <w:rPr>
          <w:rFonts w:ascii="黑体" w:hAnsi="Times New Roman" w:eastAsia="黑体" w:cs="Times New Roman"/>
          <w:sz w:val="72"/>
          <w:szCs w:val="72"/>
        </w:rPr>
        <w:t> </w:t>
      </w:r>
    </w:p>
    <w:p w14:paraId="54E856A2">
      <w:pPr>
        <w:pageBreakBefore w:val="0"/>
        <w:kinsoku/>
        <w:wordWrap/>
        <w:overflowPunct/>
        <w:topLinePunct w:val="0"/>
        <w:bidi w:val="0"/>
        <w:spacing w:line="576" w:lineRule="exact"/>
        <w:jc w:val="center"/>
        <w:textAlignment w:val="auto"/>
        <w:rPr>
          <w:rFonts w:ascii="黑体" w:hAnsi="Times New Roman" w:eastAsia="黑体" w:cs="Times New Roman"/>
          <w:sz w:val="72"/>
          <w:szCs w:val="72"/>
        </w:rPr>
      </w:pPr>
      <w:r>
        <w:rPr>
          <w:rFonts w:ascii="黑体" w:hAnsi="Times New Roman" w:eastAsia="黑体" w:cs="Times New Roman"/>
          <w:sz w:val="72"/>
          <w:szCs w:val="72"/>
        </w:rPr>
        <w:t> </w:t>
      </w:r>
    </w:p>
    <w:p w14:paraId="0762B61C">
      <w:pPr>
        <w:pageBreakBefore w:val="0"/>
        <w:kinsoku/>
        <w:wordWrap/>
        <w:overflowPunct/>
        <w:topLinePunct w:val="0"/>
        <w:bidi w:val="0"/>
        <w:spacing w:line="576" w:lineRule="exact"/>
        <w:jc w:val="center"/>
        <w:textAlignment w:val="auto"/>
        <w:rPr>
          <w:rFonts w:ascii="黑体" w:hAnsi="Times New Roman" w:eastAsia="黑体" w:cs="Times New Roman"/>
          <w:sz w:val="72"/>
          <w:szCs w:val="72"/>
        </w:rPr>
      </w:pPr>
      <w:r>
        <w:rPr>
          <w:rFonts w:ascii="黑体" w:hAnsi="Times New Roman" w:eastAsia="黑体" w:cs="Times New Roman"/>
          <w:sz w:val="72"/>
          <w:szCs w:val="72"/>
        </w:rPr>
        <w:t> </w:t>
      </w:r>
    </w:p>
    <w:p w14:paraId="23F1A28C">
      <w:pPr>
        <w:pageBreakBefore w:val="0"/>
        <w:kinsoku/>
        <w:wordWrap/>
        <w:overflowPunct/>
        <w:topLinePunct w:val="0"/>
        <w:bidi w:val="0"/>
        <w:spacing w:line="576" w:lineRule="exact"/>
        <w:jc w:val="center"/>
        <w:textAlignment w:val="auto"/>
        <w:rPr>
          <w:rFonts w:ascii="黑体" w:hAnsi="Times New Roman" w:eastAsia="黑体" w:cs="Times New Roman"/>
          <w:sz w:val="72"/>
          <w:szCs w:val="72"/>
        </w:rPr>
      </w:pPr>
    </w:p>
    <w:p w14:paraId="38F278BF">
      <w:pPr>
        <w:pageBreakBefore w:val="0"/>
        <w:kinsoku/>
        <w:wordWrap/>
        <w:overflowPunct/>
        <w:topLinePunct w:val="0"/>
        <w:bidi w:val="0"/>
        <w:spacing w:line="576" w:lineRule="exact"/>
        <w:jc w:val="center"/>
        <w:textAlignment w:val="auto"/>
        <w:rPr>
          <w:rFonts w:ascii="黑体" w:hAnsi="Times New Roman" w:eastAsia="黑体" w:cs="Times New Roman"/>
          <w:sz w:val="72"/>
          <w:szCs w:val="72"/>
        </w:rPr>
      </w:pPr>
    </w:p>
    <w:p w14:paraId="2B5C89E9">
      <w:pPr>
        <w:pageBreakBefore w:val="0"/>
        <w:kinsoku/>
        <w:wordWrap/>
        <w:overflowPunct/>
        <w:topLinePunct w:val="0"/>
        <w:bidi w:val="0"/>
        <w:spacing w:line="576" w:lineRule="exact"/>
        <w:jc w:val="center"/>
        <w:textAlignment w:val="auto"/>
        <w:rPr>
          <w:rFonts w:ascii="黑体" w:hAnsi="Times New Roman" w:eastAsia="黑体" w:cs="Times New Roman"/>
          <w:sz w:val="72"/>
          <w:szCs w:val="72"/>
        </w:rPr>
      </w:pPr>
      <w:r>
        <w:rPr>
          <w:rFonts w:ascii="黑体" w:hAnsi="Times New Roman" w:eastAsia="黑体" w:cs="Times New Roman"/>
          <w:sz w:val="72"/>
          <w:szCs w:val="72"/>
        </w:rPr>
        <w:t> </w:t>
      </w:r>
    </w:p>
    <w:p w14:paraId="7C117D87">
      <w:pPr>
        <w:pageBreakBefore w:val="0"/>
        <w:kinsoku/>
        <w:wordWrap/>
        <w:overflowPunct/>
        <w:topLinePunct w:val="0"/>
        <w:bidi w:val="0"/>
        <w:spacing w:line="576" w:lineRule="exact"/>
        <w:jc w:val="center"/>
        <w:textAlignment w:val="auto"/>
        <w:rPr>
          <w:rFonts w:ascii="黑体" w:hAnsi="Times New Roman" w:eastAsia="黑体" w:cs="Times New Roman"/>
          <w:sz w:val="72"/>
          <w:szCs w:val="72"/>
        </w:rPr>
      </w:pPr>
      <w:r>
        <w:rPr>
          <w:rFonts w:ascii="黑体" w:hAnsi="Times New Roman" w:eastAsia="黑体" w:cs="Times New Roman"/>
          <w:sz w:val="72"/>
          <w:szCs w:val="72"/>
        </w:rPr>
        <w:t> </w:t>
      </w:r>
    </w:p>
    <w:p w14:paraId="725175C7">
      <w:pPr>
        <w:pageBreakBefore w:val="0"/>
        <w:kinsoku/>
        <w:wordWrap/>
        <w:overflowPunct/>
        <w:topLinePunct w:val="0"/>
        <w:autoSpaceDE w:val="0"/>
        <w:autoSpaceDN w:val="0"/>
        <w:bidi w:val="0"/>
        <w:adjustRightInd w:val="0"/>
        <w:spacing w:line="576" w:lineRule="exact"/>
        <w:ind w:left="420" w:leftChars="200"/>
        <w:jc w:val="left"/>
        <w:textAlignment w:val="auto"/>
        <w:rPr>
          <w:rFonts w:hint="eastAsia" w:ascii="宋体" w:hAnsi="Times New Roman" w:eastAsia="宋体" w:cs="仿宋_GB2312"/>
          <w:sz w:val="32"/>
          <w:szCs w:val="32"/>
        </w:rPr>
      </w:pPr>
      <w:r>
        <w:rPr>
          <w:rFonts w:hint="eastAsia" w:ascii="宋体" w:hAnsi="Times New Roman" w:eastAsia="宋体" w:cs="仿宋_GB2312"/>
          <w:sz w:val="32"/>
          <w:szCs w:val="32"/>
        </w:rPr>
        <w:t>已经保密审查、内容审定，同意对外公开</w:t>
      </w:r>
    </w:p>
    <w:p w14:paraId="5866C354">
      <w:pPr>
        <w:pStyle w:val="23"/>
        <w:keepNext w:val="0"/>
        <w:keepLines w:val="0"/>
        <w:pageBreakBefore w:val="0"/>
        <w:widowControl/>
        <w:suppressLineNumbers w:val="0"/>
        <w:kinsoku/>
        <w:wordWrap/>
        <w:overflowPunct/>
        <w:topLinePunct w:val="0"/>
        <w:bidi w:val="0"/>
        <w:spacing w:line="576" w:lineRule="exact"/>
        <w:textAlignment w:val="auto"/>
      </w:pPr>
      <w:r>
        <w:t> </w:t>
      </w:r>
    </w:p>
    <w:p w14:paraId="73B9D916">
      <w:pPr>
        <w:pStyle w:val="23"/>
        <w:keepNext w:val="0"/>
        <w:keepLines w:val="0"/>
        <w:pageBreakBefore w:val="0"/>
        <w:widowControl/>
        <w:suppressLineNumbers w:val="0"/>
        <w:kinsoku/>
        <w:wordWrap/>
        <w:overflowPunct/>
        <w:topLinePunct w:val="0"/>
        <w:bidi w:val="0"/>
        <w:spacing w:line="576" w:lineRule="exact"/>
        <w:textAlignment w:val="auto"/>
      </w:pPr>
      <w:r>
        <w:t> </w:t>
      </w:r>
    </w:p>
    <w:p w14:paraId="0511DE02">
      <w:pPr>
        <w:pStyle w:val="23"/>
        <w:keepNext w:val="0"/>
        <w:keepLines w:val="0"/>
        <w:pageBreakBefore w:val="0"/>
        <w:widowControl/>
        <w:suppressLineNumbers w:val="0"/>
        <w:kinsoku/>
        <w:wordWrap/>
        <w:overflowPunct/>
        <w:topLinePunct w:val="0"/>
        <w:bidi w:val="0"/>
        <w:spacing w:line="576" w:lineRule="exact"/>
        <w:textAlignment w:val="auto"/>
        <w:rPr>
          <w:rFonts w:hint="eastAsia" w:ascii="黑体" w:hAnsi="Times New Roman" w:eastAsia="黑体" w:cs="Times New Roman"/>
          <w:color w:val="000000"/>
          <w:sz w:val="48"/>
          <w:szCs w:val="48"/>
        </w:rPr>
      </w:pPr>
    </w:p>
    <w:p w14:paraId="64C83A63">
      <w:pPr>
        <w:pStyle w:val="23"/>
        <w:keepNext w:val="0"/>
        <w:keepLines w:val="0"/>
        <w:pageBreakBefore w:val="0"/>
        <w:widowControl/>
        <w:suppressLineNumbers w:val="0"/>
        <w:kinsoku/>
        <w:wordWrap/>
        <w:overflowPunct/>
        <w:topLinePunct w:val="0"/>
        <w:bidi w:val="0"/>
        <w:spacing w:line="576" w:lineRule="exact"/>
        <w:textAlignment w:val="auto"/>
        <w:rPr>
          <w:rFonts w:hint="eastAsia" w:ascii="黑体" w:hAnsi="Times New Roman" w:eastAsia="黑体" w:cs="Times New Roman"/>
          <w:color w:val="000000"/>
          <w:sz w:val="48"/>
          <w:szCs w:val="48"/>
        </w:rPr>
      </w:pPr>
    </w:p>
    <w:p w14:paraId="7235888F">
      <w:pPr>
        <w:pStyle w:val="23"/>
        <w:keepNext w:val="0"/>
        <w:keepLines w:val="0"/>
        <w:pageBreakBefore w:val="0"/>
        <w:widowControl/>
        <w:suppressLineNumbers w:val="0"/>
        <w:kinsoku/>
        <w:wordWrap/>
        <w:overflowPunct/>
        <w:topLinePunct w:val="0"/>
        <w:bidi w:val="0"/>
        <w:spacing w:line="576" w:lineRule="exact"/>
        <w:textAlignment w:val="auto"/>
        <w:rPr>
          <w:rFonts w:hint="eastAsia" w:ascii="黑体" w:hAnsi="Times New Roman" w:eastAsia="黑体" w:cs="Times New Roman"/>
          <w:color w:val="000000"/>
          <w:sz w:val="48"/>
          <w:szCs w:val="48"/>
        </w:rPr>
      </w:pPr>
    </w:p>
    <w:p w14:paraId="4370F877">
      <w:pPr>
        <w:pStyle w:val="23"/>
        <w:keepNext w:val="0"/>
        <w:keepLines w:val="0"/>
        <w:pageBreakBefore w:val="0"/>
        <w:widowControl/>
        <w:suppressLineNumbers w:val="0"/>
        <w:kinsoku/>
        <w:wordWrap/>
        <w:overflowPunct/>
        <w:topLinePunct w:val="0"/>
        <w:bidi w:val="0"/>
        <w:spacing w:line="576" w:lineRule="exact"/>
        <w:jc w:val="both"/>
        <w:textAlignment w:val="auto"/>
        <w:rPr>
          <w:rFonts w:hint="default" w:ascii="黑体" w:hAnsi="Times New Roman" w:eastAsia="黑体" w:cs="Times New Roman"/>
          <w:color w:val="000000"/>
          <w:sz w:val="48"/>
          <w:szCs w:val="48"/>
          <w:lang w:val="en-US" w:eastAsia="zh-CN"/>
        </w:rPr>
      </w:pPr>
      <w:r>
        <w:rPr>
          <w:rFonts w:ascii="方正小标宋简体" w:hAnsi="宋体" w:eastAsia="方正小标宋简体"/>
          <w:sz w:val="36"/>
          <w:szCs w:val="36"/>
        </w:rPr>
        <w:br w:type="page"/>
      </w:r>
      <w:bookmarkStart w:id="0" w:name="_Toc15396599"/>
      <w:bookmarkStart w:id="1" w:name="_Toc15377196"/>
      <w:r>
        <w:rPr>
          <w:rFonts w:hint="eastAsia" w:ascii="黑体" w:hAnsi="Times New Roman" w:eastAsia="黑体" w:cs="Times New Roman"/>
          <w:color w:val="000000"/>
          <w:sz w:val="48"/>
          <w:szCs w:val="48"/>
          <w:lang w:val="en-US" w:eastAsia="zh-CN"/>
        </w:rPr>
        <w:t>目录</w:t>
      </w:r>
    </w:p>
    <w:p w14:paraId="40D0C15C">
      <w:pPr>
        <w:pStyle w:val="16"/>
        <w:pageBreakBefore w:val="0"/>
        <w:kinsoku/>
        <w:wordWrap/>
        <w:overflowPunct/>
        <w:topLinePunct w:val="0"/>
        <w:bidi w:val="0"/>
        <w:spacing w:line="576" w:lineRule="exact"/>
        <w:jc w:val="center"/>
        <w:textAlignment w:val="auto"/>
      </w:pPr>
      <w:r>
        <w:rPr>
          <w:rFonts w:hint="eastAsia" w:hAnsi="Times New Roman" w:cs="Times New Roman"/>
          <w:b w:val="0"/>
          <w:bCs w:val="0"/>
          <w:sz w:val="24"/>
          <w:szCs w:val="24"/>
        </w:rPr>
        <w:t>公开时间：202</w:t>
      </w:r>
      <w:r>
        <w:rPr>
          <w:rFonts w:hint="eastAsia" w:cs="Times New Roman"/>
          <w:b w:val="0"/>
          <w:bCs w:val="0"/>
          <w:sz w:val="24"/>
          <w:szCs w:val="24"/>
          <w:lang w:val="en-US" w:eastAsia="zh-CN"/>
        </w:rPr>
        <w:t>5</w:t>
      </w:r>
      <w:r>
        <w:rPr>
          <w:rFonts w:hint="eastAsia" w:hAnsi="Times New Roman" w:cs="Times New Roman"/>
          <w:b w:val="0"/>
          <w:bCs w:val="0"/>
          <w:sz w:val="24"/>
          <w:szCs w:val="24"/>
        </w:rPr>
        <w:t>年</w:t>
      </w:r>
      <w:r>
        <w:rPr>
          <w:rFonts w:hint="eastAsia" w:hAnsi="Times New Roman" w:cs="Times New Roman"/>
          <w:b w:val="0"/>
          <w:bCs w:val="0"/>
          <w:sz w:val="24"/>
          <w:szCs w:val="24"/>
          <w:lang w:val="en-US" w:eastAsia="zh-CN"/>
        </w:rPr>
        <w:t>9</w:t>
      </w:r>
      <w:r>
        <w:rPr>
          <w:rFonts w:hint="eastAsia" w:hAnsi="Times New Roman" w:cs="Times New Roman"/>
          <w:b w:val="0"/>
          <w:bCs w:val="0"/>
          <w:sz w:val="24"/>
          <w:szCs w:val="24"/>
        </w:rPr>
        <w:t>月</w:t>
      </w:r>
      <w:r>
        <w:rPr>
          <w:rFonts w:hint="eastAsia" w:cs="Times New Roman"/>
          <w:b w:val="0"/>
          <w:bCs w:val="0"/>
          <w:sz w:val="24"/>
          <w:szCs w:val="24"/>
          <w:lang w:val="en-US" w:eastAsia="zh-CN"/>
        </w:rPr>
        <w:t>4</w:t>
      </w:r>
      <w:r>
        <w:rPr>
          <w:rFonts w:hint="eastAsia" w:hAnsi="Times New Roman" w:cs="Times New Roman"/>
          <w:b w:val="0"/>
          <w:bCs w:val="0"/>
          <w:sz w:val="24"/>
          <w:szCs w:val="24"/>
        </w:rPr>
        <w:t>日</w:t>
      </w:r>
    </w:p>
    <w:p w14:paraId="090D871F">
      <w:pPr>
        <w:pStyle w:val="45"/>
        <w:pageBreakBefore w:val="0"/>
        <w:tabs>
          <w:tab w:val="right" w:leader="dot" w:pos="8306"/>
        </w:tabs>
        <w:kinsoku/>
        <w:wordWrap/>
        <w:overflowPunct/>
        <w:topLinePunct w:val="0"/>
        <w:bidi w:val="0"/>
        <w:spacing w:line="576" w:lineRule="exact"/>
        <w:textAlignment w:val="auto"/>
      </w:pPr>
      <w:r>
        <w:fldChar w:fldCharType="begin"/>
      </w:r>
      <w:r>
        <w:instrText xml:space="preserve">TOC \o "1-3" \h \u </w:instrText>
      </w:r>
      <w:r>
        <w:fldChar w:fldCharType="separate"/>
      </w:r>
      <w:r>
        <w:fldChar w:fldCharType="begin"/>
      </w:r>
      <w:r>
        <w:instrText xml:space="preserve"> HYPERLINK \l _Toc18791 </w:instrText>
      </w:r>
      <w:r>
        <w:fldChar w:fldCharType="separate"/>
      </w:r>
      <w:r>
        <w:rPr>
          <w:rFonts w:hint="eastAsia" w:ascii="黑体" w:hAnsi="Times New Roman" w:eastAsia="黑体" w:cs="Times New Roman"/>
          <w:szCs w:val="44"/>
          <w:lang w:bidi="ar-SA"/>
        </w:rPr>
        <w:t>第一部分 部门概况</w:t>
      </w:r>
      <w:r>
        <w:tab/>
      </w:r>
      <w:r>
        <w:rPr>
          <w:rFonts w:hint="eastAsia"/>
          <w:lang w:val="en-US" w:eastAsia="zh-CN"/>
        </w:rPr>
        <w:t>4</w:t>
      </w:r>
      <w:r>
        <w:fldChar w:fldCharType="end"/>
      </w:r>
    </w:p>
    <w:p w14:paraId="0252F822">
      <w:pPr>
        <w:pStyle w:val="46"/>
        <w:pageBreakBefore w:val="0"/>
        <w:tabs>
          <w:tab w:val="right" w:leader="dot" w:pos="8306"/>
        </w:tabs>
        <w:kinsoku/>
        <w:wordWrap/>
        <w:overflowPunct/>
        <w:topLinePunct w:val="0"/>
        <w:bidi w:val="0"/>
        <w:spacing w:line="576" w:lineRule="exact"/>
        <w:textAlignment w:val="auto"/>
      </w:pPr>
      <w:r>
        <w:fldChar w:fldCharType="begin"/>
      </w:r>
      <w:r>
        <w:instrText xml:space="preserve"> HYPERLINK \l _Toc20800 </w:instrText>
      </w:r>
      <w:r>
        <w:fldChar w:fldCharType="separate"/>
      </w:r>
      <w:r>
        <w:rPr>
          <w:rFonts w:hint="eastAsia" w:ascii="黑体" w:hAnsi="Cambria" w:eastAsia="黑体" w:cs="Times New Roman"/>
          <w:kern w:val="2"/>
          <w:szCs w:val="32"/>
          <w:lang w:bidi="ar-SA"/>
        </w:rPr>
        <w:t>一、</w:t>
      </w:r>
      <w:r>
        <w:rPr>
          <w:rFonts w:hint="eastAsia" w:ascii="黑体" w:hAnsi="Cambria" w:eastAsia="黑体" w:cs="Times New Roman"/>
          <w:kern w:val="2"/>
          <w:szCs w:val="32"/>
          <w:lang w:eastAsia="zh-CN" w:bidi="ar-SA"/>
        </w:rPr>
        <w:t>主要职责</w:t>
      </w:r>
      <w:r>
        <w:tab/>
      </w:r>
      <w:r>
        <w:rPr>
          <w:rFonts w:hint="eastAsia"/>
          <w:lang w:val="en-US" w:eastAsia="zh-CN"/>
        </w:rPr>
        <w:t>4</w:t>
      </w:r>
      <w:r>
        <w:fldChar w:fldCharType="end"/>
      </w:r>
    </w:p>
    <w:p w14:paraId="5982D77B">
      <w:pPr>
        <w:pStyle w:val="46"/>
        <w:pageBreakBefore w:val="0"/>
        <w:tabs>
          <w:tab w:val="right" w:leader="dot" w:pos="8306"/>
        </w:tabs>
        <w:kinsoku/>
        <w:wordWrap/>
        <w:overflowPunct/>
        <w:topLinePunct w:val="0"/>
        <w:bidi w:val="0"/>
        <w:spacing w:line="576" w:lineRule="exact"/>
        <w:textAlignment w:val="auto"/>
      </w:pPr>
      <w:r>
        <w:fldChar w:fldCharType="begin"/>
      </w:r>
      <w:r>
        <w:instrText xml:space="preserve"> HYPERLINK \l _Toc22021 </w:instrText>
      </w:r>
      <w:r>
        <w:fldChar w:fldCharType="separate"/>
      </w:r>
      <w:r>
        <w:rPr>
          <w:rFonts w:hint="eastAsia" w:ascii="黑体" w:hAnsi="Cambria" w:eastAsia="黑体" w:cs="Times New Roman"/>
          <w:kern w:val="2"/>
          <w:szCs w:val="32"/>
          <w:lang w:bidi="ar-SA"/>
        </w:rPr>
        <w:t>二、机构设置</w:t>
      </w:r>
      <w:r>
        <w:tab/>
      </w:r>
      <w:r>
        <w:rPr>
          <w:rFonts w:hint="eastAsia"/>
          <w:lang w:val="en-US" w:eastAsia="zh-CN"/>
        </w:rPr>
        <w:t>4</w:t>
      </w:r>
      <w:r>
        <w:fldChar w:fldCharType="end"/>
      </w:r>
    </w:p>
    <w:p w14:paraId="5D689A52">
      <w:pPr>
        <w:pStyle w:val="45"/>
        <w:pageBreakBefore w:val="0"/>
        <w:tabs>
          <w:tab w:val="right" w:leader="dot" w:pos="8306"/>
        </w:tabs>
        <w:kinsoku/>
        <w:wordWrap/>
        <w:overflowPunct/>
        <w:topLinePunct w:val="0"/>
        <w:bidi w:val="0"/>
        <w:spacing w:line="576" w:lineRule="exact"/>
        <w:textAlignment w:val="auto"/>
      </w:pPr>
      <w:r>
        <w:fldChar w:fldCharType="begin"/>
      </w:r>
      <w:r>
        <w:instrText xml:space="preserve"> HYPERLINK \l _Toc12955 </w:instrText>
      </w:r>
      <w:r>
        <w:fldChar w:fldCharType="separate"/>
      </w:r>
      <w:r>
        <w:rPr>
          <w:rFonts w:hint="eastAsia" w:ascii="黑体" w:hAnsi="黑体" w:eastAsia="黑体" w:cs="黑体"/>
        </w:rPr>
        <w:t>第二部分 202</w:t>
      </w:r>
      <w:r>
        <w:rPr>
          <w:rFonts w:hint="eastAsia" w:ascii="黑体" w:hAnsi="黑体" w:eastAsia="黑体" w:cs="黑体"/>
          <w:lang w:val="en-US" w:eastAsia="zh-CN"/>
        </w:rPr>
        <w:t>5</w:t>
      </w:r>
      <w:r>
        <w:rPr>
          <w:rFonts w:hint="eastAsia" w:ascii="黑体" w:hAnsi="黑体" w:eastAsia="黑体" w:cs="黑体"/>
        </w:rPr>
        <w:t>年度部门决算情况说明</w:t>
      </w:r>
      <w:r>
        <w:tab/>
      </w:r>
      <w:r>
        <w:rPr>
          <w:rFonts w:hint="eastAsia"/>
          <w:lang w:val="en-US" w:eastAsia="zh-CN"/>
        </w:rPr>
        <w:t>5</w:t>
      </w:r>
      <w:r>
        <w:fldChar w:fldCharType="end"/>
      </w:r>
    </w:p>
    <w:p w14:paraId="3E517459">
      <w:pPr>
        <w:pStyle w:val="46"/>
        <w:pageBreakBefore w:val="0"/>
        <w:tabs>
          <w:tab w:val="right" w:leader="dot" w:pos="8306"/>
        </w:tabs>
        <w:kinsoku/>
        <w:wordWrap/>
        <w:overflowPunct/>
        <w:topLinePunct w:val="0"/>
        <w:bidi w:val="0"/>
        <w:spacing w:line="576" w:lineRule="exact"/>
        <w:textAlignment w:val="auto"/>
      </w:pPr>
      <w:r>
        <w:fldChar w:fldCharType="begin"/>
      </w:r>
      <w:r>
        <w:instrText xml:space="preserve"> HYPERLINK \l _Toc9684 </w:instrText>
      </w:r>
      <w:r>
        <w:fldChar w:fldCharType="separate"/>
      </w:r>
      <w:r>
        <w:rPr>
          <w:rFonts w:hint="default" w:ascii="黑体" w:hAnsi="Times New Roman" w:eastAsia="黑体" w:cs="Times New Roman"/>
          <w:szCs w:val="32"/>
        </w:rPr>
        <w:t xml:space="preserve">一、 </w:t>
      </w:r>
      <w:r>
        <w:rPr>
          <w:rFonts w:hint="eastAsia" w:ascii="黑体" w:hAnsi="Times New Roman" w:eastAsia="黑体" w:cs="Times New Roman"/>
          <w:szCs w:val="32"/>
        </w:rPr>
        <w:t>收入支出决算总体情况说明</w:t>
      </w:r>
      <w:r>
        <w:tab/>
      </w:r>
      <w:r>
        <w:rPr>
          <w:rFonts w:hint="eastAsia"/>
          <w:lang w:val="en-US" w:eastAsia="zh-CN"/>
        </w:rPr>
        <w:t>5</w:t>
      </w:r>
      <w:r>
        <w:fldChar w:fldCharType="end"/>
      </w:r>
    </w:p>
    <w:p w14:paraId="76D5648B">
      <w:pPr>
        <w:pStyle w:val="46"/>
        <w:pageBreakBefore w:val="0"/>
        <w:tabs>
          <w:tab w:val="right" w:leader="dot" w:pos="8306"/>
        </w:tabs>
        <w:kinsoku/>
        <w:wordWrap/>
        <w:overflowPunct/>
        <w:topLinePunct w:val="0"/>
        <w:bidi w:val="0"/>
        <w:spacing w:line="576" w:lineRule="exact"/>
        <w:textAlignment w:val="auto"/>
      </w:pPr>
      <w:r>
        <w:fldChar w:fldCharType="begin"/>
      </w:r>
      <w:r>
        <w:instrText xml:space="preserve"> HYPERLINK \l _Toc10475 </w:instrText>
      </w:r>
      <w:r>
        <w:fldChar w:fldCharType="separate"/>
      </w:r>
      <w:r>
        <w:rPr>
          <w:rFonts w:hint="default" w:ascii="黑体" w:hAnsi="Times New Roman" w:eastAsia="黑体" w:cs="Times New Roman"/>
          <w:szCs w:val="32"/>
        </w:rPr>
        <w:t xml:space="preserve">二、 </w:t>
      </w:r>
      <w:r>
        <w:rPr>
          <w:rFonts w:hint="eastAsia" w:ascii="黑体" w:hAnsi="Times New Roman" w:eastAsia="黑体" w:cs="Times New Roman"/>
          <w:szCs w:val="32"/>
        </w:rPr>
        <w:t>收入决算情况说明</w:t>
      </w:r>
      <w:r>
        <w:tab/>
      </w:r>
      <w:r>
        <w:rPr>
          <w:rFonts w:hint="eastAsia"/>
          <w:lang w:val="en-US" w:eastAsia="zh-CN"/>
        </w:rPr>
        <w:t>5</w:t>
      </w:r>
      <w:r>
        <w:fldChar w:fldCharType="end"/>
      </w:r>
    </w:p>
    <w:p w14:paraId="41204457">
      <w:pPr>
        <w:pStyle w:val="46"/>
        <w:pageBreakBefore w:val="0"/>
        <w:tabs>
          <w:tab w:val="right" w:leader="dot" w:pos="8306"/>
        </w:tabs>
        <w:kinsoku/>
        <w:wordWrap/>
        <w:overflowPunct/>
        <w:topLinePunct w:val="0"/>
        <w:bidi w:val="0"/>
        <w:spacing w:line="576" w:lineRule="exact"/>
        <w:textAlignment w:val="auto"/>
      </w:pPr>
      <w:r>
        <w:fldChar w:fldCharType="begin"/>
      </w:r>
      <w:r>
        <w:instrText xml:space="preserve"> HYPERLINK \l _Toc25170 </w:instrText>
      </w:r>
      <w:r>
        <w:fldChar w:fldCharType="separate"/>
      </w:r>
      <w:r>
        <w:rPr>
          <w:rFonts w:hint="default" w:ascii="黑体" w:hAnsi="Times New Roman" w:eastAsia="黑体" w:cs="Times New Roman"/>
          <w:szCs w:val="32"/>
        </w:rPr>
        <w:t xml:space="preserve">三、 </w:t>
      </w:r>
      <w:r>
        <w:rPr>
          <w:rFonts w:hint="eastAsia" w:ascii="黑体" w:hAnsi="Times New Roman" w:eastAsia="黑体" w:cs="Times New Roman"/>
          <w:szCs w:val="32"/>
        </w:rPr>
        <w:t>支出决算情况说明</w:t>
      </w:r>
      <w:r>
        <w:tab/>
      </w:r>
      <w:r>
        <w:rPr>
          <w:rFonts w:hint="eastAsia"/>
          <w:lang w:val="en-US" w:eastAsia="zh-CN"/>
        </w:rPr>
        <w:t>5</w:t>
      </w:r>
      <w:r>
        <w:fldChar w:fldCharType="end"/>
      </w:r>
    </w:p>
    <w:p w14:paraId="17469D4E">
      <w:pPr>
        <w:pStyle w:val="46"/>
        <w:pageBreakBefore w:val="0"/>
        <w:tabs>
          <w:tab w:val="right" w:leader="dot" w:pos="8306"/>
        </w:tabs>
        <w:kinsoku/>
        <w:wordWrap/>
        <w:overflowPunct/>
        <w:topLinePunct w:val="0"/>
        <w:bidi w:val="0"/>
        <w:spacing w:line="576" w:lineRule="exact"/>
        <w:textAlignment w:val="auto"/>
      </w:pPr>
      <w:r>
        <w:fldChar w:fldCharType="begin"/>
      </w:r>
      <w:r>
        <w:instrText xml:space="preserve"> HYPERLINK \l _Toc9033 </w:instrText>
      </w:r>
      <w:r>
        <w:fldChar w:fldCharType="separate"/>
      </w:r>
      <w:r>
        <w:rPr>
          <w:rFonts w:hint="eastAsia" w:ascii="黑体" w:hAnsi="Times New Roman" w:eastAsia="黑体" w:cs="Times New Roman"/>
          <w:kern w:val="2"/>
          <w:szCs w:val="32"/>
          <w:lang w:val="en-US" w:eastAsia="zh-CN" w:bidi="ar-SA"/>
        </w:rPr>
        <w:t>四、财政拨款收入支出决算总体情况说明</w:t>
      </w:r>
      <w:r>
        <w:tab/>
      </w:r>
      <w:r>
        <w:rPr>
          <w:rFonts w:hint="eastAsia"/>
          <w:lang w:val="en-US" w:eastAsia="zh-CN"/>
        </w:rPr>
        <w:t>6</w:t>
      </w:r>
      <w:r>
        <w:fldChar w:fldCharType="end"/>
      </w:r>
    </w:p>
    <w:p w14:paraId="26B76439">
      <w:pPr>
        <w:pStyle w:val="46"/>
        <w:pageBreakBefore w:val="0"/>
        <w:tabs>
          <w:tab w:val="right" w:leader="dot" w:pos="8306"/>
        </w:tabs>
        <w:kinsoku/>
        <w:wordWrap/>
        <w:overflowPunct/>
        <w:topLinePunct w:val="0"/>
        <w:bidi w:val="0"/>
        <w:spacing w:line="576" w:lineRule="exact"/>
        <w:textAlignment w:val="auto"/>
        <w:rPr>
          <w:rFonts w:hint="eastAsia" w:eastAsia="宋体"/>
          <w:lang w:val="en-US" w:eastAsia="zh-CN"/>
        </w:rPr>
      </w:pPr>
      <w:r>
        <w:fldChar w:fldCharType="begin"/>
      </w:r>
      <w:r>
        <w:instrText xml:space="preserve"> HYPERLINK \l _Toc14667 </w:instrText>
      </w:r>
      <w:r>
        <w:fldChar w:fldCharType="separate"/>
      </w:r>
      <w:r>
        <w:rPr>
          <w:rFonts w:hint="eastAsia" w:ascii="黑体" w:hAnsi="Times New Roman" w:eastAsia="黑体" w:cs="Times New Roman"/>
          <w:kern w:val="2"/>
          <w:szCs w:val="32"/>
          <w:lang w:val="en-US" w:eastAsia="zh-CN" w:bidi="ar-SA"/>
        </w:rPr>
        <w:t>五、一般公共预算财政拨款支出决算情况说明</w:t>
      </w:r>
      <w:r>
        <w:tab/>
      </w:r>
      <w:r>
        <w:rPr>
          <w:rFonts w:hint="eastAsia"/>
          <w:lang w:val="en-US" w:eastAsia="zh-CN"/>
        </w:rPr>
        <w:t>6</w:t>
      </w:r>
      <w:r>
        <w:fldChar w:fldCharType="end"/>
      </w:r>
    </w:p>
    <w:p w14:paraId="7FCD0728">
      <w:pPr>
        <w:pStyle w:val="46"/>
        <w:pageBreakBefore w:val="0"/>
        <w:tabs>
          <w:tab w:val="right" w:leader="dot" w:pos="8306"/>
        </w:tabs>
        <w:kinsoku/>
        <w:wordWrap/>
        <w:overflowPunct/>
        <w:topLinePunct w:val="0"/>
        <w:bidi w:val="0"/>
        <w:spacing w:line="576" w:lineRule="exact"/>
        <w:textAlignment w:val="auto"/>
        <w:rPr>
          <w:rFonts w:hint="eastAsia" w:eastAsia="宋体"/>
          <w:lang w:val="en-US" w:eastAsia="zh-CN"/>
        </w:rPr>
      </w:pPr>
      <w:r>
        <w:fldChar w:fldCharType="begin"/>
      </w:r>
      <w:r>
        <w:instrText xml:space="preserve"> HYPERLINK \l _Toc24946 </w:instrText>
      </w:r>
      <w:r>
        <w:fldChar w:fldCharType="separate"/>
      </w:r>
      <w:r>
        <w:rPr>
          <w:rFonts w:hint="eastAsia" w:ascii="黑体" w:hAnsi="Times New Roman" w:eastAsia="黑体" w:cs="Times New Roman"/>
          <w:kern w:val="2"/>
          <w:szCs w:val="32"/>
          <w:lang w:val="en-US" w:eastAsia="zh-CN" w:bidi="ar-SA"/>
        </w:rPr>
        <w:t>六、一般公共预算财政拨款基本支出决算情况说明   </w:t>
      </w:r>
      <w:r>
        <w:tab/>
      </w:r>
      <w:r>
        <w:fldChar w:fldCharType="end"/>
      </w:r>
      <w:r>
        <w:rPr>
          <w:rFonts w:hint="eastAsia"/>
          <w:lang w:val="en-US" w:eastAsia="zh-CN"/>
        </w:rPr>
        <w:t>8</w:t>
      </w:r>
    </w:p>
    <w:p w14:paraId="4B09AB88">
      <w:pPr>
        <w:pStyle w:val="46"/>
        <w:pageBreakBefore w:val="0"/>
        <w:tabs>
          <w:tab w:val="right" w:leader="dot" w:pos="8306"/>
        </w:tabs>
        <w:kinsoku/>
        <w:wordWrap/>
        <w:overflowPunct/>
        <w:topLinePunct w:val="0"/>
        <w:bidi w:val="0"/>
        <w:spacing w:line="576" w:lineRule="exact"/>
        <w:textAlignment w:val="auto"/>
        <w:rPr>
          <w:rFonts w:hint="eastAsia" w:eastAsia="宋体"/>
          <w:lang w:val="en-US" w:eastAsia="zh-CN"/>
        </w:rPr>
      </w:pPr>
      <w:r>
        <w:fldChar w:fldCharType="begin"/>
      </w:r>
      <w:r>
        <w:instrText xml:space="preserve"> HYPERLINK \l _Toc28247 </w:instrText>
      </w:r>
      <w:r>
        <w:fldChar w:fldCharType="separate"/>
      </w:r>
      <w:r>
        <w:rPr>
          <w:rFonts w:hint="eastAsia" w:ascii="黑体" w:hAnsi="Times New Roman" w:eastAsia="黑体" w:cs="Times New Roman"/>
          <w:szCs w:val="32"/>
        </w:rPr>
        <w:t>七、财政拨款</w:t>
      </w:r>
      <w:r>
        <w:rPr>
          <w:rFonts w:hint="eastAsia" w:ascii="黑体" w:hAnsi="Times New Roman" w:eastAsia="黑体" w:cs="Times New Roman"/>
          <w:szCs w:val="32"/>
          <w:lang w:eastAsia="zh-CN"/>
        </w:rPr>
        <w:t>“</w:t>
      </w:r>
      <w:r>
        <w:rPr>
          <w:rFonts w:hint="eastAsia" w:ascii="黑体" w:hAnsi="Times New Roman" w:eastAsia="黑体" w:cs="Times New Roman"/>
          <w:szCs w:val="32"/>
        </w:rPr>
        <w:t>三公”经费支出决算情况说明</w:t>
      </w:r>
      <w:r>
        <w:tab/>
      </w:r>
      <w:r>
        <w:fldChar w:fldCharType="end"/>
      </w:r>
      <w:r>
        <w:rPr>
          <w:rFonts w:hint="eastAsia"/>
          <w:lang w:val="en-US" w:eastAsia="zh-CN"/>
        </w:rPr>
        <w:t>9</w:t>
      </w:r>
    </w:p>
    <w:p w14:paraId="268E197D">
      <w:pPr>
        <w:pStyle w:val="46"/>
        <w:pageBreakBefore w:val="0"/>
        <w:tabs>
          <w:tab w:val="right" w:leader="dot" w:pos="8306"/>
        </w:tabs>
        <w:kinsoku/>
        <w:wordWrap/>
        <w:overflowPunct/>
        <w:topLinePunct w:val="0"/>
        <w:bidi w:val="0"/>
        <w:spacing w:line="576" w:lineRule="exact"/>
        <w:textAlignment w:val="auto"/>
        <w:rPr>
          <w:rFonts w:hint="eastAsia" w:eastAsia="宋体"/>
          <w:lang w:val="en-US" w:eastAsia="zh-CN"/>
        </w:rPr>
      </w:pPr>
      <w:r>
        <w:fldChar w:fldCharType="begin"/>
      </w:r>
      <w:r>
        <w:instrText xml:space="preserve"> HYPERLINK \l _Toc19284 </w:instrText>
      </w:r>
      <w:r>
        <w:fldChar w:fldCharType="separate"/>
      </w:r>
      <w:r>
        <w:rPr>
          <w:rFonts w:hint="eastAsia" w:ascii="黑体" w:hAnsi="Times New Roman" w:eastAsia="黑体" w:cs="Times New Roman"/>
          <w:szCs w:val="32"/>
        </w:rPr>
        <w:t>八、政府性基金预算支出决算情况说明</w:t>
      </w:r>
      <w:r>
        <w:tab/>
      </w:r>
      <w:r>
        <w:rPr>
          <w:rFonts w:hint="eastAsia"/>
          <w:lang w:val="en-US" w:eastAsia="zh-CN"/>
        </w:rPr>
        <w:t>1</w:t>
      </w:r>
      <w:r>
        <w:fldChar w:fldCharType="end"/>
      </w:r>
      <w:r>
        <w:rPr>
          <w:rFonts w:hint="eastAsia"/>
          <w:lang w:val="en-US" w:eastAsia="zh-CN"/>
        </w:rPr>
        <w:t>0</w:t>
      </w:r>
    </w:p>
    <w:p w14:paraId="0E97BF64">
      <w:pPr>
        <w:pStyle w:val="46"/>
        <w:pageBreakBefore w:val="0"/>
        <w:tabs>
          <w:tab w:val="right" w:leader="dot" w:pos="8306"/>
        </w:tabs>
        <w:kinsoku/>
        <w:wordWrap/>
        <w:overflowPunct/>
        <w:topLinePunct w:val="0"/>
        <w:bidi w:val="0"/>
        <w:spacing w:line="576" w:lineRule="exact"/>
        <w:textAlignment w:val="auto"/>
        <w:rPr>
          <w:rFonts w:hint="eastAsia" w:eastAsia="宋体"/>
          <w:lang w:val="en-US" w:eastAsia="zh-CN"/>
        </w:rPr>
      </w:pPr>
      <w:r>
        <w:fldChar w:fldCharType="begin"/>
      </w:r>
      <w:r>
        <w:instrText xml:space="preserve"> HYPERLINK \l _Toc15780 </w:instrText>
      </w:r>
      <w:r>
        <w:fldChar w:fldCharType="separate"/>
      </w:r>
      <w:r>
        <w:rPr>
          <w:rFonts w:hint="eastAsia" w:ascii="黑体" w:hAnsi="Cambria" w:eastAsia="黑体" w:cs="Times New Roman"/>
          <w:kern w:val="2"/>
          <w:szCs w:val="32"/>
          <w:lang w:bidi="ar-SA"/>
        </w:rPr>
        <w:t>九</w:t>
      </w:r>
      <w:r>
        <w:rPr>
          <w:rFonts w:hint="eastAsia" w:ascii="黑体" w:hAnsi="Cambria" w:eastAsia="黑体" w:cs="Times New Roman"/>
          <w:kern w:val="2"/>
          <w:szCs w:val="32"/>
          <w:lang w:eastAsia="zh-CN" w:bidi="ar-SA"/>
        </w:rPr>
        <w:t>、</w:t>
      </w:r>
      <w:r>
        <w:rPr>
          <w:rFonts w:hint="eastAsia" w:ascii="黑体" w:hAnsi="Cambria" w:eastAsia="黑体" w:cs="Times New Roman"/>
          <w:kern w:val="2"/>
          <w:szCs w:val="32"/>
          <w:lang w:bidi="ar-SA"/>
        </w:rPr>
        <w:t xml:space="preserve"> 国有资本经营预算支出决算情况说明</w:t>
      </w:r>
      <w:r>
        <w:tab/>
      </w:r>
      <w:r>
        <w:rPr>
          <w:rFonts w:hint="eastAsia"/>
          <w:lang w:val="en-US" w:eastAsia="zh-CN"/>
        </w:rPr>
        <w:t>1</w:t>
      </w:r>
      <w:r>
        <w:fldChar w:fldCharType="end"/>
      </w:r>
      <w:r>
        <w:rPr>
          <w:rFonts w:hint="eastAsia"/>
          <w:lang w:val="en-US" w:eastAsia="zh-CN"/>
        </w:rPr>
        <w:t>0</w:t>
      </w:r>
    </w:p>
    <w:p w14:paraId="0CD816ED">
      <w:pPr>
        <w:pStyle w:val="46"/>
        <w:pageBreakBefore w:val="0"/>
        <w:tabs>
          <w:tab w:val="right" w:leader="dot" w:pos="8306"/>
        </w:tabs>
        <w:kinsoku/>
        <w:wordWrap/>
        <w:overflowPunct/>
        <w:topLinePunct w:val="0"/>
        <w:bidi w:val="0"/>
        <w:spacing w:line="576" w:lineRule="exact"/>
        <w:textAlignment w:val="auto"/>
        <w:rPr>
          <w:rFonts w:hint="eastAsia" w:eastAsia="宋体"/>
          <w:lang w:val="en-US" w:eastAsia="zh-CN"/>
        </w:rPr>
      </w:pPr>
      <w:r>
        <w:fldChar w:fldCharType="begin"/>
      </w:r>
      <w:r>
        <w:instrText xml:space="preserve"> HYPERLINK \l _Toc6454 </w:instrText>
      </w:r>
      <w:r>
        <w:fldChar w:fldCharType="separate"/>
      </w:r>
      <w:r>
        <w:rPr>
          <w:rFonts w:hint="eastAsia" w:ascii="黑体" w:hAnsi="Times New Roman" w:eastAsia="黑体" w:cs="Times New Roman"/>
          <w:szCs w:val="32"/>
        </w:rPr>
        <w:t>十、其他重要事项的情况说明</w:t>
      </w:r>
      <w:r>
        <w:tab/>
      </w:r>
      <w:r>
        <w:rPr>
          <w:rFonts w:hint="eastAsia"/>
          <w:lang w:val="en-US" w:eastAsia="zh-CN"/>
        </w:rPr>
        <w:t>1</w:t>
      </w:r>
      <w:r>
        <w:fldChar w:fldCharType="end"/>
      </w:r>
      <w:r>
        <w:rPr>
          <w:rFonts w:hint="eastAsia"/>
          <w:lang w:val="en-US" w:eastAsia="zh-CN"/>
        </w:rPr>
        <w:t>0</w:t>
      </w:r>
    </w:p>
    <w:p w14:paraId="1BE728AE">
      <w:pPr>
        <w:pStyle w:val="45"/>
        <w:pageBreakBefore w:val="0"/>
        <w:tabs>
          <w:tab w:val="right" w:leader="dot" w:pos="8306"/>
        </w:tabs>
        <w:kinsoku/>
        <w:wordWrap/>
        <w:overflowPunct/>
        <w:topLinePunct w:val="0"/>
        <w:bidi w:val="0"/>
        <w:spacing w:line="576" w:lineRule="exact"/>
        <w:textAlignment w:val="auto"/>
        <w:rPr>
          <w:rFonts w:hint="eastAsia" w:eastAsia="宋体"/>
          <w:lang w:val="en-US" w:eastAsia="zh-CN"/>
        </w:rPr>
      </w:pPr>
      <w:r>
        <w:fldChar w:fldCharType="begin"/>
      </w:r>
      <w:r>
        <w:instrText xml:space="preserve"> HYPERLINK \l _Toc26817 </w:instrText>
      </w:r>
      <w:r>
        <w:fldChar w:fldCharType="separate"/>
      </w:r>
      <w:r>
        <w:rPr>
          <w:rFonts w:hint="eastAsia" w:ascii="黑体" w:hAnsi="Times New Roman" w:eastAsia="黑体" w:cs="Times New Roman"/>
          <w:szCs w:val="44"/>
        </w:rPr>
        <w:t>第三部分 名词解释</w:t>
      </w:r>
      <w:r>
        <w:tab/>
      </w:r>
      <w:r>
        <w:rPr>
          <w:rFonts w:hint="eastAsia"/>
          <w:lang w:val="en-US" w:eastAsia="zh-CN"/>
        </w:rPr>
        <w:t>1</w:t>
      </w:r>
      <w:r>
        <w:fldChar w:fldCharType="end"/>
      </w:r>
      <w:r>
        <w:rPr>
          <w:rFonts w:hint="eastAsia"/>
          <w:lang w:val="en-US" w:eastAsia="zh-CN"/>
        </w:rPr>
        <w:t>2</w:t>
      </w:r>
    </w:p>
    <w:p w14:paraId="6B52D6E3">
      <w:pPr>
        <w:pStyle w:val="45"/>
        <w:pageBreakBefore w:val="0"/>
        <w:tabs>
          <w:tab w:val="right" w:leader="dot" w:pos="8306"/>
        </w:tabs>
        <w:kinsoku/>
        <w:wordWrap/>
        <w:overflowPunct/>
        <w:topLinePunct w:val="0"/>
        <w:bidi w:val="0"/>
        <w:spacing w:line="576" w:lineRule="exact"/>
        <w:textAlignment w:val="auto"/>
        <w:rPr>
          <w:rFonts w:hint="eastAsia" w:eastAsia="宋体"/>
          <w:lang w:val="en-US" w:eastAsia="zh-CN"/>
        </w:rPr>
      </w:pPr>
      <w:r>
        <w:fldChar w:fldCharType="begin"/>
      </w:r>
      <w:r>
        <w:instrText xml:space="preserve"> HYPERLINK \l _Toc30535 </w:instrText>
      </w:r>
      <w:r>
        <w:fldChar w:fldCharType="separate"/>
      </w:r>
      <w:r>
        <w:rPr>
          <w:rFonts w:hint="eastAsia" w:ascii="黑体" w:hAnsi="Times New Roman" w:eastAsia="黑体" w:cs="Times New Roman"/>
          <w:kern w:val="2"/>
          <w:szCs w:val="44"/>
          <w:lang w:val="en-US" w:eastAsia="zh-CN" w:bidi="ar-SA"/>
        </w:rPr>
        <w:t>第四部分 附件</w:t>
      </w:r>
      <w:r>
        <w:tab/>
      </w:r>
      <w:r>
        <w:rPr>
          <w:rFonts w:hint="eastAsia"/>
          <w:lang w:val="en-US" w:eastAsia="zh-CN"/>
        </w:rPr>
        <w:t>1</w:t>
      </w:r>
      <w:r>
        <w:fldChar w:fldCharType="end"/>
      </w:r>
      <w:r>
        <w:rPr>
          <w:rFonts w:hint="eastAsia"/>
          <w:lang w:val="en-US" w:eastAsia="zh-CN"/>
        </w:rPr>
        <w:t>5</w:t>
      </w:r>
    </w:p>
    <w:p w14:paraId="6A0C66CE">
      <w:pPr>
        <w:pStyle w:val="45"/>
        <w:pageBreakBefore w:val="0"/>
        <w:tabs>
          <w:tab w:val="right" w:leader="dot" w:pos="8306"/>
        </w:tabs>
        <w:kinsoku/>
        <w:wordWrap/>
        <w:overflowPunct/>
        <w:topLinePunct w:val="0"/>
        <w:bidi w:val="0"/>
        <w:spacing w:line="576" w:lineRule="exact"/>
        <w:textAlignment w:val="auto"/>
      </w:pPr>
      <w:r>
        <w:fldChar w:fldCharType="begin"/>
      </w:r>
      <w:r>
        <w:instrText xml:space="preserve"> HYPERLINK \l _Toc7045 </w:instrText>
      </w:r>
      <w:r>
        <w:fldChar w:fldCharType="separate"/>
      </w:r>
      <w:r>
        <w:rPr>
          <w:rFonts w:hint="eastAsia" w:ascii="黑体" w:hAnsi="Times New Roman" w:eastAsia="黑体" w:cs="Times New Roman"/>
          <w:szCs w:val="44"/>
        </w:rPr>
        <w:t>第五部分 附表</w:t>
      </w:r>
      <w:r>
        <w:tab/>
      </w:r>
      <w:r>
        <w:fldChar w:fldCharType="begin"/>
      </w:r>
      <w:r>
        <w:instrText xml:space="preserve"> PAGEREF _Toc7045 \h </w:instrText>
      </w:r>
      <w:r>
        <w:fldChar w:fldCharType="separate"/>
      </w:r>
      <w:r>
        <w:t>2</w:t>
      </w:r>
      <w:r>
        <w:rPr>
          <w:rFonts w:hint="eastAsia"/>
          <w:lang w:val="en-US" w:eastAsia="zh-CN"/>
        </w:rPr>
        <w:t>0</w:t>
      </w:r>
      <w:r>
        <w:fldChar w:fldCharType="end"/>
      </w:r>
      <w:r>
        <w:fldChar w:fldCharType="end"/>
      </w:r>
    </w:p>
    <w:p w14:paraId="7657D5BD">
      <w:pPr>
        <w:pStyle w:val="46"/>
        <w:pageBreakBefore w:val="0"/>
        <w:tabs>
          <w:tab w:val="right" w:leader="dot" w:pos="8306"/>
        </w:tabs>
        <w:kinsoku/>
        <w:wordWrap/>
        <w:overflowPunct/>
        <w:topLinePunct w:val="0"/>
        <w:bidi w:val="0"/>
        <w:spacing w:line="576" w:lineRule="exact"/>
        <w:textAlignment w:val="auto"/>
        <w:rPr>
          <w:rFonts w:hint="default" w:eastAsia="宋体"/>
          <w:lang w:val="en-US" w:eastAsia="zh-CN"/>
        </w:rPr>
      </w:pPr>
      <w:r>
        <w:fldChar w:fldCharType="begin"/>
      </w:r>
      <w:r>
        <w:instrText xml:space="preserve"> HYPERLINK \l _Toc28912 </w:instrText>
      </w:r>
      <w:r>
        <w:fldChar w:fldCharType="separate"/>
      </w:r>
      <w:r>
        <w:rPr>
          <w:rFonts w:hint="eastAsia" w:ascii="仿宋" w:hAnsi="Cambria" w:eastAsia="仿宋" w:cs="Times New Roman"/>
          <w:kern w:val="2"/>
          <w:szCs w:val="32"/>
          <w:lang w:bidi="ar-SA"/>
        </w:rPr>
        <w:t>一、收入支出决算总表</w:t>
      </w:r>
      <w:r>
        <w:fldChar w:fldCharType="end"/>
      </w:r>
      <w:r>
        <w:rPr>
          <w:rFonts w:hint="eastAsia"/>
          <w:lang w:val="en-US" w:eastAsia="zh-CN"/>
        </w:rPr>
        <w:t>..................................................................................................................20</w:t>
      </w:r>
    </w:p>
    <w:p w14:paraId="0639EA1E">
      <w:pPr>
        <w:pStyle w:val="46"/>
        <w:pageBreakBefore w:val="0"/>
        <w:tabs>
          <w:tab w:val="right" w:leader="dot" w:pos="8306"/>
        </w:tabs>
        <w:kinsoku/>
        <w:wordWrap/>
        <w:overflowPunct/>
        <w:topLinePunct w:val="0"/>
        <w:bidi w:val="0"/>
        <w:spacing w:line="576" w:lineRule="exact"/>
        <w:textAlignment w:val="auto"/>
        <w:rPr>
          <w:rFonts w:hint="default" w:eastAsia="宋体"/>
          <w:lang w:val="en-US" w:eastAsia="zh-CN"/>
        </w:rPr>
      </w:pPr>
      <w:r>
        <w:fldChar w:fldCharType="begin"/>
      </w:r>
      <w:r>
        <w:instrText xml:space="preserve"> HYPERLINK \l _Toc15691 </w:instrText>
      </w:r>
      <w:r>
        <w:fldChar w:fldCharType="separate"/>
      </w:r>
      <w:r>
        <w:rPr>
          <w:rFonts w:hint="eastAsia" w:ascii="仿宋" w:hAnsi="Cambria" w:eastAsia="仿宋" w:cs="Times New Roman"/>
          <w:kern w:val="2"/>
          <w:szCs w:val="32"/>
          <w:lang w:bidi="ar-SA"/>
        </w:rPr>
        <w:t>二、收入决算表</w:t>
      </w:r>
      <w:r>
        <w:fldChar w:fldCharType="end"/>
      </w:r>
      <w:r>
        <w:rPr>
          <w:rFonts w:hint="eastAsia"/>
          <w:lang w:val="en-US" w:eastAsia="zh-CN"/>
        </w:rPr>
        <w:t>..............................................................................................................................20</w:t>
      </w:r>
    </w:p>
    <w:p w14:paraId="6D0DB351">
      <w:pPr>
        <w:pStyle w:val="46"/>
        <w:pageBreakBefore w:val="0"/>
        <w:tabs>
          <w:tab w:val="right" w:leader="dot" w:pos="8306"/>
        </w:tabs>
        <w:kinsoku/>
        <w:wordWrap/>
        <w:overflowPunct/>
        <w:topLinePunct w:val="0"/>
        <w:bidi w:val="0"/>
        <w:spacing w:line="576" w:lineRule="exact"/>
        <w:textAlignment w:val="auto"/>
        <w:rPr>
          <w:rFonts w:hint="default" w:eastAsia="宋体"/>
          <w:lang w:val="en-US" w:eastAsia="zh-CN"/>
        </w:rPr>
      </w:pPr>
      <w:r>
        <w:fldChar w:fldCharType="begin"/>
      </w:r>
      <w:r>
        <w:instrText xml:space="preserve"> HYPERLINK \l _Toc11856 </w:instrText>
      </w:r>
      <w:r>
        <w:fldChar w:fldCharType="separate"/>
      </w:r>
      <w:r>
        <w:rPr>
          <w:rFonts w:hint="eastAsia" w:ascii="仿宋" w:hAnsi="Cambria" w:eastAsia="仿宋" w:cs="Times New Roman"/>
          <w:kern w:val="2"/>
          <w:szCs w:val="32"/>
          <w:lang w:bidi="ar-SA"/>
        </w:rPr>
        <w:t>三、支出决算表</w:t>
      </w:r>
      <w:r>
        <w:fldChar w:fldCharType="end"/>
      </w:r>
      <w:r>
        <w:rPr>
          <w:rFonts w:hint="eastAsia"/>
          <w:lang w:val="en-US" w:eastAsia="zh-CN"/>
        </w:rPr>
        <w:t>..............................................................................................................................20</w:t>
      </w:r>
    </w:p>
    <w:p w14:paraId="350EC99A">
      <w:pPr>
        <w:pStyle w:val="46"/>
        <w:pageBreakBefore w:val="0"/>
        <w:tabs>
          <w:tab w:val="right" w:leader="dot" w:pos="8306"/>
        </w:tabs>
        <w:kinsoku/>
        <w:wordWrap/>
        <w:overflowPunct/>
        <w:topLinePunct w:val="0"/>
        <w:bidi w:val="0"/>
        <w:spacing w:line="576" w:lineRule="exact"/>
        <w:textAlignment w:val="auto"/>
        <w:rPr>
          <w:rFonts w:hint="default" w:eastAsia="宋体"/>
          <w:lang w:val="en-US" w:eastAsia="zh-CN"/>
        </w:rPr>
      </w:pPr>
      <w:r>
        <w:fldChar w:fldCharType="begin"/>
      </w:r>
      <w:r>
        <w:instrText xml:space="preserve"> HYPERLINK \l _Toc25907 </w:instrText>
      </w:r>
      <w:r>
        <w:fldChar w:fldCharType="separate"/>
      </w:r>
      <w:r>
        <w:rPr>
          <w:rFonts w:hint="eastAsia" w:ascii="仿宋" w:hAnsi="Cambria" w:eastAsia="仿宋" w:cs="Times New Roman"/>
          <w:kern w:val="2"/>
          <w:szCs w:val="32"/>
          <w:lang w:bidi="ar-SA"/>
        </w:rPr>
        <w:t>四、财政拨款收入支出决算总表</w:t>
      </w:r>
      <w:r>
        <w:fldChar w:fldCharType="end"/>
      </w:r>
      <w:r>
        <w:rPr>
          <w:rFonts w:hint="eastAsia"/>
          <w:lang w:val="en-US" w:eastAsia="zh-CN"/>
        </w:rPr>
        <w:t>..................................................................................................20</w:t>
      </w:r>
    </w:p>
    <w:p w14:paraId="3CF555A3">
      <w:pPr>
        <w:pStyle w:val="46"/>
        <w:pageBreakBefore w:val="0"/>
        <w:tabs>
          <w:tab w:val="right" w:leader="dot" w:pos="8306"/>
        </w:tabs>
        <w:kinsoku/>
        <w:wordWrap/>
        <w:overflowPunct/>
        <w:topLinePunct w:val="0"/>
        <w:bidi w:val="0"/>
        <w:spacing w:line="576" w:lineRule="exact"/>
        <w:textAlignment w:val="auto"/>
        <w:rPr>
          <w:rFonts w:hint="default" w:eastAsia="宋体"/>
          <w:lang w:val="en-US" w:eastAsia="zh-CN"/>
        </w:rPr>
      </w:pPr>
      <w:r>
        <w:fldChar w:fldCharType="begin"/>
      </w:r>
      <w:r>
        <w:instrText xml:space="preserve"> HYPERLINK \l _Toc15912 </w:instrText>
      </w:r>
      <w:r>
        <w:fldChar w:fldCharType="separate"/>
      </w:r>
      <w:r>
        <w:rPr>
          <w:rFonts w:hint="eastAsia" w:ascii="仿宋" w:hAnsi="Cambria" w:eastAsia="仿宋" w:cs="Times New Roman"/>
          <w:kern w:val="2"/>
          <w:szCs w:val="32"/>
          <w:lang w:bidi="ar-SA"/>
        </w:rPr>
        <w:t>五、财政拨款支出决算明细表</w:t>
      </w:r>
      <w:r>
        <w:fldChar w:fldCharType="end"/>
      </w:r>
      <w:r>
        <w:rPr>
          <w:rFonts w:hint="eastAsia"/>
          <w:lang w:val="en-US" w:eastAsia="zh-CN"/>
        </w:rPr>
        <w:t>......................................................................................................20</w:t>
      </w:r>
    </w:p>
    <w:p w14:paraId="74BBCC38">
      <w:pPr>
        <w:pStyle w:val="46"/>
        <w:pageBreakBefore w:val="0"/>
        <w:tabs>
          <w:tab w:val="right" w:leader="dot" w:pos="8306"/>
        </w:tabs>
        <w:kinsoku/>
        <w:wordWrap/>
        <w:overflowPunct/>
        <w:topLinePunct w:val="0"/>
        <w:bidi w:val="0"/>
        <w:spacing w:line="576" w:lineRule="exact"/>
        <w:textAlignment w:val="auto"/>
        <w:rPr>
          <w:rFonts w:hint="default" w:eastAsia="宋体"/>
          <w:lang w:val="en-US" w:eastAsia="zh-CN"/>
        </w:rPr>
      </w:pPr>
      <w:r>
        <w:fldChar w:fldCharType="begin"/>
      </w:r>
      <w:r>
        <w:instrText xml:space="preserve"> HYPERLINK \l _Toc10267 </w:instrText>
      </w:r>
      <w:r>
        <w:fldChar w:fldCharType="separate"/>
      </w:r>
      <w:r>
        <w:rPr>
          <w:rFonts w:hint="eastAsia" w:ascii="仿宋" w:hAnsi="Cambria" w:eastAsia="仿宋" w:cs="Times New Roman"/>
          <w:kern w:val="2"/>
          <w:szCs w:val="32"/>
          <w:lang w:bidi="ar-SA"/>
        </w:rPr>
        <w:t>六、一般公共预算财政拨款支出决算表</w:t>
      </w:r>
      <w:r>
        <w:fldChar w:fldCharType="end"/>
      </w:r>
      <w:r>
        <w:rPr>
          <w:rFonts w:hint="eastAsia"/>
          <w:lang w:val="en-US" w:eastAsia="zh-CN"/>
        </w:rPr>
        <w:t>......................................................................................20</w:t>
      </w:r>
    </w:p>
    <w:p w14:paraId="090AE469">
      <w:pPr>
        <w:pStyle w:val="46"/>
        <w:pageBreakBefore w:val="0"/>
        <w:tabs>
          <w:tab w:val="right" w:leader="dot" w:pos="8306"/>
        </w:tabs>
        <w:kinsoku/>
        <w:wordWrap/>
        <w:overflowPunct/>
        <w:topLinePunct w:val="0"/>
        <w:bidi w:val="0"/>
        <w:spacing w:line="576" w:lineRule="exact"/>
        <w:textAlignment w:val="auto"/>
        <w:rPr>
          <w:rFonts w:hint="default" w:eastAsia="宋体"/>
          <w:lang w:val="en-US" w:eastAsia="zh-CN"/>
        </w:rPr>
      </w:pPr>
      <w:r>
        <w:fldChar w:fldCharType="begin"/>
      </w:r>
      <w:r>
        <w:instrText xml:space="preserve"> HYPERLINK \l _Toc703 </w:instrText>
      </w:r>
      <w:r>
        <w:fldChar w:fldCharType="separate"/>
      </w:r>
      <w:r>
        <w:rPr>
          <w:rFonts w:hint="eastAsia" w:ascii="仿宋" w:hAnsi="Cambria" w:eastAsia="仿宋" w:cs="Times New Roman"/>
          <w:kern w:val="2"/>
          <w:szCs w:val="32"/>
          <w:lang w:bidi="ar-SA"/>
        </w:rPr>
        <w:t>七、一般公共预算财政拨款支出决算明细表</w:t>
      </w:r>
      <w:r>
        <w:fldChar w:fldCharType="end"/>
      </w:r>
      <w:r>
        <w:rPr>
          <w:rFonts w:hint="eastAsia"/>
          <w:lang w:val="en-US" w:eastAsia="zh-CN"/>
        </w:rPr>
        <w:t>..............................................................................20</w:t>
      </w:r>
    </w:p>
    <w:p w14:paraId="25867FDE">
      <w:pPr>
        <w:pStyle w:val="46"/>
        <w:pageBreakBefore w:val="0"/>
        <w:tabs>
          <w:tab w:val="right" w:leader="dot" w:pos="8306"/>
        </w:tabs>
        <w:kinsoku/>
        <w:wordWrap/>
        <w:overflowPunct/>
        <w:topLinePunct w:val="0"/>
        <w:bidi w:val="0"/>
        <w:spacing w:line="576" w:lineRule="exact"/>
        <w:textAlignment w:val="auto"/>
        <w:rPr>
          <w:rFonts w:hint="default" w:eastAsia="宋体"/>
          <w:lang w:val="en-US" w:eastAsia="zh-CN"/>
        </w:rPr>
      </w:pPr>
      <w:r>
        <w:fldChar w:fldCharType="begin"/>
      </w:r>
      <w:r>
        <w:instrText xml:space="preserve"> HYPERLINK \l _Toc1164 </w:instrText>
      </w:r>
      <w:r>
        <w:fldChar w:fldCharType="separate"/>
      </w:r>
      <w:r>
        <w:rPr>
          <w:rFonts w:hint="eastAsia" w:ascii="仿宋" w:hAnsi="Cambria" w:eastAsia="仿宋" w:cs="Times New Roman"/>
          <w:kern w:val="2"/>
          <w:szCs w:val="32"/>
          <w:lang w:bidi="ar-SA"/>
        </w:rPr>
        <w:t>八、一般公共预算财政拨款基本支出决算表</w:t>
      </w:r>
      <w:r>
        <w:fldChar w:fldCharType="end"/>
      </w:r>
      <w:r>
        <w:rPr>
          <w:rFonts w:hint="eastAsia"/>
          <w:lang w:val="en-US" w:eastAsia="zh-CN"/>
        </w:rPr>
        <w:t>..............................................................................20</w:t>
      </w:r>
    </w:p>
    <w:p w14:paraId="40D399BD">
      <w:pPr>
        <w:pStyle w:val="46"/>
        <w:pageBreakBefore w:val="0"/>
        <w:tabs>
          <w:tab w:val="right" w:leader="dot" w:pos="8306"/>
        </w:tabs>
        <w:kinsoku/>
        <w:wordWrap/>
        <w:overflowPunct/>
        <w:topLinePunct w:val="0"/>
        <w:bidi w:val="0"/>
        <w:spacing w:line="576" w:lineRule="exact"/>
        <w:textAlignment w:val="auto"/>
        <w:rPr>
          <w:rFonts w:hint="default" w:eastAsia="宋体"/>
          <w:lang w:val="en-US" w:eastAsia="zh-CN"/>
        </w:rPr>
      </w:pPr>
      <w:r>
        <w:fldChar w:fldCharType="begin"/>
      </w:r>
      <w:r>
        <w:instrText xml:space="preserve"> HYPERLINK \l _Toc30827 </w:instrText>
      </w:r>
      <w:r>
        <w:fldChar w:fldCharType="separate"/>
      </w:r>
      <w:r>
        <w:rPr>
          <w:rFonts w:hint="eastAsia" w:ascii="仿宋" w:hAnsi="Cambria" w:eastAsia="仿宋" w:cs="Times New Roman"/>
          <w:kern w:val="2"/>
          <w:szCs w:val="32"/>
          <w:lang w:bidi="ar-SA"/>
        </w:rPr>
        <w:t>九、一般公共预算财政拨款项目支出决算表</w:t>
      </w:r>
      <w:r>
        <w:fldChar w:fldCharType="end"/>
      </w:r>
      <w:r>
        <w:rPr>
          <w:rFonts w:hint="eastAsia"/>
          <w:lang w:val="en-US" w:eastAsia="zh-CN"/>
        </w:rPr>
        <w:t>..............................................................................20</w:t>
      </w:r>
    </w:p>
    <w:p w14:paraId="04D5EEE8">
      <w:pPr>
        <w:pStyle w:val="46"/>
        <w:pageBreakBefore w:val="0"/>
        <w:tabs>
          <w:tab w:val="right" w:leader="dot" w:pos="8306"/>
        </w:tabs>
        <w:kinsoku/>
        <w:wordWrap/>
        <w:overflowPunct/>
        <w:topLinePunct w:val="0"/>
        <w:bidi w:val="0"/>
        <w:spacing w:line="576" w:lineRule="exact"/>
        <w:textAlignment w:val="auto"/>
        <w:rPr>
          <w:rFonts w:hint="default" w:eastAsia="宋体"/>
          <w:lang w:val="en-US" w:eastAsia="zh-CN"/>
        </w:rPr>
      </w:pPr>
      <w:r>
        <w:fldChar w:fldCharType="begin"/>
      </w:r>
      <w:r>
        <w:instrText xml:space="preserve"> HYPERLINK \l _Toc26030 </w:instrText>
      </w:r>
      <w:r>
        <w:fldChar w:fldCharType="separate"/>
      </w:r>
      <w:r>
        <w:rPr>
          <w:rFonts w:hint="eastAsia" w:ascii="仿宋" w:hAnsi="Cambria" w:eastAsia="仿宋" w:cs="Times New Roman"/>
          <w:kern w:val="2"/>
          <w:szCs w:val="32"/>
          <w:lang w:bidi="ar-SA"/>
        </w:rPr>
        <w:t>十、政府性基金预算财政拨款收入支出决算表</w:t>
      </w:r>
      <w:r>
        <w:fldChar w:fldCharType="end"/>
      </w:r>
      <w:r>
        <w:rPr>
          <w:rFonts w:hint="eastAsia"/>
          <w:lang w:val="en-US" w:eastAsia="zh-CN"/>
        </w:rPr>
        <w:t>..........................................................................20</w:t>
      </w:r>
    </w:p>
    <w:p w14:paraId="4B68C846">
      <w:pPr>
        <w:pStyle w:val="46"/>
        <w:pageBreakBefore w:val="0"/>
        <w:tabs>
          <w:tab w:val="right" w:leader="dot" w:pos="8306"/>
        </w:tabs>
        <w:kinsoku/>
        <w:wordWrap/>
        <w:overflowPunct/>
        <w:topLinePunct w:val="0"/>
        <w:bidi w:val="0"/>
        <w:spacing w:line="576" w:lineRule="exact"/>
        <w:textAlignment w:val="auto"/>
        <w:rPr>
          <w:rFonts w:hint="default" w:eastAsia="宋体"/>
          <w:lang w:val="en-US" w:eastAsia="zh-CN"/>
        </w:rPr>
      </w:pPr>
      <w:r>
        <w:fldChar w:fldCharType="begin"/>
      </w:r>
      <w:r>
        <w:instrText xml:space="preserve"> HYPERLINK \l _Toc25909 </w:instrText>
      </w:r>
      <w:r>
        <w:fldChar w:fldCharType="separate"/>
      </w:r>
      <w:r>
        <w:rPr>
          <w:rFonts w:hint="eastAsia" w:ascii="仿宋" w:hAnsi="Cambria" w:eastAsia="仿宋" w:cs="Times New Roman"/>
          <w:kern w:val="2"/>
          <w:szCs w:val="32"/>
          <w:lang w:bidi="ar-SA"/>
        </w:rPr>
        <w:t>十一、国有资本经营预算财政拨款收入支出决算表</w:t>
      </w:r>
      <w:r>
        <w:fldChar w:fldCharType="end"/>
      </w:r>
      <w:r>
        <w:rPr>
          <w:rFonts w:hint="eastAsia"/>
          <w:lang w:val="en-US" w:eastAsia="zh-CN"/>
        </w:rPr>
        <w:t>..................................................................20</w:t>
      </w:r>
    </w:p>
    <w:p w14:paraId="19865C03">
      <w:pPr>
        <w:pStyle w:val="46"/>
        <w:pageBreakBefore w:val="0"/>
        <w:tabs>
          <w:tab w:val="right" w:leader="dot" w:pos="8306"/>
        </w:tabs>
        <w:kinsoku/>
        <w:wordWrap/>
        <w:overflowPunct/>
        <w:topLinePunct w:val="0"/>
        <w:bidi w:val="0"/>
        <w:spacing w:line="576" w:lineRule="exact"/>
        <w:textAlignment w:val="auto"/>
        <w:rPr>
          <w:rFonts w:hint="default" w:eastAsia="宋体"/>
          <w:lang w:val="en-US" w:eastAsia="zh-CN"/>
        </w:rPr>
      </w:pPr>
      <w:r>
        <w:fldChar w:fldCharType="begin"/>
      </w:r>
      <w:r>
        <w:instrText xml:space="preserve"> HYPERLINK \l _Toc27357 </w:instrText>
      </w:r>
      <w:r>
        <w:fldChar w:fldCharType="separate"/>
      </w:r>
      <w:r>
        <w:rPr>
          <w:rFonts w:hint="eastAsia" w:ascii="仿宋" w:hAnsi="Cambria" w:eastAsia="仿宋" w:cs="Times New Roman"/>
          <w:kern w:val="2"/>
          <w:szCs w:val="32"/>
          <w:lang w:bidi="ar-SA"/>
        </w:rPr>
        <w:t>十二、国有资本经营预算财政拨款支出决算表</w:t>
      </w:r>
      <w:r>
        <w:fldChar w:fldCharType="end"/>
      </w:r>
      <w:r>
        <w:rPr>
          <w:rFonts w:hint="eastAsia"/>
          <w:lang w:val="en-US" w:eastAsia="zh-CN"/>
        </w:rPr>
        <w:t>..........................................................................20</w:t>
      </w:r>
    </w:p>
    <w:p w14:paraId="1A6957B5">
      <w:pPr>
        <w:pStyle w:val="46"/>
        <w:pageBreakBefore w:val="0"/>
        <w:tabs>
          <w:tab w:val="right" w:leader="dot" w:pos="8306"/>
        </w:tabs>
        <w:kinsoku/>
        <w:wordWrap/>
        <w:overflowPunct/>
        <w:topLinePunct w:val="0"/>
        <w:bidi w:val="0"/>
        <w:spacing w:line="576" w:lineRule="exact"/>
        <w:textAlignment w:val="auto"/>
        <w:rPr>
          <w:rFonts w:hint="default" w:eastAsia="宋体"/>
          <w:lang w:val="en-US" w:eastAsia="zh-CN"/>
        </w:rPr>
      </w:pPr>
      <w:r>
        <w:fldChar w:fldCharType="begin"/>
      </w:r>
      <w:r>
        <w:instrText xml:space="preserve"> HYPERLINK \l _Toc32413 </w:instrText>
      </w:r>
      <w:r>
        <w:fldChar w:fldCharType="separate"/>
      </w:r>
      <w:r>
        <w:rPr>
          <w:rFonts w:hint="eastAsia" w:ascii="仿宋" w:hAnsi="Cambria" w:eastAsia="仿宋" w:cs="Times New Roman"/>
          <w:kern w:val="2"/>
          <w:szCs w:val="32"/>
          <w:lang w:bidi="ar-SA"/>
        </w:rPr>
        <w:t>十三、财政拨款“三公”经费支出决算表</w:t>
      </w:r>
      <w:r>
        <w:fldChar w:fldCharType="end"/>
      </w:r>
      <w:r>
        <w:rPr>
          <w:rFonts w:hint="eastAsia"/>
          <w:lang w:val="en-US" w:eastAsia="zh-CN"/>
        </w:rPr>
        <w:t>...................................................................................20</w:t>
      </w:r>
    </w:p>
    <w:p w14:paraId="73CF4FC5">
      <w:pPr>
        <w:pageBreakBefore w:val="0"/>
        <w:kinsoku/>
        <w:wordWrap/>
        <w:overflowPunct/>
        <w:topLinePunct w:val="0"/>
        <w:bidi w:val="0"/>
        <w:spacing w:line="576" w:lineRule="exact"/>
        <w:textAlignment w:val="auto"/>
      </w:pPr>
      <w:r>
        <w:fldChar w:fldCharType="end"/>
      </w:r>
    </w:p>
    <w:p w14:paraId="04EF5444">
      <w:pPr>
        <w:adjustRightInd w:val="0"/>
        <w:snapToGrid w:val="0"/>
        <w:spacing w:line="576" w:lineRule="exact"/>
        <w:jc w:val="both"/>
        <w:outlineLvl w:val="0"/>
        <w:rPr>
          <w:rFonts w:hint="eastAsia" w:ascii="方正小标宋简体" w:hAnsi="方正小标宋简体" w:eastAsia="方正小标宋简体" w:cs="方正小标宋简体"/>
          <w:sz w:val="44"/>
          <w:szCs w:val="44"/>
        </w:rPr>
      </w:pPr>
      <w:bookmarkStart w:id="2" w:name="_Toc79163851"/>
      <w:bookmarkStart w:id="3" w:name="_Toc79163601"/>
    </w:p>
    <w:p w14:paraId="11430E12">
      <w:pPr>
        <w:pStyle w:val="20"/>
        <w:rPr>
          <w:rFonts w:hint="eastAsia"/>
        </w:rPr>
      </w:pPr>
    </w:p>
    <w:p w14:paraId="4BF16926">
      <w:pPr>
        <w:adjustRightInd w:val="0"/>
        <w:snapToGrid w:val="0"/>
        <w:spacing w:line="576" w:lineRule="exact"/>
        <w:jc w:val="center"/>
        <w:outlineLvl w:val="0"/>
        <w:rPr>
          <w:rFonts w:hint="eastAsia" w:ascii="方正小标宋简体" w:hAnsi="方正小标宋简体" w:eastAsia="方正小标宋简体" w:cs="方正小标宋简体"/>
          <w:sz w:val="44"/>
          <w:szCs w:val="44"/>
        </w:rPr>
      </w:pPr>
    </w:p>
    <w:p w14:paraId="0348FF0E">
      <w:pPr>
        <w:adjustRightInd w:val="0"/>
        <w:snapToGrid w:val="0"/>
        <w:spacing w:line="576" w:lineRule="exact"/>
        <w:jc w:val="center"/>
        <w:outlineLvl w:val="0"/>
        <w:rPr>
          <w:rFonts w:hint="eastAsia" w:ascii="方正小标宋简体" w:hAnsi="方正小标宋简体" w:eastAsia="方正小标宋简体" w:cs="方正小标宋简体"/>
          <w:sz w:val="44"/>
          <w:szCs w:val="44"/>
        </w:rPr>
      </w:pPr>
    </w:p>
    <w:p w14:paraId="08C5F42F">
      <w:pPr>
        <w:adjustRightInd w:val="0"/>
        <w:snapToGrid w:val="0"/>
        <w:spacing w:line="576" w:lineRule="exact"/>
        <w:jc w:val="center"/>
        <w:outlineLvl w:val="0"/>
        <w:rPr>
          <w:rFonts w:hint="eastAsia" w:ascii="方正小标宋简体" w:hAnsi="方正小标宋简体" w:eastAsia="方正小标宋简体" w:cs="方正小标宋简体"/>
          <w:sz w:val="44"/>
          <w:szCs w:val="44"/>
        </w:rPr>
      </w:pPr>
    </w:p>
    <w:p w14:paraId="12DADA41">
      <w:pPr>
        <w:adjustRightInd w:val="0"/>
        <w:snapToGrid w:val="0"/>
        <w:spacing w:line="576" w:lineRule="exact"/>
        <w:jc w:val="center"/>
        <w:outlineLvl w:val="0"/>
        <w:rPr>
          <w:rFonts w:hint="eastAsia" w:ascii="方正小标宋简体" w:hAnsi="方正小标宋简体" w:eastAsia="方正小标宋简体" w:cs="方正小标宋简体"/>
          <w:sz w:val="44"/>
          <w:szCs w:val="44"/>
        </w:rPr>
      </w:pPr>
    </w:p>
    <w:p w14:paraId="5DC9B185">
      <w:pPr>
        <w:adjustRightInd w:val="0"/>
        <w:snapToGrid w:val="0"/>
        <w:spacing w:line="576" w:lineRule="exact"/>
        <w:jc w:val="center"/>
        <w:outlineLvl w:val="0"/>
        <w:rPr>
          <w:rFonts w:hint="eastAsia" w:ascii="方正小标宋简体" w:hAnsi="方正小标宋简体" w:eastAsia="方正小标宋简体" w:cs="方正小标宋简体"/>
          <w:sz w:val="44"/>
          <w:szCs w:val="44"/>
        </w:rPr>
      </w:pPr>
    </w:p>
    <w:p w14:paraId="20EEAF0E">
      <w:pPr>
        <w:adjustRightInd w:val="0"/>
        <w:snapToGrid w:val="0"/>
        <w:spacing w:line="576" w:lineRule="exact"/>
        <w:jc w:val="center"/>
        <w:outlineLvl w:val="0"/>
        <w:rPr>
          <w:rFonts w:hint="eastAsia" w:ascii="方正小标宋简体" w:hAnsi="方正小标宋简体" w:eastAsia="方正小标宋简体" w:cs="方正小标宋简体"/>
          <w:sz w:val="44"/>
          <w:szCs w:val="44"/>
        </w:rPr>
      </w:pPr>
    </w:p>
    <w:p w14:paraId="7E7AD630">
      <w:pPr>
        <w:adjustRightInd w:val="0"/>
        <w:snapToGrid w:val="0"/>
        <w:spacing w:line="576" w:lineRule="exact"/>
        <w:jc w:val="center"/>
        <w:outlineLvl w:val="0"/>
        <w:rPr>
          <w:rFonts w:hint="eastAsia" w:ascii="方正小标宋简体" w:hAnsi="方正小标宋简体" w:eastAsia="方正小标宋简体" w:cs="方正小标宋简体"/>
          <w:sz w:val="44"/>
          <w:szCs w:val="44"/>
        </w:rPr>
      </w:pPr>
    </w:p>
    <w:p w14:paraId="6FC8EA85">
      <w:pPr>
        <w:adjustRightInd w:val="0"/>
        <w:snapToGrid w:val="0"/>
        <w:spacing w:line="576" w:lineRule="exact"/>
        <w:jc w:val="center"/>
        <w:outlineLvl w:val="0"/>
        <w:rPr>
          <w:rFonts w:hint="eastAsia" w:ascii="方正小标宋简体" w:hAnsi="方正小标宋简体" w:eastAsia="方正小标宋简体" w:cs="方正小标宋简体"/>
          <w:sz w:val="44"/>
          <w:szCs w:val="44"/>
        </w:rPr>
      </w:pPr>
    </w:p>
    <w:p w14:paraId="368C6E4A">
      <w:pPr>
        <w:adjustRightInd w:val="0"/>
        <w:snapToGrid w:val="0"/>
        <w:spacing w:line="576" w:lineRule="exact"/>
        <w:jc w:val="center"/>
        <w:outlineLvl w:val="0"/>
        <w:rPr>
          <w:rFonts w:hint="eastAsia" w:ascii="方正小标宋简体" w:hAnsi="方正小标宋简体" w:eastAsia="方正小标宋简体" w:cs="方正小标宋简体"/>
          <w:sz w:val="44"/>
          <w:szCs w:val="44"/>
        </w:rPr>
      </w:pPr>
    </w:p>
    <w:p w14:paraId="5C899976">
      <w:pPr>
        <w:adjustRightInd w:val="0"/>
        <w:snapToGrid w:val="0"/>
        <w:spacing w:line="576" w:lineRule="exact"/>
        <w:jc w:val="center"/>
        <w:outlineLvl w:val="0"/>
        <w:rPr>
          <w:rFonts w:hint="eastAsia" w:ascii="方正小标宋简体" w:hAnsi="方正小标宋简体" w:eastAsia="方正小标宋简体" w:cs="方正小标宋简体"/>
          <w:sz w:val="44"/>
          <w:szCs w:val="44"/>
        </w:rPr>
      </w:pPr>
    </w:p>
    <w:p w14:paraId="7E61473B">
      <w:pPr>
        <w:adjustRightInd w:val="0"/>
        <w:snapToGrid w:val="0"/>
        <w:spacing w:line="576" w:lineRule="exact"/>
        <w:jc w:val="center"/>
        <w:outlineLvl w:val="0"/>
        <w:rPr>
          <w:rFonts w:hint="eastAsia" w:ascii="方正小标宋简体" w:hAnsi="方正小标宋简体" w:eastAsia="方正小标宋简体" w:cs="方正小标宋简体"/>
          <w:sz w:val="44"/>
          <w:szCs w:val="44"/>
        </w:rPr>
      </w:pPr>
    </w:p>
    <w:p w14:paraId="5AEAAC5E">
      <w:pPr>
        <w:adjustRightInd w:val="0"/>
        <w:snapToGrid w:val="0"/>
        <w:spacing w:line="576" w:lineRule="exact"/>
        <w:jc w:val="center"/>
        <w:outlineLvl w:val="0"/>
        <w:rPr>
          <w:rFonts w:hint="eastAsia" w:ascii="方正小标宋简体" w:hAnsi="方正小标宋简体" w:eastAsia="方正小标宋简体" w:cs="方正小标宋简体"/>
          <w:sz w:val="44"/>
          <w:szCs w:val="44"/>
        </w:rPr>
      </w:pPr>
    </w:p>
    <w:p w14:paraId="454BBDBD">
      <w:pPr>
        <w:keepNext w:val="0"/>
        <w:keepLines w:val="0"/>
        <w:pageBreakBefore w:val="0"/>
        <w:kinsoku/>
        <w:wordWrap/>
        <w:overflowPunct/>
        <w:topLinePunct w:val="0"/>
        <w:autoSpaceDE/>
        <w:autoSpaceDN/>
        <w:bidi w:val="0"/>
        <w:adjustRightInd w:val="0"/>
        <w:snapToGrid w:val="0"/>
        <w:spacing w:line="576" w:lineRule="exact"/>
        <w:jc w:val="center"/>
        <w:textAlignment w:val="auto"/>
        <w:outlineLvl w:val="0"/>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第一部分 部门概况</w:t>
      </w:r>
      <w:bookmarkEnd w:id="0"/>
      <w:bookmarkEnd w:id="1"/>
      <w:bookmarkEnd w:id="2"/>
      <w:bookmarkEnd w:id="3"/>
    </w:p>
    <w:p w14:paraId="714CCF07">
      <w:pPr>
        <w:keepNext w:val="0"/>
        <w:keepLines w:val="0"/>
        <w:pageBreakBefore w:val="0"/>
        <w:widowControl/>
        <w:kinsoku/>
        <w:wordWrap/>
        <w:overflowPunct/>
        <w:topLinePunct w:val="0"/>
        <w:autoSpaceDE/>
        <w:autoSpaceDN/>
        <w:bidi w:val="0"/>
        <w:spacing w:line="576" w:lineRule="exact"/>
        <w:jc w:val="left"/>
        <w:textAlignment w:val="auto"/>
        <w:rPr>
          <w:rFonts w:ascii="黑体" w:eastAsia="黑体"/>
          <w:color w:val="000000"/>
          <w:sz w:val="32"/>
          <w:szCs w:val="32"/>
        </w:rPr>
      </w:pPr>
    </w:p>
    <w:p w14:paraId="53F316E2">
      <w:pPr>
        <w:keepNext w:val="0"/>
        <w:keepLines w:val="0"/>
        <w:pageBreakBefore w:val="0"/>
        <w:kinsoku/>
        <w:wordWrap/>
        <w:overflowPunct/>
        <w:topLinePunct w:val="0"/>
        <w:autoSpaceDE/>
        <w:autoSpaceDN/>
        <w:bidi w:val="0"/>
        <w:spacing w:line="576" w:lineRule="exact"/>
        <w:ind w:firstLine="640" w:firstLineChars="200"/>
        <w:textAlignment w:val="auto"/>
        <w:rPr>
          <w:rStyle w:val="42"/>
          <w:rFonts w:hint="eastAsia" w:ascii="黑体" w:hAnsi="黑体" w:eastAsia="黑体" w:cs="Times New Roman"/>
          <w:b w:val="0"/>
          <w:bCs w:val="0"/>
          <w:color w:val="auto"/>
          <w:highlight w:val="none"/>
          <w:lang w:val="en-US" w:eastAsia="zh-CN" w:bidi="ar-SA"/>
        </w:rPr>
      </w:pPr>
      <w:bookmarkStart w:id="4" w:name="_Toc15377198"/>
      <w:bookmarkStart w:id="5" w:name="_Toc15378445"/>
      <w:r>
        <w:rPr>
          <w:rFonts w:hint="eastAsia" w:ascii="黑体" w:hAnsi="黑体" w:eastAsia="黑体"/>
          <w:sz w:val="32"/>
          <w:szCs w:val="32"/>
        </w:rPr>
        <w:t>一、</w:t>
      </w:r>
      <w:r>
        <w:rPr>
          <w:rStyle w:val="42"/>
          <w:rFonts w:hint="eastAsia" w:ascii="黑体" w:hAnsi="黑体" w:eastAsia="黑体" w:cs="Times New Roman"/>
          <w:b w:val="0"/>
          <w:bCs w:val="0"/>
          <w:color w:val="auto"/>
          <w:highlight w:val="none"/>
          <w:lang w:val="en-US" w:eastAsia="zh-CN" w:bidi="ar-SA"/>
        </w:rPr>
        <w:t>主要职责</w:t>
      </w:r>
    </w:p>
    <w:bookmarkEnd w:id="4"/>
    <w:bookmarkEnd w:id="5"/>
    <w:p w14:paraId="6AD35A08">
      <w:pPr>
        <w:snapToGrid w:val="0"/>
        <w:spacing w:line="576" w:lineRule="exact"/>
        <w:ind w:firstLine="640" w:firstLineChars="200"/>
        <w:rPr>
          <w:rFonts w:hint="eastAsia" w:ascii="仿宋_GB2312" w:hAnsi="仿宋" w:eastAsia="仿宋_GB2312" w:cs="Times New Roman"/>
          <w:sz w:val="32"/>
          <w:szCs w:val="32"/>
          <w:lang w:val="en-US" w:eastAsia="zh-CN"/>
        </w:rPr>
      </w:pPr>
      <w:bookmarkStart w:id="6" w:name="_Toc15396601"/>
      <w:bookmarkStart w:id="7" w:name="_Toc15377200"/>
      <w:r>
        <w:rPr>
          <w:rFonts w:hint="eastAsia" w:ascii="仿宋_GB2312" w:hAnsi="仿宋" w:eastAsia="仿宋_GB2312" w:cs="Times New Roman"/>
          <w:sz w:val="32"/>
          <w:szCs w:val="32"/>
          <w:lang w:val="en-US" w:eastAsia="zh-CN"/>
        </w:rPr>
        <w:t>县委编办是县委编委领导下负责全县行政管理体制和机构改革、事业单位改革及机构编制管理的工作部门，主要职能职责包括研究拟定全县行政管理体制和机构改革及 事业单位改革方案，审核县直各部门“三定”规定， 负责全县事业单位机构编制管理工作，负责全县事业单位登记管理工作。参与行政区划调整有关工作等。</w:t>
      </w:r>
    </w:p>
    <w:p w14:paraId="3DA908CD">
      <w:pPr>
        <w:keepNext w:val="0"/>
        <w:keepLines w:val="0"/>
        <w:pageBreakBefore w:val="0"/>
        <w:kinsoku/>
        <w:wordWrap/>
        <w:overflowPunct/>
        <w:topLinePunct w:val="0"/>
        <w:autoSpaceDE/>
        <w:autoSpaceDN/>
        <w:bidi w:val="0"/>
        <w:adjustRightInd/>
        <w:snapToGrid/>
        <w:spacing w:line="576" w:lineRule="exact"/>
        <w:ind w:firstLine="640" w:firstLineChars="200"/>
        <w:textAlignment w:val="auto"/>
        <w:rPr>
          <w:rStyle w:val="42"/>
          <w:rFonts w:ascii="黑体" w:hAnsi="黑体" w:eastAsia="黑体"/>
          <w:b w:val="0"/>
          <w:bCs w:val="0"/>
        </w:rPr>
      </w:pPr>
      <w:r>
        <w:rPr>
          <w:rFonts w:hint="eastAsia" w:ascii="黑体" w:eastAsia="黑体"/>
          <w:sz w:val="32"/>
          <w:szCs w:val="32"/>
        </w:rPr>
        <w:t>二、</w:t>
      </w:r>
      <w:r>
        <w:rPr>
          <w:rFonts w:hint="eastAsia" w:ascii="黑体" w:hAnsi="黑体" w:eastAsia="黑体"/>
          <w:sz w:val="32"/>
          <w:szCs w:val="32"/>
        </w:rPr>
        <w:t>机</w:t>
      </w:r>
      <w:r>
        <w:rPr>
          <w:rStyle w:val="42"/>
          <w:rFonts w:hint="eastAsia" w:ascii="黑体" w:hAnsi="黑体" w:eastAsia="黑体"/>
          <w:b w:val="0"/>
          <w:bCs w:val="0"/>
        </w:rPr>
        <w:t>构设置</w:t>
      </w:r>
      <w:bookmarkEnd w:id="6"/>
      <w:bookmarkEnd w:id="7"/>
    </w:p>
    <w:p w14:paraId="13E96CA9">
      <w:pPr>
        <w:ind w:firstLine="800" w:firstLineChars="250"/>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val="en-US" w:eastAsia="zh-CN"/>
        </w:rPr>
        <w:t>县委编办</w:t>
      </w:r>
      <w:r>
        <w:rPr>
          <w:rFonts w:hint="eastAsia" w:ascii="Times New Roman" w:hAnsi="Times New Roman" w:eastAsia="仿宋_GB2312" w:cs="仿宋_GB2312"/>
          <w:color w:val="auto"/>
          <w:sz w:val="32"/>
          <w:szCs w:val="32"/>
          <w:highlight w:val="none"/>
        </w:rPr>
        <w:t>下属二级</w:t>
      </w:r>
      <w:r>
        <w:rPr>
          <w:rFonts w:hint="eastAsia" w:ascii="Times New Roman" w:hAnsi="Times New Roman" w:eastAsia="仿宋_GB2312" w:cs="仿宋_GB2312"/>
          <w:color w:val="auto"/>
          <w:sz w:val="32"/>
          <w:szCs w:val="32"/>
          <w:highlight w:val="none"/>
          <w:lang w:eastAsia="zh-CN"/>
        </w:rPr>
        <w:t>预算</w:t>
      </w:r>
      <w:r>
        <w:rPr>
          <w:rFonts w:hint="eastAsia" w:ascii="Times New Roman" w:hAnsi="Times New Roman" w:eastAsia="仿宋_GB2312" w:cs="仿宋_GB2312"/>
          <w:color w:val="auto"/>
          <w:sz w:val="32"/>
          <w:szCs w:val="32"/>
          <w:highlight w:val="none"/>
        </w:rPr>
        <w:t>单位</w:t>
      </w:r>
      <w:r>
        <w:rPr>
          <w:rFonts w:hint="eastAsia" w:ascii="Times New Roman" w:hAnsi="Times New Roman"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个，其中行政单位</w:t>
      </w:r>
      <w:r>
        <w:rPr>
          <w:rFonts w:hint="eastAsia" w:ascii="Times New Roman" w:hAnsi="Times New Roman"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个，参照公务员法管理的事业单位</w:t>
      </w:r>
      <w:r>
        <w:rPr>
          <w:rFonts w:hint="eastAsia" w:ascii="Times New Roman" w:hAnsi="Times New Roman" w:eastAsia="仿宋_GB2312" w:cs="仿宋_GB2312"/>
          <w:bCs/>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个，其他事业单位</w:t>
      </w:r>
      <w:r>
        <w:rPr>
          <w:rFonts w:hint="eastAsia" w:ascii="Times New Roman" w:hAnsi="Times New Roman"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w:t>
      </w:r>
    </w:p>
    <w:p w14:paraId="7583E4F6">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ascii="仿宋" w:hAnsi="仿宋" w:eastAsia="仿宋"/>
          <w:color w:val="000000"/>
          <w:kern w:val="0"/>
          <w:sz w:val="32"/>
          <w:szCs w:val="32"/>
        </w:rPr>
      </w:pPr>
    </w:p>
    <w:p w14:paraId="10587CCF">
      <w:pPr>
        <w:pStyle w:val="24"/>
        <w:keepNext w:val="0"/>
        <w:keepLines w:val="0"/>
        <w:pageBreakBefore w:val="0"/>
        <w:kinsoku/>
        <w:wordWrap/>
        <w:overflowPunct/>
        <w:topLinePunct w:val="0"/>
        <w:autoSpaceDE/>
        <w:autoSpaceDN/>
        <w:bidi w:val="0"/>
        <w:adjustRightInd/>
        <w:snapToGrid/>
        <w:spacing w:line="576" w:lineRule="exact"/>
        <w:ind w:firstLine="643" w:firstLineChars="200"/>
        <w:textAlignment w:val="auto"/>
      </w:pPr>
    </w:p>
    <w:p w14:paraId="74546E26">
      <w:pPr>
        <w:pStyle w:val="24"/>
        <w:keepNext w:val="0"/>
        <w:keepLines w:val="0"/>
        <w:pageBreakBefore w:val="0"/>
        <w:kinsoku/>
        <w:wordWrap/>
        <w:overflowPunct/>
        <w:topLinePunct w:val="0"/>
        <w:autoSpaceDE/>
        <w:autoSpaceDN/>
        <w:bidi w:val="0"/>
        <w:adjustRightInd/>
        <w:snapToGrid/>
        <w:spacing w:line="560" w:lineRule="exact"/>
        <w:ind w:firstLine="643" w:firstLineChars="200"/>
        <w:textAlignment w:val="auto"/>
      </w:pPr>
    </w:p>
    <w:p w14:paraId="637C3714">
      <w:pPr>
        <w:pStyle w:val="24"/>
        <w:keepNext w:val="0"/>
        <w:keepLines w:val="0"/>
        <w:pageBreakBefore w:val="0"/>
        <w:kinsoku/>
        <w:wordWrap/>
        <w:overflowPunct/>
        <w:topLinePunct w:val="0"/>
        <w:autoSpaceDE/>
        <w:autoSpaceDN/>
        <w:bidi w:val="0"/>
        <w:adjustRightInd/>
        <w:snapToGrid/>
        <w:spacing w:line="560" w:lineRule="exact"/>
        <w:ind w:firstLine="643" w:firstLineChars="200"/>
        <w:textAlignment w:val="auto"/>
      </w:pPr>
    </w:p>
    <w:p w14:paraId="4630E964">
      <w:pPr>
        <w:pStyle w:val="24"/>
        <w:keepNext w:val="0"/>
        <w:keepLines w:val="0"/>
        <w:pageBreakBefore w:val="0"/>
        <w:kinsoku/>
        <w:wordWrap/>
        <w:overflowPunct/>
        <w:topLinePunct w:val="0"/>
        <w:autoSpaceDE/>
        <w:autoSpaceDN/>
        <w:bidi w:val="0"/>
        <w:adjustRightInd/>
        <w:snapToGrid/>
        <w:spacing w:line="560" w:lineRule="exact"/>
        <w:ind w:firstLine="643" w:firstLineChars="200"/>
        <w:textAlignment w:val="auto"/>
      </w:pPr>
    </w:p>
    <w:p w14:paraId="52B0BE04">
      <w:pPr>
        <w:pStyle w:val="24"/>
        <w:keepNext w:val="0"/>
        <w:keepLines w:val="0"/>
        <w:pageBreakBefore w:val="0"/>
        <w:kinsoku/>
        <w:wordWrap/>
        <w:overflowPunct/>
        <w:topLinePunct w:val="0"/>
        <w:autoSpaceDE/>
        <w:autoSpaceDN/>
        <w:bidi w:val="0"/>
        <w:adjustRightInd/>
        <w:snapToGrid/>
        <w:spacing w:line="560" w:lineRule="exact"/>
        <w:ind w:firstLine="643" w:firstLineChars="200"/>
        <w:textAlignment w:val="auto"/>
      </w:pPr>
    </w:p>
    <w:p w14:paraId="354E13BE">
      <w:pPr>
        <w:pStyle w:val="24"/>
        <w:keepNext w:val="0"/>
        <w:keepLines w:val="0"/>
        <w:pageBreakBefore w:val="0"/>
        <w:kinsoku/>
        <w:wordWrap/>
        <w:overflowPunct/>
        <w:topLinePunct w:val="0"/>
        <w:autoSpaceDE/>
        <w:autoSpaceDN/>
        <w:bidi w:val="0"/>
        <w:adjustRightInd/>
        <w:snapToGrid/>
        <w:spacing w:line="560" w:lineRule="exact"/>
        <w:jc w:val="both"/>
        <w:textAlignment w:val="auto"/>
      </w:pPr>
    </w:p>
    <w:p w14:paraId="05363292">
      <w:pPr>
        <w:pStyle w:val="3"/>
        <w:pageBreakBefore w:val="0"/>
        <w:widowControl w:val="0"/>
        <w:kinsoku/>
        <w:wordWrap/>
        <w:overflowPunct/>
        <w:topLinePunct w:val="0"/>
        <w:autoSpaceDE/>
        <w:autoSpaceDN/>
        <w:bidi w:val="0"/>
        <w:adjustRightInd/>
        <w:spacing w:line="576" w:lineRule="exact"/>
        <w:ind w:right="440"/>
        <w:jc w:val="center"/>
        <w:textAlignment w:val="auto"/>
      </w:pPr>
      <w:bookmarkStart w:id="8" w:name="_Toc15377204"/>
      <w:bookmarkStart w:id="9" w:name="_Toc79163859"/>
      <w:bookmarkStart w:id="10" w:name="_Toc79163609"/>
      <w:bookmarkStart w:id="11" w:name="_Toc15396602"/>
      <w:r>
        <w:rPr>
          <w:rStyle w:val="38"/>
          <w:rFonts w:hint="eastAsia" w:ascii="方正小标宋简体" w:hAnsi="方正小标宋简体" w:eastAsia="方正小标宋简体" w:cs="方正小标宋简体"/>
          <w:b w:val="0"/>
          <w:bCs w:val="0"/>
          <w:lang w:val="en-US" w:eastAsia="zh-CN"/>
        </w:rPr>
        <w:t xml:space="preserve">  </w:t>
      </w:r>
      <w:r>
        <w:rPr>
          <w:rStyle w:val="38"/>
          <w:rFonts w:hint="eastAsia" w:ascii="方正小标宋简体" w:hAnsi="方正小标宋简体" w:eastAsia="方正小标宋简体" w:cs="方正小标宋简体"/>
          <w:b w:val="0"/>
          <w:bCs w:val="0"/>
        </w:rPr>
        <w:t>第二部分 202</w:t>
      </w:r>
      <w:r>
        <w:rPr>
          <w:rStyle w:val="38"/>
          <w:rFonts w:hint="eastAsia" w:ascii="方正小标宋简体" w:hAnsi="方正小标宋简体" w:eastAsia="方正小标宋简体" w:cs="方正小标宋简体"/>
          <w:b w:val="0"/>
          <w:bCs w:val="0"/>
          <w:lang w:val="en-US" w:eastAsia="zh-CN"/>
        </w:rPr>
        <w:t>5</w:t>
      </w:r>
      <w:r>
        <w:rPr>
          <w:rStyle w:val="38"/>
          <w:rFonts w:hint="eastAsia" w:ascii="方正小标宋简体" w:hAnsi="方正小标宋简体" w:eastAsia="方正小标宋简体" w:cs="方正小标宋简体"/>
          <w:b w:val="0"/>
          <w:bCs w:val="0"/>
        </w:rPr>
        <w:t>年度部门决算情况说明</w:t>
      </w:r>
      <w:bookmarkEnd w:id="8"/>
      <w:bookmarkEnd w:id="9"/>
      <w:bookmarkEnd w:id="10"/>
      <w:bookmarkEnd w:id="11"/>
    </w:p>
    <w:p w14:paraId="14ADBFEE">
      <w:pPr>
        <w:pageBreakBefore w:val="0"/>
        <w:widowControl w:val="0"/>
        <w:kinsoku/>
        <w:wordWrap/>
        <w:overflowPunct/>
        <w:topLinePunct w:val="0"/>
        <w:autoSpaceDE/>
        <w:autoSpaceDN/>
        <w:bidi w:val="0"/>
        <w:adjustRightInd/>
        <w:spacing w:line="576" w:lineRule="exact"/>
        <w:ind w:firstLine="640" w:firstLineChars="200"/>
        <w:textAlignment w:val="auto"/>
        <w:rPr>
          <w:rFonts w:hint="eastAsia" w:ascii="黑体" w:hAnsi="黑体" w:eastAsia="黑体"/>
          <w:sz w:val="32"/>
          <w:szCs w:val="32"/>
        </w:rPr>
      </w:pPr>
      <w:bookmarkStart w:id="12" w:name="_Toc15396606"/>
      <w:bookmarkStart w:id="13" w:name="_Toc79163863"/>
      <w:bookmarkStart w:id="14" w:name="_Toc79163613"/>
      <w:bookmarkStart w:id="15" w:name="_Toc15377208"/>
    </w:p>
    <w:p w14:paraId="74279A03">
      <w:pPr>
        <w:pageBreakBefore w:val="0"/>
        <w:widowControl w:val="0"/>
        <w:kinsoku/>
        <w:wordWrap/>
        <w:overflowPunct/>
        <w:topLinePunct w:val="0"/>
        <w:autoSpaceDE/>
        <w:autoSpaceDN/>
        <w:bidi w:val="0"/>
        <w:adjustRightInd/>
        <w:spacing w:line="576" w:lineRule="exact"/>
        <w:ind w:firstLine="640" w:firstLineChars="200"/>
        <w:textAlignment w:val="auto"/>
        <w:rPr>
          <w:rStyle w:val="42"/>
          <w:rFonts w:ascii="黑体" w:hAnsi="黑体" w:eastAsia="黑体"/>
          <w:b w:val="0"/>
        </w:rPr>
      </w:pPr>
      <w:r>
        <w:rPr>
          <w:rFonts w:hint="eastAsia" w:ascii="黑体" w:hAnsi="黑体" w:eastAsia="黑体"/>
          <w:sz w:val="32"/>
          <w:szCs w:val="32"/>
        </w:rPr>
        <w:t>一、收</w:t>
      </w:r>
      <w:r>
        <w:rPr>
          <w:rStyle w:val="42"/>
          <w:rFonts w:hint="eastAsia" w:ascii="黑体" w:hAnsi="黑体" w:eastAsia="黑体"/>
          <w:b w:val="0"/>
        </w:rPr>
        <w:t>入支出决算总体情况说明</w:t>
      </w:r>
    </w:p>
    <w:p w14:paraId="3169AA46">
      <w:pPr>
        <w:pageBreakBefore w:val="0"/>
        <w:widowControl w:val="0"/>
        <w:kinsoku/>
        <w:wordWrap/>
        <w:overflowPunct/>
        <w:topLinePunct w:val="0"/>
        <w:autoSpaceDE/>
        <w:autoSpaceDN/>
        <w:bidi w:val="0"/>
        <w:adjustRightInd/>
        <w:snapToGrid w:val="0"/>
        <w:spacing w:line="576" w:lineRule="exact"/>
        <w:ind w:firstLine="640" w:firstLineChars="200"/>
        <w:textAlignment w:val="auto"/>
        <w:rPr>
          <w:rFonts w:hint="eastAsia" w:ascii="仿宋_GB2312" w:hAnsi="仿宋" w:eastAsia="仿宋_GB2312" w:cs="仿宋"/>
          <w:sz w:val="32"/>
          <w:szCs w:val="32"/>
          <w:lang w:val="en-US" w:eastAsia="zh-CN"/>
        </w:rPr>
      </w:pPr>
      <w:r>
        <w:rPr>
          <w:rFonts w:hint="eastAsia" w:ascii="Times New Roman" w:hAnsi="Times New Roman" w:eastAsia="仿宋_GB2312" w:cs="仿宋_GB2312"/>
          <w:color w:val="auto"/>
          <w:sz w:val="32"/>
          <w:szCs w:val="32"/>
          <w:highlight w:val="none"/>
          <w:lang w:eastAsia="zh-CN"/>
        </w:rPr>
        <w:t>202</w:t>
      </w:r>
      <w:r>
        <w:rPr>
          <w:rFonts w:hint="eastAsia" w:eastAsia="仿宋_GB2312" w:cs="仿宋_GB2312"/>
          <w:color w:val="auto"/>
          <w:sz w:val="32"/>
          <w:szCs w:val="32"/>
          <w:highlight w:val="none"/>
          <w:lang w:val="en-US" w:eastAsia="zh-CN"/>
        </w:rPr>
        <w:t>5</w:t>
      </w:r>
      <w:r>
        <w:rPr>
          <w:rFonts w:hint="eastAsia" w:ascii="Times New Roman" w:hAnsi="Times New Roman" w:eastAsia="仿宋_GB2312" w:cs="仿宋_GB2312"/>
          <w:color w:val="auto"/>
          <w:sz w:val="32"/>
          <w:szCs w:val="32"/>
          <w:highlight w:val="none"/>
          <w:lang w:eastAsia="zh-CN"/>
        </w:rPr>
        <w:t>年度收入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lang w:val="en-US" w:eastAsia="zh-CN"/>
        </w:rPr>
        <w:t>289.3</w:t>
      </w:r>
      <w:r>
        <w:rPr>
          <w:rFonts w:hint="eastAsia" w:ascii="Times New Roman" w:hAnsi="Times New Roman" w:eastAsia="仿宋_GB2312" w:cs="仿宋_GB2312"/>
          <w:color w:val="auto"/>
          <w:sz w:val="32"/>
          <w:szCs w:val="32"/>
          <w:highlight w:val="none"/>
        </w:rPr>
        <w:t>万元</w:t>
      </w:r>
      <w:r>
        <w:rPr>
          <w:rFonts w:hint="eastAsia" w:ascii="仿宋_GB2312" w:hAnsi="仿宋_GB2312" w:eastAsia="仿宋_GB2312" w:cs="仿宋_GB2312"/>
          <w:sz w:val="32"/>
          <w:szCs w:val="32"/>
        </w:rPr>
        <w:t>。与20</w:t>
      </w:r>
      <w:r>
        <w:rPr>
          <w:rFonts w:hint="eastAsia" w:ascii="仿宋_GB2312" w:hAnsi="仿宋_GB2312" w:eastAsia="仿宋_GB2312" w:cs="仿宋_GB2312"/>
          <w:sz w:val="32"/>
          <w:szCs w:val="32"/>
          <w:lang w:val="en-US" w:eastAsia="zh-CN"/>
        </w:rPr>
        <w:t>24</w:t>
      </w:r>
      <w:r>
        <w:rPr>
          <w:rFonts w:hint="eastAsia" w:ascii="仿宋_GB2312" w:hAnsi="仿宋_GB2312" w:eastAsia="仿宋_GB2312" w:cs="仿宋_GB2312"/>
          <w:sz w:val="32"/>
          <w:szCs w:val="32"/>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总计各增加</w:t>
      </w:r>
      <w:r>
        <w:rPr>
          <w:rFonts w:hint="eastAsia" w:eastAsia="仿宋_GB2312" w:cs="仿宋_GB2312"/>
          <w:color w:val="auto"/>
          <w:sz w:val="32"/>
          <w:szCs w:val="32"/>
          <w:highlight w:val="none"/>
          <w:lang w:val="en-US" w:eastAsia="zh-CN"/>
        </w:rPr>
        <w:t>38.03</w:t>
      </w:r>
      <w:r>
        <w:rPr>
          <w:rFonts w:hint="eastAsia" w:ascii="仿宋_GB2312" w:hAnsi="仿宋_GB2312" w:eastAsia="仿宋_GB2312" w:cs="仿宋_GB2312"/>
          <w:sz w:val="32"/>
          <w:szCs w:val="32"/>
        </w:rPr>
        <w:t>万元，</w:t>
      </w:r>
      <w:r>
        <w:rPr>
          <w:rFonts w:hint="eastAsia" w:ascii="Times New Roman" w:hAnsi="Times New Roman" w:eastAsia="仿宋_GB2312" w:cs="仿宋_GB2312"/>
          <w:color w:val="auto"/>
          <w:sz w:val="32"/>
          <w:szCs w:val="32"/>
          <w:highlight w:val="none"/>
        </w:rPr>
        <w:t>增长</w:t>
      </w:r>
      <w:r>
        <w:rPr>
          <w:rFonts w:hint="eastAsia" w:eastAsia="仿宋_GB2312" w:cs="仿宋_GB2312"/>
          <w:color w:val="auto"/>
          <w:sz w:val="32"/>
          <w:szCs w:val="32"/>
          <w:highlight w:val="none"/>
          <w:lang w:val="en-US" w:eastAsia="zh-CN"/>
        </w:rPr>
        <w:t>15.13</w:t>
      </w:r>
      <w:r>
        <w:rPr>
          <w:rFonts w:hint="eastAsia" w:ascii="仿宋_GB2312" w:hAnsi="仿宋_GB2312" w:eastAsia="仿宋_GB2312" w:cs="仿宋_GB2312"/>
          <w:sz w:val="32"/>
          <w:szCs w:val="32"/>
        </w:rPr>
        <w:t>%。主要变动原因是</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2025年</w:t>
      </w:r>
      <w:r>
        <w:rPr>
          <w:rFonts w:hint="eastAsia" w:ascii="仿宋_GB2312" w:hAnsi="仿宋" w:eastAsia="仿宋_GB2312" w:cs="仿宋"/>
          <w:sz w:val="32"/>
          <w:szCs w:val="32"/>
          <w:lang w:val="en-US" w:eastAsia="zh-CN"/>
        </w:rPr>
        <w:t>人员工资、保险有所增加。</w:t>
      </w:r>
    </w:p>
    <w:p w14:paraId="7B6A539E">
      <w:pPr>
        <w:jc w:val="center"/>
        <w:rPr>
          <w:rFonts w:ascii="仿宋_GB2312" w:eastAsia="仿宋_GB2312"/>
          <w:sz w:val="32"/>
          <w:szCs w:val="32"/>
        </w:rPr>
      </w:pPr>
      <w:bookmarkStart w:id="16" w:name="_Toc15377206"/>
      <w:bookmarkStart w:id="17" w:name="_Toc15396604"/>
      <w:r>
        <w:rPr>
          <w:rFonts w:ascii="仿宋_GB2312" w:eastAsia="仿宋_GB2312"/>
          <w:sz w:val="32"/>
          <w:szCs w:val="32"/>
        </w:rPr>
        <w:drawing>
          <wp:inline distT="0" distB="0" distL="0" distR="0">
            <wp:extent cx="4011930" cy="2385060"/>
            <wp:effectExtent l="4445" t="4445" r="22225" b="10795"/>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74B72A03">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Style w:val="42"/>
          <w:rFonts w:ascii="黑体" w:hAnsi="黑体" w:eastAsia="黑体" w:cs="黑体"/>
          <w:b w:val="0"/>
        </w:rPr>
      </w:pPr>
      <w:r>
        <w:rPr>
          <w:rFonts w:hint="eastAsia" w:ascii="黑体" w:hAnsi="黑体" w:eastAsia="黑体" w:cs="黑体"/>
          <w:sz w:val="32"/>
          <w:szCs w:val="32"/>
        </w:rPr>
        <w:t>二、收</w:t>
      </w:r>
      <w:r>
        <w:rPr>
          <w:rStyle w:val="42"/>
          <w:rFonts w:hint="eastAsia" w:ascii="黑体" w:hAnsi="黑体" w:eastAsia="黑体" w:cs="黑体"/>
          <w:b w:val="0"/>
        </w:rPr>
        <w:t>入决算情况说明</w:t>
      </w:r>
      <w:bookmarkEnd w:id="16"/>
      <w:bookmarkEnd w:id="17"/>
    </w:p>
    <w:p w14:paraId="29C4A78C">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1"/>
        <w:rPr>
          <w:rFonts w:ascii="仿宋_GB2312" w:eastAsia="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年本年收入合计</w:t>
      </w:r>
      <w:r>
        <w:rPr>
          <w:rFonts w:hint="eastAsia" w:ascii="仿宋_GB2312" w:hAnsi="仿宋_GB2312" w:eastAsia="仿宋_GB2312" w:cs="仿宋_GB2312"/>
          <w:sz w:val="32"/>
          <w:szCs w:val="32"/>
          <w:lang w:val="en-US" w:eastAsia="zh-CN"/>
        </w:rPr>
        <w:t>289.3</w:t>
      </w:r>
      <w:r>
        <w:rPr>
          <w:rFonts w:hint="eastAsia" w:ascii="仿宋_GB2312" w:hAnsi="仿宋_GB2312" w:eastAsia="仿宋_GB2312" w:cs="仿宋_GB2312"/>
          <w:sz w:val="32"/>
          <w:szCs w:val="32"/>
        </w:rPr>
        <w:t>万元，其中：一般公共预算财政拨款收入</w:t>
      </w:r>
      <w:r>
        <w:rPr>
          <w:rFonts w:hint="eastAsia" w:ascii="仿宋_GB2312" w:hAnsi="仿宋_GB2312" w:eastAsia="仿宋_GB2312" w:cs="仿宋_GB2312"/>
          <w:sz w:val="32"/>
          <w:szCs w:val="32"/>
          <w:lang w:val="en-US" w:eastAsia="zh-CN"/>
        </w:rPr>
        <w:t>289.3</w:t>
      </w:r>
      <w:r>
        <w:rPr>
          <w:rFonts w:hint="eastAsia" w:ascii="仿宋_GB2312" w:hAnsi="仿宋_GB2312" w:eastAsia="仿宋_GB2312" w:cs="仿宋_GB2312"/>
          <w:sz w:val="32"/>
          <w:szCs w:val="32"/>
        </w:rPr>
        <w:t>万元，占100%。</w:t>
      </w:r>
      <w:bookmarkStart w:id="18" w:name="_Toc15396605"/>
      <w:bookmarkStart w:id="19" w:name="_Toc15377207"/>
    </w:p>
    <w:p w14:paraId="35F086C0">
      <w:pPr>
        <w:jc w:val="center"/>
        <w:rPr>
          <w:rFonts w:ascii="仿宋_GB2312" w:eastAsia="仿宋_GB2312"/>
          <w:sz w:val="32"/>
          <w:szCs w:val="32"/>
        </w:rPr>
      </w:pPr>
      <w:r>
        <w:rPr>
          <w:rFonts w:ascii="仿宋_GB2312" w:eastAsia="仿宋_GB2312"/>
          <w:sz w:val="32"/>
          <w:szCs w:val="32"/>
        </w:rPr>
        <w:drawing>
          <wp:inline distT="0" distB="0" distL="0" distR="0">
            <wp:extent cx="2842260" cy="1781175"/>
            <wp:effectExtent l="4445" t="4445" r="10795" b="5080"/>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28487E19">
      <w:pPr>
        <w:jc w:val="center"/>
        <w:rPr>
          <w:rFonts w:ascii="仿宋_GB2312" w:eastAsia="仿宋_GB2312"/>
          <w:sz w:val="32"/>
          <w:szCs w:val="32"/>
        </w:rPr>
      </w:pPr>
    </w:p>
    <w:bookmarkEnd w:id="12"/>
    <w:bookmarkEnd w:id="13"/>
    <w:bookmarkEnd w:id="14"/>
    <w:bookmarkEnd w:id="15"/>
    <w:bookmarkEnd w:id="18"/>
    <w:bookmarkEnd w:id="19"/>
    <w:p w14:paraId="3F02FD02">
      <w:pPr>
        <w:spacing w:line="576" w:lineRule="exact"/>
        <w:ind w:firstLine="640" w:firstLineChars="200"/>
        <w:rPr>
          <w:rStyle w:val="42"/>
          <w:rFonts w:ascii="黑体" w:hAnsi="黑体" w:eastAsia="黑体" w:cs="黑体"/>
          <w:b w:val="0"/>
        </w:rPr>
      </w:pPr>
      <w:r>
        <w:rPr>
          <w:rFonts w:hint="eastAsia" w:ascii="黑体" w:hAnsi="黑体" w:eastAsia="黑体" w:cs="黑体"/>
          <w:sz w:val="32"/>
          <w:szCs w:val="32"/>
        </w:rPr>
        <w:t>三、支</w:t>
      </w:r>
      <w:r>
        <w:rPr>
          <w:rStyle w:val="42"/>
          <w:rFonts w:hint="eastAsia" w:ascii="黑体" w:hAnsi="黑体" w:eastAsia="黑体" w:cs="黑体"/>
          <w:b w:val="0"/>
        </w:rPr>
        <w:t>出决算情况说明</w:t>
      </w:r>
    </w:p>
    <w:p w14:paraId="0C0DB14F">
      <w:pPr>
        <w:spacing w:line="576"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年本年支出合计</w:t>
      </w:r>
      <w:r>
        <w:rPr>
          <w:rFonts w:hint="eastAsia" w:ascii="仿宋_GB2312" w:hAnsi="仿宋_GB2312" w:eastAsia="仿宋_GB2312" w:cs="仿宋_GB2312"/>
          <w:sz w:val="32"/>
          <w:szCs w:val="32"/>
          <w:lang w:val="en-US" w:eastAsia="zh-CN"/>
        </w:rPr>
        <w:t>289.3</w:t>
      </w:r>
      <w:r>
        <w:rPr>
          <w:rFonts w:hint="eastAsia" w:ascii="仿宋_GB2312" w:hAnsi="仿宋_GB2312" w:eastAsia="仿宋_GB2312" w:cs="仿宋_GB2312"/>
          <w:sz w:val="32"/>
          <w:szCs w:val="32"/>
        </w:rPr>
        <w:t>万元，其中：基本支出</w:t>
      </w:r>
      <w:r>
        <w:rPr>
          <w:rFonts w:hint="eastAsia" w:ascii="仿宋_GB2312" w:hAnsi="仿宋_GB2312" w:eastAsia="仿宋_GB2312" w:cs="仿宋_GB2312"/>
          <w:sz w:val="32"/>
          <w:szCs w:val="32"/>
          <w:lang w:val="en-US" w:eastAsia="zh-CN"/>
        </w:rPr>
        <w:t>289.3</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w:t>
      </w:r>
    </w:p>
    <w:p w14:paraId="2C198508">
      <w:pPr>
        <w:ind w:firstLine="640" w:firstLineChars="200"/>
        <w:jc w:val="center"/>
        <w:rPr>
          <w:rFonts w:ascii="黑体" w:hAnsi="黑体" w:eastAsia="黑体"/>
          <w:bCs/>
          <w:sz w:val="32"/>
          <w:szCs w:val="32"/>
        </w:rPr>
      </w:pPr>
      <w:r>
        <w:rPr>
          <w:rFonts w:ascii="黑体" w:hAnsi="黑体" w:eastAsia="黑体"/>
          <w:bCs/>
          <w:sz w:val="32"/>
          <w:szCs w:val="32"/>
        </w:rPr>
        <w:drawing>
          <wp:inline distT="0" distB="0" distL="0" distR="0">
            <wp:extent cx="3495675" cy="2242185"/>
            <wp:effectExtent l="4445" t="4445" r="5080" b="20320"/>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3B05D025">
      <w:pPr>
        <w:pStyle w:val="5"/>
        <w:pageBreakBefore w:val="0"/>
        <w:widowControl w:val="0"/>
        <w:kinsoku/>
        <w:wordWrap/>
        <w:overflowPunct/>
        <w:topLinePunct w:val="0"/>
        <w:autoSpaceDE/>
        <w:autoSpaceDN/>
        <w:bidi w:val="0"/>
        <w:adjustRightInd/>
        <w:spacing w:before="0" w:after="0" w:line="576" w:lineRule="exact"/>
        <w:ind w:firstLine="640" w:firstLineChars="200"/>
        <w:textAlignment w:val="auto"/>
        <w:rPr>
          <w:rStyle w:val="42"/>
          <w:rFonts w:ascii="黑体" w:hAnsi="黑体" w:eastAsia="黑体"/>
          <w:b w:val="0"/>
          <w:bCs/>
        </w:rPr>
      </w:pPr>
      <w:r>
        <w:rPr>
          <w:rStyle w:val="42"/>
          <w:rFonts w:hint="eastAsia" w:ascii="黑体" w:hAnsi="黑体" w:eastAsia="黑体"/>
          <w:b w:val="0"/>
          <w:bCs/>
        </w:rPr>
        <w:t>四、财政拨款收入支出决算总体情况说明</w:t>
      </w:r>
    </w:p>
    <w:p w14:paraId="0B79D1B8">
      <w:pPr>
        <w:pageBreakBefore w:val="0"/>
        <w:widowControl w:val="0"/>
        <w:kinsoku/>
        <w:wordWrap/>
        <w:overflowPunct/>
        <w:topLinePunct w:val="0"/>
        <w:autoSpaceDE/>
        <w:autoSpaceDN/>
        <w:bidi w:val="0"/>
        <w:adjustRightInd/>
        <w:snapToGrid w:val="0"/>
        <w:spacing w:line="576" w:lineRule="exact"/>
        <w:ind w:firstLine="640" w:firstLineChars="200"/>
        <w:textAlignment w:val="auto"/>
        <w:rPr>
          <w:rFonts w:hint="eastAsia" w:ascii="仿宋_GB2312" w:eastAsia="仿宋_GB2312"/>
          <w:b/>
          <w:bCs/>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年财政拨款收、支总计</w:t>
      </w:r>
      <w:r>
        <w:rPr>
          <w:rFonts w:hint="eastAsia" w:ascii="仿宋_GB2312" w:hAnsi="仿宋_GB2312" w:eastAsia="仿宋_GB2312" w:cs="仿宋_GB2312"/>
          <w:sz w:val="32"/>
          <w:szCs w:val="32"/>
          <w:lang w:val="en-US" w:eastAsia="zh-CN"/>
        </w:rPr>
        <w:t>均为289.3</w:t>
      </w:r>
      <w:r>
        <w:rPr>
          <w:rFonts w:hint="eastAsia" w:ascii="仿宋_GB2312" w:hAnsi="仿宋_GB2312" w:eastAsia="仿宋_GB2312" w:cs="仿宋_GB2312"/>
          <w:sz w:val="32"/>
          <w:szCs w:val="32"/>
        </w:rPr>
        <w:t>万元。与</w:t>
      </w:r>
      <w:r>
        <w:rPr>
          <w:rFonts w:hint="eastAsia" w:ascii="仿宋_GB2312" w:hAnsi="仿宋_GB2312" w:eastAsia="仿宋_GB2312" w:cs="仿宋_GB2312"/>
          <w:sz w:val="32"/>
          <w:szCs w:val="32"/>
          <w:lang w:val="en-US" w:eastAsia="zh-CN"/>
        </w:rPr>
        <w:t>2024</w:t>
      </w:r>
      <w:r>
        <w:rPr>
          <w:rFonts w:hint="eastAsia" w:ascii="仿宋_GB2312" w:hAnsi="仿宋_GB2312" w:eastAsia="仿宋_GB2312" w:cs="仿宋_GB2312"/>
          <w:sz w:val="32"/>
          <w:szCs w:val="32"/>
        </w:rPr>
        <w:t>年相比，</w:t>
      </w:r>
      <w:r>
        <w:rPr>
          <w:rFonts w:hint="eastAsia" w:ascii="Times New Roman" w:hAnsi="Times New Roman" w:eastAsia="仿宋_GB2312" w:cs="仿宋_GB2312"/>
          <w:color w:val="auto"/>
          <w:kern w:val="2"/>
          <w:sz w:val="32"/>
          <w:szCs w:val="32"/>
          <w:highlight w:val="none"/>
          <w:lang w:val="en-US" w:eastAsia="zh-CN" w:bidi="ar-SA"/>
        </w:rPr>
        <w:t>财政拨款收入、支出总计各增加</w:t>
      </w:r>
      <w:r>
        <w:rPr>
          <w:rFonts w:hint="eastAsia" w:eastAsia="仿宋_GB2312" w:cs="仿宋_GB2312"/>
          <w:color w:val="auto"/>
          <w:sz w:val="32"/>
          <w:szCs w:val="32"/>
          <w:highlight w:val="none"/>
          <w:lang w:val="en-US" w:eastAsia="zh-CN"/>
        </w:rPr>
        <w:t>38.03</w:t>
      </w:r>
      <w:r>
        <w:rPr>
          <w:rFonts w:hint="eastAsia" w:ascii="仿宋_GB2312" w:hAnsi="仿宋_GB2312" w:eastAsia="仿宋_GB2312" w:cs="仿宋_GB2312"/>
          <w:sz w:val="32"/>
          <w:szCs w:val="32"/>
        </w:rPr>
        <w:t>万元，</w:t>
      </w:r>
      <w:r>
        <w:rPr>
          <w:rFonts w:hint="eastAsia" w:ascii="Times New Roman" w:hAnsi="Times New Roman" w:eastAsia="仿宋_GB2312" w:cs="仿宋_GB2312"/>
          <w:color w:val="auto"/>
          <w:sz w:val="32"/>
          <w:szCs w:val="32"/>
          <w:highlight w:val="none"/>
        </w:rPr>
        <w:t>增长</w:t>
      </w:r>
      <w:r>
        <w:rPr>
          <w:rFonts w:hint="eastAsia" w:eastAsia="仿宋_GB2312" w:cs="仿宋_GB2312"/>
          <w:color w:val="auto"/>
          <w:sz w:val="32"/>
          <w:szCs w:val="32"/>
          <w:highlight w:val="none"/>
          <w:lang w:val="en-US" w:eastAsia="zh-CN"/>
        </w:rPr>
        <w:t>15.13</w:t>
      </w:r>
      <w:r>
        <w:rPr>
          <w:rFonts w:hint="eastAsia" w:ascii="仿宋_GB2312" w:hAnsi="仿宋_GB2312" w:eastAsia="仿宋_GB2312" w:cs="仿宋_GB2312"/>
          <w:sz w:val="32"/>
          <w:szCs w:val="32"/>
        </w:rPr>
        <w:t>%。主要变动原因是</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2025年</w:t>
      </w:r>
      <w:r>
        <w:rPr>
          <w:rFonts w:hint="eastAsia" w:ascii="仿宋_GB2312" w:hAnsi="仿宋" w:eastAsia="仿宋_GB2312" w:cs="仿宋"/>
          <w:sz w:val="32"/>
          <w:szCs w:val="32"/>
          <w:lang w:val="en-US" w:eastAsia="zh-CN"/>
        </w:rPr>
        <w:t>人员工资、保险有所增加。</w:t>
      </w:r>
    </w:p>
    <w:p w14:paraId="01BF085A">
      <w:pPr>
        <w:jc w:val="center"/>
      </w:pPr>
      <w:bookmarkStart w:id="20" w:name="_Toc15377209"/>
      <w:bookmarkStart w:id="21" w:name="_Toc15396607"/>
      <w:r>
        <w:rPr>
          <w:rFonts w:ascii="仿宋_GB2312" w:eastAsia="仿宋_GB2312"/>
          <w:sz w:val="32"/>
          <w:szCs w:val="32"/>
        </w:rPr>
        <w:drawing>
          <wp:inline distT="0" distB="0" distL="0" distR="0">
            <wp:extent cx="3768725" cy="2249805"/>
            <wp:effectExtent l="4445" t="4445" r="17780" b="12700"/>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583F17F2">
      <w:pPr>
        <w:keepNext w:val="0"/>
        <w:keepLines w:val="0"/>
        <w:pageBreakBefore w:val="0"/>
        <w:widowControl w:val="0"/>
        <w:kinsoku/>
        <w:wordWrap/>
        <w:overflowPunct/>
        <w:topLinePunct w:val="0"/>
        <w:autoSpaceDE/>
        <w:autoSpaceDN/>
        <w:bidi w:val="0"/>
        <w:adjustRightInd/>
        <w:spacing w:line="576" w:lineRule="exact"/>
        <w:ind w:firstLine="640" w:firstLineChars="200"/>
        <w:textAlignment w:val="auto"/>
        <w:rPr>
          <w:rFonts w:ascii="仿宋" w:hAnsi="仿宋" w:eastAsia="仿宋"/>
          <w:bCs/>
          <w:sz w:val="32"/>
          <w:szCs w:val="32"/>
        </w:rPr>
      </w:pPr>
      <w:r>
        <w:rPr>
          <w:rFonts w:hint="eastAsia" w:ascii="黑体" w:hAnsi="黑体" w:eastAsia="黑体"/>
          <w:sz w:val="32"/>
          <w:szCs w:val="32"/>
        </w:rPr>
        <w:t>五、</w:t>
      </w:r>
      <w:r>
        <w:rPr>
          <w:rFonts w:hint="eastAsia" w:ascii="黑体" w:hAnsi="黑体" w:eastAsia="黑体"/>
          <w:b/>
          <w:sz w:val="32"/>
          <w:szCs w:val="32"/>
        </w:rPr>
        <w:t>一</w:t>
      </w:r>
      <w:r>
        <w:rPr>
          <w:rStyle w:val="42"/>
          <w:rFonts w:hint="eastAsia" w:ascii="黑体" w:hAnsi="黑体" w:eastAsia="黑体"/>
          <w:b w:val="0"/>
        </w:rPr>
        <w:t>般公共预算财政拨款支出决算情况说明</w:t>
      </w:r>
      <w:bookmarkEnd w:id="20"/>
      <w:bookmarkEnd w:id="21"/>
      <w:bookmarkStart w:id="22" w:name="_Toc15377210"/>
    </w:p>
    <w:p w14:paraId="4CE42233">
      <w:pPr>
        <w:keepNext w:val="0"/>
        <w:keepLines w:val="0"/>
        <w:pageBreakBefore w:val="0"/>
        <w:widowControl w:val="0"/>
        <w:kinsoku/>
        <w:wordWrap/>
        <w:overflowPunct/>
        <w:topLinePunct w:val="0"/>
        <w:autoSpaceDE/>
        <w:autoSpaceDN/>
        <w:bidi w:val="0"/>
        <w:adjustRightInd/>
        <w:spacing w:line="576" w:lineRule="exact"/>
        <w:ind w:firstLine="643" w:firstLineChars="200"/>
        <w:textAlignment w:val="auto"/>
        <w:outlineLvl w:val="1"/>
        <w:rPr>
          <w:rFonts w:ascii="楷体_GB2312" w:hAnsi="楷体_GB2312" w:eastAsia="楷体_GB2312" w:cs="楷体_GB2312"/>
          <w:b/>
          <w:sz w:val="32"/>
          <w:szCs w:val="32"/>
        </w:rPr>
      </w:pPr>
      <w:r>
        <w:rPr>
          <w:rFonts w:hint="eastAsia" w:ascii="楷体_GB2312" w:hAnsi="楷体_GB2312" w:eastAsia="楷体_GB2312" w:cs="楷体_GB2312"/>
          <w:b/>
          <w:sz w:val="32"/>
          <w:szCs w:val="32"/>
        </w:rPr>
        <w:t>（一）一般公共预算财政拨款支出决算总体情况</w:t>
      </w:r>
      <w:bookmarkEnd w:id="22"/>
    </w:p>
    <w:p w14:paraId="7292FC35">
      <w:pPr>
        <w:keepNext w:val="0"/>
        <w:keepLines w:val="0"/>
        <w:pageBreakBefore w:val="0"/>
        <w:widowControl w:val="0"/>
        <w:kinsoku/>
        <w:wordWrap/>
        <w:overflowPunct/>
        <w:topLinePunct w:val="0"/>
        <w:autoSpaceDE/>
        <w:autoSpaceDN/>
        <w:bidi w:val="0"/>
        <w:adjustRightInd/>
        <w:snapToGrid w:val="0"/>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年一般公共预算财政拨款支出</w:t>
      </w:r>
      <w:r>
        <w:rPr>
          <w:rFonts w:hint="eastAsia" w:ascii="仿宋_GB2312" w:hAnsi="仿宋_GB2312" w:eastAsia="仿宋_GB2312" w:cs="仿宋_GB2312"/>
          <w:sz w:val="32"/>
          <w:szCs w:val="32"/>
          <w:lang w:val="en-US" w:eastAsia="zh-CN"/>
        </w:rPr>
        <w:t>289.3</w:t>
      </w:r>
      <w:r>
        <w:rPr>
          <w:rFonts w:hint="eastAsia" w:ascii="仿宋_GB2312" w:hAnsi="仿宋_GB2312" w:eastAsia="仿宋_GB2312" w:cs="仿宋_GB2312"/>
          <w:sz w:val="32"/>
          <w:szCs w:val="32"/>
        </w:rPr>
        <w:t>万元，占本年支出合计的100%。与20</w:t>
      </w:r>
      <w:r>
        <w:rPr>
          <w:rFonts w:hint="eastAsia" w:ascii="仿宋_GB2312" w:hAnsi="仿宋_GB2312" w:eastAsia="仿宋_GB2312" w:cs="仿宋_GB2312"/>
          <w:sz w:val="32"/>
          <w:szCs w:val="32"/>
          <w:lang w:val="en-US" w:eastAsia="zh-CN"/>
        </w:rPr>
        <w:t>24</w:t>
      </w:r>
      <w:r>
        <w:rPr>
          <w:rFonts w:hint="eastAsia" w:ascii="仿宋_GB2312" w:hAnsi="仿宋_GB2312" w:eastAsia="仿宋_GB2312" w:cs="仿宋_GB2312"/>
          <w:sz w:val="32"/>
          <w:szCs w:val="32"/>
        </w:rPr>
        <w:t>年相比，一般公共预算财政拨款</w:t>
      </w:r>
      <w:r>
        <w:rPr>
          <w:rFonts w:hint="eastAsia" w:ascii="仿宋_GB2312" w:hAnsi="仿宋_GB2312" w:eastAsia="仿宋_GB2312" w:cs="仿宋_GB2312"/>
          <w:sz w:val="32"/>
          <w:szCs w:val="32"/>
          <w:lang w:eastAsia="zh-CN"/>
        </w:rPr>
        <w:t>支出</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eastAsia="仿宋_GB2312" w:cs="仿宋_GB2312"/>
          <w:color w:val="auto"/>
          <w:sz w:val="32"/>
          <w:szCs w:val="32"/>
          <w:highlight w:val="none"/>
          <w:lang w:val="en-US" w:eastAsia="zh-CN"/>
        </w:rPr>
        <w:t>38.03</w:t>
      </w:r>
      <w:r>
        <w:rPr>
          <w:rFonts w:hint="eastAsia" w:ascii="仿宋_GB2312" w:hAnsi="仿宋_GB2312" w:eastAsia="仿宋_GB2312" w:cs="仿宋_GB2312"/>
          <w:sz w:val="32"/>
          <w:szCs w:val="32"/>
        </w:rPr>
        <w:t>万元，</w:t>
      </w:r>
      <w:r>
        <w:rPr>
          <w:rFonts w:hint="eastAsia" w:ascii="Times New Roman" w:hAnsi="Times New Roman" w:eastAsia="仿宋_GB2312" w:cs="仿宋_GB2312"/>
          <w:color w:val="auto"/>
          <w:sz w:val="32"/>
          <w:szCs w:val="32"/>
          <w:highlight w:val="none"/>
        </w:rPr>
        <w:t>增长</w:t>
      </w:r>
      <w:r>
        <w:rPr>
          <w:rFonts w:hint="eastAsia" w:eastAsia="仿宋_GB2312" w:cs="仿宋_GB2312"/>
          <w:color w:val="auto"/>
          <w:sz w:val="32"/>
          <w:szCs w:val="32"/>
          <w:highlight w:val="none"/>
          <w:lang w:val="en-US" w:eastAsia="zh-CN"/>
        </w:rPr>
        <w:t>15.13</w:t>
      </w:r>
      <w:r>
        <w:rPr>
          <w:rFonts w:hint="eastAsia" w:ascii="仿宋_GB2312" w:hAnsi="仿宋_GB2312" w:eastAsia="仿宋_GB2312" w:cs="仿宋_GB2312"/>
          <w:sz w:val="32"/>
          <w:szCs w:val="32"/>
        </w:rPr>
        <w:t>%。主要变动原因是</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2025年</w:t>
      </w:r>
      <w:r>
        <w:rPr>
          <w:rFonts w:hint="eastAsia" w:ascii="仿宋_GB2312" w:hAnsi="仿宋" w:eastAsia="仿宋_GB2312" w:cs="仿宋"/>
          <w:sz w:val="32"/>
          <w:szCs w:val="32"/>
          <w:lang w:val="en-US" w:eastAsia="zh-CN"/>
        </w:rPr>
        <w:t>人员工资、保险有所增加。</w:t>
      </w:r>
    </w:p>
    <w:p w14:paraId="3ABA3615">
      <w:pPr>
        <w:pStyle w:val="18"/>
      </w:pPr>
    </w:p>
    <w:p w14:paraId="72567AFE">
      <w:pPr>
        <w:jc w:val="center"/>
        <w:rPr>
          <w:rFonts w:ascii="仿宋_GB2312" w:eastAsia="仿宋_GB2312"/>
          <w:sz w:val="32"/>
          <w:szCs w:val="32"/>
        </w:rPr>
      </w:pPr>
      <w:r>
        <w:rPr>
          <w:rFonts w:ascii="仿宋_GB2312" w:eastAsia="仿宋_GB2312"/>
          <w:sz w:val="32"/>
          <w:szCs w:val="32"/>
        </w:rPr>
        <w:drawing>
          <wp:inline distT="0" distB="0" distL="0" distR="0">
            <wp:extent cx="3728720" cy="2041525"/>
            <wp:effectExtent l="5080" t="4445" r="19050" b="11430"/>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0F88FC3E">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outlineLvl w:val="1"/>
        <w:rPr>
          <w:rFonts w:ascii="楷体_GB2312" w:hAnsi="楷体_GB2312" w:eastAsia="楷体_GB2312" w:cs="楷体_GB2312"/>
          <w:b/>
          <w:sz w:val="32"/>
          <w:szCs w:val="32"/>
        </w:rPr>
      </w:pPr>
      <w:bookmarkStart w:id="23" w:name="_Toc15377211"/>
      <w:r>
        <w:rPr>
          <w:rFonts w:hint="eastAsia" w:ascii="楷体_GB2312" w:hAnsi="楷体_GB2312" w:eastAsia="楷体_GB2312" w:cs="楷体_GB2312"/>
          <w:b/>
          <w:sz w:val="32"/>
          <w:szCs w:val="32"/>
        </w:rPr>
        <w:t>（二）一般公共预算财政拨款支出决算结构情况</w:t>
      </w:r>
      <w:bookmarkEnd w:id="23"/>
    </w:p>
    <w:p w14:paraId="0D111FFB">
      <w:pPr>
        <w:keepNext w:val="0"/>
        <w:keepLines w:val="0"/>
        <w:pageBreakBefore w:val="0"/>
        <w:widowControl w:val="0"/>
        <w:kinsoku/>
        <w:wordWrap/>
        <w:overflowPunct/>
        <w:topLinePunct w:val="0"/>
        <w:autoSpaceDE/>
        <w:autoSpaceDN/>
        <w:bidi w:val="0"/>
        <w:adjustRightInd/>
        <w:snapToGrid/>
        <w:spacing w:line="576" w:lineRule="exact"/>
        <w:ind w:firstLine="640"/>
        <w:textAlignment w:val="auto"/>
        <w:rPr>
          <w:rFonts w:ascii="仿宋" w:hAnsi="仿宋" w:eastAsia="仿宋"/>
          <w:b/>
          <w:bCs/>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年一般公共预算财政拨款支出</w:t>
      </w:r>
      <w:r>
        <w:rPr>
          <w:rFonts w:hint="eastAsia" w:ascii="仿宋_GB2312" w:hAnsi="仿宋_GB2312" w:eastAsia="仿宋_GB2312" w:cs="仿宋_GB2312"/>
          <w:sz w:val="32"/>
          <w:szCs w:val="32"/>
          <w:lang w:val="en-US" w:eastAsia="zh-CN"/>
        </w:rPr>
        <w:t>289.3</w:t>
      </w:r>
      <w:r>
        <w:rPr>
          <w:rFonts w:hint="eastAsia" w:ascii="仿宋_GB2312" w:hAnsi="仿宋_GB2312" w:eastAsia="仿宋_GB2312" w:cs="仿宋_GB2312"/>
          <w:sz w:val="32"/>
          <w:szCs w:val="32"/>
        </w:rPr>
        <w:t>万元，主要用于以下方面:</w:t>
      </w:r>
      <w:r>
        <w:rPr>
          <w:rFonts w:hint="eastAsia" w:ascii="仿宋_GB2312" w:hAnsi="仿宋_GB2312" w:eastAsia="仿宋_GB2312" w:cs="仿宋_GB2312"/>
          <w:bCs/>
          <w:sz w:val="32"/>
          <w:szCs w:val="32"/>
        </w:rPr>
        <w:t>一般公共服务支出</w:t>
      </w:r>
      <w:r>
        <w:rPr>
          <w:rFonts w:hint="eastAsia" w:ascii="仿宋_GB2312" w:hAnsi="仿宋_GB2312" w:eastAsia="仿宋_GB2312" w:cs="仿宋_GB2312"/>
          <w:bCs/>
          <w:sz w:val="32"/>
          <w:szCs w:val="32"/>
          <w:lang w:val="en-US" w:eastAsia="zh-CN"/>
        </w:rPr>
        <w:t>214.5</w:t>
      </w:r>
      <w:r>
        <w:rPr>
          <w:rFonts w:hint="eastAsia" w:ascii="仿宋_GB2312" w:hAnsi="仿宋_GB2312" w:eastAsia="仿宋_GB2312" w:cs="仿宋_GB2312"/>
          <w:bCs/>
          <w:sz w:val="32"/>
          <w:szCs w:val="32"/>
        </w:rPr>
        <w:t>万元，占</w:t>
      </w:r>
      <w:r>
        <w:rPr>
          <w:rFonts w:hint="eastAsia" w:ascii="仿宋_GB2312" w:hAnsi="仿宋_GB2312" w:eastAsia="仿宋_GB2312" w:cs="仿宋_GB2312"/>
          <w:bCs/>
          <w:sz w:val="32"/>
          <w:szCs w:val="32"/>
          <w:lang w:val="en-US" w:eastAsia="zh-CN"/>
        </w:rPr>
        <w:t>74.14</w:t>
      </w:r>
      <w:r>
        <w:rPr>
          <w:rFonts w:hint="eastAsia" w:ascii="仿宋_GB2312" w:hAnsi="仿宋_GB2312" w:eastAsia="仿宋_GB2312" w:cs="仿宋_GB2312"/>
          <w:bCs/>
          <w:sz w:val="32"/>
          <w:szCs w:val="32"/>
        </w:rPr>
        <w:t>%；社会保障和就业</w:t>
      </w:r>
      <w:r>
        <w:rPr>
          <w:rFonts w:hint="eastAsia" w:ascii="仿宋_GB2312" w:hAnsi="仿宋_GB2312" w:eastAsia="仿宋_GB2312" w:cs="仿宋_GB2312"/>
          <w:sz w:val="32"/>
          <w:szCs w:val="32"/>
        </w:rPr>
        <w:t>支出</w:t>
      </w:r>
      <w:r>
        <w:rPr>
          <w:rFonts w:hint="eastAsia" w:ascii="仿宋_GB2312" w:hAnsi="仿宋_GB2312" w:eastAsia="仿宋_GB2312" w:cs="仿宋_GB2312"/>
          <w:sz w:val="32"/>
          <w:szCs w:val="32"/>
          <w:lang w:val="en-US" w:eastAsia="zh-CN"/>
        </w:rPr>
        <w:t>38.31</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13.24</w:t>
      </w:r>
      <w:r>
        <w:rPr>
          <w:rFonts w:hint="eastAsia" w:ascii="仿宋_GB2312" w:hAnsi="仿宋_GB2312" w:eastAsia="仿宋_GB2312" w:cs="仿宋_GB2312"/>
          <w:sz w:val="32"/>
          <w:szCs w:val="32"/>
        </w:rPr>
        <w:t>%；卫生健康支出</w:t>
      </w:r>
      <w:r>
        <w:rPr>
          <w:rFonts w:hint="eastAsia" w:ascii="仿宋_GB2312" w:hAnsi="仿宋_GB2312" w:eastAsia="仿宋_GB2312" w:cs="仿宋_GB2312"/>
          <w:sz w:val="32"/>
          <w:szCs w:val="32"/>
          <w:lang w:val="en-US" w:eastAsia="zh-CN"/>
        </w:rPr>
        <w:t>15.29</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5.29</w:t>
      </w:r>
      <w:r>
        <w:rPr>
          <w:rFonts w:hint="eastAsia" w:ascii="仿宋_GB2312" w:hAnsi="仿宋_GB2312" w:eastAsia="仿宋_GB2312" w:cs="仿宋_GB2312"/>
          <w:sz w:val="32"/>
          <w:szCs w:val="32"/>
        </w:rPr>
        <w:t>%；住房保障支出</w:t>
      </w:r>
      <w:r>
        <w:rPr>
          <w:rFonts w:hint="eastAsia" w:ascii="仿宋_GB2312" w:hAnsi="仿宋_GB2312" w:eastAsia="仿宋_GB2312" w:cs="仿宋_GB2312"/>
          <w:sz w:val="32"/>
          <w:szCs w:val="32"/>
          <w:lang w:val="en-US" w:eastAsia="zh-CN"/>
        </w:rPr>
        <w:t>21.2</w:t>
      </w:r>
      <w:r>
        <w:rPr>
          <w:rFonts w:hint="eastAsia" w:ascii="仿宋_GB2312" w:hAnsi="仿宋_GB2312" w:eastAsia="仿宋_GB2312" w:cs="仿宋_GB2312"/>
          <w:sz w:val="32"/>
          <w:szCs w:val="32"/>
        </w:rPr>
        <w:t>万元，占7.</w:t>
      </w:r>
      <w:r>
        <w:rPr>
          <w:rFonts w:hint="eastAsia" w:ascii="仿宋_GB2312" w:hAnsi="仿宋_GB2312" w:eastAsia="仿宋_GB2312" w:cs="仿宋_GB2312"/>
          <w:sz w:val="32"/>
          <w:szCs w:val="32"/>
          <w:lang w:val="en-US" w:eastAsia="zh-CN"/>
        </w:rPr>
        <w:t>33</w:t>
      </w:r>
      <w:r>
        <w:rPr>
          <w:rFonts w:hint="eastAsia" w:ascii="仿宋_GB2312" w:hAnsi="仿宋_GB2312" w:eastAsia="仿宋_GB2312" w:cs="仿宋_GB2312"/>
          <w:sz w:val="32"/>
          <w:szCs w:val="32"/>
        </w:rPr>
        <w:t>%。</w:t>
      </w:r>
    </w:p>
    <w:p w14:paraId="5D5F83CB">
      <w:pPr>
        <w:jc w:val="center"/>
        <w:rPr>
          <w:rFonts w:hint="eastAsia" w:ascii="楷体_GB2312" w:hAnsi="楷体_GB2312" w:eastAsia="楷体_GB2312" w:cs="楷体_GB2312"/>
          <w:b/>
          <w:sz w:val="32"/>
          <w:szCs w:val="32"/>
        </w:rPr>
      </w:pPr>
      <w:r>
        <w:rPr>
          <w:rFonts w:ascii="仿宋" w:hAnsi="仿宋" w:eastAsia="仿宋"/>
          <w:sz w:val="32"/>
          <w:szCs w:val="32"/>
        </w:rPr>
        <w:drawing>
          <wp:inline distT="0" distB="0" distL="0" distR="0">
            <wp:extent cx="3941445" cy="2218055"/>
            <wp:effectExtent l="4445" t="4445" r="16510" b="6350"/>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bookmarkStart w:id="24" w:name="_Toc15377212"/>
    </w:p>
    <w:p w14:paraId="19BBEDE4">
      <w:pPr>
        <w:pageBreakBefore w:val="0"/>
        <w:widowControl w:val="0"/>
        <w:kinsoku/>
        <w:wordWrap/>
        <w:overflowPunct/>
        <w:topLinePunct w:val="0"/>
        <w:autoSpaceDE/>
        <w:autoSpaceDN/>
        <w:bidi w:val="0"/>
        <w:adjustRightInd/>
        <w:snapToGrid/>
        <w:spacing w:line="576" w:lineRule="exact"/>
        <w:ind w:firstLine="643" w:firstLineChars="200"/>
        <w:textAlignment w:val="auto"/>
        <w:outlineLvl w:val="1"/>
        <w:rPr>
          <w:rFonts w:ascii="楷体_GB2312" w:hAnsi="楷体_GB2312" w:eastAsia="楷体_GB2312" w:cs="楷体_GB2312"/>
          <w:b/>
          <w:sz w:val="32"/>
          <w:szCs w:val="32"/>
        </w:rPr>
      </w:pPr>
      <w:r>
        <w:rPr>
          <w:rFonts w:hint="eastAsia" w:ascii="楷体_GB2312" w:hAnsi="楷体_GB2312" w:eastAsia="楷体_GB2312" w:cs="楷体_GB2312"/>
          <w:b/>
          <w:sz w:val="32"/>
          <w:szCs w:val="32"/>
        </w:rPr>
        <w:t>（三）一般公共预算财政拨款支出决算具体情况</w:t>
      </w:r>
      <w:bookmarkEnd w:id="24"/>
    </w:p>
    <w:p w14:paraId="12F68CF6">
      <w:pPr>
        <w:pageBreakBefore w:val="0"/>
        <w:widowControl w:val="0"/>
        <w:kinsoku/>
        <w:wordWrap/>
        <w:overflowPunct/>
        <w:topLinePunct w:val="0"/>
        <w:autoSpaceDE/>
        <w:autoSpaceDN/>
        <w:bidi w:val="0"/>
        <w:adjustRightInd/>
        <w:snapToGrid/>
        <w:spacing w:line="576" w:lineRule="exact"/>
        <w:ind w:firstLine="640" w:firstLineChars="200"/>
        <w:textAlignment w:val="auto"/>
        <w:outlineLvl w:val="2"/>
        <w:rPr>
          <w:rFonts w:ascii="仿宋_GB2312" w:hAnsi="仿宋_GB2312" w:eastAsia="仿宋_GB2312" w:cs="仿宋_GB2312"/>
          <w:sz w:val="32"/>
          <w:szCs w:val="32"/>
        </w:rPr>
      </w:pPr>
      <w:bookmarkStart w:id="25" w:name="_Toc15377213"/>
      <w:bookmarkStart w:id="26" w:name="_Toc15378460"/>
      <w:bookmarkStart w:id="27" w:name="_Toc15377444"/>
      <w:r>
        <w:rPr>
          <w:rFonts w:hint="eastAsia" w:ascii="仿宋_GB2312" w:hAnsi="仿宋_GB2312" w:eastAsia="仿宋_GB2312" w:cs="仿宋_GB2312"/>
          <w:bCs/>
          <w:sz w:val="32"/>
          <w:szCs w:val="32"/>
        </w:rPr>
        <w:t>202</w:t>
      </w:r>
      <w:r>
        <w:rPr>
          <w:rFonts w:hint="eastAsia" w:ascii="仿宋_GB2312" w:hAnsi="仿宋_GB2312" w:eastAsia="仿宋_GB2312" w:cs="仿宋_GB2312"/>
          <w:bCs/>
          <w:sz w:val="32"/>
          <w:szCs w:val="32"/>
          <w:lang w:val="en-US" w:eastAsia="zh-CN"/>
        </w:rPr>
        <w:t>5</w:t>
      </w:r>
      <w:r>
        <w:rPr>
          <w:rFonts w:hint="eastAsia" w:ascii="仿宋_GB2312" w:hAnsi="仿宋_GB2312" w:eastAsia="仿宋_GB2312" w:cs="仿宋_GB2312"/>
          <w:bCs/>
          <w:sz w:val="32"/>
          <w:szCs w:val="32"/>
        </w:rPr>
        <w:t>年一般公共预算支出决算数为</w:t>
      </w:r>
      <w:r>
        <w:rPr>
          <w:rFonts w:hint="eastAsia" w:ascii="仿宋_GB2312" w:hAnsi="仿宋_GB2312" w:eastAsia="仿宋_GB2312" w:cs="仿宋_GB2312"/>
          <w:bCs/>
          <w:sz w:val="32"/>
          <w:szCs w:val="32"/>
          <w:lang w:val="en-US" w:eastAsia="zh-CN"/>
        </w:rPr>
        <w:t>289.3</w:t>
      </w:r>
      <w:r>
        <w:rPr>
          <w:rFonts w:hint="eastAsia" w:ascii="仿宋_GB2312" w:hAnsi="仿宋_GB2312" w:eastAsia="仿宋_GB2312" w:cs="仿宋_GB2312"/>
          <w:bCs/>
          <w:sz w:val="32"/>
          <w:szCs w:val="32"/>
        </w:rPr>
        <w:t>万元，</w:t>
      </w:r>
      <w:r>
        <w:rPr>
          <w:rStyle w:val="27"/>
          <w:rFonts w:hint="eastAsia" w:ascii="仿宋_GB2312" w:hAnsi="仿宋_GB2312" w:eastAsia="仿宋_GB2312" w:cs="仿宋_GB2312"/>
          <w:b w:val="0"/>
          <w:bCs/>
          <w:sz w:val="32"/>
          <w:szCs w:val="32"/>
        </w:rPr>
        <w:t>完成预算100%。其中：</w:t>
      </w:r>
      <w:bookmarkEnd w:id="25"/>
      <w:bookmarkEnd w:id="26"/>
      <w:bookmarkEnd w:id="27"/>
    </w:p>
    <w:p w14:paraId="40A5095F">
      <w:pPr>
        <w:pageBreakBefore w:val="0"/>
        <w:widowControl w:val="0"/>
        <w:kinsoku/>
        <w:wordWrap/>
        <w:overflowPunct/>
        <w:topLinePunct w:val="0"/>
        <w:autoSpaceDE/>
        <w:autoSpaceDN/>
        <w:bidi w:val="0"/>
        <w:adjustRightInd/>
        <w:snapToGrid/>
        <w:spacing w:line="576" w:lineRule="exact"/>
        <w:ind w:firstLine="643" w:firstLineChars="200"/>
        <w:textAlignment w:val="auto"/>
        <w:rPr>
          <w:rStyle w:val="27"/>
          <w:rFonts w:hint="eastAsia" w:ascii="仿宋_GB2312" w:hAnsi="仿宋_GB2312" w:eastAsia="仿宋_GB2312" w:cs="仿宋_GB2312"/>
          <w:b w:val="0"/>
          <w:bCs/>
          <w:sz w:val="32"/>
          <w:szCs w:val="32"/>
          <w:lang w:eastAsia="zh-CN"/>
        </w:rPr>
      </w:pPr>
      <w:r>
        <w:rPr>
          <w:rStyle w:val="27"/>
          <w:rFonts w:hint="eastAsia" w:ascii="仿宋_GB2312" w:hAnsi="仿宋_GB2312" w:eastAsia="仿宋_GB2312" w:cs="仿宋_GB2312"/>
          <w:bCs/>
          <w:sz w:val="32"/>
          <w:szCs w:val="32"/>
        </w:rPr>
        <w:t>1.</w:t>
      </w:r>
      <w:r>
        <w:rPr>
          <w:rStyle w:val="27"/>
          <w:rFonts w:hint="eastAsia" w:ascii="仿宋" w:hAnsi="仿宋" w:eastAsia="仿宋" w:cs="Times New Roman"/>
          <w:bCs/>
          <w:color w:val="auto"/>
          <w:sz w:val="32"/>
          <w:szCs w:val="32"/>
          <w:highlight w:val="none"/>
        </w:rPr>
        <w:t>一般公共服务</w:t>
      </w:r>
      <w:r>
        <w:rPr>
          <w:rStyle w:val="27"/>
          <w:rFonts w:hint="eastAsia" w:ascii="仿宋" w:hAnsi="仿宋" w:eastAsia="仿宋" w:cs="Times New Roman"/>
          <w:bCs/>
          <w:color w:val="auto"/>
          <w:sz w:val="32"/>
          <w:szCs w:val="32"/>
          <w:highlight w:val="none"/>
          <w:lang w:eastAsia="zh-CN"/>
        </w:rPr>
        <w:t>支出</w:t>
      </w:r>
      <w:r>
        <w:rPr>
          <w:rStyle w:val="27"/>
          <w:rFonts w:hint="eastAsia" w:ascii="仿宋" w:hAnsi="仿宋" w:eastAsia="仿宋" w:cs="Times New Roman"/>
          <w:bCs/>
          <w:color w:val="auto"/>
          <w:sz w:val="32"/>
          <w:szCs w:val="32"/>
          <w:highlight w:val="none"/>
        </w:rPr>
        <w:t>（类）组织事务（款）行政运行（项）</w:t>
      </w:r>
      <w:r>
        <w:rPr>
          <w:rStyle w:val="27"/>
          <w:rFonts w:hint="eastAsia" w:ascii="仿宋_GB2312" w:hAnsi="仿宋_GB2312" w:eastAsia="仿宋_GB2312" w:cs="仿宋_GB2312"/>
          <w:b w:val="0"/>
          <w:sz w:val="32"/>
          <w:szCs w:val="32"/>
        </w:rPr>
        <w:t xml:space="preserve">: </w:t>
      </w:r>
      <w:r>
        <w:rPr>
          <w:rStyle w:val="27"/>
          <w:rFonts w:hint="eastAsia" w:ascii="仿宋_GB2312" w:hAnsi="仿宋_GB2312" w:eastAsia="仿宋_GB2312" w:cs="仿宋_GB2312"/>
          <w:b w:val="0"/>
          <w:bCs/>
          <w:sz w:val="32"/>
          <w:szCs w:val="32"/>
        </w:rPr>
        <w:t>支出决算为</w:t>
      </w:r>
      <w:r>
        <w:rPr>
          <w:rStyle w:val="27"/>
          <w:rFonts w:hint="eastAsia" w:ascii="仿宋_GB2312" w:hAnsi="仿宋_GB2312" w:eastAsia="仿宋_GB2312" w:cs="仿宋_GB2312"/>
          <w:b w:val="0"/>
          <w:bCs/>
          <w:sz w:val="32"/>
          <w:szCs w:val="32"/>
          <w:lang w:val="en-US" w:eastAsia="zh-CN"/>
        </w:rPr>
        <w:t>69.92</w:t>
      </w:r>
      <w:r>
        <w:rPr>
          <w:rStyle w:val="27"/>
          <w:rFonts w:hint="eastAsia" w:ascii="仿宋_GB2312" w:hAnsi="仿宋_GB2312" w:eastAsia="仿宋_GB2312" w:cs="仿宋_GB2312"/>
          <w:b w:val="0"/>
          <w:bCs/>
          <w:sz w:val="32"/>
          <w:szCs w:val="32"/>
        </w:rPr>
        <w:t>万元，完成预算100%</w:t>
      </w:r>
      <w:r>
        <w:rPr>
          <w:rStyle w:val="27"/>
          <w:rFonts w:hint="eastAsia" w:ascii="仿宋_GB2312" w:hAnsi="仿宋_GB2312" w:eastAsia="仿宋_GB2312" w:cs="仿宋_GB2312"/>
          <w:b w:val="0"/>
          <w:bCs/>
          <w:sz w:val="32"/>
          <w:szCs w:val="32"/>
          <w:lang w:eastAsia="zh-CN"/>
        </w:rPr>
        <w:t>，决算数与预算数持平。</w:t>
      </w:r>
    </w:p>
    <w:p w14:paraId="52E7DAB0">
      <w:pPr>
        <w:pageBreakBefore w:val="0"/>
        <w:widowControl w:val="0"/>
        <w:kinsoku/>
        <w:wordWrap/>
        <w:overflowPunct/>
        <w:topLinePunct w:val="0"/>
        <w:autoSpaceDE/>
        <w:autoSpaceDN/>
        <w:bidi w:val="0"/>
        <w:adjustRightInd/>
        <w:snapToGrid/>
        <w:spacing w:line="576" w:lineRule="exact"/>
        <w:ind w:firstLine="643" w:firstLineChars="200"/>
        <w:textAlignment w:val="auto"/>
        <w:rPr>
          <w:rStyle w:val="27"/>
          <w:rFonts w:hint="eastAsia" w:ascii="仿宋_GB2312" w:hAnsi="仿宋_GB2312" w:eastAsia="仿宋_GB2312" w:cs="仿宋_GB2312"/>
          <w:b w:val="0"/>
          <w:bCs/>
          <w:sz w:val="32"/>
          <w:szCs w:val="32"/>
          <w:lang w:eastAsia="zh-CN"/>
        </w:rPr>
      </w:pPr>
      <w:r>
        <w:rPr>
          <w:rStyle w:val="27"/>
          <w:rFonts w:hint="eastAsia" w:ascii="仿宋_GB2312" w:hAnsi="仿宋_GB2312" w:eastAsia="仿宋_GB2312" w:cs="仿宋_GB2312"/>
          <w:bCs/>
          <w:sz w:val="32"/>
          <w:szCs w:val="32"/>
        </w:rPr>
        <w:t>2.</w:t>
      </w:r>
      <w:r>
        <w:rPr>
          <w:rStyle w:val="27"/>
          <w:rFonts w:hint="eastAsia" w:ascii="仿宋" w:hAnsi="仿宋" w:eastAsia="仿宋" w:cs="Times New Roman"/>
          <w:bCs/>
          <w:color w:val="auto"/>
          <w:sz w:val="32"/>
          <w:szCs w:val="32"/>
          <w:highlight w:val="none"/>
        </w:rPr>
        <w:t>一般公共服务（类）组织事务（款）事业运行（项）</w:t>
      </w:r>
      <w:r>
        <w:rPr>
          <w:rStyle w:val="27"/>
          <w:rFonts w:hint="eastAsia" w:ascii="仿宋_GB2312" w:hAnsi="仿宋_GB2312" w:eastAsia="仿宋_GB2312" w:cs="仿宋_GB2312"/>
          <w:b w:val="0"/>
          <w:sz w:val="32"/>
          <w:szCs w:val="32"/>
        </w:rPr>
        <w:t xml:space="preserve">: </w:t>
      </w:r>
      <w:r>
        <w:rPr>
          <w:rStyle w:val="27"/>
          <w:rFonts w:hint="eastAsia" w:ascii="仿宋_GB2312" w:hAnsi="仿宋_GB2312" w:eastAsia="仿宋_GB2312" w:cs="仿宋_GB2312"/>
          <w:b w:val="0"/>
          <w:bCs/>
          <w:sz w:val="32"/>
          <w:szCs w:val="32"/>
        </w:rPr>
        <w:t>支出决算为</w:t>
      </w:r>
      <w:r>
        <w:rPr>
          <w:rStyle w:val="27"/>
          <w:rFonts w:hint="eastAsia" w:ascii="仿宋_GB2312" w:hAnsi="仿宋_GB2312" w:eastAsia="仿宋_GB2312" w:cs="仿宋_GB2312"/>
          <w:b w:val="0"/>
          <w:bCs/>
          <w:sz w:val="32"/>
          <w:szCs w:val="32"/>
          <w:lang w:val="en-US" w:eastAsia="zh-CN"/>
        </w:rPr>
        <w:t>140.36</w:t>
      </w:r>
      <w:r>
        <w:rPr>
          <w:rStyle w:val="27"/>
          <w:rFonts w:hint="eastAsia" w:ascii="仿宋_GB2312" w:hAnsi="仿宋_GB2312" w:eastAsia="仿宋_GB2312" w:cs="仿宋_GB2312"/>
          <w:b w:val="0"/>
          <w:bCs/>
          <w:sz w:val="32"/>
          <w:szCs w:val="32"/>
        </w:rPr>
        <w:t>万元，完成预算100%</w:t>
      </w:r>
      <w:r>
        <w:rPr>
          <w:rStyle w:val="27"/>
          <w:rFonts w:hint="eastAsia" w:ascii="仿宋_GB2312" w:hAnsi="仿宋_GB2312" w:eastAsia="仿宋_GB2312" w:cs="仿宋_GB2312"/>
          <w:b w:val="0"/>
          <w:bCs/>
          <w:sz w:val="32"/>
          <w:szCs w:val="32"/>
          <w:lang w:eastAsia="zh-CN"/>
        </w:rPr>
        <w:t>，决算数与预算数持平。</w:t>
      </w:r>
    </w:p>
    <w:p w14:paraId="0EDC7A1F">
      <w:pPr>
        <w:pageBreakBefore w:val="0"/>
        <w:widowControl w:val="0"/>
        <w:kinsoku/>
        <w:wordWrap/>
        <w:overflowPunct/>
        <w:topLinePunct w:val="0"/>
        <w:autoSpaceDE/>
        <w:autoSpaceDN/>
        <w:bidi w:val="0"/>
        <w:adjustRightInd/>
        <w:snapToGrid/>
        <w:spacing w:line="576" w:lineRule="exact"/>
        <w:ind w:firstLine="643" w:firstLineChars="200"/>
        <w:textAlignment w:val="auto"/>
        <w:rPr>
          <w:rStyle w:val="27"/>
          <w:rFonts w:hint="eastAsia" w:ascii="仿宋_GB2312" w:hAnsi="仿宋_GB2312" w:eastAsia="仿宋_GB2312" w:cs="仿宋_GB2312"/>
          <w:b w:val="0"/>
          <w:bCs/>
          <w:sz w:val="32"/>
          <w:szCs w:val="32"/>
          <w:lang w:eastAsia="zh-CN"/>
        </w:rPr>
      </w:pPr>
      <w:r>
        <w:rPr>
          <w:rStyle w:val="27"/>
          <w:rFonts w:hint="eastAsia" w:ascii="仿宋_GB2312" w:hAnsi="仿宋_GB2312" w:eastAsia="仿宋_GB2312" w:cs="仿宋_GB2312"/>
          <w:bCs/>
          <w:sz w:val="32"/>
          <w:szCs w:val="32"/>
        </w:rPr>
        <w:t>3.</w:t>
      </w:r>
      <w:r>
        <w:rPr>
          <w:rStyle w:val="27"/>
          <w:rFonts w:hint="eastAsia" w:ascii="仿宋" w:hAnsi="仿宋" w:eastAsia="仿宋" w:cs="Times New Roman"/>
          <w:bCs/>
          <w:color w:val="auto"/>
          <w:sz w:val="32"/>
          <w:szCs w:val="32"/>
          <w:highlight w:val="none"/>
        </w:rPr>
        <w:t>社会保障和就业支出（类）行政事业单位养老支出（款）机关事业单位基本养老保险缴费支出（项）</w:t>
      </w:r>
      <w:r>
        <w:rPr>
          <w:rStyle w:val="27"/>
          <w:rFonts w:hint="eastAsia" w:ascii="仿宋_GB2312" w:hAnsi="仿宋_GB2312" w:eastAsia="仿宋_GB2312" w:cs="仿宋_GB2312"/>
          <w:b w:val="0"/>
          <w:sz w:val="32"/>
          <w:szCs w:val="32"/>
        </w:rPr>
        <w:t>：</w:t>
      </w:r>
      <w:r>
        <w:rPr>
          <w:rStyle w:val="27"/>
          <w:rFonts w:hint="eastAsia" w:ascii="仿宋_GB2312" w:hAnsi="仿宋_GB2312" w:eastAsia="仿宋_GB2312" w:cs="仿宋_GB2312"/>
          <w:b w:val="0"/>
          <w:bCs/>
          <w:sz w:val="32"/>
          <w:szCs w:val="32"/>
        </w:rPr>
        <w:t>支出决算为</w:t>
      </w:r>
      <w:r>
        <w:rPr>
          <w:rStyle w:val="27"/>
          <w:rFonts w:hint="eastAsia" w:ascii="仿宋_GB2312" w:hAnsi="仿宋_GB2312" w:eastAsia="仿宋_GB2312" w:cs="仿宋_GB2312"/>
          <w:b w:val="0"/>
          <w:bCs/>
          <w:sz w:val="32"/>
          <w:szCs w:val="32"/>
          <w:lang w:val="en-US" w:eastAsia="zh-CN"/>
        </w:rPr>
        <w:t>25.54</w:t>
      </w:r>
      <w:r>
        <w:rPr>
          <w:rStyle w:val="27"/>
          <w:rFonts w:hint="eastAsia" w:ascii="仿宋_GB2312" w:hAnsi="仿宋_GB2312" w:eastAsia="仿宋_GB2312" w:cs="仿宋_GB2312"/>
          <w:b w:val="0"/>
          <w:bCs/>
          <w:sz w:val="32"/>
          <w:szCs w:val="32"/>
        </w:rPr>
        <w:t>万元，完成预算100%</w:t>
      </w:r>
      <w:r>
        <w:rPr>
          <w:rStyle w:val="27"/>
          <w:rFonts w:hint="eastAsia" w:ascii="仿宋_GB2312" w:hAnsi="仿宋_GB2312" w:eastAsia="仿宋_GB2312" w:cs="仿宋_GB2312"/>
          <w:b w:val="0"/>
          <w:bCs/>
          <w:sz w:val="32"/>
          <w:szCs w:val="32"/>
          <w:lang w:eastAsia="zh-CN"/>
        </w:rPr>
        <w:t>，决算数与预算数持平。</w:t>
      </w:r>
    </w:p>
    <w:p w14:paraId="298FA632">
      <w:pPr>
        <w:pageBreakBefore w:val="0"/>
        <w:widowControl w:val="0"/>
        <w:kinsoku/>
        <w:wordWrap/>
        <w:overflowPunct/>
        <w:topLinePunct w:val="0"/>
        <w:autoSpaceDE/>
        <w:autoSpaceDN/>
        <w:bidi w:val="0"/>
        <w:adjustRightInd/>
        <w:snapToGrid/>
        <w:spacing w:line="576" w:lineRule="exact"/>
        <w:ind w:firstLine="643" w:firstLineChars="200"/>
        <w:textAlignment w:val="auto"/>
        <w:rPr>
          <w:rStyle w:val="27"/>
          <w:rFonts w:hint="eastAsia" w:ascii="仿宋_GB2312" w:hAnsi="仿宋_GB2312" w:eastAsia="仿宋_GB2312" w:cs="仿宋_GB2312"/>
          <w:b w:val="0"/>
          <w:sz w:val="32"/>
          <w:szCs w:val="32"/>
          <w:lang w:eastAsia="zh-CN"/>
        </w:rPr>
      </w:pPr>
      <w:r>
        <w:rPr>
          <w:rStyle w:val="27"/>
          <w:rFonts w:hint="eastAsia" w:ascii="仿宋_GB2312" w:hAnsi="仿宋_GB2312" w:eastAsia="仿宋_GB2312" w:cs="仿宋_GB2312"/>
          <w:bCs/>
          <w:sz w:val="32"/>
          <w:szCs w:val="32"/>
        </w:rPr>
        <w:t>4.</w:t>
      </w:r>
      <w:r>
        <w:rPr>
          <w:rStyle w:val="27"/>
          <w:rFonts w:hint="eastAsia" w:ascii="仿宋" w:hAnsi="仿宋" w:eastAsia="仿宋" w:cs="Times New Roman"/>
          <w:bCs/>
          <w:color w:val="auto"/>
          <w:sz w:val="32"/>
          <w:szCs w:val="32"/>
          <w:highlight w:val="none"/>
        </w:rPr>
        <w:t>社会保障和就业</w:t>
      </w:r>
      <w:r>
        <w:rPr>
          <w:rStyle w:val="27"/>
          <w:rFonts w:hint="eastAsia" w:ascii="仿宋" w:hAnsi="仿宋" w:eastAsia="仿宋" w:cs="Times New Roman"/>
          <w:bCs/>
          <w:color w:val="auto"/>
          <w:sz w:val="32"/>
          <w:szCs w:val="32"/>
          <w:highlight w:val="none"/>
          <w:lang w:eastAsia="zh-CN"/>
        </w:rPr>
        <w:t>支出</w:t>
      </w:r>
      <w:r>
        <w:rPr>
          <w:rStyle w:val="27"/>
          <w:rFonts w:hint="eastAsia" w:ascii="仿宋" w:hAnsi="仿宋" w:eastAsia="仿宋" w:cs="Times New Roman"/>
          <w:bCs/>
          <w:color w:val="auto"/>
          <w:sz w:val="32"/>
          <w:szCs w:val="32"/>
          <w:highlight w:val="none"/>
        </w:rPr>
        <w:t>（类）行政事业单位养老支出（款）机关事业单位职业年金缴费支出（项）</w:t>
      </w:r>
      <w:r>
        <w:rPr>
          <w:rStyle w:val="27"/>
          <w:rFonts w:hint="eastAsia" w:ascii="仿宋_GB2312" w:hAnsi="仿宋_GB2312" w:eastAsia="仿宋_GB2312" w:cs="仿宋_GB2312"/>
          <w:b w:val="0"/>
          <w:sz w:val="32"/>
          <w:szCs w:val="32"/>
        </w:rPr>
        <w:t>: 支出决算为</w:t>
      </w:r>
      <w:r>
        <w:rPr>
          <w:rStyle w:val="27"/>
          <w:rFonts w:hint="eastAsia" w:ascii="仿宋_GB2312" w:hAnsi="仿宋_GB2312" w:eastAsia="仿宋_GB2312" w:cs="仿宋_GB2312"/>
          <w:b w:val="0"/>
          <w:sz w:val="32"/>
          <w:szCs w:val="32"/>
          <w:lang w:val="en-US" w:eastAsia="zh-CN"/>
        </w:rPr>
        <w:t>12.77</w:t>
      </w:r>
      <w:r>
        <w:rPr>
          <w:rStyle w:val="27"/>
          <w:rFonts w:hint="eastAsia" w:ascii="仿宋_GB2312" w:hAnsi="仿宋_GB2312" w:eastAsia="仿宋_GB2312" w:cs="仿宋_GB2312"/>
          <w:b w:val="0"/>
          <w:sz w:val="32"/>
          <w:szCs w:val="32"/>
        </w:rPr>
        <w:t>万元，完成预算100%</w:t>
      </w:r>
      <w:r>
        <w:rPr>
          <w:rStyle w:val="27"/>
          <w:rFonts w:hint="eastAsia" w:ascii="仿宋_GB2312" w:hAnsi="仿宋_GB2312" w:eastAsia="仿宋_GB2312" w:cs="仿宋_GB2312"/>
          <w:b w:val="0"/>
          <w:sz w:val="32"/>
          <w:szCs w:val="32"/>
          <w:lang w:eastAsia="zh-CN"/>
        </w:rPr>
        <w:t>，</w:t>
      </w:r>
      <w:r>
        <w:rPr>
          <w:rStyle w:val="27"/>
          <w:rFonts w:hint="eastAsia" w:ascii="仿宋_GB2312" w:hAnsi="仿宋_GB2312" w:eastAsia="仿宋_GB2312" w:cs="仿宋_GB2312"/>
          <w:b w:val="0"/>
          <w:bCs/>
          <w:sz w:val="32"/>
          <w:szCs w:val="32"/>
          <w:lang w:eastAsia="zh-CN"/>
        </w:rPr>
        <w:t>决算数与预算数持平。</w:t>
      </w:r>
    </w:p>
    <w:p w14:paraId="764F1352">
      <w:pPr>
        <w:pageBreakBefore w:val="0"/>
        <w:widowControl w:val="0"/>
        <w:kinsoku/>
        <w:wordWrap/>
        <w:overflowPunct/>
        <w:topLinePunct w:val="0"/>
        <w:autoSpaceDE/>
        <w:autoSpaceDN/>
        <w:bidi w:val="0"/>
        <w:adjustRightInd/>
        <w:snapToGrid/>
        <w:spacing w:line="576" w:lineRule="exact"/>
        <w:ind w:firstLine="643" w:firstLineChars="200"/>
        <w:textAlignment w:val="auto"/>
        <w:rPr>
          <w:rStyle w:val="27"/>
          <w:rFonts w:hint="eastAsia" w:ascii="仿宋_GB2312" w:hAnsi="仿宋_GB2312" w:eastAsia="仿宋_GB2312" w:cs="仿宋_GB2312"/>
          <w:b w:val="0"/>
          <w:bCs/>
          <w:sz w:val="32"/>
          <w:szCs w:val="32"/>
          <w:lang w:eastAsia="zh-CN"/>
        </w:rPr>
      </w:pPr>
      <w:r>
        <w:rPr>
          <w:rStyle w:val="27"/>
          <w:rFonts w:hint="eastAsia" w:ascii="仿宋_GB2312" w:hAnsi="仿宋_GB2312" w:eastAsia="仿宋_GB2312" w:cs="仿宋_GB2312"/>
          <w:bCs/>
          <w:sz w:val="32"/>
          <w:szCs w:val="32"/>
        </w:rPr>
        <w:t>5.</w:t>
      </w:r>
      <w:r>
        <w:rPr>
          <w:rStyle w:val="27"/>
          <w:rFonts w:hint="eastAsia" w:ascii="仿宋" w:hAnsi="仿宋" w:eastAsia="仿宋" w:cs="Times New Roman"/>
          <w:bCs/>
          <w:color w:val="auto"/>
          <w:sz w:val="32"/>
          <w:szCs w:val="32"/>
          <w:highlight w:val="none"/>
        </w:rPr>
        <w:t>卫生健康支出(类)行政事业单位医疗（款）行政单位医疗（项）</w:t>
      </w:r>
      <w:r>
        <w:rPr>
          <w:rStyle w:val="27"/>
          <w:rFonts w:hint="eastAsia" w:ascii="仿宋_GB2312" w:hAnsi="仿宋_GB2312" w:eastAsia="仿宋_GB2312" w:cs="仿宋_GB2312"/>
          <w:b w:val="0"/>
          <w:sz w:val="32"/>
          <w:szCs w:val="32"/>
        </w:rPr>
        <w:t>: 支出决算为</w:t>
      </w:r>
      <w:r>
        <w:rPr>
          <w:rStyle w:val="27"/>
          <w:rFonts w:hint="eastAsia" w:ascii="仿宋_GB2312" w:hAnsi="仿宋_GB2312" w:eastAsia="仿宋_GB2312" w:cs="仿宋_GB2312"/>
          <w:b w:val="0"/>
          <w:sz w:val="32"/>
          <w:szCs w:val="32"/>
          <w:lang w:val="en-US" w:eastAsia="zh-CN"/>
        </w:rPr>
        <w:t>5.05</w:t>
      </w:r>
      <w:r>
        <w:rPr>
          <w:rStyle w:val="27"/>
          <w:rFonts w:hint="eastAsia" w:ascii="仿宋_GB2312" w:hAnsi="仿宋_GB2312" w:eastAsia="仿宋_GB2312" w:cs="仿宋_GB2312"/>
          <w:b w:val="0"/>
          <w:sz w:val="32"/>
          <w:szCs w:val="32"/>
        </w:rPr>
        <w:t>万元，完成预算100%</w:t>
      </w:r>
      <w:r>
        <w:rPr>
          <w:rStyle w:val="27"/>
          <w:rFonts w:hint="eastAsia" w:ascii="仿宋_GB2312" w:hAnsi="仿宋_GB2312" w:eastAsia="仿宋_GB2312" w:cs="仿宋_GB2312"/>
          <w:b w:val="0"/>
          <w:sz w:val="32"/>
          <w:szCs w:val="32"/>
          <w:lang w:eastAsia="zh-CN"/>
        </w:rPr>
        <w:t>，</w:t>
      </w:r>
      <w:r>
        <w:rPr>
          <w:rStyle w:val="27"/>
          <w:rFonts w:hint="eastAsia" w:ascii="仿宋_GB2312" w:hAnsi="仿宋_GB2312" w:eastAsia="仿宋_GB2312" w:cs="仿宋_GB2312"/>
          <w:b w:val="0"/>
          <w:bCs/>
          <w:sz w:val="32"/>
          <w:szCs w:val="32"/>
          <w:lang w:eastAsia="zh-CN"/>
        </w:rPr>
        <w:t>决算数与预算数持平。</w:t>
      </w:r>
    </w:p>
    <w:p w14:paraId="1E142FDC">
      <w:pPr>
        <w:pageBreakBefore w:val="0"/>
        <w:widowControl w:val="0"/>
        <w:kinsoku/>
        <w:wordWrap/>
        <w:overflowPunct/>
        <w:topLinePunct w:val="0"/>
        <w:autoSpaceDE/>
        <w:autoSpaceDN/>
        <w:bidi w:val="0"/>
        <w:adjustRightInd/>
        <w:snapToGrid/>
        <w:spacing w:line="576" w:lineRule="exact"/>
        <w:ind w:firstLine="643" w:firstLineChars="200"/>
        <w:textAlignment w:val="auto"/>
        <w:rPr>
          <w:rStyle w:val="27"/>
          <w:rFonts w:hint="eastAsia" w:ascii="仿宋_GB2312" w:hAnsi="仿宋_GB2312" w:eastAsia="仿宋_GB2312" w:cs="仿宋_GB2312"/>
          <w:b w:val="0"/>
          <w:sz w:val="32"/>
          <w:szCs w:val="32"/>
          <w:lang w:eastAsia="zh-CN"/>
        </w:rPr>
      </w:pPr>
      <w:r>
        <w:rPr>
          <w:rStyle w:val="27"/>
          <w:rFonts w:hint="eastAsia" w:ascii="仿宋_GB2312" w:hAnsi="仿宋_GB2312" w:eastAsia="仿宋_GB2312" w:cs="仿宋_GB2312"/>
          <w:bCs/>
          <w:sz w:val="32"/>
          <w:szCs w:val="32"/>
        </w:rPr>
        <w:t>6.</w:t>
      </w:r>
      <w:r>
        <w:rPr>
          <w:rStyle w:val="27"/>
          <w:rFonts w:hint="eastAsia" w:ascii="仿宋" w:hAnsi="仿宋" w:eastAsia="仿宋" w:cs="Times New Roman"/>
          <w:bCs/>
          <w:color w:val="auto"/>
          <w:sz w:val="32"/>
          <w:szCs w:val="32"/>
          <w:highlight w:val="none"/>
        </w:rPr>
        <w:t>卫生健康支出(类)行政事业单位医疗（款）事业单位医疗（项）</w:t>
      </w:r>
      <w:r>
        <w:rPr>
          <w:rStyle w:val="27"/>
          <w:rFonts w:hint="eastAsia" w:ascii="仿宋_GB2312" w:hAnsi="仿宋_GB2312" w:eastAsia="仿宋_GB2312" w:cs="仿宋_GB2312"/>
          <w:b w:val="0"/>
          <w:sz w:val="32"/>
          <w:szCs w:val="32"/>
        </w:rPr>
        <w:t>: 支出决算为</w:t>
      </w:r>
      <w:r>
        <w:rPr>
          <w:rStyle w:val="27"/>
          <w:rFonts w:hint="eastAsia" w:ascii="仿宋_GB2312" w:hAnsi="仿宋_GB2312" w:eastAsia="仿宋_GB2312" w:cs="仿宋_GB2312"/>
          <w:b w:val="0"/>
          <w:sz w:val="32"/>
          <w:szCs w:val="32"/>
          <w:lang w:val="en-US" w:eastAsia="zh-CN"/>
        </w:rPr>
        <w:t>10.23</w:t>
      </w:r>
      <w:r>
        <w:rPr>
          <w:rStyle w:val="27"/>
          <w:rFonts w:hint="eastAsia" w:ascii="仿宋_GB2312" w:hAnsi="仿宋_GB2312" w:eastAsia="仿宋_GB2312" w:cs="仿宋_GB2312"/>
          <w:b w:val="0"/>
          <w:sz w:val="32"/>
          <w:szCs w:val="32"/>
        </w:rPr>
        <w:t>万元，完成预算100%</w:t>
      </w:r>
      <w:r>
        <w:rPr>
          <w:rStyle w:val="27"/>
          <w:rFonts w:hint="eastAsia" w:ascii="仿宋_GB2312" w:hAnsi="仿宋_GB2312" w:eastAsia="仿宋_GB2312" w:cs="仿宋_GB2312"/>
          <w:b w:val="0"/>
          <w:sz w:val="32"/>
          <w:szCs w:val="32"/>
          <w:lang w:eastAsia="zh-CN"/>
        </w:rPr>
        <w:t>，</w:t>
      </w:r>
      <w:r>
        <w:rPr>
          <w:rStyle w:val="27"/>
          <w:rFonts w:hint="eastAsia" w:ascii="仿宋_GB2312" w:hAnsi="仿宋_GB2312" w:eastAsia="仿宋_GB2312" w:cs="仿宋_GB2312"/>
          <w:b w:val="0"/>
          <w:bCs/>
          <w:sz w:val="32"/>
          <w:szCs w:val="32"/>
          <w:lang w:eastAsia="zh-CN"/>
        </w:rPr>
        <w:t>决算数与预算数持平。</w:t>
      </w:r>
    </w:p>
    <w:p w14:paraId="4461A5C6">
      <w:pPr>
        <w:pageBreakBefore w:val="0"/>
        <w:widowControl w:val="0"/>
        <w:kinsoku/>
        <w:wordWrap/>
        <w:overflowPunct/>
        <w:topLinePunct w:val="0"/>
        <w:autoSpaceDE/>
        <w:autoSpaceDN/>
        <w:bidi w:val="0"/>
        <w:adjustRightInd/>
        <w:snapToGrid/>
        <w:spacing w:line="576" w:lineRule="exact"/>
        <w:ind w:firstLine="643" w:firstLineChars="200"/>
        <w:textAlignment w:val="auto"/>
        <w:rPr>
          <w:rStyle w:val="27"/>
          <w:rFonts w:hint="eastAsia" w:ascii="仿宋_GB2312" w:hAnsi="仿宋_GB2312" w:eastAsia="仿宋_GB2312" w:cs="仿宋_GB2312"/>
          <w:b w:val="0"/>
          <w:sz w:val="32"/>
          <w:szCs w:val="32"/>
          <w:lang w:eastAsia="zh-CN"/>
        </w:rPr>
      </w:pPr>
      <w:r>
        <w:rPr>
          <w:rStyle w:val="27"/>
          <w:rFonts w:hint="eastAsia" w:ascii="仿宋_GB2312" w:hAnsi="仿宋_GB2312" w:eastAsia="仿宋_GB2312" w:cs="仿宋_GB2312"/>
          <w:bCs/>
          <w:sz w:val="32"/>
          <w:szCs w:val="32"/>
        </w:rPr>
        <w:t>7.</w:t>
      </w:r>
      <w:r>
        <w:rPr>
          <w:rStyle w:val="27"/>
          <w:rFonts w:hint="eastAsia" w:ascii="仿宋" w:hAnsi="仿宋" w:eastAsia="仿宋" w:cs="Times New Roman"/>
          <w:bCs/>
          <w:color w:val="auto"/>
          <w:sz w:val="32"/>
          <w:szCs w:val="32"/>
          <w:highlight w:val="none"/>
        </w:rPr>
        <w:t>住房保障支出（类）住房改革支出（款）住房公积金（项）:</w:t>
      </w:r>
      <w:r>
        <w:rPr>
          <w:rStyle w:val="27"/>
          <w:rFonts w:hint="eastAsia" w:ascii="仿宋_GB2312" w:hAnsi="仿宋_GB2312" w:eastAsia="仿宋_GB2312" w:cs="仿宋_GB2312"/>
          <w:b w:val="0"/>
          <w:sz w:val="32"/>
          <w:szCs w:val="32"/>
        </w:rPr>
        <w:t xml:space="preserve"> 支出决算为</w:t>
      </w:r>
      <w:r>
        <w:rPr>
          <w:rStyle w:val="27"/>
          <w:rFonts w:hint="eastAsia" w:ascii="仿宋_GB2312" w:hAnsi="仿宋_GB2312" w:eastAsia="仿宋_GB2312" w:cs="仿宋_GB2312"/>
          <w:b w:val="0"/>
          <w:sz w:val="32"/>
          <w:szCs w:val="32"/>
          <w:lang w:val="en-US" w:eastAsia="zh-CN"/>
        </w:rPr>
        <w:t>21.2</w:t>
      </w:r>
      <w:r>
        <w:rPr>
          <w:rStyle w:val="27"/>
          <w:rFonts w:hint="eastAsia" w:ascii="仿宋_GB2312" w:hAnsi="仿宋_GB2312" w:eastAsia="仿宋_GB2312" w:cs="仿宋_GB2312"/>
          <w:b w:val="0"/>
          <w:sz w:val="32"/>
          <w:szCs w:val="32"/>
        </w:rPr>
        <w:t>元，完成预算100%</w:t>
      </w:r>
      <w:r>
        <w:rPr>
          <w:rStyle w:val="27"/>
          <w:rFonts w:hint="eastAsia" w:ascii="仿宋_GB2312" w:hAnsi="仿宋_GB2312" w:eastAsia="仿宋_GB2312" w:cs="仿宋_GB2312"/>
          <w:b w:val="0"/>
          <w:sz w:val="32"/>
          <w:szCs w:val="32"/>
          <w:lang w:eastAsia="zh-CN"/>
        </w:rPr>
        <w:t>，</w:t>
      </w:r>
      <w:r>
        <w:rPr>
          <w:rStyle w:val="27"/>
          <w:rFonts w:hint="eastAsia" w:ascii="仿宋_GB2312" w:hAnsi="仿宋_GB2312" w:eastAsia="仿宋_GB2312" w:cs="仿宋_GB2312"/>
          <w:b w:val="0"/>
          <w:bCs/>
          <w:sz w:val="32"/>
          <w:szCs w:val="32"/>
          <w:lang w:eastAsia="zh-CN"/>
        </w:rPr>
        <w:t>决算数与预算数持平。</w:t>
      </w:r>
    </w:p>
    <w:p w14:paraId="54DAC9DD">
      <w:pPr>
        <w:pStyle w:val="5"/>
        <w:pageBreakBefore w:val="0"/>
        <w:widowControl w:val="0"/>
        <w:kinsoku/>
        <w:wordWrap/>
        <w:overflowPunct/>
        <w:topLinePunct w:val="0"/>
        <w:autoSpaceDE/>
        <w:autoSpaceDN/>
        <w:bidi w:val="0"/>
        <w:adjustRightInd/>
        <w:snapToGrid/>
        <w:spacing w:before="0" w:after="0" w:line="576" w:lineRule="exact"/>
        <w:ind w:firstLine="643" w:firstLineChars="200"/>
        <w:textAlignment w:val="auto"/>
        <w:rPr>
          <w:rStyle w:val="42"/>
          <w:b/>
          <w:bCs/>
        </w:rPr>
      </w:pPr>
      <w:bookmarkStart w:id="28" w:name="_Toc15396608"/>
      <w:bookmarkStart w:id="29" w:name="_Toc15377214"/>
      <w:r>
        <w:rPr>
          <w:rFonts w:hint="eastAsia" w:ascii="黑体" w:eastAsia="黑体"/>
        </w:rPr>
        <w:t>六、</w:t>
      </w:r>
      <w:r>
        <w:rPr>
          <w:rFonts w:hint="eastAsia" w:ascii="黑体" w:hAnsi="黑体" w:eastAsia="黑体"/>
        </w:rPr>
        <w:t>一</w:t>
      </w:r>
      <w:r>
        <w:rPr>
          <w:rStyle w:val="42"/>
          <w:rFonts w:hint="eastAsia" w:ascii="黑体" w:hAnsi="黑体" w:eastAsia="黑体"/>
          <w:b w:val="0"/>
          <w:bCs/>
        </w:rPr>
        <w:t>般公共预算财政拨款基本支出决算情况说明</w:t>
      </w:r>
      <w:bookmarkEnd w:id="28"/>
      <w:bookmarkEnd w:id="29"/>
    </w:p>
    <w:p w14:paraId="29E6D8B1">
      <w:pPr>
        <w:pageBreakBefore w:val="0"/>
        <w:widowControl w:val="0"/>
        <w:kinsoku/>
        <w:wordWrap/>
        <w:overflowPunct/>
        <w:topLinePunct w:val="0"/>
        <w:autoSpaceDE/>
        <w:autoSpaceDN/>
        <w:bidi w:val="0"/>
        <w:adjustRightInd/>
        <w:snapToGrid/>
        <w:spacing w:line="576" w:lineRule="exact"/>
        <w:ind w:firstLine="645"/>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年一般公共预算财政拨款基本支出</w:t>
      </w:r>
      <w:r>
        <w:rPr>
          <w:rFonts w:hint="eastAsia" w:ascii="仿宋_GB2312" w:hAnsi="仿宋_GB2312" w:eastAsia="仿宋_GB2312" w:cs="仿宋_GB2312"/>
          <w:sz w:val="32"/>
          <w:szCs w:val="32"/>
          <w:lang w:val="en-US" w:eastAsia="zh-CN"/>
        </w:rPr>
        <w:t>289.3</w:t>
      </w:r>
      <w:r>
        <w:rPr>
          <w:rFonts w:hint="eastAsia" w:ascii="仿宋_GB2312" w:hAnsi="仿宋_GB2312" w:eastAsia="仿宋_GB2312" w:cs="仿宋_GB2312"/>
          <w:sz w:val="32"/>
          <w:szCs w:val="32"/>
        </w:rPr>
        <w:t>万元，其中：</w:t>
      </w:r>
    </w:p>
    <w:p w14:paraId="623B9A68">
      <w:pPr>
        <w:pageBreakBefore w:val="0"/>
        <w:widowControl w:val="0"/>
        <w:kinsoku/>
        <w:wordWrap/>
        <w:overflowPunct/>
        <w:topLinePunct w:val="0"/>
        <w:autoSpaceDE/>
        <w:autoSpaceDN/>
        <w:bidi w:val="0"/>
        <w:adjustRightInd/>
        <w:snapToGrid/>
        <w:spacing w:line="576" w:lineRule="exact"/>
        <w:ind w:firstLine="645"/>
        <w:textAlignment w:val="auto"/>
        <w:rPr>
          <w:rFonts w:ascii="仿宋" w:hAnsi="仿宋" w:eastAsia="仿宋"/>
          <w:sz w:val="32"/>
          <w:szCs w:val="32"/>
        </w:rPr>
      </w:pPr>
      <w:r>
        <w:rPr>
          <w:rFonts w:hint="eastAsia" w:ascii="仿宋_GB2312" w:hAnsi="仿宋_GB2312" w:eastAsia="仿宋_GB2312" w:cs="仿宋_GB2312"/>
          <w:sz w:val="32"/>
          <w:szCs w:val="32"/>
        </w:rPr>
        <w:t>人员经费</w:t>
      </w:r>
      <w:r>
        <w:rPr>
          <w:rFonts w:hint="eastAsia" w:ascii="仿宋_GB2312" w:hAnsi="仿宋_GB2312" w:eastAsia="仿宋_GB2312" w:cs="仿宋_GB2312"/>
          <w:sz w:val="32"/>
          <w:szCs w:val="32"/>
          <w:lang w:val="en-US" w:eastAsia="zh-CN"/>
        </w:rPr>
        <w:t>270.69</w:t>
      </w:r>
      <w:r>
        <w:rPr>
          <w:rFonts w:hint="eastAsia" w:ascii="仿宋_GB2312" w:hAnsi="仿宋_GB2312" w:eastAsia="仿宋_GB2312" w:cs="仿宋_GB2312"/>
          <w:sz w:val="32"/>
          <w:szCs w:val="32"/>
        </w:rPr>
        <w:t>万元，主要包括：</w:t>
      </w:r>
      <w:r>
        <w:rPr>
          <w:rFonts w:hint="eastAsia" w:ascii="仿宋" w:hAnsi="仿宋" w:eastAsia="仿宋"/>
          <w:sz w:val="32"/>
          <w:szCs w:val="32"/>
        </w:rPr>
        <w:t>基本工资、津贴补贴、奖金、绩效工资、机关事业单位基本养老保险缴费、职业年金缴费、职工基本医疗保险缴费、其他社会保障缴费、住房公积金、医疗费、生活补助、奖励金。</w:t>
      </w:r>
    </w:p>
    <w:p w14:paraId="7721D9EE">
      <w:pPr>
        <w:pageBreakBefore w:val="0"/>
        <w:widowControl w:val="0"/>
        <w:kinsoku/>
        <w:wordWrap/>
        <w:overflowPunct/>
        <w:topLinePunct w:val="0"/>
        <w:autoSpaceDE/>
        <w:autoSpaceDN/>
        <w:bidi w:val="0"/>
        <w:adjustRightInd/>
        <w:snapToGrid/>
        <w:spacing w:line="576" w:lineRule="exact"/>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　　公用经费</w:t>
      </w:r>
      <w:r>
        <w:rPr>
          <w:rFonts w:hint="eastAsia" w:ascii="仿宋_GB2312" w:hAnsi="仿宋_GB2312" w:eastAsia="仿宋_GB2312" w:cs="仿宋_GB2312"/>
          <w:sz w:val="32"/>
          <w:szCs w:val="32"/>
          <w:lang w:val="en-US" w:eastAsia="zh-CN"/>
        </w:rPr>
        <w:t>14.39</w:t>
      </w:r>
      <w:r>
        <w:rPr>
          <w:rFonts w:hint="eastAsia" w:ascii="仿宋_GB2312" w:hAnsi="仿宋_GB2312" w:eastAsia="仿宋_GB2312" w:cs="仿宋_GB2312"/>
          <w:sz w:val="32"/>
          <w:szCs w:val="32"/>
        </w:rPr>
        <w:t>万元，主要包括：</w:t>
      </w:r>
      <w:r>
        <w:rPr>
          <w:rFonts w:hint="eastAsia" w:ascii="仿宋" w:hAnsi="仿宋" w:eastAsia="仿宋"/>
          <w:sz w:val="32"/>
          <w:szCs w:val="32"/>
        </w:rPr>
        <w:t>办公费、邮电费、差旅费、培训费、公务接待费、公务用车运行维护费。</w:t>
      </w:r>
    </w:p>
    <w:p w14:paraId="6E901EEE">
      <w:pPr>
        <w:pageBreakBefore w:val="0"/>
        <w:widowControl w:val="0"/>
        <w:kinsoku/>
        <w:wordWrap/>
        <w:overflowPunct/>
        <w:topLinePunct w:val="0"/>
        <w:autoSpaceDE/>
        <w:autoSpaceDN/>
        <w:bidi w:val="0"/>
        <w:adjustRightInd/>
        <w:snapToGrid/>
        <w:spacing w:line="576" w:lineRule="exact"/>
        <w:ind w:firstLine="640"/>
        <w:textAlignment w:val="auto"/>
        <w:outlineLvl w:val="1"/>
        <w:rPr>
          <w:rFonts w:ascii="黑体" w:hAnsi="黑体" w:eastAsia="黑体"/>
          <w:sz w:val="32"/>
          <w:szCs w:val="32"/>
        </w:rPr>
      </w:pPr>
      <w:r>
        <w:rPr>
          <w:rFonts w:hint="eastAsia" w:ascii="黑体" w:hAnsi="黑体" w:eastAsia="黑体"/>
          <w:sz w:val="32"/>
          <w:szCs w:val="32"/>
        </w:rPr>
        <w:t>七、</w:t>
      </w:r>
      <w:r>
        <w:rPr>
          <w:rStyle w:val="42"/>
          <w:rFonts w:hint="eastAsia" w:ascii="黑体" w:hAnsi="黑体" w:eastAsia="黑体"/>
          <w:b w:val="0"/>
          <w:color w:val="auto"/>
          <w:highlight w:val="none"/>
        </w:rPr>
        <w:t>财政拨款</w:t>
      </w:r>
      <w:r>
        <w:rPr>
          <w:rStyle w:val="42"/>
          <w:rFonts w:hint="eastAsia" w:ascii="黑体" w:hAnsi="黑体" w:eastAsia="黑体" w:cs="Times New Roman"/>
          <w:b w:val="0"/>
          <w:color w:val="auto"/>
          <w:highlight w:val="none"/>
        </w:rPr>
        <w:t>“三公”</w:t>
      </w:r>
      <w:r>
        <w:rPr>
          <w:rStyle w:val="42"/>
          <w:rFonts w:hint="eastAsia" w:ascii="黑体" w:hAnsi="黑体" w:eastAsia="黑体"/>
          <w:b w:val="0"/>
          <w:color w:val="auto"/>
          <w:highlight w:val="none"/>
        </w:rPr>
        <w:t>经费支出决算情况说明</w:t>
      </w:r>
    </w:p>
    <w:p w14:paraId="0D327F5A">
      <w:pPr>
        <w:pageBreakBefore w:val="0"/>
        <w:widowControl w:val="0"/>
        <w:kinsoku/>
        <w:wordWrap/>
        <w:overflowPunct/>
        <w:topLinePunct w:val="0"/>
        <w:autoSpaceDE/>
        <w:autoSpaceDN/>
        <w:bidi w:val="0"/>
        <w:adjustRightInd/>
        <w:snapToGrid/>
        <w:spacing w:line="576" w:lineRule="exact"/>
        <w:ind w:firstLine="640"/>
        <w:textAlignment w:val="auto"/>
        <w:rPr>
          <w:rFonts w:ascii="楷体_GB2312" w:eastAsia="楷体_GB2312"/>
          <w:b/>
          <w:sz w:val="32"/>
          <w:szCs w:val="32"/>
        </w:rPr>
      </w:pPr>
      <w:r>
        <w:rPr>
          <w:rFonts w:hint="eastAsia" w:ascii="楷体_GB2312" w:eastAsia="楷体_GB2312"/>
          <w:b/>
          <w:sz w:val="32"/>
          <w:szCs w:val="32"/>
        </w:rPr>
        <w:t>（一）“三公”经费财政拨款支出决算总体情况说明</w:t>
      </w:r>
    </w:p>
    <w:p w14:paraId="124B572C">
      <w:pPr>
        <w:pageBreakBefore w:val="0"/>
        <w:widowControl w:val="0"/>
        <w:kinsoku/>
        <w:wordWrap/>
        <w:overflowPunct/>
        <w:topLinePunct w:val="0"/>
        <w:autoSpaceDE/>
        <w:autoSpaceDN/>
        <w:bidi w:val="0"/>
        <w:adjustRightInd/>
        <w:snapToGrid/>
        <w:spacing w:line="576" w:lineRule="exact"/>
        <w:ind w:firstLine="640"/>
        <w:textAlignment w:val="auto"/>
        <w:rPr>
          <w:rFonts w:ascii="仿宋_GB2312" w:hAnsi="仿宋_GB2312" w:eastAsia="仿宋_GB2312" w:cs="仿宋_GB2312"/>
          <w:b/>
          <w:sz w:val="32"/>
          <w:szCs w:val="32"/>
        </w:rPr>
      </w:pP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rPr>
        <w:t>年</w:t>
      </w:r>
      <w:r>
        <w:rPr>
          <w:rFonts w:hint="eastAsia" w:ascii="仿宋" w:hAnsi="仿宋" w:eastAsia="仿宋"/>
          <w:color w:val="auto"/>
          <w:sz w:val="32"/>
          <w:szCs w:val="32"/>
          <w:highlight w:val="none"/>
          <w:lang w:eastAsia="zh-CN"/>
        </w:rPr>
        <w:t>度</w:t>
      </w:r>
      <w:r>
        <w:rPr>
          <w:rFonts w:hint="eastAsia" w:ascii="仿宋" w:hAnsi="仿宋" w:eastAsia="仿宋"/>
          <w:color w:val="auto"/>
          <w:sz w:val="32"/>
          <w:szCs w:val="32"/>
          <w:highlight w:val="none"/>
        </w:rPr>
        <w:t>“三公”经费财政拨款支出决算为</w:t>
      </w:r>
      <w:r>
        <w:rPr>
          <w:rFonts w:hint="eastAsia" w:ascii="仿宋" w:hAnsi="仿宋" w:eastAsia="仿宋"/>
          <w:color w:val="auto"/>
          <w:sz w:val="32"/>
          <w:szCs w:val="32"/>
          <w:highlight w:val="none"/>
          <w:lang w:val="en-US" w:eastAsia="zh-CN"/>
        </w:rPr>
        <w:t>1.91</w:t>
      </w:r>
      <w:r>
        <w:rPr>
          <w:rFonts w:hint="eastAsia" w:ascii="仿宋" w:hAnsi="仿宋" w:eastAsia="仿宋"/>
          <w:color w:val="auto"/>
          <w:sz w:val="32"/>
          <w:szCs w:val="32"/>
          <w:highlight w:val="none"/>
        </w:rPr>
        <w:t>万元，完成预算</w:t>
      </w:r>
      <w:r>
        <w:rPr>
          <w:rFonts w:hint="eastAsia" w:ascii="仿宋" w:hAnsi="仿宋" w:eastAsia="仿宋"/>
          <w:color w:val="auto"/>
          <w:sz w:val="32"/>
          <w:szCs w:val="32"/>
          <w:highlight w:val="none"/>
          <w:lang w:val="en-US" w:eastAsia="zh-CN"/>
        </w:rPr>
        <w:t>100</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r>
        <w:rPr>
          <w:rFonts w:hint="eastAsia" w:ascii="仿宋" w:hAnsi="仿宋" w:eastAsia="仿宋"/>
          <w:color w:val="auto"/>
          <w:sz w:val="32"/>
          <w:szCs w:val="32"/>
          <w:highlight w:val="none"/>
          <w:lang w:eastAsia="zh-CN"/>
        </w:rPr>
        <w:t>与</w:t>
      </w:r>
      <w:r>
        <w:rPr>
          <w:rFonts w:hint="eastAsia" w:ascii="仿宋" w:hAnsi="仿宋" w:eastAsia="仿宋"/>
          <w:color w:val="auto"/>
          <w:sz w:val="32"/>
          <w:szCs w:val="32"/>
          <w:highlight w:val="none"/>
          <w:lang w:val="en-US" w:eastAsia="zh-CN"/>
        </w:rPr>
        <w:t>2024年相比减少1.76万元，下降47.88%。</w:t>
      </w:r>
      <w:r>
        <w:rPr>
          <w:rFonts w:hint="eastAsia" w:ascii="仿宋" w:hAnsi="仿宋" w:eastAsia="仿宋"/>
          <w:color w:val="auto"/>
          <w:sz w:val="32"/>
          <w:szCs w:val="32"/>
          <w:highlight w:val="none"/>
        </w:rPr>
        <w:t>主要原因是</w:t>
      </w:r>
      <w:r>
        <w:rPr>
          <w:rFonts w:hint="eastAsia" w:ascii="仿宋" w:hAnsi="仿宋" w:eastAsia="仿宋"/>
          <w:color w:val="auto"/>
          <w:sz w:val="32"/>
          <w:szCs w:val="32"/>
          <w:highlight w:val="none"/>
          <w:lang w:eastAsia="zh-CN"/>
        </w:rPr>
        <w:t>：公务出差减少</w:t>
      </w:r>
      <w:r>
        <w:rPr>
          <w:rFonts w:hint="eastAsia" w:ascii="仿宋" w:hAnsi="仿宋" w:eastAsia="仿宋"/>
          <w:color w:val="auto"/>
          <w:sz w:val="32"/>
          <w:szCs w:val="32"/>
          <w:highlight w:val="none"/>
        </w:rPr>
        <w:t>。</w:t>
      </w:r>
    </w:p>
    <w:p w14:paraId="68E5A13B">
      <w:pPr>
        <w:pageBreakBefore w:val="0"/>
        <w:widowControl w:val="0"/>
        <w:kinsoku/>
        <w:wordWrap/>
        <w:overflowPunct/>
        <w:topLinePunct w:val="0"/>
        <w:autoSpaceDE/>
        <w:autoSpaceDN/>
        <w:bidi w:val="0"/>
        <w:adjustRightInd/>
        <w:snapToGrid/>
        <w:spacing w:line="576" w:lineRule="exact"/>
        <w:ind w:firstLine="640"/>
        <w:textAlignment w:val="auto"/>
        <w:rPr>
          <w:rFonts w:ascii="楷体_GB2312" w:eastAsia="楷体_GB2312"/>
          <w:b/>
          <w:sz w:val="32"/>
          <w:szCs w:val="32"/>
        </w:rPr>
      </w:pPr>
      <w:bookmarkStart w:id="30" w:name="_Toc15377217"/>
      <w:r>
        <w:rPr>
          <w:rFonts w:hint="eastAsia" w:ascii="楷体_GB2312" w:eastAsia="楷体_GB2312"/>
          <w:b/>
          <w:sz w:val="32"/>
          <w:szCs w:val="32"/>
        </w:rPr>
        <w:t>（二）“三公”经费财政拨款支出决算具体情况说明</w:t>
      </w:r>
      <w:bookmarkEnd w:id="30"/>
    </w:p>
    <w:p w14:paraId="035E5896">
      <w:pPr>
        <w:pageBreakBefore w:val="0"/>
        <w:widowControl w:val="0"/>
        <w:kinsoku/>
        <w:wordWrap/>
        <w:overflowPunct/>
        <w:topLinePunct w:val="0"/>
        <w:autoSpaceDE/>
        <w:autoSpaceDN/>
        <w:bidi w:val="0"/>
        <w:adjustRightInd/>
        <w:snapToGrid/>
        <w:spacing w:line="576" w:lineRule="exact"/>
        <w:ind w:firstLine="640"/>
        <w:textAlignment w:val="auto"/>
        <w:rPr>
          <w:rFonts w:ascii="仿宋" w:hAnsi="仿宋" w:eastAsia="仿宋"/>
          <w:sz w:val="32"/>
          <w:szCs w:val="32"/>
        </w:rPr>
      </w:pP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rPr>
        <w:t>年</w:t>
      </w:r>
      <w:r>
        <w:rPr>
          <w:rFonts w:hint="eastAsia" w:ascii="仿宋" w:hAnsi="仿宋" w:eastAsia="仿宋"/>
          <w:color w:val="auto"/>
          <w:sz w:val="32"/>
          <w:szCs w:val="32"/>
          <w:highlight w:val="none"/>
          <w:lang w:eastAsia="zh-CN"/>
        </w:rPr>
        <w:t>度</w:t>
      </w:r>
      <w:r>
        <w:rPr>
          <w:rFonts w:hint="eastAsia" w:ascii="仿宋" w:hAnsi="仿宋" w:eastAsia="仿宋"/>
          <w:color w:val="auto"/>
          <w:sz w:val="32"/>
          <w:szCs w:val="32"/>
          <w:highlight w:val="none"/>
        </w:rPr>
        <w:t>“三公”经费财政拨款支出决算中</w:t>
      </w:r>
      <w:r>
        <w:rPr>
          <w:rFonts w:hint="eastAsia" w:ascii="仿宋" w:hAnsi="仿宋" w:eastAsia="仿宋"/>
          <w:color w:val="auto"/>
          <w:sz w:val="32"/>
          <w:szCs w:val="32"/>
          <w:highlight w:val="none"/>
          <w:lang w:eastAsia="zh-CN"/>
        </w:rPr>
        <w:t>，</w:t>
      </w:r>
      <w:r>
        <w:rPr>
          <w:rFonts w:hint="eastAsia" w:ascii="仿宋" w:hAnsi="仿宋" w:eastAsia="仿宋"/>
          <w:color w:val="auto"/>
          <w:sz w:val="32"/>
          <w:szCs w:val="32"/>
          <w:highlight w:val="none"/>
        </w:rPr>
        <w:t>公务用车购置及运行维护费支出决算</w:t>
      </w:r>
      <w:r>
        <w:rPr>
          <w:rFonts w:hint="eastAsia" w:ascii="仿宋" w:hAnsi="仿宋" w:eastAsia="仿宋"/>
          <w:color w:val="auto"/>
          <w:sz w:val="32"/>
          <w:szCs w:val="32"/>
          <w:highlight w:val="none"/>
          <w:lang w:val="en-US" w:eastAsia="zh-CN"/>
        </w:rPr>
        <w:t>1.85</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96.86</w:t>
      </w:r>
      <w:r>
        <w:rPr>
          <w:rFonts w:ascii="仿宋" w:hAnsi="仿宋" w:eastAsia="仿宋"/>
          <w:color w:val="auto"/>
          <w:sz w:val="32"/>
          <w:szCs w:val="32"/>
          <w:highlight w:val="none"/>
        </w:rPr>
        <w:t>%</w:t>
      </w:r>
      <w:r>
        <w:rPr>
          <w:rFonts w:hint="eastAsia" w:ascii="仿宋" w:hAnsi="仿宋" w:eastAsia="仿宋"/>
          <w:color w:val="auto"/>
          <w:sz w:val="32"/>
          <w:szCs w:val="32"/>
          <w:highlight w:val="none"/>
        </w:rPr>
        <w:t>；公务接待费支出决算</w:t>
      </w:r>
      <w:r>
        <w:rPr>
          <w:rFonts w:hint="eastAsia" w:ascii="仿宋" w:hAnsi="仿宋" w:eastAsia="仿宋"/>
          <w:color w:val="auto"/>
          <w:sz w:val="32"/>
          <w:szCs w:val="32"/>
          <w:highlight w:val="none"/>
          <w:lang w:val="en-US" w:eastAsia="zh-CN"/>
        </w:rPr>
        <w:t>0.06</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3.14</w:t>
      </w:r>
      <w:r>
        <w:rPr>
          <w:rFonts w:ascii="仿宋" w:hAnsi="仿宋" w:eastAsia="仿宋"/>
          <w:color w:val="auto"/>
          <w:sz w:val="32"/>
          <w:szCs w:val="32"/>
          <w:highlight w:val="none"/>
        </w:rPr>
        <w:t>%</w:t>
      </w:r>
      <w:r>
        <w:rPr>
          <w:rFonts w:hint="eastAsia" w:ascii="仿宋" w:hAnsi="仿宋" w:eastAsia="仿宋"/>
          <w:color w:val="auto"/>
          <w:sz w:val="32"/>
          <w:szCs w:val="32"/>
          <w:highlight w:val="none"/>
        </w:rPr>
        <w:t>。具体情况如下：</w:t>
      </w:r>
    </w:p>
    <w:p w14:paraId="68CA4191">
      <w:pPr>
        <w:jc w:val="center"/>
        <w:rPr>
          <w:rFonts w:ascii="仿宋" w:hAnsi="仿宋" w:eastAsia="仿宋"/>
          <w:sz w:val="32"/>
          <w:szCs w:val="32"/>
        </w:rPr>
      </w:pPr>
      <w:r>
        <w:rPr>
          <w:rFonts w:ascii="仿宋" w:hAnsi="仿宋" w:eastAsia="仿宋"/>
          <w:sz w:val="32"/>
          <w:szCs w:val="32"/>
        </w:rPr>
        <w:drawing>
          <wp:inline distT="0" distB="0" distL="0" distR="0">
            <wp:extent cx="3709035" cy="2218055"/>
            <wp:effectExtent l="19050" t="0" r="24654" b="0"/>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28A8D44C">
      <w:pPr>
        <w:keepNext w:val="0"/>
        <w:keepLines w:val="0"/>
        <w:pageBreakBefore w:val="0"/>
        <w:widowControl w:val="0"/>
        <w:kinsoku/>
        <w:wordWrap/>
        <w:overflowPunct/>
        <w:topLinePunct w:val="0"/>
        <w:bidi w:val="0"/>
        <w:snapToGrid/>
        <w:spacing w:line="576" w:lineRule="exact"/>
        <w:ind w:firstLine="640"/>
        <w:textAlignment w:val="auto"/>
        <w:rPr>
          <w:rFonts w:ascii="仿宋_GB2312" w:eastAsia="仿宋_GB2312"/>
          <w:b/>
          <w:color w:val="auto"/>
          <w:sz w:val="32"/>
          <w:szCs w:val="32"/>
          <w:highlight w:val="none"/>
        </w:rPr>
      </w:pPr>
    </w:p>
    <w:p w14:paraId="785D4DFA">
      <w:pPr>
        <w:keepNext w:val="0"/>
        <w:keepLines w:val="0"/>
        <w:pageBreakBefore w:val="0"/>
        <w:widowControl w:val="0"/>
        <w:kinsoku/>
        <w:wordWrap/>
        <w:overflowPunct/>
        <w:topLinePunct w:val="0"/>
        <w:bidi w:val="0"/>
        <w:snapToGrid/>
        <w:spacing w:line="576" w:lineRule="exact"/>
        <w:ind w:firstLine="640"/>
        <w:textAlignment w:val="auto"/>
        <w:rPr>
          <w:rStyle w:val="27"/>
          <w:rFonts w:hint="eastAsia" w:ascii="仿宋" w:hAnsi="仿宋" w:eastAsia="仿宋"/>
          <w:b w:val="0"/>
          <w:bCs/>
          <w:color w:val="auto"/>
          <w:sz w:val="32"/>
          <w:szCs w:val="32"/>
          <w:highlight w:val="none"/>
        </w:rPr>
      </w:pPr>
      <w:r>
        <w:rPr>
          <w:rFonts w:ascii="仿宋_GB2312" w:eastAsia="仿宋_GB2312"/>
          <w:b/>
          <w:color w:val="auto"/>
          <w:sz w:val="32"/>
          <w:szCs w:val="32"/>
          <w:highlight w:val="none"/>
        </w:rPr>
        <w:t>1.</w:t>
      </w:r>
      <w:r>
        <w:rPr>
          <w:rFonts w:hint="eastAsia" w:ascii="仿宋_GB2312" w:eastAsia="仿宋_GB2312"/>
          <w:b/>
          <w:color w:val="auto"/>
          <w:sz w:val="32"/>
          <w:szCs w:val="32"/>
          <w:highlight w:val="none"/>
        </w:rPr>
        <w:t>因公出国（境）经费支出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r>
        <w:rPr>
          <w:rStyle w:val="27"/>
          <w:rFonts w:hint="eastAsia" w:ascii="仿宋" w:hAnsi="仿宋" w:eastAsia="仿宋"/>
          <w:b w:val="0"/>
          <w:bCs/>
          <w:color w:val="auto"/>
          <w:sz w:val="32"/>
          <w:szCs w:val="32"/>
          <w:highlight w:val="none"/>
        </w:rPr>
        <w:t>。</w:t>
      </w:r>
    </w:p>
    <w:p w14:paraId="04198FBA">
      <w:pPr>
        <w:keepNext w:val="0"/>
        <w:keepLines w:val="0"/>
        <w:pageBreakBefore w:val="0"/>
        <w:widowControl w:val="0"/>
        <w:kinsoku/>
        <w:wordWrap/>
        <w:overflowPunct/>
        <w:topLinePunct w:val="0"/>
        <w:bidi w:val="0"/>
        <w:snapToGrid/>
        <w:spacing w:line="576" w:lineRule="exact"/>
        <w:ind w:firstLine="640"/>
        <w:textAlignment w:val="auto"/>
        <w:rPr>
          <w:rFonts w:ascii="仿宋_GB2312" w:eastAsia="仿宋_GB2312"/>
          <w:b/>
          <w:color w:val="auto"/>
          <w:sz w:val="32"/>
          <w:szCs w:val="32"/>
          <w:highlight w:val="none"/>
        </w:rPr>
      </w:pPr>
      <w:r>
        <w:rPr>
          <w:rFonts w:ascii="仿宋_GB2312" w:eastAsia="仿宋_GB2312"/>
          <w:b/>
          <w:color w:val="auto"/>
          <w:sz w:val="32"/>
          <w:szCs w:val="32"/>
          <w:highlight w:val="none"/>
        </w:rPr>
        <w:t>2.</w:t>
      </w:r>
      <w:r>
        <w:rPr>
          <w:rFonts w:hint="eastAsia" w:ascii="仿宋_GB2312" w:eastAsia="仿宋_GB2312"/>
          <w:b/>
          <w:color w:val="auto"/>
          <w:sz w:val="32"/>
          <w:szCs w:val="32"/>
          <w:highlight w:val="none"/>
        </w:rPr>
        <w:t>公务用车购置及运行维护费支出</w:t>
      </w:r>
      <w:r>
        <w:rPr>
          <w:rFonts w:hint="eastAsia" w:ascii="仿宋_GB2312" w:eastAsia="仿宋_GB2312"/>
          <w:color w:val="auto"/>
          <w:sz w:val="32"/>
          <w:szCs w:val="32"/>
          <w:highlight w:val="none"/>
          <w:lang w:val="en-US" w:eastAsia="zh-CN"/>
        </w:rPr>
        <w:t>1.85</w:t>
      </w:r>
      <w:r>
        <w:rPr>
          <w:rFonts w:hint="eastAsia" w:ascii="仿宋_GB2312" w:eastAsia="仿宋_GB2312"/>
          <w:color w:val="auto"/>
          <w:sz w:val="32"/>
          <w:szCs w:val="32"/>
          <w:highlight w:val="none"/>
        </w:rPr>
        <w:t>万元,</w:t>
      </w:r>
      <w:r>
        <w:rPr>
          <w:rStyle w:val="27"/>
          <w:rFonts w:hint="eastAsia" w:ascii="仿宋" w:hAnsi="仿宋" w:eastAsia="仿宋"/>
          <w:b w:val="0"/>
          <w:bCs/>
          <w:color w:val="auto"/>
          <w:sz w:val="32"/>
          <w:szCs w:val="32"/>
          <w:highlight w:val="none"/>
        </w:rPr>
        <w:t>完成预算</w:t>
      </w:r>
      <w:r>
        <w:rPr>
          <w:rStyle w:val="27"/>
          <w:rFonts w:hint="eastAsia" w:ascii="仿宋" w:hAnsi="仿宋" w:eastAsia="仿宋"/>
          <w:b w:val="0"/>
          <w:bCs/>
          <w:color w:val="auto"/>
          <w:sz w:val="32"/>
          <w:szCs w:val="32"/>
          <w:highlight w:val="none"/>
          <w:lang w:val="en-US" w:eastAsia="zh-CN"/>
        </w:rPr>
        <w:t>100</w:t>
      </w:r>
      <w:r>
        <w:rPr>
          <w:rStyle w:val="27"/>
          <w:rFonts w:ascii="仿宋" w:hAnsi="仿宋" w:eastAsia="仿宋"/>
          <w:b w:val="0"/>
          <w:bCs/>
          <w:color w:val="auto"/>
          <w:sz w:val="32"/>
          <w:szCs w:val="32"/>
          <w:highlight w:val="none"/>
        </w:rPr>
        <w:t>%</w:t>
      </w:r>
      <w:r>
        <w:rPr>
          <w:rStyle w:val="27"/>
          <w:rFonts w:hint="eastAsia" w:ascii="仿宋" w:hAnsi="仿宋" w:eastAsia="仿宋"/>
          <w:b w:val="0"/>
          <w:bCs/>
          <w:color w:val="auto"/>
          <w:sz w:val="32"/>
          <w:szCs w:val="32"/>
          <w:highlight w:val="none"/>
        </w:rPr>
        <w:t>。</w:t>
      </w:r>
      <w:r>
        <w:rPr>
          <w:rFonts w:hint="eastAsia" w:ascii="仿宋_GB2312" w:eastAsia="仿宋_GB2312"/>
          <w:color w:val="auto"/>
          <w:sz w:val="32"/>
          <w:szCs w:val="32"/>
          <w:highlight w:val="none"/>
        </w:rPr>
        <w:t>公务用车购置及运行维护费支出决算</w:t>
      </w:r>
      <w:r>
        <w:rPr>
          <w:rFonts w:hint="eastAsia" w:ascii="仿宋_GB2312" w:eastAsia="仿宋_GB2312"/>
          <w:color w:val="auto"/>
          <w:sz w:val="32"/>
          <w:szCs w:val="32"/>
          <w:highlight w:val="none"/>
          <w:lang w:eastAsia="zh-CN"/>
        </w:rPr>
        <w:t>与202</w:t>
      </w:r>
      <w:r>
        <w:rPr>
          <w:rFonts w:hint="eastAsia" w:ascii="仿宋_GB2312" w:eastAsia="仿宋_GB2312"/>
          <w:color w:val="auto"/>
          <w:sz w:val="32"/>
          <w:szCs w:val="32"/>
          <w:highlight w:val="none"/>
          <w:lang w:val="en-US" w:eastAsia="zh-CN"/>
        </w:rPr>
        <w:t>4</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eastAsia="zh-CN"/>
        </w:rPr>
        <w:t>度相比减少</w:t>
      </w:r>
      <w:r>
        <w:rPr>
          <w:rFonts w:hint="eastAsia" w:ascii="仿宋_GB2312" w:eastAsia="仿宋_GB2312"/>
          <w:color w:val="auto"/>
          <w:sz w:val="32"/>
          <w:szCs w:val="32"/>
          <w:highlight w:val="none"/>
          <w:lang w:val="en-US" w:eastAsia="zh-CN"/>
        </w:rPr>
        <w:t>1.68</w:t>
      </w:r>
      <w:r>
        <w:rPr>
          <w:rFonts w:hint="eastAsia" w:ascii="仿宋_GB2312" w:eastAsia="仿宋_GB2312"/>
          <w:color w:val="auto"/>
          <w:sz w:val="32"/>
          <w:szCs w:val="32"/>
          <w:highlight w:val="none"/>
        </w:rPr>
        <w:t>万元，</w:t>
      </w:r>
      <w:r>
        <w:rPr>
          <w:rFonts w:hint="eastAsia" w:ascii="仿宋_GB2312" w:eastAsia="仿宋_GB2312"/>
          <w:color w:val="auto"/>
          <w:sz w:val="32"/>
          <w:szCs w:val="32"/>
          <w:highlight w:val="none"/>
          <w:lang w:eastAsia="zh-CN"/>
        </w:rPr>
        <w:t>下降</w:t>
      </w:r>
      <w:r>
        <w:rPr>
          <w:rFonts w:hint="eastAsia" w:ascii="仿宋_GB2312" w:eastAsia="仿宋_GB2312"/>
          <w:color w:val="auto"/>
          <w:sz w:val="32"/>
          <w:szCs w:val="32"/>
          <w:highlight w:val="none"/>
          <w:lang w:val="en-US" w:eastAsia="zh-CN"/>
        </w:rPr>
        <w:t>47.56</w:t>
      </w:r>
      <w:r>
        <w:rPr>
          <w:rFonts w:ascii="仿宋_GB2312" w:eastAsia="仿宋_GB2312"/>
          <w:color w:val="auto"/>
          <w:sz w:val="32"/>
          <w:szCs w:val="32"/>
          <w:highlight w:val="none"/>
        </w:rPr>
        <w:t>%</w:t>
      </w:r>
      <w:r>
        <w:rPr>
          <w:rFonts w:hint="eastAsia" w:ascii="仿宋_GB2312" w:eastAsia="仿宋_GB2312"/>
          <w:color w:val="auto"/>
          <w:sz w:val="32"/>
          <w:szCs w:val="32"/>
          <w:highlight w:val="none"/>
        </w:rPr>
        <w:t>。主要原因是</w:t>
      </w:r>
      <w:r>
        <w:rPr>
          <w:rFonts w:hint="eastAsia" w:ascii="仿宋_GB2312" w:eastAsia="仿宋_GB2312"/>
          <w:color w:val="auto"/>
          <w:sz w:val="32"/>
          <w:szCs w:val="32"/>
          <w:highlight w:val="none"/>
          <w:lang w:eastAsia="zh-CN"/>
        </w:rPr>
        <w:t>：公务出差减少</w:t>
      </w:r>
      <w:r>
        <w:rPr>
          <w:rFonts w:hint="eastAsia" w:ascii="仿宋_GB2312" w:eastAsia="仿宋_GB2312"/>
          <w:color w:val="auto"/>
          <w:sz w:val="32"/>
          <w:szCs w:val="32"/>
          <w:highlight w:val="none"/>
        </w:rPr>
        <w:t>。</w:t>
      </w:r>
    </w:p>
    <w:p w14:paraId="2236F7BF">
      <w:pPr>
        <w:keepNext w:val="0"/>
        <w:keepLines w:val="0"/>
        <w:pageBreakBefore w:val="0"/>
        <w:widowControl w:val="0"/>
        <w:kinsoku/>
        <w:wordWrap/>
        <w:overflowPunct/>
        <w:topLinePunct w:val="0"/>
        <w:bidi w:val="0"/>
        <w:snapToGrid/>
        <w:spacing w:line="576" w:lineRule="exact"/>
        <w:ind w:firstLine="640" w:firstLineChars="200"/>
        <w:textAlignment w:val="auto"/>
        <w:rPr>
          <w:rFonts w:ascii="仿宋_GB2312" w:eastAsia="仿宋_GB2312"/>
          <w:b/>
          <w:color w:val="auto"/>
          <w:sz w:val="32"/>
          <w:szCs w:val="32"/>
          <w:highlight w:val="none"/>
        </w:rPr>
      </w:pPr>
      <w:r>
        <w:rPr>
          <w:rFonts w:hint="eastAsia" w:ascii="仿宋_GB2312" w:eastAsia="仿宋_GB2312"/>
          <w:color w:val="auto"/>
          <w:sz w:val="32"/>
          <w:szCs w:val="32"/>
          <w:highlight w:val="none"/>
        </w:rPr>
        <w:t>截至</w:t>
      </w:r>
      <w:r>
        <w:rPr>
          <w:rFonts w:hint="eastAsia" w:ascii="仿宋_GB2312" w:eastAsia="仿宋_GB2312"/>
          <w:color w:val="auto"/>
          <w:sz w:val="32"/>
          <w:szCs w:val="32"/>
          <w:highlight w:val="none"/>
          <w:lang w:eastAsia="zh-CN"/>
        </w:rPr>
        <w:t>202</w:t>
      </w:r>
      <w:r>
        <w:rPr>
          <w:rFonts w:hint="eastAsia" w:ascii="仿宋_GB2312" w:eastAsia="仿宋_GB2312"/>
          <w:color w:val="auto"/>
          <w:sz w:val="32"/>
          <w:szCs w:val="32"/>
          <w:highlight w:val="none"/>
          <w:lang w:val="en-US" w:eastAsia="zh-CN"/>
        </w:rPr>
        <w:t>5</w:t>
      </w:r>
      <w:r>
        <w:rPr>
          <w:rFonts w:hint="eastAsia" w:ascii="仿宋_GB2312" w:eastAsia="仿宋_GB2312"/>
          <w:color w:val="auto"/>
          <w:sz w:val="32"/>
          <w:szCs w:val="32"/>
          <w:highlight w:val="none"/>
        </w:rPr>
        <w:t>年</w:t>
      </w:r>
      <w:r>
        <w:rPr>
          <w:rFonts w:ascii="仿宋_GB2312" w:eastAsia="仿宋_GB2312"/>
          <w:color w:val="auto"/>
          <w:sz w:val="32"/>
          <w:szCs w:val="32"/>
          <w:highlight w:val="none"/>
        </w:rPr>
        <w:t>12</w:t>
      </w:r>
      <w:r>
        <w:rPr>
          <w:rFonts w:hint="eastAsia" w:ascii="仿宋_GB2312" w:eastAsia="仿宋_GB2312"/>
          <w:color w:val="auto"/>
          <w:sz w:val="32"/>
          <w:szCs w:val="32"/>
          <w:highlight w:val="none"/>
        </w:rPr>
        <w:t>月</w:t>
      </w:r>
      <w:r>
        <w:rPr>
          <w:rFonts w:hint="eastAsia" w:ascii="仿宋_GB2312" w:eastAsia="仿宋_GB2312"/>
          <w:color w:val="auto"/>
          <w:sz w:val="32"/>
          <w:szCs w:val="32"/>
          <w:highlight w:val="none"/>
          <w:lang w:val="en-US" w:eastAsia="zh-CN"/>
        </w:rPr>
        <w:t>31日</w:t>
      </w:r>
      <w:r>
        <w:rPr>
          <w:rFonts w:hint="eastAsia" w:ascii="仿宋_GB2312" w:eastAsia="仿宋_GB2312"/>
          <w:color w:val="auto"/>
          <w:sz w:val="32"/>
          <w:szCs w:val="32"/>
          <w:highlight w:val="none"/>
        </w:rPr>
        <w:t>，单位共有公务用车</w:t>
      </w:r>
      <w:r>
        <w:rPr>
          <w:rFonts w:hint="eastAsia" w:ascii="仿宋_GB2312" w:eastAsia="仿宋_GB2312"/>
          <w:color w:val="auto"/>
          <w:sz w:val="32"/>
          <w:szCs w:val="32"/>
          <w:highlight w:val="none"/>
          <w:lang w:val="en-US" w:eastAsia="zh-CN"/>
        </w:rPr>
        <w:t>1</w:t>
      </w:r>
      <w:r>
        <w:rPr>
          <w:rFonts w:hint="eastAsia" w:ascii="仿宋_GB2312" w:eastAsia="仿宋_GB2312"/>
          <w:color w:val="auto"/>
          <w:sz w:val="32"/>
          <w:szCs w:val="32"/>
          <w:highlight w:val="none"/>
        </w:rPr>
        <w:t>辆，其中：越野车</w:t>
      </w:r>
      <w:r>
        <w:rPr>
          <w:rFonts w:hint="eastAsia" w:ascii="仿宋_GB2312" w:eastAsia="仿宋_GB2312"/>
          <w:color w:val="auto"/>
          <w:sz w:val="32"/>
          <w:szCs w:val="32"/>
          <w:highlight w:val="none"/>
          <w:lang w:val="en-US" w:eastAsia="zh-CN"/>
        </w:rPr>
        <w:t>1</w:t>
      </w:r>
      <w:r>
        <w:rPr>
          <w:rFonts w:hint="eastAsia" w:ascii="仿宋_GB2312" w:eastAsia="仿宋_GB2312"/>
          <w:color w:val="auto"/>
          <w:sz w:val="32"/>
          <w:szCs w:val="32"/>
          <w:highlight w:val="none"/>
        </w:rPr>
        <w:t>辆。</w:t>
      </w:r>
    </w:p>
    <w:p w14:paraId="0C95AF1B">
      <w:pPr>
        <w:keepNext w:val="0"/>
        <w:keepLines w:val="0"/>
        <w:pageBreakBefore w:val="0"/>
        <w:widowControl w:val="0"/>
        <w:kinsoku/>
        <w:wordWrap/>
        <w:overflowPunct/>
        <w:topLinePunct w:val="0"/>
        <w:bidi w:val="0"/>
        <w:snapToGrid/>
        <w:spacing w:line="576" w:lineRule="exact"/>
        <w:ind w:firstLine="643" w:firstLineChars="200"/>
        <w:textAlignment w:val="auto"/>
        <w:rPr>
          <w:rFonts w:ascii="仿宋_GB2312" w:eastAsia="仿宋_GB2312"/>
          <w:color w:val="auto"/>
          <w:sz w:val="32"/>
          <w:szCs w:val="32"/>
          <w:highlight w:val="none"/>
        </w:rPr>
      </w:pPr>
      <w:r>
        <w:rPr>
          <w:rFonts w:hint="eastAsia" w:ascii="仿宋_GB2312" w:eastAsia="仿宋_GB2312"/>
          <w:b/>
          <w:color w:val="auto"/>
          <w:sz w:val="32"/>
          <w:szCs w:val="32"/>
          <w:highlight w:val="none"/>
        </w:rPr>
        <w:t>公务用车运行维护费支出</w:t>
      </w:r>
      <w:r>
        <w:rPr>
          <w:rFonts w:hint="eastAsia" w:ascii="仿宋_GB2312" w:eastAsia="仿宋_GB2312"/>
          <w:color w:val="auto"/>
          <w:sz w:val="32"/>
          <w:szCs w:val="32"/>
          <w:highlight w:val="none"/>
          <w:lang w:val="en-US" w:eastAsia="zh-CN"/>
        </w:rPr>
        <w:t>1.85</w:t>
      </w:r>
      <w:r>
        <w:rPr>
          <w:rFonts w:hint="eastAsia" w:ascii="仿宋_GB2312" w:eastAsia="仿宋_GB2312"/>
          <w:color w:val="auto"/>
          <w:sz w:val="32"/>
          <w:szCs w:val="32"/>
          <w:highlight w:val="none"/>
        </w:rPr>
        <w:t>万元。主要用于</w:t>
      </w:r>
      <w:r>
        <w:rPr>
          <w:rFonts w:hint="eastAsia" w:ascii="仿宋_GB2312" w:hAnsi="仿宋_GB2312" w:eastAsia="仿宋_GB2312" w:cs="仿宋_GB2312"/>
          <w:color w:val="auto"/>
          <w:sz w:val="32"/>
          <w:szCs w:val="32"/>
        </w:rPr>
        <w:t>公务用车运行维护费主要用于公务用车燃油费、维修费、过路费、保险费等支出。</w:t>
      </w:r>
    </w:p>
    <w:p w14:paraId="46FB7A03">
      <w:pPr>
        <w:keepNext w:val="0"/>
        <w:keepLines w:val="0"/>
        <w:pageBreakBefore w:val="0"/>
        <w:widowControl w:val="0"/>
        <w:kinsoku/>
        <w:wordWrap/>
        <w:overflowPunct/>
        <w:topLinePunct w:val="0"/>
        <w:bidi w:val="0"/>
        <w:snapToGrid/>
        <w:spacing w:line="576" w:lineRule="exact"/>
        <w:ind w:firstLine="640"/>
        <w:textAlignment w:val="auto"/>
        <w:rPr>
          <w:rFonts w:ascii="仿宋_GB2312" w:eastAsia="仿宋_GB2312"/>
          <w:color w:val="auto"/>
          <w:sz w:val="32"/>
          <w:szCs w:val="32"/>
          <w:highlight w:val="none"/>
        </w:rPr>
      </w:pPr>
      <w:r>
        <w:rPr>
          <w:rFonts w:ascii="仿宋_GB2312" w:eastAsia="仿宋_GB2312"/>
          <w:b/>
          <w:color w:val="auto"/>
          <w:sz w:val="32"/>
          <w:szCs w:val="32"/>
          <w:highlight w:val="none"/>
        </w:rPr>
        <w:t>3.</w:t>
      </w:r>
      <w:r>
        <w:rPr>
          <w:rFonts w:hint="eastAsia" w:ascii="仿宋_GB2312" w:eastAsia="仿宋_GB2312"/>
          <w:b/>
          <w:color w:val="auto"/>
          <w:sz w:val="32"/>
          <w:szCs w:val="32"/>
          <w:highlight w:val="none"/>
        </w:rPr>
        <w:t>公务接待费支出</w:t>
      </w:r>
      <w:r>
        <w:rPr>
          <w:rFonts w:hint="eastAsia" w:ascii="仿宋_GB2312" w:eastAsia="仿宋_GB2312"/>
          <w:color w:val="auto"/>
          <w:sz w:val="32"/>
          <w:szCs w:val="32"/>
          <w:highlight w:val="none"/>
          <w:lang w:val="en-US" w:eastAsia="zh-CN"/>
        </w:rPr>
        <w:t>0.06</w:t>
      </w:r>
      <w:r>
        <w:rPr>
          <w:rFonts w:hint="eastAsia" w:ascii="仿宋_GB2312" w:eastAsia="仿宋_GB2312"/>
          <w:color w:val="auto"/>
          <w:sz w:val="32"/>
          <w:szCs w:val="32"/>
          <w:highlight w:val="none"/>
        </w:rPr>
        <w:t>万元，</w:t>
      </w:r>
      <w:r>
        <w:rPr>
          <w:rStyle w:val="27"/>
          <w:rFonts w:hint="eastAsia" w:ascii="仿宋" w:hAnsi="仿宋" w:eastAsia="仿宋"/>
          <w:b w:val="0"/>
          <w:bCs/>
          <w:color w:val="auto"/>
          <w:sz w:val="32"/>
          <w:szCs w:val="32"/>
          <w:highlight w:val="none"/>
        </w:rPr>
        <w:t>完成预算</w:t>
      </w:r>
      <w:r>
        <w:rPr>
          <w:rStyle w:val="27"/>
          <w:rFonts w:hint="eastAsia" w:ascii="仿宋" w:hAnsi="仿宋" w:eastAsia="仿宋"/>
          <w:b w:val="0"/>
          <w:bCs/>
          <w:color w:val="auto"/>
          <w:sz w:val="32"/>
          <w:szCs w:val="32"/>
          <w:highlight w:val="none"/>
          <w:lang w:val="en-US" w:eastAsia="zh-CN"/>
        </w:rPr>
        <w:t>100</w:t>
      </w:r>
      <w:r>
        <w:rPr>
          <w:rStyle w:val="27"/>
          <w:rFonts w:ascii="仿宋" w:hAnsi="仿宋" w:eastAsia="仿宋"/>
          <w:b w:val="0"/>
          <w:bCs/>
          <w:color w:val="auto"/>
          <w:sz w:val="32"/>
          <w:szCs w:val="32"/>
          <w:highlight w:val="none"/>
        </w:rPr>
        <w:t>%</w:t>
      </w:r>
      <w:r>
        <w:rPr>
          <w:rStyle w:val="27"/>
          <w:rFonts w:hint="eastAsia" w:ascii="仿宋" w:hAnsi="仿宋" w:eastAsia="仿宋"/>
          <w:b w:val="0"/>
          <w:bCs/>
          <w:color w:val="auto"/>
          <w:sz w:val="32"/>
          <w:szCs w:val="32"/>
          <w:highlight w:val="none"/>
        </w:rPr>
        <w:t>。</w:t>
      </w:r>
      <w:r>
        <w:rPr>
          <w:rFonts w:hint="eastAsia" w:ascii="仿宋_GB2312" w:eastAsia="仿宋_GB2312"/>
          <w:color w:val="auto"/>
          <w:sz w:val="32"/>
          <w:szCs w:val="32"/>
          <w:highlight w:val="none"/>
        </w:rPr>
        <w:t>公务接待费支出决算</w:t>
      </w:r>
      <w:r>
        <w:rPr>
          <w:rFonts w:hint="eastAsia" w:ascii="仿宋_GB2312" w:eastAsia="仿宋_GB2312"/>
          <w:color w:val="auto"/>
          <w:sz w:val="32"/>
          <w:szCs w:val="32"/>
          <w:highlight w:val="none"/>
          <w:lang w:eastAsia="zh-CN"/>
        </w:rPr>
        <w:t>与202</w:t>
      </w:r>
      <w:r>
        <w:rPr>
          <w:rFonts w:hint="eastAsia" w:ascii="仿宋_GB2312" w:eastAsia="仿宋_GB2312"/>
          <w:color w:val="auto"/>
          <w:sz w:val="32"/>
          <w:szCs w:val="32"/>
          <w:highlight w:val="none"/>
          <w:lang w:val="en-US" w:eastAsia="zh-CN"/>
        </w:rPr>
        <w:t>4</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eastAsia="zh-CN"/>
        </w:rPr>
        <w:t>度相比减少</w:t>
      </w:r>
      <w:r>
        <w:rPr>
          <w:rFonts w:hint="eastAsia" w:ascii="仿宋_GB2312" w:eastAsia="仿宋_GB2312"/>
          <w:color w:val="auto"/>
          <w:sz w:val="32"/>
          <w:szCs w:val="32"/>
          <w:highlight w:val="none"/>
          <w:lang w:val="en-US" w:eastAsia="zh-CN"/>
        </w:rPr>
        <w:t>0.07</w:t>
      </w:r>
      <w:r>
        <w:rPr>
          <w:rFonts w:hint="eastAsia" w:ascii="仿宋_GB2312" w:eastAsia="仿宋_GB2312"/>
          <w:color w:val="auto"/>
          <w:sz w:val="32"/>
          <w:szCs w:val="32"/>
          <w:highlight w:val="none"/>
        </w:rPr>
        <w:t>万元，</w:t>
      </w:r>
      <w:r>
        <w:rPr>
          <w:rFonts w:hint="eastAsia" w:ascii="仿宋_GB2312" w:eastAsia="仿宋_GB2312"/>
          <w:color w:val="auto"/>
          <w:sz w:val="32"/>
          <w:szCs w:val="32"/>
          <w:highlight w:val="none"/>
          <w:lang w:eastAsia="zh-CN"/>
        </w:rPr>
        <w:t>下降</w:t>
      </w:r>
      <w:r>
        <w:rPr>
          <w:rFonts w:hint="eastAsia" w:ascii="仿宋_GB2312" w:eastAsia="仿宋_GB2312"/>
          <w:color w:val="auto"/>
          <w:sz w:val="32"/>
          <w:szCs w:val="32"/>
          <w:highlight w:val="none"/>
          <w:lang w:val="en-US" w:eastAsia="zh-CN"/>
        </w:rPr>
        <w:t>56.36</w:t>
      </w:r>
      <w:r>
        <w:rPr>
          <w:rFonts w:ascii="仿宋_GB2312" w:eastAsia="仿宋_GB2312"/>
          <w:color w:val="auto"/>
          <w:sz w:val="32"/>
          <w:szCs w:val="32"/>
          <w:highlight w:val="none"/>
        </w:rPr>
        <w:t>%</w:t>
      </w:r>
      <w:r>
        <w:rPr>
          <w:rFonts w:hint="eastAsia" w:ascii="仿宋_GB2312" w:eastAsia="仿宋_GB2312"/>
          <w:color w:val="auto"/>
          <w:sz w:val="32"/>
          <w:szCs w:val="32"/>
          <w:highlight w:val="none"/>
        </w:rPr>
        <w:t>。主要原因是</w:t>
      </w:r>
      <w:r>
        <w:rPr>
          <w:rFonts w:hint="eastAsia" w:ascii="仿宋_GB2312" w:eastAsia="仿宋_GB2312"/>
          <w:color w:val="auto"/>
          <w:sz w:val="32"/>
          <w:szCs w:val="32"/>
          <w:highlight w:val="none"/>
          <w:lang w:eastAsia="zh-CN"/>
        </w:rPr>
        <w:t>：</w:t>
      </w:r>
      <w:r>
        <w:rPr>
          <w:rFonts w:hint="eastAsia" w:ascii="仿宋_GB2312" w:hAnsi="仿宋_GB2312" w:eastAsia="仿宋_GB2312" w:cs="仿宋_GB2312"/>
          <w:sz w:val="32"/>
          <w:szCs w:val="32"/>
        </w:rPr>
        <w:t>接受相关部门检查指导工作发生的接待支出</w:t>
      </w:r>
      <w:r>
        <w:rPr>
          <w:rFonts w:hint="eastAsia" w:ascii="仿宋_GB2312" w:hAnsi="仿宋_GB2312" w:eastAsia="仿宋_GB2312" w:cs="仿宋_GB2312"/>
          <w:sz w:val="32"/>
          <w:szCs w:val="32"/>
          <w:lang w:eastAsia="zh-CN"/>
        </w:rPr>
        <w:t>减少</w:t>
      </w:r>
      <w:r>
        <w:rPr>
          <w:rFonts w:hint="eastAsia" w:ascii="仿宋_GB2312" w:eastAsia="仿宋_GB2312"/>
          <w:color w:val="auto"/>
          <w:sz w:val="32"/>
          <w:szCs w:val="32"/>
          <w:highlight w:val="none"/>
        </w:rPr>
        <w:t>。其中：</w:t>
      </w:r>
    </w:p>
    <w:p w14:paraId="533E412E">
      <w:pPr>
        <w:keepNext w:val="0"/>
        <w:keepLines w:val="0"/>
        <w:pageBreakBefore w:val="0"/>
        <w:widowControl w:val="0"/>
        <w:kinsoku/>
        <w:wordWrap/>
        <w:overflowPunct/>
        <w:topLinePunct w:val="0"/>
        <w:bidi w:val="0"/>
        <w:snapToGrid/>
        <w:spacing w:line="576" w:lineRule="exact"/>
        <w:ind w:firstLine="640"/>
        <w:textAlignment w:val="auto"/>
        <w:rPr>
          <w:rFonts w:ascii="仿宋_GB2312" w:eastAsia="仿宋_GB2312"/>
          <w:color w:val="auto"/>
          <w:sz w:val="32"/>
          <w:szCs w:val="32"/>
          <w:highlight w:val="none"/>
        </w:rPr>
      </w:pPr>
      <w:r>
        <w:rPr>
          <w:rFonts w:hint="eastAsia" w:ascii="仿宋" w:hAnsi="仿宋" w:eastAsia="仿宋"/>
          <w:b/>
          <w:color w:val="auto"/>
          <w:sz w:val="32"/>
          <w:szCs w:val="32"/>
          <w:highlight w:val="none"/>
        </w:rPr>
        <w:t>国内公务接待支出</w:t>
      </w:r>
      <w:r>
        <w:rPr>
          <w:rFonts w:hint="eastAsia" w:ascii="仿宋" w:hAnsi="仿宋" w:eastAsia="仿宋"/>
          <w:color w:val="auto"/>
          <w:sz w:val="32"/>
          <w:szCs w:val="32"/>
          <w:highlight w:val="none"/>
          <w:lang w:val="en-US" w:eastAsia="zh-CN"/>
        </w:rPr>
        <w:t>0.06</w:t>
      </w:r>
      <w:r>
        <w:rPr>
          <w:rFonts w:hint="eastAsia" w:ascii="仿宋_GB2312" w:eastAsia="仿宋_GB2312"/>
          <w:color w:val="auto"/>
          <w:sz w:val="32"/>
          <w:szCs w:val="32"/>
          <w:highlight w:val="none"/>
        </w:rPr>
        <w:t>万元。国内公务接待</w:t>
      </w:r>
      <w:r>
        <w:rPr>
          <w:rFonts w:hint="eastAsia" w:ascii="仿宋_GB2312" w:eastAsia="仿宋_GB2312"/>
          <w:color w:val="auto"/>
          <w:sz w:val="32"/>
          <w:szCs w:val="32"/>
          <w:highlight w:val="none"/>
          <w:lang w:val="en-US" w:eastAsia="zh-CN"/>
        </w:rPr>
        <w:t>1</w:t>
      </w:r>
      <w:r>
        <w:rPr>
          <w:rFonts w:hint="eastAsia" w:ascii="仿宋_GB2312" w:eastAsia="仿宋_GB2312"/>
          <w:color w:val="auto"/>
          <w:sz w:val="32"/>
          <w:szCs w:val="32"/>
          <w:highlight w:val="none"/>
        </w:rPr>
        <w:t>批次，</w:t>
      </w:r>
      <w:r>
        <w:rPr>
          <w:rFonts w:hint="eastAsia" w:ascii="仿宋_GB2312" w:eastAsia="仿宋_GB2312"/>
          <w:color w:val="auto"/>
          <w:sz w:val="32"/>
          <w:szCs w:val="32"/>
          <w:highlight w:val="none"/>
          <w:lang w:val="en-US" w:eastAsia="zh-CN"/>
        </w:rPr>
        <w:t>4</w:t>
      </w:r>
      <w:r>
        <w:rPr>
          <w:rFonts w:hint="eastAsia" w:ascii="仿宋_GB2312" w:eastAsia="仿宋_GB2312"/>
          <w:color w:val="auto"/>
          <w:sz w:val="32"/>
          <w:szCs w:val="32"/>
          <w:highlight w:val="none"/>
        </w:rPr>
        <w:t>人次（不包括陪同人员），共计支出</w:t>
      </w:r>
      <w:r>
        <w:rPr>
          <w:rFonts w:hint="eastAsia" w:ascii="仿宋_GB2312" w:eastAsia="仿宋_GB2312"/>
          <w:color w:val="auto"/>
          <w:sz w:val="32"/>
          <w:szCs w:val="32"/>
          <w:highlight w:val="none"/>
          <w:lang w:val="en-US" w:eastAsia="zh-CN"/>
        </w:rPr>
        <w:t>0.06</w:t>
      </w:r>
      <w:r>
        <w:rPr>
          <w:rFonts w:hint="eastAsia" w:ascii="仿宋_GB2312" w:eastAsia="仿宋_GB2312"/>
          <w:color w:val="auto"/>
          <w:sz w:val="32"/>
          <w:szCs w:val="32"/>
          <w:highlight w:val="none"/>
        </w:rPr>
        <w:t>万元。</w:t>
      </w:r>
    </w:p>
    <w:p w14:paraId="06BCB2A0">
      <w:pPr>
        <w:keepNext w:val="0"/>
        <w:keepLines w:val="0"/>
        <w:pageBreakBefore w:val="0"/>
        <w:widowControl w:val="0"/>
        <w:kinsoku/>
        <w:wordWrap/>
        <w:overflowPunct/>
        <w:topLinePunct w:val="0"/>
        <w:bidi w:val="0"/>
        <w:snapToGrid/>
        <w:spacing w:line="576" w:lineRule="exact"/>
        <w:ind w:firstLine="643" w:firstLineChars="200"/>
        <w:textAlignment w:val="auto"/>
        <w:rPr>
          <w:rFonts w:ascii="仿宋_GB2312" w:eastAsia="仿宋_GB2312"/>
          <w:color w:val="auto"/>
          <w:sz w:val="32"/>
          <w:szCs w:val="32"/>
          <w:highlight w:val="none"/>
        </w:rPr>
      </w:pPr>
      <w:r>
        <w:rPr>
          <w:rFonts w:hint="eastAsia" w:ascii="仿宋" w:hAnsi="仿宋" w:eastAsia="仿宋"/>
          <w:b/>
          <w:color w:val="auto"/>
          <w:sz w:val="32"/>
          <w:szCs w:val="32"/>
          <w:highlight w:val="none"/>
        </w:rPr>
        <w:t>外事接待支出</w:t>
      </w:r>
      <w:r>
        <w:rPr>
          <w:rFonts w:hint="eastAsia" w:ascii="仿宋" w:hAnsi="仿宋" w:eastAsia="仿宋"/>
          <w:color w:val="auto"/>
          <w:sz w:val="32"/>
          <w:szCs w:val="32"/>
          <w:highlight w:val="none"/>
          <w:lang w:val="en-US" w:eastAsia="zh-CN"/>
        </w:rPr>
        <w:t>0</w:t>
      </w:r>
      <w:r>
        <w:rPr>
          <w:rFonts w:hint="eastAsia" w:ascii="仿宋_GB2312" w:eastAsia="仿宋_GB2312"/>
          <w:color w:val="auto"/>
          <w:sz w:val="32"/>
          <w:szCs w:val="32"/>
          <w:highlight w:val="none"/>
        </w:rPr>
        <w:t>万元</w:t>
      </w:r>
      <w:r>
        <w:rPr>
          <w:rFonts w:hint="eastAsia" w:ascii="仿宋_GB2312" w:eastAsia="仿宋_GB2312"/>
          <w:color w:val="auto"/>
          <w:sz w:val="32"/>
          <w:szCs w:val="32"/>
          <w:highlight w:val="none"/>
          <w:lang w:eastAsia="zh-CN"/>
        </w:rPr>
        <w:t>。</w:t>
      </w:r>
    </w:p>
    <w:p w14:paraId="0FEB01E2">
      <w:pPr>
        <w:keepNext w:val="0"/>
        <w:keepLines w:val="0"/>
        <w:pageBreakBefore w:val="0"/>
        <w:widowControl w:val="0"/>
        <w:kinsoku/>
        <w:wordWrap/>
        <w:overflowPunct/>
        <w:topLinePunct w:val="0"/>
        <w:bidi w:val="0"/>
        <w:snapToGrid/>
        <w:spacing w:line="576" w:lineRule="exact"/>
        <w:ind w:firstLine="640" w:firstLineChars="200"/>
        <w:textAlignment w:val="auto"/>
        <w:rPr>
          <w:rFonts w:ascii="黑体" w:eastAsia="黑体"/>
          <w:sz w:val="32"/>
          <w:szCs w:val="32"/>
        </w:rPr>
      </w:pPr>
      <w:r>
        <w:rPr>
          <w:rFonts w:hint="eastAsia" w:ascii="黑体" w:eastAsia="黑体"/>
          <w:sz w:val="32"/>
          <w:szCs w:val="32"/>
        </w:rPr>
        <w:t>八、政府性基金预算支出决算情况说明</w:t>
      </w:r>
    </w:p>
    <w:p w14:paraId="4D656B55">
      <w:pPr>
        <w:keepNext w:val="0"/>
        <w:keepLines w:val="0"/>
        <w:pageBreakBefore w:val="0"/>
        <w:widowControl w:val="0"/>
        <w:kinsoku/>
        <w:wordWrap/>
        <w:overflowPunct/>
        <w:topLinePunct w:val="0"/>
        <w:bidi w:val="0"/>
        <w:snapToGrid/>
        <w:spacing w:line="576" w:lineRule="exact"/>
        <w:ind w:firstLine="640" w:firstLineChars="200"/>
        <w:textAlignment w:val="auto"/>
        <w:rPr>
          <w:rFonts w:ascii="仿宋_GB2312" w:eastAsia="仿宋_GB2312"/>
          <w:sz w:val="32"/>
          <w:szCs w:val="32"/>
        </w:rPr>
      </w:pPr>
      <w:r>
        <w:rPr>
          <w:rFonts w:hint="eastAsia" w:ascii="仿宋_GB2312" w:eastAsia="仿宋_GB2312"/>
          <w:sz w:val="32"/>
          <w:szCs w:val="32"/>
          <w:lang w:eastAsia="zh-CN"/>
        </w:rPr>
        <w:t>县委</w:t>
      </w:r>
      <w:r>
        <w:rPr>
          <w:rFonts w:hint="eastAsia" w:ascii="仿宋_GB2312" w:eastAsia="仿宋_GB2312"/>
          <w:sz w:val="32"/>
          <w:szCs w:val="32"/>
        </w:rPr>
        <w:t>编办202</w:t>
      </w:r>
      <w:r>
        <w:rPr>
          <w:rFonts w:hint="eastAsia" w:ascii="仿宋_GB2312" w:eastAsia="仿宋_GB2312"/>
          <w:sz w:val="32"/>
          <w:szCs w:val="32"/>
          <w:lang w:val="en-US" w:eastAsia="zh-CN"/>
        </w:rPr>
        <w:t>5</w:t>
      </w:r>
      <w:r>
        <w:rPr>
          <w:rFonts w:hint="eastAsia" w:ascii="仿宋_GB2312" w:eastAsia="仿宋_GB2312"/>
          <w:sz w:val="32"/>
          <w:szCs w:val="32"/>
        </w:rPr>
        <w:t>年无政府性基金预算拨款支出。</w:t>
      </w:r>
    </w:p>
    <w:p w14:paraId="6F29674E">
      <w:pPr>
        <w:keepNext w:val="0"/>
        <w:keepLines w:val="0"/>
        <w:pageBreakBefore w:val="0"/>
        <w:widowControl w:val="0"/>
        <w:kinsoku/>
        <w:wordWrap/>
        <w:overflowPunct/>
        <w:topLinePunct w:val="0"/>
        <w:bidi w:val="0"/>
        <w:snapToGrid/>
        <w:spacing w:line="576" w:lineRule="exact"/>
        <w:ind w:firstLine="640" w:firstLineChars="200"/>
        <w:textAlignment w:val="auto"/>
        <w:rPr>
          <w:rStyle w:val="42"/>
          <w:rFonts w:ascii="黑体" w:hAnsi="黑体" w:eastAsia="黑体"/>
          <w:b w:val="0"/>
        </w:rPr>
      </w:pPr>
      <w:bookmarkStart w:id="31" w:name="_Toc15396611"/>
      <w:bookmarkStart w:id="32" w:name="_Toc15377219"/>
      <w:r>
        <w:rPr>
          <w:rStyle w:val="42"/>
          <w:rFonts w:hint="eastAsia" w:ascii="黑体" w:hAnsi="黑体" w:eastAsia="黑体"/>
          <w:b w:val="0"/>
        </w:rPr>
        <w:t>九、国有资本经营预算支出决算情况说明</w:t>
      </w:r>
      <w:bookmarkEnd w:id="31"/>
      <w:bookmarkEnd w:id="32"/>
    </w:p>
    <w:p w14:paraId="291F212A">
      <w:pPr>
        <w:keepNext w:val="0"/>
        <w:keepLines w:val="0"/>
        <w:pageBreakBefore w:val="0"/>
        <w:widowControl w:val="0"/>
        <w:kinsoku/>
        <w:wordWrap/>
        <w:overflowPunct/>
        <w:topLinePunct w:val="0"/>
        <w:bidi w:val="0"/>
        <w:snapToGrid/>
        <w:spacing w:line="576" w:lineRule="exact"/>
        <w:ind w:firstLine="640" w:firstLineChars="200"/>
        <w:textAlignment w:val="auto"/>
        <w:rPr>
          <w:rFonts w:ascii="仿宋_GB2312" w:eastAsia="仿宋_GB2312"/>
          <w:sz w:val="32"/>
          <w:szCs w:val="32"/>
        </w:rPr>
      </w:pPr>
      <w:r>
        <w:rPr>
          <w:rFonts w:hint="eastAsia" w:ascii="仿宋_GB2312" w:eastAsia="仿宋_GB2312"/>
          <w:sz w:val="32"/>
          <w:szCs w:val="32"/>
          <w:lang w:eastAsia="zh-CN"/>
        </w:rPr>
        <w:t>县委</w:t>
      </w:r>
      <w:r>
        <w:rPr>
          <w:rFonts w:hint="eastAsia" w:ascii="仿宋_GB2312" w:eastAsia="仿宋_GB2312"/>
          <w:sz w:val="32"/>
          <w:szCs w:val="32"/>
        </w:rPr>
        <w:t>编办</w:t>
      </w:r>
      <w:r>
        <w:rPr>
          <w:rFonts w:ascii="仿宋_GB2312" w:eastAsia="仿宋_GB2312"/>
          <w:sz w:val="32"/>
          <w:szCs w:val="32"/>
        </w:rPr>
        <w:t>20</w:t>
      </w:r>
      <w:r>
        <w:rPr>
          <w:rFonts w:hint="eastAsia" w:ascii="仿宋_GB2312" w:eastAsia="仿宋_GB2312"/>
          <w:sz w:val="32"/>
          <w:szCs w:val="32"/>
        </w:rPr>
        <w:t>2</w:t>
      </w:r>
      <w:r>
        <w:rPr>
          <w:rFonts w:hint="eastAsia" w:ascii="仿宋_GB2312" w:eastAsia="仿宋_GB2312"/>
          <w:sz w:val="32"/>
          <w:szCs w:val="32"/>
          <w:lang w:val="en-US" w:eastAsia="zh-CN"/>
        </w:rPr>
        <w:t>5</w:t>
      </w:r>
      <w:r>
        <w:rPr>
          <w:rFonts w:hint="eastAsia" w:ascii="仿宋_GB2312" w:eastAsia="仿宋_GB2312"/>
          <w:sz w:val="32"/>
          <w:szCs w:val="32"/>
        </w:rPr>
        <w:t>年无国有资本经营预算拨款支出。</w:t>
      </w:r>
    </w:p>
    <w:p w14:paraId="0BCF8BF0">
      <w:pPr>
        <w:keepNext w:val="0"/>
        <w:keepLines w:val="0"/>
        <w:pageBreakBefore w:val="0"/>
        <w:widowControl w:val="0"/>
        <w:kinsoku/>
        <w:wordWrap/>
        <w:overflowPunct/>
        <w:topLinePunct w:val="0"/>
        <w:bidi w:val="0"/>
        <w:snapToGrid/>
        <w:spacing w:line="576" w:lineRule="exact"/>
        <w:ind w:firstLine="640" w:firstLineChars="200"/>
        <w:textAlignment w:val="auto"/>
        <w:rPr>
          <w:rStyle w:val="42"/>
          <w:rFonts w:ascii="黑体" w:hAnsi="黑体" w:eastAsia="黑体"/>
        </w:rPr>
      </w:pPr>
      <w:r>
        <w:rPr>
          <w:rFonts w:hint="eastAsia" w:ascii="黑体" w:hAnsi="黑体" w:eastAsia="黑体"/>
          <w:sz w:val="32"/>
          <w:szCs w:val="32"/>
        </w:rPr>
        <w:t>十</w:t>
      </w:r>
      <w:r>
        <w:rPr>
          <w:rStyle w:val="42"/>
          <w:rFonts w:hint="eastAsia" w:ascii="黑体" w:hAnsi="黑体" w:eastAsia="黑体"/>
        </w:rPr>
        <w:t>、</w:t>
      </w:r>
      <w:r>
        <w:rPr>
          <w:rStyle w:val="42"/>
          <w:rFonts w:hint="eastAsia" w:ascii="黑体" w:hAnsi="黑体" w:eastAsia="黑体"/>
          <w:b w:val="0"/>
        </w:rPr>
        <w:t>其他重要事项的情况说明</w:t>
      </w:r>
    </w:p>
    <w:p w14:paraId="1D0A1BB4">
      <w:pPr>
        <w:keepNext w:val="0"/>
        <w:keepLines w:val="0"/>
        <w:pageBreakBefore w:val="0"/>
        <w:widowControl w:val="0"/>
        <w:kinsoku/>
        <w:wordWrap/>
        <w:overflowPunct/>
        <w:topLinePunct w:val="0"/>
        <w:bidi w:val="0"/>
        <w:snapToGrid/>
        <w:spacing w:line="576" w:lineRule="exact"/>
        <w:ind w:firstLine="643" w:firstLineChars="200"/>
        <w:textAlignment w:val="auto"/>
        <w:outlineLvl w:val="1"/>
        <w:rPr>
          <w:rStyle w:val="42"/>
          <w:rFonts w:ascii="楷体" w:hAnsi="楷体" w:eastAsia="楷体" w:cs="楷体"/>
        </w:rPr>
      </w:pPr>
      <w:bookmarkStart w:id="33" w:name="_Toc15377222"/>
      <w:r>
        <w:rPr>
          <w:rStyle w:val="42"/>
          <w:rFonts w:hint="eastAsia" w:ascii="楷体" w:hAnsi="楷体" w:eastAsia="楷体" w:cs="楷体"/>
        </w:rPr>
        <w:t>（一）机关运行经费支出情况</w:t>
      </w:r>
      <w:bookmarkEnd w:id="33"/>
    </w:p>
    <w:p w14:paraId="3DEBC4C4">
      <w:pPr>
        <w:keepNext w:val="0"/>
        <w:keepLines w:val="0"/>
        <w:pageBreakBefore w:val="0"/>
        <w:widowControl w:val="0"/>
        <w:kinsoku/>
        <w:wordWrap/>
        <w:overflowPunct/>
        <w:topLinePunct w:val="0"/>
        <w:bidi w:val="0"/>
        <w:snapToGrid/>
        <w:spacing w:line="576" w:lineRule="exact"/>
        <w:ind w:firstLine="640" w:firstLineChars="200"/>
        <w:textAlignment w:val="auto"/>
        <w:outlineLvl w:val="1"/>
        <w:rPr>
          <w:rFonts w:hint="eastAsia" w:ascii="仿宋_GB2312" w:eastAsia="仿宋_GB2312"/>
          <w:sz w:val="32"/>
          <w:szCs w:val="32"/>
        </w:rPr>
      </w:pPr>
      <w:r>
        <w:rPr>
          <w:rFonts w:ascii="仿宋_GB2312" w:eastAsia="仿宋_GB2312"/>
          <w:sz w:val="32"/>
          <w:szCs w:val="32"/>
        </w:rPr>
        <w:t>20</w:t>
      </w:r>
      <w:r>
        <w:rPr>
          <w:rFonts w:hint="eastAsia" w:ascii="仿宋_GB2312" w:eastAsia="仿宋_GB2312"/>
          <w:sz w:val="32"/>
          <w:szCs w:val="32"/>
        </w:rPr>
        <w:t>2</w:t>
      </w:r>
      <w:r>
        <w:rPr>
          <w:rFonts w:hint="eastAsia" w:ascii="仿宋_GB2312" w:eastAsia="仿宋_GB2312"/>
          <w:sz w:val="32"/>
          <w:szCs w:val="32"/>
          <w:lang w:val="en-US" w:eastAsia="zh-CN"/>
        </w:rPr>
        <w:t>5</w:t>
      </w:r>
      <w:r>
        <w:rPr>
          <w:rFonts w:hint="eastAsia" w:ascii="仿宋_GB2312" w:eastAsia="仿宋_GB2312"/>
          <w:sz w:val="32"/>
          <w:szCs w:val="32"/>
        </w:rPr>
        <w:t>年，</w:t>
      </w:r>
      <w:r>
        <w:rPr>
          <w:rFonts w:hint="eastAsia" w:ascii="仿宋_GB2312" w:eastAsia="仿宋_GB2312"/>
          <w:sz w:val="32"/>
          <w:szCs w:val="32"/>
          <w:lang w:eastAsia="zh-CN"/>
        </w:rPr>
        <w:t>县委</w:t>
      </w:r>
      <w:r>
        <w:rPr>
          <w:rFonts w:hint="eastAsia" w:ascii="仿宋_GB2312" w:eastAsia="仿宋_GB2312"/>
          <w:sz w:val="32"/>
          <w:szCs w:val="32"/>
        </w:rPr>
        <w:t>编办机关运行经费支出</w:t>
      </w:r>
      <w:r>
        <w:rPr>
          <w:rFonts w:hint="eastAsia" w:ascii="仿宋_GB2312" w:eastAsia="仿宋_GB2312"/>
          <w:sz w:val="32"/>
          <w:szCs w:val="32"/>
          <w:lang w:val="en-US" w:eastAsia="zh-CN"/>
        </w:rPr>
        <w:t>6.11</w:t>
      </w:r>
      <w:r>
        <w:rPr>
          <w:rFonts w:hint="eastAsia" w:ascii="仿宋_GB2312" w:eastAsia="仿宋_GB2312"/>
          <w:sz w:val="32"/>
          <w:szCs w:val="32"/>
        </w:rPr>
        <w:t>万元，</w:t>
      </w:r>
      <w:r>
        <w:rPr>
          <w:rFonts w:hint="eastAsia" w:ascii="仿宋_GB2312" w:eastAsia="仿宋_GB2312"/>
          <w:sz w:val="32"/>
          <w:szCs w:val="32"/>
          <w:lang w:eastAsia="zh-CN"/>
        </w:rPr>
        <w:t>与</w:t>
      </w:r>
      <w:r>
        <w:rPr>
          <w:rFonts w:ascii="仿宋_GB2312" w:eastAsia="仿宋_GB2312"/>
          <w:sz w:val="32"/>
          <w:szCs w:val="32"/>
        </w:rPr>
        <w:t>20</w:t>
      </w:r>
      <w:r>
        <w:rPr>
          <w:rFonts w:hint="eastAsia" w:ascii="仿宋_GB2312" w:eastAsia="仿宋_GB2312"/>
          <w:sz w:val="32"/>
          <w:szCs w:val="32"/>
        </w:rPr>
        <w:t>2</w:t>
      </w:r>
      <w:r>
        <w:rPr>
          <w:rFonts w:hint="eastAsia" w:ascii="仿宋_GB2312" w:eastAsia="仿宋_GB2312"/>
          <w:sz w:val="32"/>
          <w:szCs w:val="32"/>
          <w:lang w:val="en-US" w:eastAsia="zh-CN"/>
        </w:rPr>
        <w:t>4</w:t>
      </w:r>
      <w:r>
        <w:rPr>
          <w:rFonts w:hint="eastAsia" w:ascii="仿宋_GB2312" w:eastAsia="仿宋_GB2312"/>
          <w:sz w:val="32"/>
          <w:szCs w:val="32"/>
        </w:rPr>
        <w:t>年</w:t>
      </w:r>
      <w:r>
        <w:rPr>
          <w:rFonts w:hint="eastAsia" w:ascii="仿宋_GB2312" w:eastAsia="仿宋_GB2312"/>
          <w:sz w:val="32"/>
          <w:szCs w:val="32"/>
          <w:lang w:eastAsia="zh-CN"/>
        </w:rPr>
        <w:t>相比减少</w:t>
      </w:r>
      <w:r>
        <w:rPr>
          <w:rFonts w:hint="eastAsia" w:ascii="仿宋_GB2312" w:eastAsia="仿宋_GB2312"/>
          <w:sz w:val="32"/>
          <w:szCs w:val="32"/>
          <w:lang w:val="en-US" w:eastAsia="zh-CN"/>
        </w:rPr>
        <w:t>0.27</w:t>
      </w:r>
      <w:r>
        <w:rPr>
          <w:rFonts w:hint="eastAsia" w:ascii="仿宋_GB2312" w:eastAsia="仿宋_GB2312"/>
          <w:sz w:val="32"/>
          <w:szCs w:val="32"/>
        </w:rPr>
        <w:t>万元</w:t>
      </w:r>
      <w:r>
        <w:rPr>
          <w:rFonts w:hint="eastAsia" w:ascii="仿宋_GB2312" w:eastAsia="仿宋_GB2312"/>
          <w:sz w:val="32"/>
          <w:szCs w:val="32"/>
          <w:lang w:eastAsia="zh-CN"/>
        </w:rPr>
        <w:t>，下降</w:t>
      </w:r>
      <w:r>
        <w:rPr>
          <w:rFonts w:hint="eastAsia" w:ascii="仿宋_GB2312" w:eastAsia="仿宋_GB2312"/>
          <w:sz w:val="32"/>
          <w:szCs w:val="32"/>
          <w:lang w:val="en-US" w:eastAsia="zh-CN"/>
        </w:rPr>
        <w:t>4.21</w:t>
      </w:r>
      <w:r>
        <w:rPr>
          <w:rFonts w:ascii="仿宋_GB2312" w:eastAsia="仿宋_GB2312"/>
          <w:sz w:val="32"/>
          <w:szCs w:val="32"/>
        </w:rPr>
        <w:t>%</w:t>
      </w:r>
      <w:r>
        <w:rPr>
          <w:rFonts w:hint="eastAsia" w:ascii="仿宋_GB2312" w:eastAsia="仿宋_GB2312"/>
          <w:sz w:val="32"/>
          <w:szCs w:val="32"/>
        </w:rPr>
        <w:t>。主要原因是</w:t>
      </w:r>
      <w:r>
        <w:rPr>
          <w:rFonts w:hint="eastAsia" w:ascii="仿宋_GB2312" w:eastAsia="仿宋_GB2312"/>
          <w:sz w:val="32"/>
          <w:szCs w:val="32"/>
          <w:lang w:eastAsia="zh-CN"/>
        </w:rPr>
        <w:t>：</w:t>
      </w:r>
      <w:r>
        <w:rPr>
          <w:rFonts w:hint="eastAsia" w:ascii="仿宋_GB2312" w:eastAsia="仿宋_GB2312"/>
          <w:sz w:val="32"/>
          <w:szCs w:val="32"/>
        </w:rPr>
        <w:t>继续积极贯彻落实中央八项规定及省委省政府十项规定要求，加强行政事业单位日常经费管理。</w:t>
      </w:r>
    </w:p>
    <w:p w14:paraId="24DA177B">
      <w:pPr>
        <w:keepNext w:val="0"/>
        <w:keepLines w:val="0"/>
        <w:pageBreakBefore w:val="0"/>
        <w:widowControl w:val="0"/>
        <w:kinsoku/>
        <w:wordWrap/>
        <w:overflowPunct/>
        <w:topLinePunct w:val="0"/>
        <w:bidi w:val="0"/>
        <w:snapToGrid/>
        <w:spacing w:line="576" w:lineRule="exact"/>
        <w:ind w:firstLine="643" w:firstLineChars="200"/>
        <w:textAlignment w:val="auto"/>
        <w:outlineLvl w:val="1"/>
        <w:rPr>
          <w:rFonts w:ascii="仿宋" w:hAnsi="仿宋" w:eastAsia="仿宋"/>
          <w:b/>
          <w:sz w:val="32"/>
          <w:szCs w:val="32"/>
        </w:rPr>
      </w:pPr>
      <w:r>
        <w:rPr>
          <w:rStyle w:val="42"/>
          <w:rFonts w:hint="eastAsia" w:ascii="楷体" w:hAnsi="楷体" w:eastAsia="楷体" w:cs="楷体"/>
        </w:rPr>
        <w:t>（二）政府采购支出情况</w:t>
      </w:r>
    </w:p>
    <w:p w14:paraId="39DC1244">
      <w:pPr>
        <w:keepNext w:val="0"/>
        <w:keepLines w:val="0"/>
        <w:pageBreakBefore w:val="0"/>
        <w:widowControl w:val="0"/>
        <w:kinsoku/>
        <w:wordWrap/>
        <w:overflowPunct/>
        <w:topLinePunct w:val="0"/>
        <w:bidi w:val="0"/>
        <w:snapToGrid/>
        <w:spacing w:line="576" w:lineRule="exact"/>
        <w:ind w:firstLine="640" w:firstLineChars="200"/>
        <w:textAlignment w:val="auto"/>
        <w:rPr>
          <w:rFonts w:ascii="仿宋_GB2312" w:eastAsia="仿宋_GB2312"/>
          <w:sz w:val="32"/>
          <w:szCs w:val="32"/>
        </w:rPr>
      </w:pPr>
      <w:r>
        <w:rPr>
          <w:rFonts w:ascii="仿宋_GB2312" w:eastAsia="仿宋_GB2312"/>
          <w:sz w:val="32"/>
          <w:szCs w:val="32"/>
        </w:rPr>
        <w:t>20</w:t>
      </w:r>
      <w:r>
        <w:rPr>
          <w:rFonts w:hint="eastAsia" w:ascii="仿宋_GB2312" w:eastAsia="仿宋_GB2312"/>
          <w:sz w:val="32"/>
          <w:szCs w:val="32"/>
        </w:rPr>
        <w:t>2</w:t>
      </w:r>
      <w:r>
        <w:rPr>
          <w:rFonts w:hint="eastAsia" w:ascii="仿宋_GB2312" w:eastAsia="仿宋_GB2312"/>
          <w:sz w:val="32"/>
          <w:szCs w:val="32"/>
          <w:lang w:val="en-US" w:eastAsia="zh-CN"/>
        </w:rPr>
        <w:t>5</w:t>
      </w:r>
      <w:r>
        <w:rPr>
          <w:rFonts w:hint="eastAsia" w:ascii="仿宋_GB2312" w:eastAsia="仿宋_GB2312"/>
          <w:sz w:val="32"/>
          <w:szCs w:val="32"/>
        </w:rPr>
        <w:t>年，</w:t>
      </w:r>
      <w:r>
        <w:rPr>
          <w:rFonts w:hint="eastAsia" w:ascii="仿宋_GB2312" w:eastAsia="仿宋_GB2312"/>
          <w:sz w:val="32"/>
          <w:szCs w:val="32"/>
          <w:lang w:eastAsia="zh-CN"/>
        </w:rPr>
        <w:t>县委</w:t>
      </w:r>
      <w:r>
        <w:rPr>
          <w:rFonts w:hint="eastAsia" w:ascii="仿宋_GB2312" w:eastAsia="仿宋_GB2312"/>
          <w:sz w:val="32"/>
          <w:szCs w:val="32"/>
        </w:rPr>
        <w:t>编办无政府采购支出。</w:t>
      </w:r>
    </w:p>
    <w:p w14:paraId="05F05103">
      <w:pPr>
        <w:keepNext w:val="0"/>
        <w:keepLines w:val="0"/>
        <w:pageBreakBefore w:val="0"/>
        <w:widowControl w:val="0"/>
        <w:kinsoku/>
        <w:wordWrap/>
        <w:overflowPunct/>
        <w:topLinePunct w:val="0"/>
        <w:bidi w:val="0"/>
        <w:snapToGrid/>
        <w:spacing w:line="576" w:lineRule="exact"/>
        <w:ind w:firstLine="643" w:firstLineChars="200"/>
        <w:textAlignment w:val="auto"/>
        <w:outlineLvl w:val="1"/>
        <w:rPr>
          <w:rStyle w:val="42"/>
          <w:rFonts w:ascii="楷体" w:hAnsi="楷体" w:eastAsia="楷体" w:cs="楷体"/>
        </w:rPr>
      </w:pPr>
      <w:r>
        <w:rPr>
          <w:rStyle w:val="42"/>
          <w:rFonts w:hint="eastAsia" w:ascii="楷体" w:hAnsi="楷体" w:eastAsia="楷体" w:cs="楷体"/>
        </w:rPr>
        <w:t>（三）国有资产占有使用情况</w:t>
      </w:r>
    </w:p>
    <w:p w14:paraId="3BFA20A2">
      <w:pPr>
        <w:keepNext w:val="0"/>
        <w:keepLines w:val="0"/>
        <w:pageBreakBefore w:val="0"/>
        <w:widowControl w:val="0"/>
        <w:kinsoku/>
        <w:wordWrap/>
        <w:overflowPunct/>
        <w:topLinePunct w:val="0"/>
        <w:autoSpaceDE w:val="0"/>
        <w:autoSpaceDN w:val="0"/>
        <w:bidi w:val="0"/>
        <w:adjustRightInd w:val="0"/>
        <w:snapToGrid/>
        <w:spacing w:line="576" w:lineRule="exact"/>
        <w:ind w:firstLine="640" w:firstLineChars="200"/>
        <w:textAlignment w:val="auto"/>
        <w:rPr>
          <w:rFonts w:ascii="仿宋_GB2312" w:eastAsia="仿宋_GB2312"/>
          <w:sz w:val="32"/>
          <w:szCs w:val="32"/>
        </w:rPr>
      </w:pPr>
      <w:r>
        <w:rPr>
          <w:rFonts w:hint="eastAsia" w:ascii="仿宋_GB2312" w:eastAsia="仿宋_GB2312"/>
          <w:sz w:val="32"/>
          <w:szCs w:val="32"/>
        </w:rPr>
        <w:t>截至</w:t>
      </w:r>
      <w:r>
        <w:rPr>
          <w:rFonts w:ascii="仿宋_GB2312" w:eastAsia="仿宋_GB2312"/>
          <w:sz w:val="32"/>
          <w:szCs w:val="32"/>
        </w:rPr>
        <w:t>20</w:t>
      </w:r>
      <w:r>
        <w:rPr>
          <w:rFonts w:hint="eastAsia" w:ascii="仿宋_GB2312" w:eastAsia="仿宋_GB2312"/>
          <w:sz w:val="32"/>
          <w:szCs w:val="32"/>
        </w:rPr>
        <w:t>2</w:t>
      </w:r>
      <w:r>
        <w:rPr>
          <w:rFonts w:hint="eastAsia" w:ascii="仿宋_GB2312" w:eastAsia="仿宋_GB2312"/>
          <w:sz w:val="32"/>
          <w:szCs w:val="32"/>
          <w:lang w:val="en-US" w:eastAsia="zh-CN"/>
        </w:rPr>
        <w:t>5</w:t>
      </w:r>
      <w:r>
        <w:rPr>
          <w:rFonts w:hint="eastAsia" w:ascii="仿宋_GB2312" w:eastAsia="仿宋_GB2312"/>
          <w:sz w:val="32"/>
          <w:szCs w:val="32"/>
        </w:rPr>
        <w:t>年</w:t>
      </w:r>
      <w:r>
        <w:rPr>
          <w:rFonts w:ascii="仿宋_GB2312" w:eastAsia="仿宋_GB2312"/>
          <w:sz w:val="32"/>
          <w:szCs w:val="32"/>
        </w:rPr>
        <w:t>12</w:t>
      </w:r>
      <w:r>
        <w:rPr>
          <w:rFonts w:hint="eastAsia" w:ascii="仿宋_GB2312" w:eastAsia="仿宋_GB2312"/>
          <w:sz w:val="32"/>
          <w:szCs w:val="32"/>
        </w:rPr>
        <w:t>月</w:t>
      </w:r>
      <w:r>
        <w:rPr>
          <w:rFonts w:ascii="仿宋_GB2312" w:eastAsia="仿宋_GB2312"/>
          <w:sz w:val="32"/>
          <w:szCs w:val="32"/>
        </w:rPr>
        <w:t>31</w:t>
      </w:r>
      <w:r>
        <w:rPr>
          <w:rFonts w:hint="eastAsia" w:ascii="仿宋_GB2312" w:eastAsia="仿宋_GB2312"/>
          <w:sz w:val="32"/>
          <w:szCs w:val="32"/>
        </w:rPr>
        <w:t>日，</w:t>
      </w:r>
      <w:r>
        <w:rPr>
          <w:rFonts w:hint="eastAsia" w:ascii="仿宋_GB2312" w:eastAsia="仿宋_GB2312"/>
          <w:sz w:val="32"/>
          <w:szCs w:val="32"/>
          <w:lang w:eastAsia="zh-CN"/>
        </w:rPr>
        <w:t>县委</w:t>
      </w:r>
      <w:r>
        <w:rPr>
          <w:rFonts w:hint="eastAsia" w:ascii="仿宋_GB2312" w:eastAsia="仿宋_GB2312"/>
          <w:sz w:val="32"/>
          <w:szCs w:val="32"/>
        </w:rPr>
        <w:t>编办共有车辆1辆，为一般公务用车；无单价</w:t>
      </w:r>
      <w:r>
        <w:rPr>
          <w:rFonts w:ascii="仿宋_GB2312" w:eastAsia="仿宋_GB2312"/>
          <w:sz w:val="32"/>
          <w:szCs w:val="32"/>
        </w:rPr>
        <w:t>50</w:t>
      </w:r>
      <w:r>
        <w:rPr>
          <w:rFonts w:hint="eastAsia" w:ascii="仿宋_GB2312" w:eastAsia="仿宋_GB2312"/>
          <w:sz w:val="32"/>
          <w:szCs w:val="32"/>
        </w:rPr>
        <w:t>万元以上通用设备和单价</w:t>
      </w:r>
      <w:r>
        <w:rPr>
          <w:rFonts w:ascii="仿宋_GB2312" w:eastAsia="仿宋_GB2312"/>
          <w:sz w:val="32"/>
          <w:szCs w:val="32"/>
        </w:rPr>
        <w:t>100</w:t>
      </w:r>
      <w:r>
        <w:rPr>
          <w:rFonts w:hint="eastAsia" w:ascii="仿宋_GB2312" w:eastAsia="仿宋_GB2312"/>
          <w:sz w:val="32"/>
          <w:szCs w:val="32"/>
        </w:rPr>
        <w:t>万元以上专用设备。</w:t>
      </w:r>
    </w:p>
    <w:p w14:paraId="48E64E15">
      <w:pPr>
        <w:keepNext w:val="0"/>
        <w:keepLines w:val="0"/>
        <w:pageBreakBefore w:val="0"/>
        <w:widowControl w:val="0"/>
        <w:kinsoku/>
        <w:wordWrap/>
        <w:overflowPunct/>
        <w:topLinePunct w:val="0"/>
        <w:bidi w:val="0"/>
        <w:snapToGrid/>
        <w:spacing w:line="576" w:lineRule="exact"/>
        <w:ind w:firstLine="643" w:firstLineChars="200"/>
        <w:textAlignment w:val="auto"/>
        <w:outlineLvl w:val="1"/>
        <w:rPr>
          <w:rFonts w:ascii="楷体_GB2312" w:hAnsi="楷体_GB2312" w:eastAsia="楷体_GB2312" w:cs="楷体_GB2312"/>
          <w:b/>
          <w:bCs/>
          <w:sz w:val="32"/>
          <w:szCs w:val="32"/>
        </w:rPr>
      </w:pPr>
      <w:r>
        <w:rPr>
          <w:rStyle w:val="42"/>
          <w:rFonts w:hint="eastAsia" w:ascii="楷体_GB2312" w:hAnsi="楷体_GB2312" w:eastAsia="楷体_GB2312" w:cs="楷体_GB2312"/>
        </w:rPr>
        <w:t>（四）预算绩效管理情况</w:t>
      </w:r>
    </w:p>
    <w:p w14:paraId="1EEAB1B7">
      <w:pPr>
        <w:widowControl/>
        <w:adjustRightInd w:val="0"/>
        <w:snapToGrid w:val="0"/>
        <w:spacing w:line="580" w:lineRule="exact"/>
        <w:ind w:firstLine="640" w:firstLineChars="200"/>
        <w:jc w:val="left"/>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sz w:val="32"/>
          <w:szCs w:val="32"/>
        </w:rPr>
        <w:t>根据预算绩效管理要求，本部门按要求对202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年部门整体支出开展绩效自评，从评价情况来看，202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年我办部门整体支出绩效评价自查自评结果良好，全</w:t>
      </w:r>
      <w:r>
        <w:rPr>
          <w:rFonts w:hint="eastAsia" w:ascii="仿宋_GB2312" w:hAnsi="仿宋_GB2312" w:eastAsia="仿宋_GB2312" w:cs="仿宋_GB2312"/>
          <w:sz w:val="32"/>
          <w:szCs w:val="32"/>
          <w:lang w:val="en-US" w:eastAsia="zh-CN"/>
        </w:rPr>
        <w:t>年</w:t>
      </w:r>
      <w:r>
        <w:rPr>
          <w:rFonts w:hint="eastAsia" w:ascii="仿宋_GB2312" w:hAnsi="仿宋_GB2312" w:eastAsia="仿宋_GB2312" w:cs="仿宋_GB2312"/>
          <w:sz w:val="32"/>
          <w:szCs w:val="32"/>
        </w:rPr>
        <w:t>基本支出保证了部门的正常运行和日常工作的正常开展，绩效目标得到较好实现，绩效管理水平不断提高，绩效指标体系逐渐丰富和完善。</w:t>
      </w:r>
      <w:r>
        <w:rPr>
          <w:rFonts w:hint="eastAsia" w:ascii="仿宋_GB2312" w:hAnsi="仿宋_GB2312" w:eastAsia="仿宋_GB2312" w:cs="仿宋_GB2312"/>
          <w:color w:val="auto"/>
          <w:sz w:val="32"/>
          <w:szCs w:val="32"/>
          <w:highlight w:val="none"/>
          <w:lang w:val="en-US" w:eastAsia="zh-CN"/>
        </w:rPr>
        <w:t>绩效自评报告详见附件。</w:t>
      </w:r>
    </w:p>
    <w:p w14:paraId="0C7B6A5B">
      <w:pPr>
        <w:keepNext w:val="0"/>
        <w:keepLines w:val="0"/>
        <w:pageBreakBefore w:val="0"/>
        <w:widowControl w:val="0"/>
        <w:kinsoku/>
        <w:wordWrap/>
        <w:overflowPunct/>
        <w:topLinePunct w:val="0"/>
        <w:bidi w:val="0"/>
        <w:snapToGrid/>
        <w:spacing w:line="576" w:lineRule="exact"/>
        <w:ind w:firstLine="640" w:firstLineChars="200"/>
        <w:textAlignment w:val="auto"/>
        <w:rPr>
          <w:rFonts w:ascii="仿宋_GB2312" w:hAnsi="仿宋_GB2312" w:eastAsia="仿宋_GB2312" w:cs="仿宋_GB2312"/>
          <w:sz w:val="32"/>
          <w:szCs w:val="32"/>
        </w:rPr>
      </w:pPr>
    </w:p>
    <w:p w14:paraId="43C51F2A">
      <w:pPr>
        <w:pStyle w:val="24"/>
        <w:jc w:val="both"/>
        <w:rPr>
          <w:rFonts w:ascii="仿宋_GB2312" w:hAnsi="仿宋_GB2312" w:eastAsia="仿宋_GB2312" w:cs="仿宋_GB2312"/>
        </w:rPr>
      </w:pPr>
      <w:bookmarkStart w:id="34" w:name="_Toc15396612"/>
      <w:bookmarkStart w:id="35" w:name="_Toc15377221"/>
    </w:p>
    <w:p w14:paraId="19B1B695">
      <w:pPr>
        <w:pStyle w:val="24"/>
        <w:jc w:val="both"/>
        <w:rPr>
          <w:rFonts w:ascii="仿宋_GB2312" w:hAnsi="仿宋_GB2312" w:eastAsia="仿宋_GB2312" w:cs="仿宋_GB2312"/>
        </w:rPr>
      </w:pPr>
    </w:p>
    <w:p w14:paraId="611B5EDC">
      <w:pPr>
        <w:pStyle w:val="24"/>
        <w:jc w:val="both"/>
        <w:rPr>
          <w:rFonts w:ascii="仿宋_GB2312" w:hAnsi="仿宋_GB2312" w:eastAsia="仿宋_GB2312" w:cs="仿宋_GB2312"/>
        </w:rPr>
      </w:pPr>
    </w:p>
    <w:p w14:paraId="05DD43D0">
      <w:pPr>
        <w:pStyle w:val="24"/>
        <w:jc w:val="both"/>
        <w:rPr>
          <w:rFonts w:ascii="仿宋_GB2312" w:hAnsi="仿宋_GB2312" w:eastAsia="仿宋_GB2312" w:cs="仿宋_GB2312"/>
        </w:rPr>
      </w:pPr>
    </w:p>
    <w:p w14:paraId="5F24F9BB">
      <w:pPr>
        <w:pStyle w:val="24"/>
        <w:jc w:val="both"/>
        <w:rPr>
          <w:rFonts w:ascii="仿宋_GB2312" w:hAnsi="仿宋_GB2312" w:eastAsia="仿宋_GB2312" w:cs="仿宋_GB2312"/>
        </w:rPr>
      </w:pPr>
    </w:p>
    <w:p w14:paraId="1D5DFC92">
      <w:pPr>
        <w:pStyle w:val="24"/>
        <w:jc w:val="both"/>
        <w:rPr>
          <w:rFonts w:ascii="仿宋_GB2312" w:hAnsi="仿宋_GB2312" w:eastAsia="仿宋_GB2312" w:cs="仿宋_GB2312"/>
        </w:rPr>
      </w:pPr>
    </w:p>
    <w:p w14:paraId="15279F57">
      <w:pPr>
        <w:pStyle w:val="24"/>
        <w:jc w:val="both"/>
        <w:rPr>
          <w:rFonts w:ascii="仿宋_GB2312" w:hAnsi="仿宋_GB2312" w:eastAsia="仿宋_GB2312" w:cs="仿宋_GB2312"/>
        </w:rPr>
      </w:pPr>
    </w:p>
    <w:bookmarkEnd w:id="34"/>
    <w:bookmarkEnd w:id="35"/>
    <w:p w14:paraId="4BFFB396">
      <w:pPr>
        <w:keepNext w:val="0"/>
        <w:keepLines w:val="0"/>
        <w:pageBreakBefore w:val="0"/>
        <w:widowControl w:val="0"/>
        <w:numPr>
          <w:ilvl w:val="0"/>
          <w:numId w:val="1"/>
        </w:numPr>
        <w:kinsoku/>
        <w:wordWrap/>
        <w:overflowPunct/>
        <w:topLinePunct w:val="0"/>
        <w:bidi w:val="0"/>
        <w:snapToGrid/>
        <w:spacing w:line="576" w:lineRule="exact"/>
        <w:ind w:firstLine="660" w:firstLineChars="150"/>
        <w:jc w:val="center"/>
        <w:textAlignment w:val="auto"/>
        <w:outlineLvl w:val="0"/>
        <w:rPr>
          <w:rStyle w:val="38"/>
          <w:rFonts w:ascii="方正小标宋简体" w:hAnsi="方正小标宋简体" w:eastAsia="方正小标宋简体" w:cs="方正小标宋简体"/>
          <w:b w:val="0"/>
        </w:rPr>
      </w:pPr>
      <w:bookmarkStart w:id="36" w:name="_Toc79163879"/>
      <w:bookmarkStart w:id="37" w:name="_Toc15377225"/>
      <w:bookmarkStart w:id="38" w:name="_Toc15396613"/>
      <w:bookmarkStart w:id="39" w:name="_Toc79163629"/>
      <w:r>
        <w:rPr>
          <w:rFonts w:hint="eastAsia" w:ascii="方正小标宋简体" w:hAnsi="方正小标宋简体" w:eastAsia="方正小标宋简体" w:cs="方正小标宋简体"/>
          <w:color w:val="000000"/>
          <w:sz w:val="44"/>
          <w:szCs w:val="44"/>
        </w:rPr>
        <w:t>名</w:t>
      </w:r>
      <w:r>
        <w:rPr>
          <w:rStyle w:val="38"/>
          <w:rFonts w:hint="eastAsia" w:ascii="方正小标宋简体" w:hAnsi="方正小标宋简体" w:eastAsia="方正小标宋简体" w:cs="方正小标宋简体"/>
          <w:b w:val="0"/>
        </w:rPr>
        <w:t>词解释</w:t>
      </w:r>
      <w:bookmarkEnd w:id="36"/>
      <w:bookmarkEnd w:id="37"/>
      <w:bookmarkEnd w:id="38"/>
      <w:bookmarkEnd w:id="39"/>
    </w:p>
    <w:p w14:paraId="0E3589CA">
      <w:pPr>
        <w:keepNext w:val="0"/>
        <w:keepLines w:val="0"/>
        <w:pageBreakBefore w:val="0"/>
        <w:widowControl w:val="0"/>
        <w:kinsoku/>
        <w:wordWrap/>
        <w:overflowPunct/>
        <w:topLinePunct w:val="0"/>
        <w:bidi w:val="0"/>
        <w:snapToGrid/>
        <w:spacing w:line="576" w:lineRule="exact"/>
        <w:jc w:val="left"/>
        <w:textAlignment w:val="auto"/>
        <w:rPr>
          <w:rFonts w:ascii="宋体"/>
          <w:b/>
          <w:color w:val="000000"/>
          <w:sz w:val="44"/>
          <w:szCs w:val="44"/>
        </w:rPr>
      </w:pPr>
    </w:p>
    <w:p w14:paraId="3E5F59A9">
      <w:pPr>
        <w:pStyle w:val="33"/>
        <w:keepNext w:val="0"/>
        <w:keepLines w:val="0"/>
        <w:pageBreakBefore w:val="0"/>
        <w:widowControl w:val="0"/>
        <w:kinsoku/>
        <w:wordWrap/>
        <w:overflowPunct/>
        <w:topLinePunct w:val="0"/>
        <w:bidi w:val="0"/>
        <w:snapToGrid/>
        <w:spacing w:line="576" w:lineRule="exact"/>
        <w:ind w:firstLine="640" w:firstLineChars="200"/>
        <w:textAlignment w:val="auto"/>
        <w:rPr>
          <w:rFonts w:ascii="仿宋_GB2312" w:eastAsia="仿宋_GB2312"/>
          <w:color w:val="auto"/>
          <w:sz w:val="32"/>
          <w:szCs w:val="32"/>
        </w:rPr>
      </w:pPr>
      <w:bookmarkStart w:id="40" w:name="_Toc15377226"/>
      <w:r>
        <w:rPr>
          <w:rFonts w:ascii="仿宋_GB2312" w:eastAsia="仿宋_GB2312"/>
          <w:color w:val="auto"/>
          <w:sz w:val="32"/>
          <w:szCs w:val="32"/>
        </w:rPr>
        <w:t>1.</w:t>
      </w:r>
      <w:r>
        <w:rPr>
          <w:rFonts w:hint="eastAsia" w:ascii="仿宋_GB2312" w:eastAsia="仿宋_GB2312"/>
          <w:color w:val="auto"/>
          <w:sz w:val="32"/>
          <w:szCs w:val="32"/>
        </w:rPr>
        <w:t>财政拨款收入：指单位从同级财政部门取得的财政预算资金。</w:t>
      </w:r>
    </w:p>
    <w:p w14:paraId="6B5582EB">
      <w:pPr>
        <w:pStyle w:val="33"/>
        <w:keepNext w:val="0"/>
        <w:keepLines w:val="0"/>
        <w:pageBreakBefore w:val="0"/>
        <w:widowControl w:val="0"/>
        <w:kinsoku/>
        <w:wordWrap/>
        <w:overflowPunct/>
        <w:topLinePunct w:val="0"/>
        <w:bidi w:val="0"/>
        <w:snapToGrid/>
        <w:spacing w:line="576" w:lineRule="exact"/>
        <w:ind w:firstLine="640" w:firstLineChars="200"/>
        <w:textAlignment w:val="auto"/>
        <w:rPr>
          <w:rFonts w:ascii="仿宋_GB2312" w:eastAsia="仿宋_GB2312"/>
          <w:color w:val="auto"/>
          <w:sz w:val="32"/>
          <w:szCs w:val="32"/>
        </w:rPr>
      </w:pPr>
      <w:r>
        <w:rPr>
          <w:rFonts w:ascii="仿宋_GB2312" w:eastAsia="仿宋_GB2312"/>
          <w:color w:val="auto"/>
          <w:sz w:val="32"/>
          <w:szCs w:val="32"/>
        </w:rPr>
        <w:t>2.</w:t>
      </w:r>
      <w:r>
        <w:rPr>
          <w:rFonts w:hint="eastAsia" w:ascii="仿宋_GB2312" w:eastAsia="仿宋_GB2312"/>
          <w:color w:val="auto"/>
          <w:sz w:val="32"/>
          <w:szCs w:val="32"/>
        </w:rPr>
        <w:t>事业收入：指事业单位开展专业业务活动及辅助活动取得的收入。</w:t>
      </w:r>
    </w:p>
    <w:p w14:paraId="7A526A88">
      <w:pPr>
        <w:pStyle w:val="33"/>
        <w:keepNext w:val="0"/>
        <w:keepLines w:val="0"/>
        <w:pageBreakBefore w:val="0"/>
        <w:widowControl w:val="0"/>
        <w:kinsoku/>
        <w:wordWrap/>
        <w:overflowPunct/>
        <w:topLinePunct w:val="0"/>
        <w:bidi w:val="0"/>
        <w:snapToGrid/>
        <w:spacing w:line="576" w:lineRule="exact"/>
        <w:ind w:firstLine="640" w:firstLineChars="200"/>
        <w:textAlignment w:val="auto"/>
        <w:rPr>
          <w:rFonts w:ascii="仿宋_GB2312" w:eastAsia="仿宋_GB2312"/>
          <w:color w:val="auto"/>
          <w:sz w:val="32"/>
          <w:szCs w:val="32"/>
        </w:rPr>
      </w:pPr>
      <w:r>
        <w:rPr>
          <w:rFonts w:ascii="仿宋_GB2312" w:eastAsia="仿宋_GB2312"/>
          <w:color w:val="auto"/>
          <w:sz w:val="32"/>
          <w:szCs w:val="32"/>
        </w:rPr>
        <w:t>3.</w:t>
      </w:r>
      <w:r>
        <w:rPr>
          <w:rFonts w:hint="eastAsia" w:ascii="仿宋_GB2312" w:eastAsia="仿宋_GB2312"/>
          <w:color w:val="auto"/>
          <w:sz w:val="32"/>
          <w:szCs w:val="32"/>
        </w:rPr>
        <w:t>经营收入：指事业单位在专业业务活动及其辅助活动之外开展非独立核算经营活动取得的收入。</w:t>
      </w:r>
    </w:p>
    <w:p w14:paraId="19E8985F">
      <w:pPr>
        <w:pStyle w:val="33"/>
        <w:keepNext w:val="0"/>
        <w:keepLines w:val="0"/>
        <w:pageBreakBefore w:val="0"/>
        <w:widowControl w:val="0"/>
        <w:kinsoku/>
        <w:wordWrap/>
        <w:overflowPunct/>
        <w:topLinePunct w:val="0"/>
        <w:bidi w:val="0"/>
        <w:snapToGrid/>
        <w:spacing w:line="576" w:lineRule="exact"/>
        <w:ind w:firstLine="640" w:firstLineChars="200"/>
        <w:textAlignment w:val="auto"/>
        <w:rPr>
          <w:rFonts w:ascii="仿宋_GB2312" w:eastAsia="仿宋_GB2312"/>
          <w:color w:val="auto"/>
          <w:sz w:val="32"/>
          <w:szCs w:val="32"/>
        </w:rPr>
      </w:pPr>
      <w:r>
        <w:rPr>
          <w:rFonts w:ascii="仿宋_GB2312" w:eastAsia="仿宋_GB2312"/>
          <w:color w:val="auto"/>
          <w:sz w:val="32"/>
          <w:szCs w:val="32"/>
        </w:rPr>
        <w:t>4.</w:t>
      </w:r>
      <w:r>
        <w:rPr>
          <w:rFonts w:hint="eastAsia" w:ascii="仿宋_GB2312" w:eastAsia="仿宋_GB2312"/>
          <w:color w:val="auto"/>
          <w:sz w:val="32"/>
          <w:szCs w:val="32"/>
        </w:rPr>
        <w:t>其他收入：指单位取得的除上述收入以外的各项收入。</w:t>
      </w:r>
    </w:p>
    <w:p w14:paraId="54EF96AC">
      <w:pPr>
        <w:pStyle w:val="33"/>
        <w:keepNext w:val="0"/>
        <w:keepLines w:val="0"/>
        <w:pageBreakBefore w:val="0"/>
        <w:widowControl w:val="0"/>
        <w:kinsoku/>
        <w:wordWrap/>
        <w:overflowPunct/>
        <w:topLinePunct w:val="0"/>
        <w:bidi w:val="0"/>
        <w:snapToGrid/>
        <w:spacing w:line="576" w:lineRule="exact"/>
        <w:ind w:firstLine="640" w:firstLineChars="200"/>
        <w:textAlignment w:val="auto"/>
        <w:rPr>
          <w:rFonts w:ascii="仿宋_GB2312" w:eastAsia="仿宋_GB2312"/>
          <w:sz w:val="32"/>
          <w:szCs w:val="32"/>
        </w:rPr>
      </w:pPr>
      <w:r>
        <w:rPr>
          <w:rFonts w:ascii="仿宋_GB2312" w:eastAsia="仿宋_GB2312"/>
          <w:sz w:val="32"/>
          <w:szCs w:val="32"/>
        </w:rPr>
        <w:t>5.</w:t>
      </w:r>
      <w:r>
        <w:rPr>
          <w:rFonts w:hint="eastAsia" w:ascii="仿宋_GB2312" w:eastAsia="仿宋_GB2312"/>
          <w:sz w:val="32"/>
          <w:szCs w:val="32"/>
        </w:rPr>
        <w:t>使用非财政拨款结余：指事业单位使用以前年度积累的非财政拨款结余弥补当年收支差额的金额。</w:t>
      </w:r>
    </w:p>
    <w:p w14:paraId="55B357EA">
      <w:pPr>
        <w:pStyle w:val="33"/>
        <w:keepNext w:val="0"/>
        <w:keepLines w:val="0"/>
        <w:pageBreakBefore w:val="0"/>
        <w:widowControl w:val="0"/>
        <w:kinsoku/>
        <w:wordWrap/>
        <w:overflowPunct/>
        <w:topLinePunct w:val="0"/>
        <w:bidi w:val="0"/>
        <w:snapToGrid/>
        <w:spacing w:line="576" w:lineRule="exact"/>
        <w:ind w:firstLine="640" w:firstLineChars="200"/>
        <w:textAlignment w:val="auto"/>
        <w:rPr>
          <w:rFonts w:ascii="仿宋_GB2312" w:eastAsia="仿宋_GB2312"/>
          <w:color w:val="auto"/>
          <w:sz w:val="32"/>
          <w:szCs w:val="32"/>
        </w:rPr>
      </w:pPr>
      <w:r>
        <w:rPr>
          <w:rFonts w:ascii="仿宋_GB2312" w:eastAsia="仿宋_GB2312"/>
          <w:color w:val="auto"/>
          <w:sz w:val="32"/>
          <w:szCs w:val="32"/>
        </w:rPr>
        <w:t>6.</w:t>
      </w:r>
      <w:r>
        <w:rPr>
          <w:rFonts w:hint="eastAsia" w:ascii="仿宋_GB2312" w:eastAsia="仿宋_GB2312"/>
          <w:color w:val="auto"/>
          <w:sz w:val="32"/>
          <w:szCs w:val="32"/>
        </w:rPr>
        <w:t>年初结转和结余：指以前年度尚未完成、结转到本年按有关规定继续使用的资金。</w:t>
      </w:r>
    </w:p>
    <w:p w14:paraId="1558B506">
      <w:pPr>
        <w:pStyle w:val="33"/>
        <w:keepNext w:val="0"/>
        <w:keepLines w:val="0"/>
        <w:pageBreakBefore w:val="0"/>
        <w:widowControl w:val="0"/>
        <w:kinsoku/>
        <w:wordWrap/>
        <w:overflowPunct/>
        <w:topLinePunct w:val="0"/>
        <w:bidi w:val="0"/>
        <w:snapToGrid/>
        <w:spacing w:line="576" w:lineRule="exact"/>
        <w:ind w:firstLine="640" w:firstLineChars="200"/>
        <w:textAlignment w:val="auto"/>
        <w:rPr>
          <w:rFonts w:ascii="仿宋_GB2312" w:eastAsia="仿宋_GB2312"/>
          <w:color w:val="auto"/>
          <w:sz w:val="32"/>
          <w:szCs w:val="32"/>
        </w:rPr>
      </w:pPr>
      <w:r>
        <w:rPr>
          <w:rFonts w:ascii="仿宋_GB2312" w:eastAsia="仿宋_GB2312"/>
          <w:color w:val="auto"/>
          <w:sz w:val="32"/>
          <w:szCs w:val="32"/>
        </w:rPr>
        <w:t>7.</w:t>
      </w:r>
      <w:r>
        <w:rPr>
          <w:rFonts w:hint="eastAsia" w:ascii="仿宋_GB2312" w:eastAsia="仿宋_GB2312"/>
          <w:color w:val="auto"/>
          <w:sz w:val="32"/>
          <w:szCs w:val="32"/>
        </w:rPr>
        <w:t>结余分配：指事业单位按照事业单位会计制度的规定从非财政补助结余中分配的事业基金和职工福利基金等。</w:t>
      </w:r>
    </w:p>
    <w:p w14:paraId="3D11D410">
      <w:pPr>
        <w:pStyle w:val="33"/>
        <w:keepNext w:val="0"/>
        <w:keepLines w:val="0"/>
        <w:pageBreakBefore w:val="0"/>
        <w:widowControl w:val="0"/>
        <w:kinsoku/>
        <w:wordWrap/>
        <w:overflowPunct/>
        <w:topLinePunct w:val="0"/>
        <w:bidi w:val="0"/>
        <w:snapToGrid/>
        <w:spacing w:line="576" w:lineRule="exact"/>
        <w:ind w:firstLine="640" w:firstLineChars="200"/>
        <w:textAlignment w:val="auto"/>
        <w:rPr>
          <w:rFonts w:ascii="仿宋_GB2312" w:eastAsia="仿宋_GB2312"/>
          <w:color w:val="auto"/>
          <w:sz w:val="32"/>
          <w:szCs w:val="32"/>
        </w:rPr>
      </w:pPr>
      <w:r>
        <w:rPr>
          <w:rFonts w:ascii="仿宋_GB2312" w:eastAsia="仿宋_GB2312"/>
          <w:color w:val="auto"/>
          <w:sz w:val="32"/>
          <w:szCs w:val="32"/>
        </w:rPr>
        <w:t>8</w:t>
      </w:r>
      <w:r>
        <w:rPr>
          <w:rFonts w:hint="eastAsia" w:ascii="仿宋_GB2312" w:eastAsia="仿宋_GB2312"/>
          <w:color w:val="auto"/>
          <w:sz w:val="32"/>
          <w:szCs w:val="32"/>
        </w:rPr>
        <w:t>.年末结转和结余：指单位按有关规定结转到下年或以后年度继续使用的资金。</w:t>
      </w:r>
    </w:p>
    <w:p w14:paraId="6B10C7A7">
      <w:pPr>
        <w:keepNext w:val="0"/>
        <w:keepLines w:val="0"/>
        <w:pageBreakBefore w:val="0"/>
        <w:widowControl w:val="0"/>
        <w:kinsoku/>
        <w:wordWrap/>
        <w:overflowPunct/>
        <w:topLinePunct w:val="0"/>
        <w:bidi w:val="0"/>
        <w:snapToGrid/>
        <w:spacing w:line="576" w:lineRule="exact"/>
        <w:ind w:firstLine="636" w:firstLineChars="199"/>
        <w:textAlignment w:val="auto"/>
        <w:rPr>
          <w:rFonts w:ascii="仿宋_GB2312" w:eastAsia="仿宋_GB2312"/>
          <w:sz w:val="32"/>
          <w:szCs w:val="32"/>
        </w:rPr>
      </w:pPr>
      <w:r>
        <w:rPr>
          <w:rFonts w:ascii="仿宋_GB2312" w:eastAsia="仿宋_GB2312"/>
          <w:sz w:val="32"/>
          <w:szCs w:val="32"/>
        </w:rPr>
        <w:t>9.</w:t>
      </w:r>
      <w:r>
        <w:rPr>
          <w:rFonts w:hint="eastAsia" w:ascii="仿宋_GB2312" w:eastAsia="仿宋_GB2312" w:cs="仿宋"/>
          <w:kern w:val="0"/>
          <w:sz w:val="32"/>
          <w:szCs w:val="32"/>
        </w:rPr>
        <w:t>一般公共服务（类）人力资源事务（款）行政运行（项）：</w:t>
      </w:r>
      <w:r>
        <w:rPr>
          <w:rFonts w:hint="eastAsia" w:ascii="仿宋_GB2312" w:eastAsia="仿宋_GB2312"/>
          <w:sz w:val="32"/>
          <w:szCs w:val="32"/>
        </w:rPr>
        <w:t>指反映行政单位（包括实行公务员管理的事业单位）的基本支出。</w:t>
      </w:r>
    </w:p>
    <w:p w14:paraId="52E4D700">
      <w:pPr>
        <w:keepNext w:val="0"/>
        <w:keepLines w:val="0"/>
        <w:pageBreakBefore w:val="0"/>
        <w:widowControl w:val="0"/>
        <w:kinsoku/>
        <w:wordWrap/>
        <w:overflowPunct/>
        <w:topLinePunct w:val="0"/>
        <w:bidi w:val="0"/>
        <w:snapToGrid/>
        <w:spacing w:line="576" w:lineRule="exact"/>
        <w:ind w:firstLine="636" w:firstLineChars="199"/>
        <w:textAlignment w:val="auto"/>
        <w:rPr>
          <w:rFonts w:ascii="仿宋_GB2312" w:eastAsia="仿宋_GB2312"/>
          <w:b/>
          <w:sz w:val="32"/>
          <w:szCs w:val="32"/>
        </w:rPr>
      </w:pPr>
      <w:r>
        <w:rPr>
          <w:rFonts w:hint="eastAsia" w:ascii="仿宋_GB2312" w:eastAsia="仿宋_GB2312"/>
          <w:sz w:val="32"/>
          <w:szCs w:val="32"/>
        </w:rPr>
        <w:t>10</w:t>
      </w:r>
      <w:r>
        <w:rPr>
          <w:rFonts w:ascii="仿宋_GB2312" w:eastAsia="仿宋_GB2312"/>
          <w:sz w:val="32"/>
          <w:szCs w:val="32"/>
        </w:rPr>
        <w:t>.</w:t>
      </w:r>
      <w:r>
        <w:rPr>
          <w:rFonts w:hint="eastAsia" w:ascii="仿宋_GB2312" w:eastAsia="仿宋_GB2312" w:cs="仿宋"/>
          <w:kern w:val="0"/>
          <w:sz w:val="32"/>
          <w:szCs w:val="32"/>
        </w:rPr>
        <w:t>一般公共服务（类）人力资源事务（款）事业运行（项）：</w:t>
      </w:r>
      <w:r>
        <w:rPr>
          <w:rFonts w:hint="eastAsia" w:ascii="仿宋_GB2312" w:eastAsia="仿宋_GB2312"/>
          <w:sz w:val="32"/>
          <w:szCs w:val="32"/>
        </w:rPr>
        <w:t>指反映事业单位基本支出，不包括行政单位（包括实行公务员管理的事业单位）后勤服务中心、医务室等附属事业单位。</w:t>
      </w:r>
    </w:p>
    <w:p w14:paraId="207C3E3B">
      <w:pPr>
        <w:keepNext w:val="0"/>
        <w:keepLines w:val="0"/>
        <w:pageBreakBefore w:val="0"/>
        <w:widowControl w:val="0"/>
        <w:kinsoku/>
        <w:wordWrap/>
        <w:overflowPunct/>
        <w:topLinePunct w:val="0"/>
        <w:bidi w:val="0"/>
        <w:snapToGrid/>
        <w:spacing w:line="576" w:lineRule="exact"/>
        <w:ind w:firstLine="636" w:firstLineChars="199"/>
        <w:textAlignment w:val="auto"/>
        <w:rPr>
          <w:rFonts w:ascii="仿宋_GB2312" w:eastAsia="仿宋_GB2312"/>
          <w:sz w:val="32"/>
          <w:szCs w:val="32"/>
        </w:rPr>
      </w:pPr>
      <w:r>
        <w:rPr>
          <w:rFonts w:hint="eastAsia" w:ascii="仿宋_GB2312" w:eastAsia="仿宋_GB2312"/>
          <w:bCs/>
          <w:sz w:val="32"/>
          <w:szCs w:val="32"/>
        </w:rPr>
        <w:t>11</w:t>
      </w:r>
      <w:r>
        <w:rPr>
          <w:rFonts w:hint="eastAsia" w:ascii="仿宋_GB2312" w:eastAsia="仿宋_GB2312"/>
          <w:b/>
          <w:sz w:val="32"/>
          <w:szCs w:val="32"/>
        </w:rPr>
        <w:t>.</w:t>
      </w:r>
      <w:r>
        <w:rPr>
          <w:rFonts w:hint="eastAsia" w:ascii="仿宋_GB2312" w:eastAsia="仿宋_GB2312"/>
          <w:sz w:val="32"/>
          <w:szCs w:val="32"/>
        </w:rPr>
        <w:t>社会保障和就业（类）行政事业单位离退休（款）机关事业单位基本养老保险缴费支出（项）：指部门实施养老保险制度由单位缴纳的基本养老保险费支出。</w:t>
      </w:r>
    </w:p>
    <w:p w14:paraId="00778839">
      <w:pPr>
        <w:keepNext w:val="0"/>
        <w:keepLines w:val="0"/>
        <w:pageBreakBefore w:val="0"/>
        <w:widowControl w:val="0"/>
        <w:kinsoku/>
        <w:wordWrap/>
        <w:overflowPunct/>
        <w:topLinePunct w:val="0"/>
        <w:bidi w:val="0"/>
        <w:snapToGrid/>
        <w:spacing w:line="576" w:lineRule="exact"/>
        <w:ind w:firstLine="636" w:firstLineChars="199"/>
        <w:textAlignment w:val="auto"/>
        <w:rPr>
          <w:rFonts w:ascii="仿宋_GB2312" w:eastAsia="仿宋_GB2312"/>
          <w:sz w:val="32"/>
          <w:szCs w:val="32"/>
        </w:rPr>
      </w:pPr>
      <w:r>
        <w:rPr>
          <w:rFonts w:hint="eastAsia" w:ascii="仿宋_GB2312" w:eastAsia="仿宋_GB2312"/>
          <w:bCs/>
          <w:sz w:val="32"/>
          <w:szCs w:val="32"/>
        </w:rPr>
        <w:t>12.</w:t>
      </w:r>
      <w:r>
        <w:rPr>
          <w:rFonts w:hint="eastAsia" w:ascii="仿宋_GB2312" w:eastAsia="仿宋_GB2312"/>
          <w:sz w:val="32"/>
          <w:szCs w:val="32"/>
        </w:rPr>
        <w:t>社会保障和就业（类）行政事业单位离退休（款）机关事业单位职业年金（项）：指部门实施养老保险制度由单位缴纳的职业年金支出。</w:t>
      </w:r>
    </w:p>
    <w:p w14:paraId="591C5EF7">
      <w:pPr>
        <w:keepNext w:val="0"/>
        <w:keepLines w:val="0"/>
        <w:pageBreakBefore w:val="0"/>
        <w:widowControl w:val="0"/>
        <w:kinsoku/>
        <w:wordWrap/>
        <w:overflowPunct/>
        <w:topLinePunct w:val="0"/>
        <w:bidi w:val="0"/>
        <w:snapToGrid/>
        <w:spacing w:line="576" w:lineRule="exact"/>
        <w:ind w:firstLine="636" w:firstLineChars="199"/>
        <w:textAlignment w:val="auto"/>
        <w:rPr>
          <w:rFonts w:ascii="仿宋_GB2312" w:eastAsia="仿宋_GB2312"/>
          <w:sz w:val="32"/>
          <w:szCs w:val="32"/>
        </w:rPr>
      </w:pPr>
      <w:r>
        <w:rPr>
          <w:rFonts w:hint="eastAsia" w:ascii="仿宋_GB2312" w:eastAsia="仿宋_GB2312"/>
          <w:bCs/>
          <w:sz w:val="32"/>
          <w:szCs w:val="32"/>
        </w:rPr>
        <w:t>13</w:t>
      </w:r>
      <w:r>
        <w:rPr>
          <w:rFonts w:hint="eastAsia" w:ascii="仿宋_GB2312" w:eastAsia="仿宋_GB2312"/>
          <w:b/>
          <w:sz w:val="32"/>
          <w:szCs w:val="32"/>
        </w:rPr>
        <w:t>.</w:t>
      </w:r>
      <w:r>
        <w:rPr>
          <w:rFonts w:hint="eastAsia" w:ascii="仿宋_GB2312" w:eastAsia="仿宋_GB2312"/>
          <w:sz w:val="32"/>
          <w:szCs w:val="32"/>
        </w:rPr>
        <w:t>医疗卫生与计划生育(类)行政事业单位医疗（款）行政单位医疗（项）:指行政单位用于缴纳单位基本医疗保险支出。</w:t>
      </w:r>
    </w:p>
    <w:p w14:paraId="44628AF1">
      <w:pPr>
        <w:keepNext w:val="0"/>
        <w:keepLines w:val="0"/>
        <w:pageBreakBefore w:val="0"/>
        <w:widowControl w:val="0"/>
        <w:kinsoku/>
        <w:wordWrap/>
        <w:overflowPunct/>
        <w:topLinePunct w:val="0"/>
        <w:bidi w:val="0"/>
        <w:snapToGrid/>
        <w:spacing w:line="576" w:lineRule="exact"/>
        <w:ind w:firstLine="636" w:firstLineChars="199"/>
        <w:textAlignment w:val="auto"/>
        <w:rPr>
          <w:rFonts w:ascii="仿宋_GB2312" w:eastAsia="仿宋_GB2312"/>
          <w:sz w:val="32"/>
          <w:szCs w:val="32"/>
        </w:rPr>
      </w:pPr>
      <w:r>
        <w:rPr>
          <w:rFonts w:hint="eastAsia" w:ascii="仿宋_GB2312" w:eastAsia="仿宋_GB2312"/>
          <w:bCs/>
          <w:sz w:val="32"/>
          <w:szCs w:val="32"/>
        </w:rPr>
        <w:t>14.</w:t>
      </w:r>
      <w:r>
        <w:rPr>
          <w:rFonts w:hint="eastAsia" w:ascii="仿宋_GB2312" w:eastAsia="仿宋_GB2312"/>
          <w:sz w:val="32"/>
          <w:szCs w:val="32"/>
        </w:rPr>
        <w:t>医疗卫生与计划生育(类)行政事业单位医疗（款）事业单位医疗（项）:指事业单位用于缴纳单位基本医疗保险支出。</w:t>
      </w:r>
    </w:p>
    <w:p w14:paraId="2FAD2558">
      <w:pPr>
        <w:keepNext w:val="0"/>
        <w:keepLines w:val="0"/>
        <w:pageBreakBefore w:val="0"/>
        <w:widowControl w:val="0"/>
        <w:kinsoku/>
        <w:wordWrap/>
        <w:overflowPunct/>
        <w:topLinePunct w:val="0"/>
        <w:bidi w:val="0"/>
        <w:snapToGrid/>
        <w:spacing w:line="576" w:lineRule="exact"/>
        <w:ind w:firstLine="636" w:firstLineChars="199"/>
        <w:textAlignment w:val="auto"/>
        <w:rPr>
          <w:rFonts w:ascii="仿宋_GB2312" w:eastAsia="仿宋_GB2312"/>
          <w:sz w:val="32"/>
          <w:szCs w:val="32"/>
        </w:rPr>
      </w:pPr>
      <w:r>
        <w:rPr>
          <w:rFonts w:hint="eastAsia" w:ascii="仿宋_GB2312" w:eastAsia="仿宋_GB2312"/>
          <w:bCs/>
          <w:sz w:val="32"/>
          <w:szCs w:val="32"/>
        </w:rPr>
        <w:t>15</w:t>
      </w:r>
      <w:r>
        <w:rPr>
          <w:rFonts w:hint="eastAsia" w:ascii="仿宋_GB2312" w:eastAsia="仿宋_GB2312"/>
          <w:b/>
          <w:sz w:val="32"/>
          <w:szCs w:val="32"/>
        </w:rPr>
        <w:t>.</w:t>
      </w:r>
      <w:r>
        <w:rPr>
          <w:rFonts w:hint="eastAsia" w:ascii="仿宋_GB2312" w:eastAsia="仿宋_GB2312"/>
          <w:sz w:val="32"/>
          <w:szCs w:val="32"/>
        </w:rPr>
        <w:t>住房保障支出（类）住房改革支出（款）住房公积金（项）：指反映行政事业单位按规定为职工缴纳的住房公积金。</w:t>
      </w:r>
    </w:p>
    <w:p w14:paraId="73FD616C">
      <w:pPr>
        <w:keepNext w:val="0"/>
        <w:keepLines w:val="0"/>
        <w:pageBreakBefore w:val="0"/>
        <w:widowControl w:val="0"/>
        <w:kinsoku/>
        <w:wordWrap/>
        <w:overflowPunct/>
        <w:topLinePunct w:val="0"/>
        <w:bidi w:val="0"/>
        <w:snapToGrid/>
        <w:spacing w:line="576" w:lineRule="exact"/>
        <w:ind w:firstLine="636" w:firstLineChars="199"/>
        <w:textAlignment w:val="auto"/>
        <w:rPr>
          <w:rFonts w:ascii="仿宋_GB2312" w:eastAsia="仿宋_GB2312"/>
          <w:sz w:val="32"/>
          <w:szCs w:val="32"/>
        </w:rPr>
      </w:pPr>
      <w:r>
        <w:rPr>
          <w:rFonts w:hint="eastAsia" w:ascii="仿宋_GB2312" w:eastAsia="仿宋_GB2312"/>
          <w:bCs/>
          <w:sz w:val="32"/>
          <w:szCs w:val="32"/>
        </w:rPr>
        <w:t>16.</w:t>
      </w:r>
      <w:r>
        <w:rPr>
          <w:rFonts w:hint="eastAsia" w:ascii="仿宋_GB2312" w:eastAsia="仿宋_GB2312"/>
          <w:sz w:val="32"/>
          <w:szCs w:val="32"/>
        </w:rPr>
        <w:t>住房保障支出（类）住房改革支出（款）购房补贴（项）：指根据房改政策规定的标准，向符合条件职工发放的用于购买住房的补贴。</w:t>
      </w:r>
    </w:p>
    <w:p w14:paraId="10463774">
      <w:pPr>
        <w:keepNext w:val="0"/>
        <w:keepLines w:val="0"/>
        <w:pageBreakBefore w:val="0"/>
        <w:widowControl w:val="0"/>
        <w:kinsoku/>
        <w:wordWrap/>
        <w:overflowPunct/>
        <w:topLinePunct w:val="0"/>
        <w:bidi w:val="0"/>
        <w:snapToGrid/>
        <w:spacing w:line="576" w:lineRule="exact"/>
        <w:ind w:firstLine="640" w:firstLineChars="200"/>
        <w:textAlignment w:val="auto"/>
        <w:rPr>
          <w:rFonts w:ascii="仿宋_GB2312" w:eastAsia="仿宋_GB2312"/>
          <w:color w:val="000000"/>
          <w:sz w:val="32"/>
          <w:szCs w:val="32"/>
        </w:rPr>
      </w:pPr>
      <w:r>
        <w:rPr>
          <w:rFonts w:ascii="仿宋_GB2312" w:eastAsia="仿宋_GB2312"/>
          <w:color w:val="000000"/>
          <w:sz w:val="32"/>
          <w:szCs w:val="32"/>
        </w:rPr>
        <w:t>1</w:t>
      </w:r>
      <w:r>
        <w:rPr>
          <w:rFonts w:hint="eastAsia" w:ascii="仿宋_GB2312" w:eastAsia="仿宋_GB2312"/>
          <w:color w:val="000000"/>
          <w:sz w:val="32"/>
          <w:szCs w:val="32"/>
        </w:rPr>
        <w:t>7</w:t>
      </w:r>
      <w:r>
        <w:rPr>
          <w:rFonts w:ascii="仿宋_GB2312" w:eastAsia="仿宋_GB2312"/>
          <w:color w:val="000000"/>
          <w:sz w:val="32"/>
          <w:szCs w:val="32"/>
        </w:rPr>
        <w:t>.</w:t>
      </w:r>
      <w:r>
        <w:rPr>
          <w:rFonts w:hint="eastAsia" w:ascii="仿宋_GB2312" w:eastAsia="仿宋_GB2312"/>
          <w:color w:val="000000"/>
          <w:sz w:val="32"/>
          <w:szCs w:val="32"/>
        </w:rPr>
        <w:t>农林水支出（类）扶贫（款）其他扶贫支出（项）：指反映上述项目以外其他用于扶贫方面的支出。</w:t>
      </w:r>
    </w:p>
    <w:p w14:paraId="0E612CD6">
      <w:pPr>
        <w:keepNext w:val="0"/>
        <w:keepLines w:val="0"/>
        <w:pageBreakBefore w:val="0"/>
        <w:widowControl w:val="0"/>
        <w:kinsoku/>
        <w:wordWrap/>
        <w:overflowPunct/>
        <w:topLinePunct w:val="0"/>
        <w:bidi w:val="0"/>
        <w:snapToGrid/>
        <w:spacing w:line="576" w:lineRule="exact"/>
        <w:ind w:firstLine="640" w:firstLineChars="200"/>
        <w:textAlignment w:val="auto"/>
        <w:rPr>
          <w:rFonts w:ascii="仿宋_GB2312" w:eastAsia="仿宋_GB2312"/>
          <w:sz w:val="32"/>
          <w:szCs w:val="32"/>
        </w:rPr>
      </w:pPr>
      <w:r>
        <w:rPr>
          <w:rFonts w:hint="eastAsia" w:ascii="仿宋_GB2312" w:eastAsia="仿宋_GB2312"/>
          <w:sz w:val="32"/>
          <w:szCs w:val="32"/>
        </w:rPr>
        <w:t>18</w:t>
      </w:r>
      <w:r>
        <w:rPr>
          <w:rFonts w:ascii="仿宋_GB2312" w:eastAsia="仿宋_GB2312"/>
          <w:sz w:val="32"/>
          <w:szCs w:val="32"/>
        </w:rPr>
        <w:t>.</w:t>
      </w:r>
      <w:r>
        <w:rPr>
          <w:rFonts w:hint="eastAsia" w:ascii="仿宋_GB2312" w:eastAsia="仿宋_GB2312"/>
          <w:sz w:val="32"/>
          <w:szCs w:val="32"/>
        </w:rPr>
        <w:t>基本支出：指为保障机构正常运转、完成日常工作任务而发生的人员支出和公用支出。</w:t>
      </w:r>
    </w:p>
    <w:p w14:paraId="23E2FE21">
      <w:pPr>
        <w:keepNext w:val="0"/>
        <w:keepLines w:val="0"/>
        <w:pageBreakBefore w:val="0"/>
        <w:widowControl w:val="0"/>
        <w:kinsoku/>
        <w:wordWrap/>
        <w:overflowPunct/>
        <w:topLinePunct w:val="0"/>
        <w:bidi w:val="0"/>
        <w:snapToGrid/>
        <w:spacing w:line="576" w:lineRule="exact"/>
        <w:ind w:firstLine="640" w:firstLineChars="200"/>
        <w:textAlignment w:val="auto"/>
        <w:rPr>
          <w:rFonts w:ascii="仿宋_GB2312" w:eastAsia="仿宋_GB2312"/>
          <w:sz w:val="32"/>
          <w:szCs w:val="32"/>
        </w:rPr>
      </w:pPr>
      <w:r>
        <w:rPr>
          <w:rFonts w:hint="eastAsia" w:ascii="仿宋_GB2312" w:eastAsia="仿宋_GB2312"/>
          <w:sz w:val="32"/>
          <w:szCs w:val="32"/>
        </w:rPr>
        <w:t>19</w:t>
      </w:r>
      <w:r>
        <w:rPr>
          <w:rFonts w:ascii="仿宋_GB2312" w:eastAsia="仿宋_GB2312"/>
          <w:sz w:val="32"/>
          <w:szCs w:val="32"/>
        </w:rPr>
        <w:t>.</w:t>
      </w:r>
      <w:r>
        <w:rPr>
          <w:rFonts w:hint="eastAsia" w:ascii="仿宋_GB2312" w:eastAsia="仿宋_GB2312"/>
          <w:sz w:val="32"/>
          <w:szCs w:val="32"/>
        </w:rPr>
        <w:t>项目支出：指在基本支出之外为完成特定行政任务和事业发展目标所发生的支出。</w:t>
      </w:r>
    </w:p>
    <w:p w14:paraId="0B4D8C15">
      <w:pPr>
        <w:keepNext w:val="0"/>
        <w:keepLines w:val="0"/>
        <w:pageBreakBefore w:val="0"/>
        <w:widowControl w:val="0"/>
        <w:kinsoku/>
        <w:wordWrap/>
        <w:overflowPunct/>
        <w:topLinePunct w:val="0"/>
        <w:bidi w:val="0"/>
        <w:snapToGrid/>
        <w:spacing w:line="576" w:lineRule="exact"/>
        <w:ind w:firstLine="640" w:firstLineChars="200"/>
        <w:textAlignment w:val="auto"/>
        <w:rPr>
          <w:rFonts w:ascii="仿宋_GB2312" w:eastAsia="仿宋_GB2312"/>
          <w:sz w:val="32"/>
          <w:szCs w:val="32"/>
        </w:rPr>
      </w:pPr>
      <w:r>
        <w:rPr>
          <w:rFonts w:hint="eastAsia" w:ascii="仿宋_GB2312" w:eastAsia="仿宋_GB2312"/>
          <w:sz w:val="32"/>
          <w:szCs w:val="32"/>
        </w:rPr>
        <w:t>20</w:t>
      </w:r>
      <w:r>
        <w:rPr>
          <w:rFonts w:ascii="仿宋_GB2312" w:eastAsia="仿宋_GB2312"/>
          <w:sz w:val="32"/>
          <w:szCs w:val="32"/>
        </w:rPr>
        <w:t>.</w:t>
      </w:r>
      <w:r>
        <w:rPr>
          <w:rFonts w:hint="eastAsia" w:ascii="仿宋_GB2312" w:eastAsia="仿宋_GB2312"/>
          <w:sz w:val="32"/>
          <w:szCs w:val="32"/>
        </w:rPr>
        <w:t>经营支出：指事业单位在专业业务活动及其辅助活动之外开展非独立核算经营活动发生的支出。</w:t>
      </w:r>
    </w:p>
    <w:p w14:paraId="3E69C78F">
      <w:pPr>
        <w:pStyle w:val="33"/>
        <w:keepNext w:val="0"/>
        <w:keepLines w:val="0"/>
        <w:pageBreakBefore w:val="0"/>
        <w:widowControl w:val="0"/>
        <w:kinsoku/>
        <w:wordWrap/>
        <w:overflowPunct/>
        <w:topLinePunct w:val="0"/>
        <w:bidi w:val="0"/>
        <w:snapToGrid/>
        <w:spacing w:line="576" w:lineRule="exact"/>
        <w:ind w:firstLine="640" w:firstLineChars="200"/>
        <w:textAlignment w:val="auto"/>
        <w:rPr>
          <w:rFonts w:ascii="仿宋_GB2312" w:eastAsia="仿宋_GB2312"/>
          <w:color w:val="auto"/>
          <w:sz w:val="32"/>
          <w:szCs w:val="32"/>
        </w:rPr>
      </w:pPr>
      <w:r>
        <w:rPr>
          <w:rFonts w:hint="eastAsia" w:ascii="仿宋_GB2312" w:eastAsia="仿宋_GB2312"/>
          <w:color w:val="auto"/>
          <w:sz w:val="32"/>
          <w:szCs w:val="32"/>
        </w:rPr>
        <w:t>21</w:t>
      </w:r>
      <w:r>
        <w:rPr>
          <w:rFonts w:ascii="仿宋_GB2312" w:eastAsia="仿宋_GB2312"/>
          <w:color w:val="auto"/>
          <w:sz w:val="32"/>
          <w:szCs w:val="32"/>
        </w:rPr>
        <w:t>.</w:t>
      </w:r>
      <w:r>
        <w:rPr>
          <w:rFonts w:hint="eastAsia" w:ascii="仿宋_GB2312" w:eastAsia="仿宋_GB2312"/>
          <w:color w:val="auto"/>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4F60CAAD">
      <w:pPr>
        <w:pStyle w:val="33"/>
        <w:keepNext w:val="0"/>
        <w:keepLines w:val="0"/>
        <w:pageBreakBefore w:val="0"/>
        <w:widowControl w:val="0"/>
        <w:kinsoku/>
        <w:wordWrap/>
        <w:overflowPunct/>
        <w:topLinePunct w:val="0"/>
        <w:bidi w:val="0"/>
        <w:snapToGrid/>
        <w:spacing w:line="576" w:lineRule="exact"/>
        <w:ind w:firstLine="640" w:firstLineChars="200"/>
        <w:textAlignment w:val="auto"/>
        <w:rPr>
          <w:rFonts w:ascii="仿宋_GB2312" w:eastAsia="仿宋_GB2312"/>
          <w:color w:val="auto"/>
          <w:sz w:val="32"/>
          <w:szCs w:val="32"/>
        </w:rPr>
      </w:pPr>
      <w:r>
        <w:rPr>
          <w:rFonts w:hint="eastAsia" w:ascii="仿宋_GB2312" w:eastAsia="仿宋_GB2312"/>
          <w:color w:val="auto"/>
          <w:sz w:val="32"/>
          <w:szCs w:val="32"/>
        </w:rPr>
        <w:t>22</w:t>
      </w:r>
      <w:r>
        <w:rPr>
          <w:rFonts w:ascii="仿宋_GB2312" w:eastAsia="仿宋_GB2312"/>
          <w:color w:val="auto"/>
          <w:sz w:val="32"/>
          <w:szCs w:val="32"/>
        </w:rPr>
        <w:t>.</w:t>
      </w:r>
      <w:r>
        <w:rPr>
          <w:rFonts w:hint="eastAsia" w:ascii="仿宋_GB2312" w:eastAsia="仿宋_GB2312"/>
          <w:color w:val="auto"/>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791A08B3">
      <w:pPr>
        <w:pStyle w:val="33"/>
        <w:keepNext w:val="0"/>
        <w:keepLines w:val="0"/>
        <w:pageBreakBefore w:val="0"/>
        <w:widowControl w:val="0"/>
        <w:kinsoku/>
        <w:wordWrap/>
        <w:overflowPunct/>
        <w:topLinePunct w:val="0"/>
        <w:bidi w:val="0"/>
        <w:snapToGrid/>
        <w:spacing w:line="576" w:lineRule="exact"/>
        <w:ind w:firstLine="640" w:firstLineChars="200"/>
        <w:textAlignment w:val="auto"/>
        <w:rPr>
          <w:rFonts w:ascii="仿宋_GB2312" w:eastAsia="仿宋_GB2312" w:cs="黑体"/>
          <w:color w:val="auto"/>
          <w:sz w:val="32"/>
          <w:szCs w:val="32"/>
        </w:rPr>
      </w:pPr>
    </w:p>
    <w:p w14:paraId="13504691">
      <w:pPr>
        <w:spacing w:line="600" w:lineRule="exact"/>
        <w:jc w:val="center"/>
        <w:outlineLvl w:val="0"/>
        <w:rPr>
          <w:rFonts w:hint="eastAsia" w:ascii="方正小标宋简体" w:hAnsi="方正小标宋简体" w:eastAsia="方正小标宋简体" w:cs="方正小标宋简体"/>
          <w:sz w:val="44"/>
          <w:szCs w:val="44"/>
        </w:rPr>
      </w:pPr>
      <w:r>
        <w:rPr>
          <w:rFonts w:ascii="宋体"/>
          <w:b/>
          <w:color w:val="000000"/>
          <w:sz w:val="44"/>
          <w:szCs w:val="44"/>
        </w:rPr>
        <w:br w:type="page"/>
      </w:r>
      <w:bookmarkStart w:id="41" w:name="_Toc79163630"/>
      <w:bookmarkStart w:id="42" w:name="_Toc79163880"/>
      <w:bookmarkStart w:id="43" w:name="_Toc15396614"/>
      <w:r>
        <w:rPr>
          <w:rFonts w:hint="eastAsia" w:ascii="方正小标宋简体" w:hAnsi="方正小标宋简体" w:eastAsia="方正小标宋简体" w:cs="方正小标宋简体"/>
          <w:sz w:val="44"/>
          <w:szCs w:val="44"/>
        </w:rPr>
        <w:t>第四部分 附件</w:t>
      </w:r>
      <w:bookmarkEnd w:id="41"/>
      <w:bookmarkEnd w:id="42"/>
      <w:bookmarkEnd w:id="43"/>
    </w:p>
    <w:p w14:paraId="4CC40289">
      <w:pPr>
        <w:pageBreakBefore w:val="0"/>
        <w:kinsoku/>
        <w:wordWrap/>
        <w:overflowPunct/>
        <w:topLinePunct w:val="0"/>
        <w:bidi w:val="0"/>
        <w:spacing w:line="576" w:lineRule="exact"/>
        <w:jc w:val="left"/>
        <w:textAlignment w:val="auto"/>
        <w:outlineLvl w:val="0"/>
        <w:rPr>
          <w:rFonts w:hint="eastAsia" w:ascii="黑体" w:hAnsi="Times New Roman" w:eastAsia="黑体" w:cs="黑体"/>
          <w:sz w:val="32"/>
          <w:szCs w:val="32"/>
          <w:lang w:val="en-US" w:eastAsia="zh-CN"/>
        </w:rPr>
      </w:pPr>
      <w:bookmarkStart w:id="44" w:name="_Toc800"/>
      <w:r>
        <w:rPr>
          <w:rFonts w:hint="eastAsia" w:ascii="黑体" w:hAnsi="Times New Roman" w:eastAsia="黑体" w:cs="黑体"/>
          <w:sz w:val="32"/>
          <w:szCs w:val="32"/>
        </w:rPr>
        <w:t>附件</w:t>
      </w:r>
      <w:r>
        <w:rPr>
          <w:rFonts w:hint="eastAsia" w:ascii="黑体" w:hAnsi="Times New Roman" w:eastAsia="黑体" w:cs="黑体"/>
          <w:sz w:val="32"/>
          <w:szCs w:val="32"/>
          <w:lang w:val="en-US" w:eastAsia="zh-CN"/>
        </w:rPr>
        <w:t>1</w:t>
      </w:r>
      <w:bookmarkEnd w:id="44"/>
    </w:p>
    <w:p w14:paraId="28707732">
      <w:pPr>
        <w:pageBreakBefore w:val="0"/>
        <w:kinsoku/>
        <w:wordWrap/>
        <w:overflowPunct/>
        <w:topLinePunct w:val="0"/>
        <w:bidi w:val="0"/>
        <w:spacing w:line="576" w:lineRule="exact"/>
        <w:jc w:val="left"/>
        <w:textAlignment w:val="auto"/>
        <w:outlineLvl w:val="0"/>
        <w:rPr>
          <w:rFonts w:hint="eastAsia" w:ascii="黑体" w:hAnsi="Times New Roman" w:eastAsia="黑体" w:cs="黑体"/>
          <w:sz w:val="32"/>
          <w:szCs w:val="32"/>
          <w:lang w:val="en-US" w:eastAsia="zh-CN"/>
        </w:rPr>
      </w:pPr>
    </w:p>
    <w:p w14:paraId="7CC16261">
      <w:pPr>
        <w:widowControl/>
        <w:spacing w:line="578" w:lineRule="exact"/>
        <w:contextualSpacing/>
        <w:jc w:val="center"/>
        <w:rPr>
          <w:rFonts w:hint="eastAsia" w:ascii="黑体" w:hAnsi="Times New Roman" w:eastAsia="黑体" w:cs="黑体"/>
          <w:sz w:val="32"/>
          <w:szCs w:val="32"/>
          <w:lang w:val="en-US" w:eastAsia="zh-CN"/>
        </w:rPr>
      </w:pPr>
      <w:r>
        <w:rPr>
          <w:rFonts w:hint="eastAsia" w:ascii="方正小标宋简体" w:hAnsi="宋体" w:eastAsia="方正小标宋简体"/>
          <w:color w:val="000000"/>
          <w:sz w:val="44"/>
          <w:szCs w:val="44"/>
          <w:shd w:val="clear" w:color="auto" w:fill="FFFFFF"/>
        </w:rPr>
        <w:t>中共茂县县委机构编制委员会办公室</w:t>
      </w:r>
    </w:p>
    <w:p w14:paraId="32D06C57">
      <w:pPr>
        <w:spacing w:line="600" w:lineRule="exact"/>
        <w:jc w:val="center"/>
        <w:outlineLvl w:val="0"/>
        <w:rPr>
          <w:rFonts w:ascii="方正小标宋简体" w:hAnsi="黑体" w:eastAsia="方正小标宋简体" w:cs="黑体"/>
          <w:sz w:val="44"/>
          <w:szCs w:val="44"/>
        </w:rPr>
      </w:pPr>
      <w:r>
        <w:rPr>
          <w:rFonts w:hint="default" w:ascii="Times New Roman" w:hAnsi="Times New Roman" w:eastAsia="方正小标宋简体" w:cs="Times New Roman"/>
          <w:b w:val="0"/>
          <w:bCs/>
          <w:sz w:val="44"/>
          <w:szCs w:val="44"/>
          <w:highlight w:val="none"/>
          <w:shd w:val="clear" w:color="auto" w:fill="FFFFFF"/>
        </w:rPr>
        <w:t>部门</w:t>
      </w:r>
      <w:r>
        <w:rPr>
          <w:rFonts w:hint="default" w:ascii="Times New Roman" w:hAnsi="Times New Roman" w:eastAsia="方正小标宋简体" w:cs="Times New Roman"/>
          <w:b w:val="0"/>
          <w:bCs/>
          <w:sz w:val="44"/>
          <w:szCs w:val="44"/>
          <w:highlight w:val="none"/>
          <w:shd w:val="clear" w:color="auto" w:fill="FFFFFF"/>
          <w:lang w:eastAsia="zh-CN"/>
        </w:rPr>
        <w:t>预算</w:t>
      </w:r>
      <w:r>
        <w:rPr>
          <w:rFonts w:hint="default" w:ascii="Times New Roman" w:hAnsi="Times New Roman" w:eastAsia="方正小标宋简体" w:cs="Times New Roman"/>
          <w:b w:val="0"/>
          <w:bCs/>
          <w:sz w:val="44"/>
          <w:szCs w:val="44"/>
          <w:highlight w:val="none"/>
          <w:shd w:val="clear" w:color="auto" w:fill="FFFFFF"/>
        </w:rPr>
        <w:t>绩效</w:t>
      </w:r>
      <w:r>
        <w:rPr>
          <w:rFonts w:hint="eastAsia" w:ascii="Times New Roman" w:hAnsi="Times New Roman" w:eastAsia="方正小标宋简体" w:cs="Times New Roman"/>
          <w:b w:val="0"/>
          <w:bCs/>
          <w:sz w:val="44"/>
          <w:szCs w:val="44"/>
          <w:highlight w:val="none"/>
          <w:shd w:val="clear" w:color="auto" w:fill="FFFFFF"/>
          <w:lang w:eastAsia="zh-CN"/>
        </w:rPr>
        <w:t>评价</w:t>
      </w:r>
      <w:r>
        <w:rPr>
          <w:rFonts w:hint="default" w:ascii="Times New Roman" w:hAnsi="Times New Roman" w:eastAsia="方正小标宋简体" w:cs="Times New Roman"/>
          <w:b w:val="0"/>
          <w:bCs/>
          <w:sz w:val="44"/>
          <w:szCs w:val="44"/>
          <w:highlight w:val="none"/>
          <w:shd w:val="clear" w:color="auto" w:fill="FFFFFF"/>
        </w:rPr>
        <w:t>报告</w:t>
      </w:r>
    </w:p>
    <w:p w14:paraId="79A9365A">
      <w:pPr>
        <w:widowControl/>
        <w:adjustRightInd w:val="0"/>
        <w:snapToGrid w:val="0"/>
        <w:spacing w:line="580" w:lineRule="exact"/>
        <w:ind w:firstLine="480" w:firstLineChars="200"/>
        <w:contextualSpacing/>
        <w:jc w:val="left"/>
        <w:rPr>
          <w:rFonts w:ascii="黑体" w:hAnsi="宋体" w:eastAsia="黑体" w:cs="宋体"/>
          <w:color w:val="000000"/>
          <w:kern w:val="0"/>
          <w:sz w:val="24"/>
          <w:szCs w:val="32"/>
          <w:shd w:val="clear" w:color="auto" w:fill="FFFFFF"/>
        </w:rPr>
      </w:pPr>
    </w:p>
    <w:p w14:paraId="782155B7">
      <w:pPr>
        <w:pStyle w:val="5"/>
        <w:pageBreakBefore w:val="0"/>
        <w:kinsoku/>
        <w:wordWrap/>
        <w:overflowPunct/>
        <w:topLinePunct w:val="0"/>
        <w:autoSpaceDE/>
        <w:autoSpaceDN/>
        <w:bidi w:val="0"/>
        <w:spacing w:before="0" w:after="0" w:line="576" w:lineRule="exact"/>
        <w:ind w:firstLine="640" w:firstLineChars="200"/>
        <w:textAlignment w:val="auto"/>
        <w:rPr>
          <w:b w:val="0"/>
          <w:bCs w:val="0"/>
        </w:rPr>
      </w:pPr>
      <w:r>
        <w:rPr>
          <w:rFonts w:hint="eastAsia" w:ascii="黑体" w:hAnsi="黑体" w:eastAsia="黑体" w:cs="黑体"/>
          <w:b w:val="0"/>
          <w:bCs w:val="0"/>
        </w:rPr>
        <w:t>一、</w:t>
      </w:r>
      <w:r>
        <w:rPr>
          <w:rFonts w:hint="default" w:eastAsia="黑体" w:cs="Times New Roman"/>
          <w:b w:val="0"/>
          <w:bCs w:val="0"/>
          <w:color w:val="000000"/>
          <w:kern w:val="0"/>
          <w:sz w:val="32"/>
          <w:szCs w:val="32"/>
          <w:highlight w:val="none"/>
          <w:shd w:val="clear" w:color="auto" w:fill="FFFFFF"/>
          <w:lang w:val="zh-CN"/>
        </w:rPr>
        <w:t>部门（单位）基本情况</w:t>
      </w:r>
    </w:p>
    <w:p w14:paraId="1E80134E">
      <w:pPr>
        <w:pageBreakBefore w:val="0"/>
        <w:kinsoku/>
        <w:wordWrap/>
        <w:overflowPunct/>
        <w:topLinePunct w:val="0"/>
        <w:autoSpaceDE/>
        <w:autoSpaceDN/>
        <w:bidi w:val="0"/>
        <w:spacing w:line="576" w:lineRule="exact"/>
        <w:ind w:firstLine="643" w:firstLineChars="200"/>
        <w:textAlignment w:val="auto"/>
        <w:outlineLvl w:val="1"/>
        <w:rPr>
          <w:rStyle w:val="42"/>
          <w:rFonts w:ascii="楷体_GB2312" w:hAnsi="楷体_GB2312" w:eastAsia="楷体_GB2312" w:cs="楷体_GB2312"/>
        </w:rPr>
      </w:pPr>
      <w:r>
        <w:rPr>
          <w:rStyle w:val="42"/>
          <w:rFonts w:hint="eastAsia" w:ascii="楷体_GB2312" w:hAnsi="楷体_GB2312" w:eastAsia="楷体_GB2312" w:cs="楷体_GB2312"/>
        </w:rPr>
        <w:t>（一）机构组成</w:t>
      </w:r>
    </w:p>
    <w:p w14:paraId="39768E39">
      <w:pPr>
        <w:pageBreakBefore w:val="0"/>
        <w:kinsoku/>
        <w:wordWrap/>
        <w:overflowPunct/>
        <w:topLinePunct w:val="0"/>
        <w:autoSpaceDE/>
        <w:autoSpaceDN/>
        <w:bidi w:val="0"/>
        <w:spacing w:line="576"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本单位属一级预算单位，无下属二级预算单位，其中：行政单位1个，内设机构1个（综合股），所属副科级事业机构</w:t>
      </w:r>
      <w:r>
        <w:rPr>
          <w:rFonts w:hint="eastAsia" w:ascii="仿宋_GB2312" w:eastAsia="仿宋_GB2312"/>
          <w:sz w:val="32"/>
          <w:szCs w:val="32"/>
          <w:lang w:val="en-US" w:eastAsia="zh-CN"/>
        </w:rPr>
        <w:t>2</w:t>
      </w:r>
      <w:r>
        <w:rPr>
          <w:rFonts w:hint="eastAsia" w:ascii="仿宋_GB2312" w:eastAsia="仿宋_GB2312"/>
          <w:sz w:val="32"/>
          <w:szCs w:val="32"/>
        </w:rPr>
        <w:t>个，即</w:t>
      </w:r>
      <w:r>
        <w:rPr>
          <w:rFonts w:hint="eastAsia" w:ascii="仿宋_GB2312" w:hAnsi="仿宋_GB2312" w:eastAsia="仿宋_GB2312" w:cs="仿宋_GB2312"/>
          <w:sz w:val="32"/>
          <w:szCs w:val="32"/>
        </w:rPr>
        <w:t>事业单位登记</w:t>
      </w:r>
      <w:r>
        <w:rPr>
          <w:rFonts w:hint="eastAsia" w:ascii="仿宋_GB2312" w:hAnsi="仿宋_GB2312" w:eastAsia="仿宋_GB2312" w:cs="仿宋_GB2312"/>
          <w:sz w:val="32"/>
          <w:szCs w:val="32"/>
          <w:lang w:eastAsia="zh-CN"/>
        </w:rPr>
        <w:t>服务中心</w:t>
      </w:r>
      <w:r>
        <w:rPr>
          <w:rFonts w:hint="eastAsia" w:ascii="仿宋_GB2312" w:hAnsi="仿宋_GB2312" w:eastAsia="仿宋_GB2312" w:cs="仿宋_GB2312"/>
          <w:sz w:val="32"/>
          <w:szCs w:val="32"/>
        </w:rPr>
        <w:t>、机构编制实名制中心</w:t>
      </w:r>
      <w:r>
        <w:rPr>
          <w:rFonts w:hint="eastAsia" w:ascii="仿宋_GB2312" w:eastAsia="仿宋_GB2312"/>
          <w:sz w:val="32"/>
          <w:szCs w:val="32"/>
        </w:rPr>
        <w:t>。</w:t>
      </w:r>
    </w:p>
    <w:p w14:paraId="0A67E2F0">
      <w:pPr>
        <w:pageBreakBefore w:val="0"/>
        <w:kinsoku/>
        <w:wordWrap/>
        <w:overflowPunct/>
        <w:topLinePunct w:val="0"/>
        <w:autoSpaceDE/>
        <w:autoSpaceDN/>
        <w:bidi w:val="0"/>
        <w:spacing w:line="576" w:lineRule="exact"/>
        <w:ind w:firstLine="643" w:firstLineChars="200"/>
        <w:textAlignment w:val="auto"/>
        <w:outlineLvl w:val="1"/>
        <w:rPr>
          <w:rStyle w:val="42"/>
          <w:rFonts w:ascii="楷体_GB2312" w:hAnsi="楷体_GB2312" w:eastAsia="楷体_GB2312" w:cs="楷体_GB2312"/>
        </w:rPr>
      </w:pPr>
      <w:r>
        <w:rPr>
          <w:rStyle w:val="42"/>
          <w:rFonts w:hint="eastAsia" w:ascii="楷体_GB2312" w:hAnsi="楷体_GB2312" w:eastAsia="楷体_GB2312" w:cs="楷体_GB2312"/>
        </w:rPr>
        <w:t>（二）机构职能</w:t>
      </w:r>
    </w:p>
    <w:p w14:paraId="34B08A0C">
      <w:pPr>
        <w:widowControl/>
        <w:shd w:val="clear" w:color="auto" w:fill="FFFFFF"/>
        <w:spacing w:line="576"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1．主要职能</w:t>
      </w:r>
    </w:p>
    <w:p w14:paraId="6C9077E4">
      <w:pPr>
        <w:snapToGrid w:val="0"/>
        <w:spacing w:line="576" w:lineRule="exact"/>
        <w:ind w:firstLine="640" w:firstLineChars="200"/>
        <w:rPr>
          <w:rFonts w:hint="eastAsia" w:ascii="仿宋_GB2312" w:hAnsi="Book Antiqua" w:eastAsia="仿宋_GB2312" w:cs="Times New Roman"/>
          <w:b w:val="0"/>
          <w:bCs/>
          <w:sz w:val="32"/>
          <w:szCs w:val="32"/>
          <w:lang w:val="zh-CN"/>
        </w:rPr>
      </w:pPr>
      <w:r>
        <w:rPr>
          <w:rFonts w:hint="eastAsia" w:ascii="仿宋_GB2312" w:hAnsi="仿宋" w:eastAsia="仿宋_GB2312" w:cs="Times New Roman"/>
          <w:sz w:val="32"/>
          <w:szCs w:val="32"/>
          <w:lang w:val="en-US" w:eastAsia="zh-CN"/>
        </w:rPr>
        <w:t>县委编办是县委编委领导下负责全县行政管理体制和机构改革、事业单位改革及机构编制管理的工作部门，主要职能职责包括研究拟定全县行政管理体制和机构改革及 事业单位改革方案，审核县直各部门“三定”规定， 负责全县事业单位机构编制管理工作，负责全县事业单位登记管理工作。参与行政区划调整有关工作等。</w:t>
      </w:r>
    </w:p>
    <w:p w14:paraId="46793C6D">
      <w:pPr>
        <w:pageBreakBefore w:val="0"/>
        <w:kinsoku/>
        <w:wordWrap/>
        <w:overflowPunct/>
        <w:topLinePunct w:val="0"/>
        <w:autoSpaceDE/>
        <w:autoSpaceDN/>
        <w:bidi w:val="0"/>
        <w:spacing w:line="576" w:lineRule="exact"/>
        <w:ind w:firstLine="643" w:firstLineChars="200"/>
        <w:textAlignment w:val="auto"/>
        <w:outlineLvl w:val="1"/>
        <w:rPr>
          <w:rStyle w:val="42"/>
          <w:rFonts w:ascii="楷体_GB2312" w:hAnsi="楷体_GB2312" w:eastAsia="楷体_GB2312" w:cs="楷体_GB2312"/>
        </w:rPr>
      </w:pPr>
      <w:r>
        <w:rPr>
          <w:rStyle w:val="42"/>
          <w:rFonts w:hint="eastAsia" w:ascii="楷体_GB2312" w:hAnsi="楷体_GB2312" w:eastAsia="楷体_GB2312" w:cs="楷体_GB2312"/>
        </w:rPr>
        <w:t>（三）人员概况</w:t>
      </w:r>
    </w:p>
    <w:p w14:paraId="2C4F0B1C">
      <w:pPr>
        <w:numPr>
          <w:ilvl w:val="0"/>
          <w:numId w:val="0"/>
        </w:numPr>
        <w:spacing w:line="576" w:lineRule="exact"/>
        <w:ind w:firstLine="640" w:firstLineChars="200"/>
        <w:rPr>
          <w:rFonts w:hint="eastAsia" w:ascii="仿宋_GB2312" w:eastAsia="仿宋_GB2312"/>
          <w:sz w:val="32"/>
          <w:szCs w:val="32"/>
        </w:rPr>
      </w:pPr>
      <w:r>
        <w:rPr>
          <w:rFonts w:hint="default" w:ascii="Times New Roman" w:hAnsi="Times New Roman" w:eastAsia="仿宋_GB2312" w:cs="Times New Roman"/>
          <w:sz w:val="32"/>
          <w:szCs w:val="32"/>
          <w:lang w:val="en-US" w:eastAsia="zh-CN"/>
        </w:rPr>
        <w:t>截至202</w:t>
      </w:r>
      <w:r>
        <w:rPr>
          <w:rFonts w:hint="eastAsia" w:eastAsia="仿宋_GB2312" w:cs="Times New Roman"/>
          <w:sz w:val="32"/>
          <w:szCs w:val="32"/>
          <w:lang w:val="en-US" w:eastAsia="zh-CN"/>
        </w:rPr>
        <w:t>5</w:t>
      </w:r>
      <w:r>
        <w:rPr>
          <w:rFonts w:hint="default" w:ascii="Times New Roman" w:hAnsi="Times New Roman" w:eastAsia="仿宋_GB2312" w:cs="Times New Roman"/>
          <w:sz w:val="32"/>
          <w:szCs w:val="32"/>
          <w:lang w:val="en-US" w:eastAsia="zh-CN"/>
        </w:rPr>
        <w:t>年末</w:t>
      </w:r>
      <w:r>
        <w:rPr>
          <w:rFonts w:hint="eastAsia" w:ascii="Times New Roman" w:hAnsi="Times New Roman" w:eastAsia="仿宋_GB2312" w:cs="Times New Roman"/>
          <w:sz w:val="32"/>
          <w:szCs w:val="32"/>
          <w:lang w:val="en-US" w:eastAsia="zh-CN"/>
        </w:rPr>
        <w:t>，</w:t>
      </w:r>
      <w:r>
        <w:rPr>
          <w:rFonts w:hint="eastAsia" w:ascii="仿宋_GB2312" w:eastAsia="仿宋_GB2312"/>
          <w:sz w:val="32"/>
          <w:szCs w:val="32"/>
          <w:lang w:eastAsia="zh-CN"/>
        </w:rPr>
        <w:t>本</w:t>
      </w:r>
      <w:r>
        <w:rPr>
          <w:rFonts w:hint="eastAsia" w:ascii="仿宋_GB2312" w:eastAsia="仿宋_GB2312"/>
          <w:sz w:val="32"/>
          <w:szCs w:val="32"/>
        </w:rPr>
        <w:t>部门编制人数1</w:t>
      </w:r>
      <w:r>
        <w:rPr>
          <w:rFonts w:hint="eastAsia" w:ascii="仿宋_GB2312" w:eastAsia="仿宋_GB2312"/>
          <w:sz w:val="32"/>
          <w:szCs w:val="32"/>
          <w:lang w:val="en-US" w:eastAsia="zh-CN"/>
        </w:rPr>
        <w:t>6</w:t>
      </w:r>
      <w:r>
        <w:rPr>
          <w:rFonts w:hint="eastAsia" w:ascii="仿宋_GB2312" w:eastAsia="仿宋_GB2312"/>
          <w:sz w:val="32"/>
          <w:szCs w:val="32"/>
        </w:rPr>
        <w:t>名,其中:行政编制5名,事业编制 1</w:t>
      </w:r>
      <w:r>
        <w:rPr>
          <w:rFonts w:hint="eastAsia" w:ascii="仿宋_GB2312" w:eastAsia="仿宋_GB2312"/>
          <w:sz w:val="32"/>
          <w:szCs w:val="32"/>
          <w:lang w:val="en-US" w:eastAsia="zh-CN"/>
        </w:rPr>
        <w:t>1</w:t>
      </w:r>
      <w:r>
        <w:rPr>
          <w:rFonts w:hint="eastAsia" w:ascii="仿宋_GB2312" w:eastAsia="仿宋_GB2312"/>
          <w:sz w:val="32"/>
          <w:szCs w:val="32"/>
        </w:rPr>
        <w:t>名。年末在职人员实有人数1</w:t>
      </w:r>
      <w:r>
        <w:rPr>
          <w:rFonts w:hint="eastAsia" w:ascii="仿宋_GB2312" w:eastAsia="仿宋_GB2312"/>
          <w:sz w:val="32"/>
          <w:szCs w:val="32"/>
          <w:lang w:val="en-US" w:eastAsia="zh-CN"/>
        </w:rPr>
        <w:t>4</w:t>
      </w:r>
      <w:r>
        <w:rPr>
          <w:rFonts w:hint="eastAsia" w:ascii="仿宋_GB2312" w:eastAsia="仿宋_GB2312"/>
          <w:sz w:val="32"/>
          <w:szCs w:val="32"/>
        </w:rPr>
        <w:t>名，其中：</w:t>
      </w:r>
      <w:r>
        <w:rPr>
          <w:rFonts w:hint="eastAsia" w:ascii="Times New Roman" w:hAnsi="Times New Roman" w:eastAsia="仿宋_GB2312" w:cs="Times New Roman"/>
          <w:sz w:val="32"/>
          <w:szCs w:val="32"/>
          <w:lang w:val="en-US" w:eastAsia="zh-CN"/>
        </w:rPr>
        <w:t>行政人员3人，事业人员10人，保留机关工勤人员控制数1人</w:t>
      </w:r>
      <w:r>
        <w:rPr>
          <w:rFonts w:hint="eastAsia" w:ascii="仿宋_GB2312" w:eastAsia="仿宋_GB2312"/>
          <w:sz w:val="32"/>
          <w:szCs w:val="32"/>
        </w:rPr>
        <w:t>。</w:t>
      </w:r>
    </w:p>
    <w:p w14:paraId="51BAC693">
      <w:pPr>
        <w:pStyle w:val="5"/>
        <w:pageBreakBefore w:val="0"/>
        <w:kinsoku/>
        <w:wordWrap/>
        <w:overflowPunct/>
        <w:topLinePunct w:val="0"/>
        <w:autoSpaceDE/>
        <w:autoSpaceDN/>
        <w:bidi w:val="0"/>
        <w:spacing w:before="0" w:after="0" w:line="576" w:lineRule="exact"/>
        <w:ind w:firstLine="640" w:firstLineChars="200"/>
        <w:textAlignment w:val="auto"/>
        <w:rPr>
          <w:rFonts w:ascii="仿宋" w:hAnsi="仿宋" w:eastAsia="仿宋"/>
          <w:b w:val="0"/>
          <w:bCs w:val="0"/>
        </w:rPr>
      </w:pPr>
      <w:r>
        <w:rPr>
          <w:rFonts w:ascii="黑体" w:hAnsi="黑体" w:eastAsia="黑体" w:cs="黑体"/>
          <w:b w:val="0"/>
          <w:bCs w:val="0"/>
        </w:rPr>
        <w:t>二、部门财政资金收支情况</w:t>
      </w:r>
    </w:p>
    <w:p w14:paraId="02182D8D">
      <w:pPr>
        <w:pageBreakBefore w:val="0"/>
        <w:kinsoku/>
        <w:wordWrap/>
        <w:overflowPunct/>
        <w:topLinePunct w:val="0"/>
        <w:autoSpaceDE/>
        <w:autoSpaceDN/>
        <w:bidi w:val="0"/>
        <w:spacing w:line="576" w:lineRule="exact"/>
        <w:ind w:firstLine="643" w:firstLineChars="200"/>
        <w:textAlignment w:val="auto"/>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（一）收入情况</w:t>
      </w:r>
    </w:p>
    <w:p w14:paraId="1706888D">
      <w:pPr>
        <w:pageBreakBefore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年单位财政资金收入共计</w:t>
      </w:r>
      <w:r>
        <w:rPr>
          <w:rFonts w:hint="eastAsia" w:ascii="仿宋_GB2312" w:hAnsi="仿宋_GB2312" w:eastAsia="仿宋_GB2312" w:cs="仿宋_GB2312"/>
          <w:sz w:val="32"/>
          <w:szCs w:val="32"/>
          <w:lang w:val="en-US" w:eastAsia="zh-CN"/>
        </w:rPr>
        <w:t>289.3万</w:t>
      </w:r>
      <w:r>
        <w:rPr>
          <w:rFonts w:hint="eastAsia" w:ascii="仿宋_GB2312" w:hAnsi="仿宋_GB2312" w:eastAsia="仿宋_GB2312" w:cs="仿宋_GB2312"/>
          <w:sz w:val="32"/>
          <w:szCs w:val="32"/>
        </w:rPr>
        <w:t>元，均为一般公共预算财政拨款收入，单位无上级补助收入、事业收入、经营收入等其他性质的经费收入。</w:t>
      </w:r>
    </w:p>
    <w:p w14:paraId="00F3D17B">
      <w:pPr>
        <w:pageBreakBefore w:val="0"/>
        <w:kinsoku/>
        <w:wordWrap/>
        <w:overflowPunct/>
        <w:topLinePunct w:val="0"/>
        <w:autoSpaceDE/>
        <w:autoSpaceDN/>
        <w:bidi w:val="0"/>
        <w:spacing w:line="576" w:lineRule="exact"/>
        <w:ind w:firstLine="643" w:firstLineChars="200"/>
        <w:textAlignment w:val="auto"/>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（二）支出情况</w:t>
      </w:r>
    </w:p>
    <w:p w14:paraId="556A5E27">
      <w:pPr>
        <w:pageBreakBefore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年单位财政资金支出决算数为</w:t>
      </w:r>
      <w:r>
        <w:rPr>
          <w:rFonts w:hint="eastAsia" w:ascii="仿宋_GB2312" w:hAnsi="仿宋_GB2312" w:eastAsia="仿宋_GB2312" w:cs="仿宋_GB2312"/>
          <w:sz w:val="32"/>
          <w:szCs w:val="32"/>
          <w:lang w:val="en-US" w:eastAsia="zh-CN"/>
        </w:rPr>
        <w:t>289.3万</w:t>
      </w:r>
      <w:r>
        <w:rPr>
          <w:rFonts w:hint="eastAsia" w:ascii="仿宋_GB2312" w:hAnsi="仿宋_GB2312" w:eastAsia="仿宋_GB2312" w:cs="仿宋_GB2312"/>
          <w:sz w:val="32"/>
          <w:szCs w:val="32"/>
        </w:rPr>
        <w:t>元，均为财政补助支出。</w:t>
      </w:r>
    </w:p>
    <w:p w14:paraId="1DF81E27">
      <w:pPr>
        <w:keepNext w:val="0"/>
        <w:keepLines w:val="0"/>
        <w:pageBreakBefore w:val="0"/>
        <w:widowControl/>
        <w:numPr>
          <w:ilvl w:val="0"/>
          <w:numId w:val="2"/>
        </w:numPr>
        <w:kinsoku/>
        <w:wordWrap/>
        <w:overflowPunct/>
        <w:topLinePunct w:val="0"/>
        <w:autoSpaceDE/>
        <w:autoSpaceDN/>
        <w:bidi w:val="0"/>
        <w:adjustRightInd w:val="0"/>
        <w:snapToGrid w:val="0"/>
        <w:spacing w:line="576" w:lineRule="exact"/>
        <w:ind w:firstLine="643" w:firstLineChars="200"/>
        <w:contextualSpacing/>
        <w:jc w:val="left"/>
        <w:textAlignment w:val="auto"/>
        <w:outlineLvl w:val="9"/>
        <w:rPr>
          <w:rFonts w:hint="eastAsia" w:ascii="Times New Roman" w:hAnsi="Times New Roman" w:eastAsia="楷体_GB2312" w:cs="Times New Roman"/>
          <w:b/>
          <w:bCs/>
          <w:color w:val="000000"/>
          <w:kern w:val="0"/>
          <w:sz w:val="32"/>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结余分配和结转结余情况</w:t>
      </w:r>
    </w:p>
    <w:p w14:paraId="5C66D4C3">
      <w:pPr>
        <w:pageBreakBefore w:val="0"/>
        <w:kinsoku/>
        <w:wordWrap/>
        <w:overflowPunct/>
        <w:topLinePunct w:val="0"/>
        <w:autoSpaceDE/>
        <w:autoSpaceDN/>
        <w:bidi w:val="0"/>
        <w:spacing w:line="576" w:lineRule="exact"/>
        <w:ind w:firstLine="640" w:firstLineChars="200"/>
        <w:textAlignment w:val="auto"/>
        <w:rPr>
          <w:rFonts w:hint="eastAsia"/>
        </w:rPr>
      </w:pPr>
      <w:r>
        <w:rPr>
          <w:rFonts w:hint="eastAsia" w:ascii="仿宋_GB2312" w:hAnsi="仿宋_GB2312" w:eastAsia="仿宋_GB2312" w:cs="仿宋_GB2312"/>
          <w:sz w:val="32"/>
          <w:szCs w:val="32"/>
          <w:lang w:val="en-US" w:eastAsia="zh-CN"/>
        </w:rPr>
        <w:t>本单位2025年无决算报表</w:t>
      </w:r>
      <w:r>
        <w:rPr>
          <w:rFonts w:hint="default" w:ascii="仿宋_GB2312" w:hAnsi="仿宋_GB2312" w:eastAsia="仿宋_GB2312" w:cs="仿宋_GB2312"/>
          <w:sz w:val="32"/>
          <w:szCs w:val="32"/>
          <w:lang w:val="en-US" w:eastAsia="zh-CN"/>
        </w:rPr>
        <w:t>结转结余</w:t>
      </w:r>
      <w:r>
        <w:rPr>
          <w:rFonts w:hint="eastAsia" w:ascii="仿宋_GB2312" w:hAnsi="仿宋_GB2312" w:eastAsia="仿宋_GB2312" w:cs="仿宋_GB2312"/>
          <w:sz w:val="32"/>
          <w:szCs w:val="32"/>
          <w:lang w:val="en-US" w:eastAsia="zh-CN"/>
        </w:rPr>
        <w:t>情况</w:t>
      </w:r>
      <w:r>
        <w:rPr>
          <w:rFonts w:hint="default" w:ascii="仿宋_GB2312" w:hAnsi="仿宋_GB2312" w:eastAsia="仿宋_GB2312" w:cs="仿宋_GB2312"/>
          <w:sz w:val="32"/>
          <w:szCs w:val="32"/>
          <w:lang w:val="en-US" w:eastAsia="zh-CN"/>
        </w:rPr>
        <w:t>。</w:t>
      </w:r>
    </w:p>
    <w:p w14:paraId="2D9D801B">
      <w:pPr>
        <w:pStyle w:val="5"/>
        <w:pageBreakBefore w:val="0"/>
        <w:kinsoku/>
        <w:wordWrap/>
        <w:overflowPunct/>
        <w:topLinePunct w:val="0"/>
        <w:autoSpaceDE/>
        <w:autoSpaceDN/>
        <w:bidi w:val="0"/>
        <w:spacing w:before="0" w:after="0" w:line="576" w:lineRule="exact"/>
        <w:ind w:firstLine="640" w:firstLineChars="200"/>
        <w:textAlignment w:val="auto"/>
        <w:rPr>
          <w:rFonts w:hint="eastAsia" w:ascii="黑体" w:hAnsi="黑体" w:eastAsia="黑体" w:cs="黑体"/>
          <w:b w:val="0"/>
          <w:bCs w:val="0"/>
          <w:lang w:eastAsia="zh-CN"/>
        </w:rPr>
      </w:pPr>
      <w:r>
        <w:rPr>
          <w:rFonts w:ascii="黑体" w:hAnsi="黑体" w:eastAsia="黑体" w:cs="黑体"/>
          <w:b w:val="0"/>
          <w:bCs w:val="0"/>
        </w:rPr>
        <w:t>三、部门预算绩效</w:t>
      </w:r>
      <w:r>
        <w:rPr>
          <w:rFonts w:hint="eastAsia" w:ascii="黑体" w:hAnsi="黑体" w:eastAsia="黑体" w:cs="黑体"/>
          <w:b w:val="0"/>
          <w:bCs w:val="0"/>
          <w:lang w:eastAsia="zh-CN"/>
        </w:rPr>
        <w:t>分析</w:t>
      </w:r>
    </w:p>
    <w:p w14:paraId="03A11956">
      <w:pPr>
        <w:pageBreakBefore w:val="0"/>
        <w:kinsoku/>
        <w:wordWrap/>
        <w:overflowPunct/>
        <w:topLinePunct w:val="0"/>
        <w:autoSpaceDE/>
        <w:autoSpaceDN/>
        <w:bidi w:val="0"/>
        <w:spacing w:line="576" w:lineRule="exact"/>
        <w:ind w:firstLine="643" w:firstLineChars="200"/>
        <w:textAlignment w:val="auto"/>
        <w:outlineLvl w:val="1"/>
        <w:rPr>
          <w:rStyle w:val="42"/>
          <w:rFonts w:hint="eastAsia" w:ascii="楷体_GB2312" w:hAnsi="楷体_GB2312" w:eastAsia="楷体_GB2312" w:cs="楷体_GB2312"/>
          <w:lang w:val="zh-CN"/>
        </w:rPr>
      </w:pPr>
      <w:r>
        <w:rPr>
          <w:rStyle w:val="42"/>
          <w:rFonts w:hint="eastAsia" w:ascii="楷体_GB2312" w:hAnsi="楷体_GB2312" w:eastAsia="楷体_GB2312" w:cs="楷体_GB2312"/>
        </w:rPr>
        <w:t>（一）</w:t>
      </w:r>
      <w:r>
        <w:rPr>
          <w:rStyle w:val="42"/>
          <w:rFonts w:hint="eastAsia" w:ascii="楷体_GB2312" w:hAnsi="楷体_GB2312" w:eastAsia="楷体_GB2312" w:cs="楷体_GB2312"/>
          <w:lang w:val="zh-CN"/>
        </w:rPr>
        <w:t>部门预算总体绩效分析</w:t>
      </w:r>
    </w:p>
    <w:p w14:paraId="7D888548">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sz w:val="32"/>
          <w:szCs w:val="32"/>
          <w:lang w:val="en" w:eastAsia="zh-CN"/>
        </w:rPr>
      </w:pPr>
      <w:r>
        <w:rPr>
          <w:rFonts w:hint="eastAsia" w:ascii="仿宋_GB2312" w:hAnsi="仿宋_GB2312" w:eastAsia="仿宋_GB2312" w:cs="仿宋_GB2312"/>
          <w:sz w:val="32"/>
          <w:szCs w:val="32"/>
          <w:lang w:val="en" w:eastAsia="zh-CN"/>
        </w:rPr>
        <w:t>我单位在编制2025年预算时，按照县级财政部门要求，同时结合自身工作实际制定了部门整体支出绩效总体目标及绩效指标，同时扎实推进预算绩效管理工作，采用前期控制、中期监控、后期评价、结果运用的绩效管理办法，着力构建“全方位、全过程、全覆盖”的预算绩效规范化管理体系。2025年部门整体支出绩效总体上达到既定目标，有效保障了单位正常运转及开展部门职能工作。</w:t>
      </w:r>
    </w:p>
    <w:p w14:paraId="2DB1FC2B">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sz w:val="32"/>
          <w:szCs w:val="32"/>
          <w:lang w:val="en" w:eastAsia="zh-CN"/>
        </w:rPr>
      </w:pPr>
      <w:r>
        <w:rPr>
          <w:rFonts w:hint="eastAsia" w:ascii="Times New Roman" w:hAnsi="Times New Roman" w:eastAsia="楷体_GB2312" w:cs="Times New Roman"/>
          <w:color w:val="000000"/>
          <w:kern w:val="0"/>
          <w:sz w:val="32"/>
          <w:szCs w:val="32"/>
          <w:shd w:val="clear" w:color="auto" w:fill="FFFFFF"/>
          <w:lang w:val="en" w:eastAsia="zh-CN"/>
        </w:rPr>
        <w:t>1.履职效能。</w:t>
      </w:r>
      <w:r>
        <w:rPr>
          <w:rFonts w:hint="eastAsia" w:ascii="仿宋_GB2312" w:hAnsi="仿宋_GB2312" w:eastAsia="仿宋_GB2312" w:cs="仿宋_GB2312"/>
          <w:sz w:val="32"/>
          <w:szCs w:val="32"/>
          <w:lang w:val="en" w:eastAsia="zh-CN"/>
        </w:rPr>
        <w:t>2025年部门预算总体绩效工资性、定额公用经费支出、社会保险等设定数量指标：发放覆盖率100%，社会效益指标：足额保障率100%；完成率100%，保障了单位工作正常运转。</w:t>
      </w:r>
    </w:p>
    <w:p w14:paraId="46737B3C">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sz w:val="32"/>
          <w:szCs w:val="32"/>
          <w:lang w:val="en" w:eastAsia="zh-CN"/>
        </w:rPr>
      </w:pPr>
      <w:r>
        <w:rPr>
          <w:rFonts w:hint="eastAsia" w:ascii="Times New Roman" w:hAnsi="Times New Roman" w:eastAsia="楷体_GB2312" w:cs="Times New Roman"/>
          <w:color w:val="000000"/>
          <w:kern w:val="0"/>
          <w:sz w:val="32"/>
          <w:szCs w:val="32"/>
          <w:shd w:val="clear" w:color="auto" w:fill="FFFFFF"/>
          <w:lang w:val="en" w:eastAsia="zh-CN"/>
        </w:rPr>
        <w:t>2.预算管理。</w:t>
      </w:r>
      <w:r>
        <w:rPr>
          <w:rFonts w:hint="eastAsia" w:ascii="仿宋_GB2312" w:hAnsi="仿宋_GB2312" w:eastAsia="仿宋_GB2312" w:cs="仿宋_GB2312"/>
          <w:sz w:val="32"/>
          <w:szCs w:val="32"/>
          <w:lang w:val="en" w:eastAsia="zh-CN"/>
        </w:rPr>
        <w:t>严格按要求编制年初部门预算，不虚报、不漏报、不瞒报，年初预算编制科学、准确。单位统筹安排各项收入，严格控制严控“三公”经费、会议、培训、差旅、办节办展、办公设备购置、信息网络及软件购置更新等一般性支出，对各项支出严格控制执行进度、预算年终无结余。</w:t>
      </w:r>
    </w:p>
    <w:p w14:paraId="41B6CB79">
      <w:pPr>
        <w:pageBreakBefore w:val="0"/>
        <w:widowControl/>
        <w:kinsoku/>
        <w:wordWrap/>
        <w:overflowPunct/>
        <w:topLinePunct w:val="0"/>
        <w:autoSpaceDE/>
        <w:autoSpaceDN/>
        <w:bidi w:val="0"/>
        <w:adjustRightInd w:val="0"/>
        <w:snapToGrid w:val="0"/>
        <w:spacing w:line="576" w:lineRule="exact"/>
        <w:ind w:firstLine="640" w:firstLineChars="200"/>
        <w:contextualSpacing/>
        <w:jc w:val="left"/>
        <w:textAlignment w:val="auto"/>
        <w:rPr>
          <w:rFonts w:hint="eastAsia" w:ascii="Times New Roman" w:hAnsi="Times New Roman" w:eastAsia="仿宋_GB2312" w:cs="Times New Roman"/>
          <w:color w:val="000000"/>
          <w:kern w:val="0"/>
          <w:sz w:val="32"/>
          <w:szCs w:val="32"/>
          <w:shd w:val="clear" w:color="auto" w:fill="FFFFFF"/>
          <w:lang w:val="zh-CN"/>
        </w:rPr>
      </w:pPr>
      <w:r>
        <w:rPr>
          <w:rFonts w:hint="eastAsia" w:ascii="Times New Roman" w:hAnsi="Times New Roman" w:eastAsia="仿宋_GB2312" w:cs="Times New Roman"/>
          <w:color w:val="000000"/>
          <w:kern w:val="0"/>
          <w:sz w:val="32"/>
          <w:szCs w:val="32"/>
          <w:shd w:val="clear" w:color="auto" w:fill="FFFFFF"/>
          <w:lang w:val="zh-CN"/>
        </w:rPr>
        <w:t xml:space="preserve"> 3.财务管理。严格执行《政府会计制度》，规范账务处理，会计凭证和财务报告真实完整。加强</w:t>
      </w:r>
      <w:r>
        <w:rPr>
          <w:rFonts w:hint="default" w:ascii="Times New Roman" w:hAnsi="Times New Roman" w:eastAsia="仿宋_GB2312" w:cs="Times New Roman"/>
          <w:color w:val="000000"/>
          <w:kern w:val="0"/>
          <w:sz w:val="32"/>
          <w:szCs w:val="32"/>
          <w:shd w:val="clear" w:color="auto" w:fill="FFFFFF"/>
          <w:lang w:val="zh-CN"/>
        </w:rPr>
        <w:t>“三公”经费管理，严格控制“三公”经费支出。明确一般性支出的开支范围和标准，严格报账审核。公务接待费、差旅费严格按照相关规定执行。</w:t>
      </w:r>
    </w:p>
    <w:p w14:paraId="635F09A2">
      <w:pPr>
        <w:pageBreakBefore w:val="0"/>
        <w:widowControl/>
        <w:kinsoku/>
        <w:wordWrap/>
        <w:overflowPunct/>
        <w:topLinePunct w:val="0"/>
        <w:autoSpaceDE/>
        <w:autoSpaceDN/>
        <w:bidi w:val="0"/>
        <w:adjustRightInd w:val="0"/>
        <w:snapToGrid w:val="0"/>
        <w:spacing w:line="576" w:lineRule="exact"/>
        <w:ind w:firstLine="640" w:firstLineChars="200"/>
        <w:contextualSpacing/>
        <w:jc w:val="left"/>
        <w:textAlignment w:val="auto"/>
        <w:rPr>
          <w:rFonts w:hint="eastAsia" w:ascii="Times New Roman" w:hAnsi="Times New Roman" w:eastAsia="仿宋_GB2312" w:cs="Times New Roman"/>
          <w:color w:val="000000"/>
          <w:kern w:val="0"/>
          <w:sz w:val="32"/>
          <w:szCs w:val="32"/>
          <w:shd w:val="clear" w:color="auto" w:fill="FFFFFF"/>
          <w:lang w:val="zh-CN"/>
        </w:rPr>
      </w:pPr>
      <w:r>
        <w:rPr>
          <w:rFonts w:hint="eastAsia" w:ascii="Times New Roman" w:hAnsi="Times New Roman" w:eastAsia="仿宋_GB2312" w:cs="Times New Roman"/>
          <w:color w:val="000000"/>
          <w:kern w:val="0"/>
          <w:sz w:val="32"/>
          <w:szCs w:val="32"/>
          <w:shd w:val="clear" w:color="auto" w:fill="FFFFFF"/>
          <w:lang w:val="zh-CN"/>
        </w:rPr>
        <w:t>4.</w:t>
      </w:r>
      <w:r>
        <w:rPr>
          <w:rFonts w:ascii="Times New Roman" w:hAnsi="Times New Roman" w:eastAsia="仿宋_GB2312" w:cs="Times New Roman"/>
          <w:color w:val="000000"/>
          <w:kern w:val="0"/>
          <w:sz w:val="32"/>
          <w:szCs w:val="32"/>
          <w:shd w:val="clear" w:color="auto" w:fill="FFFFFF"/>
          <w:lang w:val="zh-CN"/>
        </w:rPr>
        <w:t>资产管理</w:t>
      </w:r>
      <w:r>
        <w:rPr>
          <w:rFonts w:hint="eastAsia" w:ascii="Times New Roman" w:hAnsi="Times New Roman" w:eastAsia="仿宋_GB2312" w:cs="Times New Roman"/>
          <w:color w:val="000000"/>
          <w:kern w:val="0"/>
          <w:sz w:val="32"/>
          <w:szCs w:val="32"/>
          <w:shd w:val="clear" w:color="auto" w:fill="FFFFFF"/>
          <w:lang w:val="zh-CN"/>
        </w:rPr>
        <w:t>。在资产管理方面，坚持谁使用谁保管谁负责的原则，建立台账，各负其责，财务室负责固定资产的日常账务处理，办公室负责台账登记和日常</w:t>
      </w:r>
      <w:r>
        <w:rPr>
          <w:rFonts w:hint="eastAsia" w:ascii="Times New Roman" w:hAnsi="Times New Roman" w:eastAsia="仿宋_GB2312" w:cs="Times New Roman"/>
          <w:color w:val="000000"/>
          <w:kern w:val="0"/>
          <w:sz w:val="32"/>
          <w:szCs w:val="32"/>
          <w:shd w:val="clear" w:color="auto" w:fill="FFFFFF"/>
          <w:lang w:val="zh-CN" w:eastAsia="zh-CN"/>
        </w:rPr>
        <w:t>维修，使资产</w:t>
      </w:r>
      <w:r>
        <w:rPr>
          <w:rFonts w:hint="eastAsia" w:ascii="Times New Roman" w:hAnsi="Times New Roman" w:eastAsia="仿宋_GB2312" w:cs="Times New Roman"/>
          <w:color w:val="000000"/>
          <w:kern w:val="0"/>
          <w:sz w:val="32"/>
          <w:szCs w:val="32"/>
          <w:shd w:val="clear" w:color="auto" w:fill="FFFFFF"/>
          <w:lang w:val="en-US" w:eastAsia="zh-CN"/>
        </w:rPr>
        <w:t>能保障单位工作的正常运转。在办公设备配置上，严格执行电脑</w:t>
      </w:r>
      <w:r>
        <w:rPr>
          <w:rFonts w:hint="eastAsia" w:eastAsia="仿宋_GB2312" w:cs="Times New Roman"/>
          <w:color w:val="000000"/>
          <w:kern w:val="0"/>
          <w:sz w:val="32"/>
          <w:szCs w:val="32"/>
          <w:shd w:val="clear" w:color="auto" w:fill="FFFFFF"/>
          <w:lang w:val="en-US" w:eastAsia="zh-CN"/>
        </w:rPr>
        <w:t>、</w:t>
      </w:r>
      <w:r>
        <w:rPr>
          <w:rFonts w:hint="eastAsia" w:ascii="Times New Roman" w:hAnsi="Times New Roman" w:eastAsia="仿宋_GB2312" w:cs="Times New Roman"/>
          <w:color w:val="000000"/>
          <w:kern w:val="0"/>
          <w:sz w:val="32"/>
          <w:szCs w:val="32"/>
          <w:shd w:val="clear" w:color="auto" w:fill="FFFFFF"/>
          <w:lang w:val="en-US" w:eastAsia="zh-CN"/>
        </w:rPr>
        <w:t>打印机等最低使用年限且年限满后只要维修后能正常使用的我单位都将继续使用，没有超出配置。资产利用率达100%，无闲置资产。</w:t>
      </w:r>
    </w:p>
    <w:p w14:paraId="39FE8589">
      <w:pPr>
        <w:pageBreakBefore w:val="0"/>
        <w:widowControl/>
        <w:kinsoku/>
        <w:wordWrap/>
        <w:overflowPunct/>
        <w:topLinePunct w:val="0"/>
        <w:autoSpaceDE/>
        <w:autoSpaceDN/>
        <w:bidi w:val="0"/>
        <w:adjustRightInd w:val="0"/>
        <w:snapToGrid w:val="0"/>
        <w:spacing w:line="576" w:lineRule="exact"/>
        <w:ind w:firstLine="640" w:firstLineChars="200"/>
        <w:contextualSpacing/>
        <w:jc w:val="left"/>
        <w:textAlignment w:val="auto"/>
        <w:rPr>
          <w:rFonts w:hint="eastAsia" w:ascii="Times New Roman" w:hAnsi="Times New Roman" w:eastAsia="仿宋_GB2312" w:cs="Times New Roman"/>
          <w:color w:val="000000"/>
          <w:kern w:val="0"/>
          <w:sz w:val="32"/>
          <w:szCs w:val="32"/>
          <w:shd w:val="clear" w:color="auto" w:fill="FFFFFF"/>
          <w:lang w:val="zh-CN"/>
        </w:rPr>
      </w:pPr>
      <w:r>
        <w:rPr>
          <w:rFonts w:hint="eastAsia" w:ascii="Times New Roman" w:hAnsi="Times New Roman" w:eastAsia="仿宋_GB2312" w:cs="Times New Roman"/>
          <w:color w:val="000000"/>
          <w:kern w:val="0"/>
          <w:sz w:val="32"/>
          <w:szCs w:val="32"/>
          <w:shd w:val="clear" w:color="auto" w:fill="FFFFFF"/>
          <w:lang w:val="zh-CN"/>
        </w:rPr>
        <w:t>5.</w:t>
      </w:r>
      <w:r>
        <w:rPr>
          <w:rFonts w:ascii="Times New Roman" w:hAnsi="Times New Roman" w:eastAsia="仿宋_GB2312" w:cs="Times New Roman"/>
          <w:color w:val="000000"/>
          <w:kern w:val="0"/>
          <w:sz w:val="32"/>
          <w:szCs w:val="32"/>
          <w:shd w:val="clear" w:color="auto" w:fill="FFFFFF"/>
          <w:lang w:val="zh-CN"/>
        </w:rPr>
        <w:t>采购管理</w:t>
      </w:r>
      <w:r>
        <w:rPr>
          <w:rFonts w:hint="eastAsia" w:ascii="Times New Roman" w:hAnsi="Times New Roman" w:eastAsia="仿宋_GB2312" w:cs="Times New Roman"/>
          <w:color w:val="000000"/>
          <w:kern w:val="0"/>
          <w:sz w:val="32"/>
          <w:szCs w:val="32"/>
          <w:shd w:val="clear" w:color="auto" w:fill="FFFFFF"/>
          <w:lang w:val="zh-CN"/>
        </w:rPr>
        <w:t>。全年按照年初采购预算和工作实际需要，根据《中华人民共和国政府采购法》《中华人民共和国政府采购法实施条例》和政府采购制度等管理规定，坚决按照政府采购程序采购。</w:t>
      </w:r>
    </w:p>
    <w:p w14:paraId="0EABB16B">
      <w:pPr>
        <w:pageBreakBefore w:val="0"/>
        <w:widowControl/>
        <w:kinsoku/>
        <w:wordWrap/>
        <w:overflowPunct/>
        <w:topLinePunct w:val="0"/>
        <w:autoSpaceDE/>
        <w:autoSpaceDN/>
        <w:bidi w:val="0"/>
        <w:adjustRightInd w:val="0"/>
        <w:snapToGrid w:val="0"/>
        <w:spacing w:line="576" w:lineRule="exact"/>
        <w:ind w:firstLine="643" w:firstLineChars="200"/>
        <w:contextualSpacing/>
        <w:jc w:val="left"/>
        <w:textAlignment w:val="auto"/>
        <w:rPr>
          <w:rFonts w:ascii="Times New Roman" w:hAnsi="Times New Roman" w:eastAsia="仿宋_GB2312" w:cs="Times New Roman"/>
          <w:color w:val="000000"/>
          <w:kern w:val="0"/>
          <w:sz w:val="32"/>
          <w:szCs w:val="32"/>
          <w:shd w:val="clear" w:color="auto" w:fill="FFFFFF"/>
          <w:lang w:val="zh-CN"/>
        </w:rPr>
      </w:pPr>
      <w:r>
        <w:rPr>
          <w:rStyle w:val="42"/>
          <w:rFonts w:hint="eastAsia" w:ascii="楷体_GB2312" w:hAnsi="楷体_GB2312" w:eastAsia="楷体_GB2312" w:cs="楷体_GB2312"/>
          <w:lang w:val="zh-CN"/>
        </w:rPr>
        <w:t>（二）部门预算项目绩效分析</w:t>
      </w:r>
    </w:p>
    <w:p w14:paraId="381F6957">
      <w:pPr>
        <w:pageBreakBefore w:val="0"/>
        <w:widowControl/>
        <w:kinsoku/>
        <w:wordWrap/>
        <w:overflowPunct/>
        <w:topLinePunct w:val="0"/>
        <w:autoSpaceDE/>
        <w:autoSpaceDN/>
        <w:bidi w:val="0"/>
        <w:adjustRightInd w:val="0"/>
        <w:snapToGrid w:val="0"/>
        <w:spacing w:line="576" w:lineRule="exact"/>
        <w:ind w:firstLine="640" w:firstLineChars="200"/>
        <w:contextualSpacing/>
        <w:jc w:val="left"/>
        <w:textAlignment w:val="auto"/>
        <w:rPr>
          <w:rFonts w:ascii="Times New Roman" w:hAnsi="Times New Roman" w:eastAsia="仿宋_GB2312" w:cs="Times New Roman"/>
          <w:color w:val="000000"/>
          <w:kern w:val="0"/>
          <w:sz w:val="32"/>
          <w:szCs w:val="32"/>
          <w:shd w:val="clear" w:color="auto" w:fill="FFFFFF"/>
          <w:lang w:val="zh-CN"/>
        </w:rPr>
      </w:pPr>
      <w:r>
        <w:rPr>
          <w:rFonts w:ascii="Times New Roman" w:hAnsi="Times New Roman" w:eastAsia="仿宋_GB2312" w:cs="Times New Roman"/>
          <w:color w:val="000000"/>
          <w:kern w:val="0"/>
          <w:sz w:val="32"/>
          <w:szCs w:val="32"/>
          <w:shd w:val="clear" w:color="auto" w:fill="FFFFFF"/>
          <w:lang w:val="zh-CN"/>
        </w:rPr>
        <w:t>常年项目绩效分析。</w:t>
      </w:r>
      <w:r>
        <w:rPr>
          <w:rFonts w:hint="eastAsia" w:eastAsia="仿宋_GB2312" w:cs="Times New Roman"/>
          <w:color w:val="000000"/>
          <w:kern w:val="0"/>
          <w:sz w:val="32"/>
          <w:szCs w:val="32"/>
          <w:shd w:val="clear" w:color="auto" w:fill="FFFFFF"/>
          <w:lang w:val="zh-CN"/>
        </w:rPr>
        <w:t>本单位</w:t>
      </w:r>
      <w:r>
        <w:rPr>
          <w:rFonts w:hint="eastAsia" w:eastAsia="仿宋_GB2312" w:cs="Times New Roman"/>
          <w:color w:val="000000"/>
          <w:kern w:val="0"/>
          <w:sz w:val="32"/>
          <w:szCs w:val="32"/>
          <w:shd w:val="clear" w:color="auto" w:fill="FFFFFF"/>
          <w:lang w:val="en-US" w:eastAsia="zh-CN"/>
        </w:rPr>
        <w:t>2025年无</w:t>
      </w:r>
      <w:r>
        <w:rPr>
          <w:rFonts w:ascii="Times New Roman" w:hAnsi="Times New Roman" w:eastAsia="仿宋_GB2312" w:cs="Times New Roman"/>
          <w:color w:val="000000"/>
          <w:kern w:val="0"/>
          <w:sz w:val="32"/>
          <w:szCs w:val="32"/>
          <w:shd w:val="clear" w:color="auto" w:fill="FFFFFF"/>
          <w:lang w:val="zh-CN"/>
        </w:rPr>
        <w:t>该项目</w:t>
      </w:r>
      <w:r>
        <w:rPr>
          <w:rFonts w:hint="eastAsia" w:eastAsia="仿宋_GB2312" w:cs="Times New Roman"/>
          <w:color w:val="000000"/>
          <w:kern w:val="0"/>
          <w:sz w:val="32"/>
          <w:szCs w:val="32"/>
          <w:shd w:val="clear" w:color="auto" w:fill="FFFFFF"/>
          <w:lang w:val="zh-CN"/>
        </w:rPr>
        <w:t>支出。</w:t>
      </w:r>
    </w:p>
    <w:p w14:paraId="4AAA8A59">
      <w:pPr>
        <w:pageBreakBefore w:val="0"/>
        <w:kinsoku/>
        <w:wordWrap/>
        <w:overflowPunct/>
        <w:topLinePunct w:val="0"/>
        <w:autoSpaceDE/>
        <w:autoSpaceDN/>
        <w:bidi w:val="0"/>
        <w:spacing w:line="576" w:lineRule="exact"/>
        <w:ind w:firstLine="643" w:firstLineChars="200"/>
        <w:textAlignment w:val="auto"/>
        <w:outlineLvl w:val="1"/>
        <w:rPr>
          <w:rFonts w:ascii="Times New Roman" w:hAnsi="Times New Roman" w:eastAsia="楷体_GB2312" w:cs="Times New Roman"/>
          <w:b/>
          <w:bCs/>
          <w:color w:val="000000"/>
          <w:kern w:val="0"/>
          <w:sz w:val="32"/>
          <w:szCs w:val="32"/>
          <w:shd w:val="clear" w:color="auto" w:fill="FFFFFF"/>
          <w:lang w:val="zh-CN"/>
        </w:rPr>
      </w:pPr>
      <w:r>
        <w:rPr>
          <w:rStyle w:val="42"/>
          <w:rFonts w:hint="eastAsia" w:ascii="楷体_GB2312" w:hAnsi="楷体_GB2312" w:eastAsia="楷体_GB2312" w:cs="楷体_GB2312"/>
        </w:rPr>
        <w:t>（三）</w:t>
      </w:r>
      <w:r>
        <w:rPr>
          <w:rFonts w:ascii="Times New Roman" w:hAnsi="Times New Roman" w:eastAsia="楷体_GB2312" w:cs="Times New Roman"/>
          <w:b/>
          <w:bCs/>
          <w:color w:val="000000"/>
          <w:kern w:val="0"/>
          <w:sz w:val="32"/>
          <w:szCs w:val="32"/>
          <w:shd w:val="clear" w:color="auto" w:fill="FFFFFF"/>
          <w:lang w:val="zh-CN"/>
        </w:rPr>
        <w:t>重点领域绩效分析</w:t>
      </w:r>
    </w:p>
    <w:p w14:paraId="1A67DF64">
      <w:pPr>
        <w:pageBreakBefore w:val="0"/>
        <w:widowControl/>
        <w:kinsoku/>
        <w:wordWrap/>
        <w:overflowPunct/>
        <w:topLinePunct w:val="0"/>
        <w:autoSpaceDE/>
        <w:autoSpaceDN/>
        <w:bidi w:val="0"/>
        <w:adjustRightInd w:val="0"/>
        <w:snapToGrid w:val="0"/>
        <w:spacing w:line="576" w:lineRule="exact"/>
        <w:ind w:firstLine="640" w:firstLineChars="200"/>
        <w:contextualSpacing/>
        <w:jc w:val="left"/>
        <w:textAlignment w:val="auto"/>
        <w:rPr>
          <w:rFonts w:hint="eastAsia" w:ascii="Times New Roman" w:hAnsi="Times New Roman" w:eastAsia="仿宋_GB2312" w:cs="Times New Roman"/>
          <w:color w:val="000000"/>
          <w:kern w:val="0"/>
          <w:sz w:val="32"/>
          <w:szCs w:val="32"/>
          <w:shd w:val="clear" w:color="auto" w:fill="FFFFFF"/>
          <w:lang w:val="en-US" w:eastAsia="zh-CN"/>
        </w:rPr>
      </w:pPr>
      <w:r>
        <w:rPr>
          <w:rFonts w:hint="eastAsia" w:ascii="Times New Roman" w:hAnsi="Times New Roman" w:eastAsia="仿宋_GB2312" w:cs="Times New Roman"/>
          <w:color w:val="000000"/>
          <w:kern w:val="0"/>
          <w:sz w:val="32"/>
          <w:szCs w:val="32"/>
          <w:shd w:val="clear" w:color="auto" w:fill="FFFFFF"/>
          <w:lang w:val="zh-CN"/>
        </w:rPr>
        <w:t>202</w:t>
      </w:r>
      <w:r>
        <w:rPr>
          <w:rFonts w:hint="eastAsia" w:eastAsia="仿宋_GB2312" w:cs="Times New Roman"/>
          <w:color w:val="000000"/>
          <w:kern w:val="0"/>
          <w:sz w:val="32"/>
          <w:szCs w:val="32"/>
          <w:shd w:val="clear" w:color="auto" w:fill="FFFFFF"/>
          <w:lang w:val="en-US" w:eastAsia="zh-CN"/>
        </w:rPr>
        <w:t>5</w:t>
      </w:r>
      <w:r>
        <w:rPr>
          <w:rFonts w:hint="eastAsia" w:ascii="Times New Roman" w:hAnsi="Times New Roman" w:eastAsia="仿宋_GB2312" w:cs="Times New Roman"/>
          <w:color w:val="000000"/>
          <w:kern w:val="0"/>
          <w:sz w:val="32"/>
          <w:szCs w:val="32"/>
          <w:shd w:val="clear" w:color="auto" w:fill="FFFFFF"/>
          <w:lang w:val="zh-CN"/>
        </w:rPr>
        <w:t>年</w:t>
      </w:r>
      <w:r>
        <w:rPr>
          <w:rFonts w:hint="eastAsia" w:ascii="Times New Roman" w:hAnsi="Times New Roman" w:eastAsia="仿宋_GB2312" w:cs="Times New Roman"/>
          <w:color w:val="000000"/>
          <w:kern w:val="0"/>
          <w:sz w:val="32"/>
          <w:szCs w:val="32"/>
          <w:shd w:val="clear" w:color="auto" w:fill="FFFFFF"/>
          <w:lang w:val="zh-CN" w:eastAsia="zh-CN"/>
        </w:rPr>
        <w:t>我</w:t>
      </w:r>
      <w:r>
        <w:rPr>
          <w:rFonts w:hint="eastAsia" w:ascii="Times New Roman" w:hAnsi="Times New Roman" w:eastAsia="仿宋_GB2312" w:cs="Times New Roman"/>
          <w:color w:val="000000"/>
          <w:kern w:val="0"/>
          <w:sz w:val="32"/>
          <w:szCs w:val="32"/>
          <w:shd w:val="clear" w:color="auto" w:fill="FFFFFF"/>
          <w:lang w:val="en-US" w:eastAsia="zh-CN"/>
        </w:rPr>
        <w:t>单位不</w:t>
      </w:r>
      <w:r>
        <w:rPr>
          <w:rFonts w:hint="eastAsia" w:ascii="Times New Roman" w:hAnsi="Times New Roman" w:eastAsia="仿宋_GB2312" w:cs="Times New Roman"/>
          <w:color w:val="000000"/>
          <w:kern w:val="0"/>
          <w:sz w:val="32"/>
          <w:szCs w:val="32"/>
          <w:shd w:val="clear" w:color="auto" w:fill="FFFFFF"/>
          <w:lang w:val="zh-CN"/>
        </w:rPr>
        <w:t>涉及国有资本</w:t>
      </w:r>
      <w:r>
        <w:rPr>
          <w:rFonts w:hint="eastAsia" w:ascii="Times New Roman" w:hAnsi="Times New Roman" w:eastAsia="仿宋_GB2312" w:cs="Times New Roman"/>
          <w:color w:val="000000"/>
          <w:kern w:val="0"/>
          <w:sz w:val="32"/>
          <w:szCs w:val="32"/>
          <w:shd w:val="clear" w:color="auto" w:fill="FFFFFF"/>
          <w:lang w:val="zh-CN" w:eastAsia="zh-CN"/>
        </w:rPr>
        <w:t>，</w:t>
      </w:r>
      <w:r>
        <w:rPr>
          <w:rFonts w:ascii="Times New Roman" w:hAnsi="Times New Roman" w:eastAsia="仿宋_GB2312" w:cs="Times New Roman"/>
          <w:color w:val="000000"/>
          <w:kern w:val="0"/>
          <w:sz w:val="32"/>
          <w:szCs w:val="32"/>
          <w:shd w:val="clear" w:color="auto" w:fill="FFFFFF"/>
          <w:lang w:val="zh-CN"/>
        </w:rPr>
        <w:t>行政事业性国有资产</w:t>
      </w:r>
      <w:r>
        <w:rPr>
          <w:rFonts w:hint="eastAsia" w:ascii="Times New Roman" w:hAnsi="Times New Roman" w:eastAsia="仿宋_GB2312" w:cs="Times New Roman"/>
          <w:color w:val="000000"/>
          <w:kern w:val="0"/>
          <w:sz w:val="32"/>
          <w:szCs w:val="32"/>
          <w:shd w:val="clear" w:color="auto" w:fill="FFFFFF"/>
          <w:lang w:val="en-US" w:eastAsia="zh-CN"/>
        </w:rPr>
        <w:t>利用率达100%，无闲置资产。</w:t>
      </w:r>
    </w:p>
    <w:p w14:paraId="0BD13088">
      <w:pPr>
        <w:pageBreakBefore w:val="0"/>
        <w:numPr>
          <w:ilvl w:val="0"/>
          <w:numId w:val="2"/>
        </w:numPr>
        <w:kinsoku/>
        <w:wordWrap/>
        <w:overflowPunct/>
        <w:topLinePunct w:val="0"/>
        <w:autoSpaceDE/>
        <w:autoSpaceDN/>
        <w:bidi w:val="0"/>
        <w:snapToGrid w:val="0"/>
        <w:spacing w:line="576" w:lineRule="exact"/>
        <w:ind w:left="0" w:leftChars="0" w:firstLine="643" w:firstLineChars="200"/>
        <w:textAlignment w:val="auto"/>
        <w:rPr>
          <w:rFonts w:hint="eastAsia" w:ascii="Times New Roman" w:hAnsi="Times New Roman" w:eastAsia="楷体_GB2312" w:cs="Times New Roman"/>
          <w:b/>
          <w:bCs/>
          <w:color w:val="000000"/>
          <w:kern w:val="0"/>
          <w:sz w:val="32"/>
          <w:szCs w:val="32"/>
          <w:shd w:val="clear" w:color="auto" w:fill="FFFFFF"/>
          <w:lang w:val="zh-CN"/>
        </w:rPr>
      </w:pPr>
      <w:r>
        <w:rPr>
          <w:rFonts w:ascii="Times New Roman" w:hAnsi="Times New Roman" w:eastAsia="楷体_GB2312" w:cs="Times New Roman"/>
          <w:b/>
          <w:bCs/>
          <w:color w:val="000000"/>
          <w:kern w:val="0"/>
          <w:sz w:val="32"/>
          <w:szCs w:val="32"/>
          <w:shd w:val="clear" w:color="auto" w:fill="FFFFFF"/>
          <w:lang w:val="zh-CN"/>
        </w:rPr>
        <w:t>绩效结果应用情况</w:t>
      </w:r>
    </w:p>
    <w:p w14:paraId="69E87475">
      <w:pPr>
        <w:pageBreakBefore w:val="0"/>
        <w:widowControl/>
        <w:kinsoku/>
        <w:wordWrap/>
        <w:overflowPunct/>
        <w:topLinePunct w:val="0"/>
        <w:autoSpaceDE/>
        <w:autoSpaceDN/>
        <w:bidi w:val="0"/>
        <w:adjustRightInd w:val="0"/>
        <w:snapToGrid w:val="0"/>
        <w:spacing w:line="576" w:lineRule="exact"/>
        <w:ind w:firstLine="640" w:firstLineChars="200"/>
        <w:contextualSpacing/>
        <w:jc w:val="left"/>
        <w:textAlignment w:val="auto"/>
        <w:rPr>
          <w:rFonts w:hint="eastAsia" w:ascii="Times New Roman" w:hAnsi="Times New Roman" w:eastAsia="仿宋_GB2312" w:cs="Times New Roman"/>
          <w:color w:val="000000"/>
          <w:kern w:val="0"/>
          <w:sz w:val="32"/>
          <w:szCs w:val="32"/>
          <w:shd w:val="clear" w:color="auto" w:fill="FFFFFF"/>
          <w:lang w:val="zh-CN" w:eastAsia="zh-CN"/>
        </w:rPr>
      </w:pPr>
      <w:r>
        <w:rPr>
          <w:rFonts w:hint="eastAsia" w:ascii="Times New Roman" w:hAnsi="Times New Roman" w:eastAsia="仿宋_GB2312" w:cs="Times New Roman"/>
          <w:color w:val="000000"/>
          <w:kern w:val="0"/>
          <w:sz w:val="32"/>
          <w:szCs w:val="32"/>
          <w:shd w:val="clear" w:color="auto" w:fill="FFFFFF"/>
          <w:lang w:val="en-US" w:eastAsia="zh-CN"/>
        </w:rPr>
        <w:t>注重绩效评价结果的运用，对照绩效评价工作中发现的问题，结合绩效评价报告中提出的整改意见，进一步完善预算管理机制，增强支出责任，规范资金使用，强化监督检查，强化财政资金管理水平，提高财政资金使用效益，为预算资金使用效益的提高提供基础保障。</w:t>
      </w:r>
    </w:p>
    <w:p w14:paraId="60D9F38A">
      <w:pPr>
        <w:pageBreakBefore w:val="0"/>
        <w:numPr>
          <w:ilvl w:val="0"/>
          <w:numId w:val="3"/>
        </w:numPr>
        <w:kinsoku/>
        <w:wordWrap/>
        <w:overflowPunct/>
        <w:topLinePunct w:val="0"/>
        <w:autoSpaceDE/>
        <w:autoSpaceDN/>
        <w:bidi w:val="0"/>
        <w:spacing w:line="576" w:lineRule="exact"/>
        <w:ind w:firstLine="640" w:firstLineChars="200"/>
        <w:textAlignment w:val="auto"/>
        <w:rPr>
          <w:rFonts w:ascii="黑体" w:hAnsi="黑体" w:eastAsia="黑体" w:cs="黑体"/>
          <w:sz w:val="32"/>
          <w:szCs w:val="32"/>
        </w:rPr>
      </w:pPr>
      <w:r>
        <w:rPr>
          <w:rFonts w:hint="eastAsia" w:ascii="黑体" w:hAnsi="黑体" w:eastAsia="黑体" w:cs="黑体"/>
          <w:sz w:val="32"/>
          <w:szCs w:val="32"/>
        </w:rPr>
        <w:t>评价结论及建议</w:t>
      </w:r>
    </w:p>
    <w:p w14:paraId="688ED7E8">
      <w:pPr>
        <w:pageBreakBefore w:val="0"/>
        <w:kinsoku/>
        <w:wordWrap/>
        <w:overflowPunct/>
        <w:topLinePunct w:val="0"/>
        <w:autoSpaceDE/>
        <w:autoSpaceDN/>
        <w:bidi w:val="0"/>
        <w:spacing w:line="576" w:lineRule="exact"/>
        <w:ind w:firstLine="643" w:firstLineChars="200"/>
        <w:textAlignment w:val="auto"/>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（一）评价结论</w:t>
      </w:r>
    </w:p>
    <w:p w14:paraId="27B21654">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sz w:val="32"/>
          <w:szCs w:val="32"/>
          <w:lang w:val="en" w:eastAsia="zh-CN"/>
        </w:rPr>
      </w:pPr>
      <w:r>
        <w:rPr>
          <w:rFonts w:hint="eastAsia" w:ascii="仿宋_GB2312" w:hAnsi="仿宋_GB2312" w:eastAsia="仿宋_GB2312" w:cs="仿宋_GB2312"/>
          <w:kern w:val="2"/>
          <w:sz w:val="32"/>
          <w:szCs w:val="24"/>
          <w:lang w:val="en" w:eastAsia="zh-CN" w:bidi="ar-SA"/>
        </w:rPr>
        <w:t>2025</w:t>
      </w:r>
      <w:r>
        <w:rPr>
          <w:rFonts w:hint="eastAsia" w:ascii="仿宋_GB2312" w:hAnsi="仿宋_GB2312" w:eastAsia="仿宋_GB2312" w:cs="仿宋_GB2312"/>
          <w:kern w:val="2"/>
          <w:sz w:val="32"/>
          <w:szCs w:val="24"/>
          <w:lang w:val="en-US" w:eastAsia="zh-CN" w:bidi="ar-SA"/>
        </w:rPr>
        <w:t>年</w:t>
      </w:r>
      <w:bookmarkStart w:id="59" w:name="_GoBack"/>
      <w:bookmarkEnd w:id="59"/>
      <w:r>
        <w:rPr>
          <w:rFonts w:hint="eastAsia" w:ascii="仿宋_GB2312" w:hAnsi="仿宋_GB2312" w:eastAsia="仿宋_GB2312" w:cs="仿宋_GB2312"/>
          <w:sz w:val="32"/>
          <w:szCs w:val="32"/>
          <w:lang w:val="en" w:eastAsia="zh-CN"/>
        </w:rPr>
        <w:t>县委编办部门预算绩效完成设立目标，绩效评价自查自评结果良好得分</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lang w:val="en" w:eastAsia="zh-CN"/>
        </w:rPr>
        <w:t>9分，全年基本保证了部门的正常运行和日常工作的正常开展。</w:t>
      </w:r>
    </w:p>
    <w:p w14:paraId="55D4CD6E">
      <w:pPr>
        <w:pStyle w:val="5"/>
        <w:pageBreakBefore w:val="0"/>
        <w:kinsoku/>
        <w:wordWrap/>
        <w:overflowPunct/>
        <w:topLinePunct w:val="0"/>
        <w:autoSpaceDE/>
        <w:autoSpaceDN/>
        <w:bidi w:val="0"/>
        <w:spacing w:before="0" w:after="0" w:line="576" w:lineRule="exact"/>
        <w:ind w:firstLine="643" w:firstLineChars="200"/>
        <w:textAlignment w:val="auto"/>
        <w:rPr>
          <w:rFonts w:ascii="楷体_GB2312" w:hAnsi="楷体_GB2312" w:eastAsia="楷体_GB2312" w:cs="楷体_GB2312"/>
        </w:rPr>
      </w:pPr>
      <w:r>
        <w:rPr>
          <w:rFonts w:hint="eastAsia" w:ascii="楷体_GB2312" w:hAnsi="楷体_GB2312" w:eastAsia="楷体_GB2312" w:cs="楷体_GB2312"/>
        </w:rPr>
        <w:t>（二）存在问题</w:t>
      </w:r>
    </w:p>
    <w:p w14:paraId="1824B6F5">
      <w:pPr>
        <w:pageBreakBefore w:val="0"/>
        <w:widowControl/>
        <w:kinsoku/>
        <w:wordWrap/>
        <w:overflowPunct/>
        <w:topLinePunct w:val="0"/>
        <w:autoSpaceDE/>
        <w:autoSpaceDN/>
        <w:bidi w:val="0"/>
        <w:adjustRightInd w:val="0"/>
        <w:snapToGrid w:val="0"/>
        <w:spacing w:line="576" w:lineRule="exact"/>
        <w:ind w:firstLine="640" w:firstLineChars="200"/>
        <w:contextualSpacing/>
        <w:jc w:val="left"/>
        <w:textAlignment w:val="auto"/>
        <w:rPr>
          <w:rFonts w:hint="default" w:ascii="Times New Roman" w:hAnsi="Times New Roman" w:eastAsia="仿宋_GB2312" w:cs="Times New Roman"/>
          <w:color w:val="000000"/>
          <w:kern w:val="0"/>
          <w:sz w:val="32"/>
          <w:szCs w:val="32"/>
          <w:shd w:val="clear" w:color="auto" w:fill="FFFFFF"/>
          <w:lang w:val="en-US" w:eastAsia="zh-CN"/>
        </w:rPr>
      </w:pPr>
      <w:r>
        <w:rPr>
          <w:rFonts w:hint="eastAsia" w:ascii="Times New Roman" w:hAnsi="Times New Roman" w:eastAsia="仿宋_GB2312" w:cs="Times New Roman"/>
          <w:color w:val="000000"/>
          <w:kern w:val="0"/>
          <w:sz w:val="32"/>
          <w:szCs w:val="32"/>
          <w:shd w:val="clear" w:color="auto" w:fill="FFFFFF"/>
          <w:lang w:val="en-US" w:eastAsia="zh-CN"/>
        </w:rPr>
        <w:t>通过本次自查，我单位个别绩效评价指标不够细致完善。绩效评价方面还有待加强。对部门的绩效评价报告质量还有待提高，绩效指标体系还有待完善，绩效管理工作机制还有待进一步健全。</w:t>
      </w:r>
    </w:p>
    <w:p w14:paraId="0085FDE3">
      <w:pPr>
        <w:pageBreakBefore w:val="0"/>
        <w:kinsoku/>
        <w:wordWrap/>
        <w:overflowPunct/>
        <w:topLinePunct w:val="0"/>
        <w:autoSpaceDE/>
        <w:autoSpaceDN/>
        <w:bidi w:val="0"/>
        <w:spacing w:line="576" w:lineRule="exact"/>
        <w:ind w:firstLine="643" w:firstLineChars="200"/>
        <w:textAlignment w:val="auto"/>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（三）改进建议</w:t>
      </w:r>
    </w:p>
    <w:p w14:paraId="0FAD58E8">
      <w:pPr>
        <w:pageBreakBefore w:val="0"/>
        <w:widowControl/>
        <w:kinsoku/>
        <w:wordWrap/>
        <w:overflowPunct/>
        <w:topLinePunct w:val="0"/>
        <w:autoSpaceDE/>
        <w:autoSpaceDN/>
        <w:bidi w:val="0"/>
        <w:adjustRightInd w:val="0"/>
        <w:snapToGrid w:val="0"/>
        <w:spacing w:line="576" w:lineRule="exact"/>
        <w:ind w:firstLine="640" w:firstLineChars="200"/>
        <w:contextualSpacing/>
        <w:jc w:val="left"/>
        <w:textAlignment w:val="auto"/>
        <w:rPr>
          <w:rFonts w:hint="default" w:ascii="Times New Roman" w:hAnsi="Times New Roman" w:eastAsia="仿宋_GB2312" w:cs="Times New Roman"/>
          <w:color w:val="000000"/>
          <w:kern w:val="0"/>
          <w:sz w:val="32"/>
          <w:szCs w:val="32"/>
          <w:shd w:val="clear" w:color="auto" w:fill="FFFFFF"/>
          <w:lang w:val="en-US" w:eastAsia="zh-CN"/>
        </w:rPr>
      </w:pPr>
      <w:r>
        <w:rPr>
          <w:rFonts w:hint="default" w:ascii="Times New Roman" w:hAnsi="Times New Roman" w:eastAsia="仿宋_GB2312" w:cs="Times New Roman"/>
          <w:color w:val="000000"/>
          <w:kern w:val="0"/>
          <w:sz w:val="32"/>
          <w:szCs w:val="32"/>
          <w:shd w:val="clear" w:color="auto" w:fill="FFFFFF"/>
          <w:lang w:val="en-US" w:eastAsia="zh-CN"/>
        </w:rPr>
        <w:t>加强预算绩效管理知识学习，提升预算绩效管理水平。</w:t>
      </w:r>
      <w:r>
        <w:rPr>
          <w:rFonts w:hint="eastAsia" w:ascii="Times New Roman" w:hAnsi="Times New Roman" w:eastAsia="仿宋_GB2312" w:cs="Times New Roman"/>
          <w:color w:val="000000"/>
          <w:kern w:val="0"/>
          <w:sz w:val="32"/>
          <w:szCs w:val="32"/>
          <w:shd w:val="clear" w:color="auto" w:fill="FFFFFF"/>
          <w:lang w:val="en-US" w:eastAsia="zh-CN"/>
        </w:rPr>
        <w:t> </w:t>
      </w:r>
    </w:p>
    <w:p w14:paraId="76242C9E">
      <w:pPr>
        <w:pageBreakBefore w:val="0"/>
        <w:kinsoku/>
        <w:wordWrap/>
        <w:overflowPunct/>
        <w:topLinePunct w:val="0"/>
        <w:autoSpaceDE/>
        <w:autoSpaceDN/>
        <w:bidi w:val="0"/>
        <w:spacing w:line="576" w:lineRule="exact"/>
        <w:ind w:firstLine="640" w:firstLineChars="200"/>
        <w:textAlignment w:val="auto"/>
        <w:rPr>
          <w:rFonts w:ascii="仿宋_GB2312" w:hAnsi="仿宋_GB2312" w:eastAsia="仿宋_GB2312" w:cs="仿宋_GB2312"/>
          <w:sz w:val="32"/>
          <w:szCs w:val="32"/>
        </w:rPr>
      </w:pPr>
    </w:p>
    <w:p w14:paraId="69CAF2CB">
      <w:pPr>
        <w:pageBreakBefore w:val="0"/>
        <w:kinsoku/>
        <w:wordWrap/>
        <w:overflowPunct/>
        <w:topLinePunct w:val="0"/>
        <w:autoSpaceDE/>
        <w:autoSpaceDN/>
        <w:bidi w:val="0"/>
        <w:spacing w:line="576" w:lineRule="exact"/>
        <w:ind w:firstLine="640" w:firstLineChars="200"/>
        <w:textAlignment w:val="auto"/>
        <w:rPr>
          <w:rFonts w:ascii="仿宋_GB2312" w:hAnsi="仿宋_GB2312" w:eastAsia="仿宋_GB2312" w:cs="仿宋_GB2312"/>
          <w:sz w:val="32"/>
          <w:szCs w:val="32"/>
        </w:rPr>
      </w:pPr>
    </w:p>
    <w:p w14:paraId="46A1F0C0">
      <w:pPr>
        <w:pStyle w:val="24"/>
        <w:pageBreakBefore w:val="0"/>
        <w:kinsoku/>
        <w:wordWrap/>
        <w:overflowPunct/>
        <w:topLinePunct w:val="0"/>
        <w:autoSpaceDE/>
        <w:autoSpaceDN/>
        <w:bidi w:val="0"/>
        <w:spacing w:line="576" w:lineRule="exact"/>
        <w:jc w:val="both"/>
        <w:textAlignment w:val="auto"/>
        <w:rPr>
          <w:rFonts w:ascii="仿宋_GB2312" w:hAnsi="仿宋_GB2312" w:eastAsia="仿宋_GB2312" w:cs="仿宋_GB2312"/>
        </w:rPr>
      </w:pPr>
    </w:p>
    <w:p w14:paraId="7C591D72">
      <w:pPr>
        <w:pStyle w:val="9"/>
        <w:keepNext w:val="0"/>
        <w:keepLines w:val="0"/>
        <w:pageBreakBefore w:val="0"/>
        <w:numPr>
          <w:ilvl w:val="0"/>
          <w:numId w:val="0"/>
        </w:numPr>
        <w:kinsoku/>
        <w:wordWrap/>
        <w:overflowPunct/>
        <w:topLinePunct w:val="0"/>
        <w:autoSpaceDE/>
        <w:autoSpaceDN/>
        <w:bidi w:val="0"/>
        <w:spacing w:line="576" w:lineRule="exact"/>
        <w:ind w:firstLine="640" w:firstLineChars="200"/>
        <w:textAlignment w:val="auto"/>
        <w:rPr>
          <w:rFonts w:ascii="仿宋_GB2312" w:hAnsi="仿宋_GB2312" w:eastAsia="仿宋_GB2312" w:cs="仿宋_GB2312"/>
        </w:rPr>
      </w:pPr>
      <w:r>
        <w:rPr>
          <w:rFonts w:hint="eastAsia" w:hAnsi="Times New Roman" w:cs="Times New Roman"/>
          <w:color w:val="auto"/>
          <w:sz w:val="32"/>
          <w:szCs w:val="32"/>
          <w:highlight w:val="none"/>
          <w:lang w:val="zh-CN" w:eastAsia="zh-CN"/>
        </w:rPr>
        <w:t>附表：</w:t>
      </w:r>
      <w:r>
        <w:rPr>
          <w:rFonts w:hint="eastAsia" w:hAnsi="Times New Roman" w:cs="Times New Roman"/>
          <w:color w:val="auto"/>
          <w:sz w:val="32"/>
          <w:szCs w:val="32"/>
          <w:highlight w:val="none"/>
          <w:lang w:val="en-US" w:eastAsia="zh-CN"/>
        </w:rPr>
        <w:t>部门预算项目支出绩效自评表（202</w:t>
      </w:r>
      <w:r>
        <w:rPr>
          <w:rFonts w:hint="eastAsia" w:cs="Times New Roman"/>
          <w:color w:val="auto"/>
          <w:sz w:val="32"/>
          <w:szCs w:val="32"/>
          <w:highlight w:val="none"/>
          <w:lang w:val="en-US" w:eastAsia="zh-CN"/>
        </w:rPr>
        <w:t>5</w:t>
      </w:r>
      <w:r>
        <w:rPr>
          <w:rFonts w:hint="eastAsia" w:hAnsi="Times New Roman" w:cs="Times New Roman"/>
          <w:color w:val="auto"/>
          <w:sz w:val="32"/>
          <w:szCs w:val="32"/>
          <w:highlight w:val="none"/>
          <w:lang w:val="en-US" w:eastAsia="zh-CN"/>
        </w:rPr>
        <w:t>年度）</w:t>
      </w:r>
    </w:p>
    <w:tbl>
      <w:tblPr>
        <w:tblStyle w:val="25"/>
        <w:tblpPr w:leftFromText="180" w:rightFromText="180" w:vertAnchor="text" w:horzAnchor="page" w:tblpX="504" w:tblpY="619"/>
        <w:tblOverlap w:val="never"/>
        <w:tblW w:w="1108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95"/>
        <w:gridCol w:w="1845"/>
        <w:gridCol w:w="1215"/>
        <w:gridCol w:w="1245"/>
        <w:gridCol w:w="525"/>
        <w:gridCol w:w="630"/>
        <w:gridCol w:w="840"/>
        <w:gridCol w:w="1095"/>
        <w:gridCol w:w="510"/>
        <w:gridCol w:w="450"/>
        <w:gridCol w:w="2133"/>
      </w:tblGrid>
      <w:tr w14:paraId="66269D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1083"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A701331">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30C116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4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AA801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64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802DB1B">
            <w:pPr>
              <w:rPr>
                <w:rFonts w:hint="eastAsia" w:ascii="宋体" w:hAnsi="宋体" w:eastAsia="宋体" w:cs="宋体"/>
                <w:i w:val="0"/>
                <w:iCs w:val="0"/>
                <w:color w:val="000000"/>
                <w:sz w:val="18"/>
                <w:szCs w:val="18"/>
                <w:u w:val="none"/>
              </w:rPr>
            </w:pPr>
          </w:p>
        </w:tc>
      </w:tr>
      <w:tr w14:paraId="22F433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24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E8450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45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6FFDFBF">
            <w:pPr>
              <w:rPr>
                <w:rFonts w:hint="eastAsia" w:ascii="宋体" w:hAnsi="宋体" w:eastAsia="宋体" w:cs="宋体"/>
                <w:i w:val="0"/>
                <w:iCs w:val="0"/>
                <w:color w:val="000000"/>
                <w:sz w:val="18"/>
                <w:szCs w:val="18"/>
                <w:u w:val="none"/>
              </w:rPr>
            </w:pPr>
          </w:p>
        </w:tc>
        <w:tc>
          <w:tcPr>
            <w:tcW w:w="1095" w:type="dxa"/>
            <w:tcBorders>
              <w:top w:val="nil"/>
              <w:left w:val="nil"/>
              <w:bottom w:val="nil"/>
              <w:right w:val="nil"/>
            </w:tcBorders>
            <w:shd w:val="clear" w:color="auto" w:fill="auto"/>
            <w:vAlign w:val="center"/>
          </w:tcPr>
          <w:p w14:paraId="3016563D">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0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EC92AD7">
            <w:pPr>
              <w:jc w:val="center"/>
              <w:rPr>
                <w:rFonts w:hint="eastAsia" w:ascii="宋体" w:hAnsi="宋体" w:eastAsia="宋体" w:cs="宋体"/>
                <w:i w:val="0"/>
                <w:iCs w:val="0"/>
                <w:color w:val="000000"/>
                <w:sz w:val="18"/>
                <w:szCs w:val="18"/>
                <w:u w:val="none"/>
              </w:rPr>
            </w:pPr>
          </w:p>
        </w:tc>
      </w:tr>
      <w:tr w14:paraId="462180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38F36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8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31F68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45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B306B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18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D3BB83C">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7BAA85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9"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B9B043">
            <w:pPr>
              <w:rPr>
                <w:rFonts w:hint="eastAsia" w:ascii="宋体" w:hAnsi="宋体" w:eastAsia="宋体" w:cs="宋体"/>
                <w:i w:val="0"/>
                <w:iCs w:val="0"/>
                <w:color w:val="000000"/>
                <w:sz w:val="18"/>
                <w:szCs w:val="18"/>
                <w:u w:val="none"/>
              </w:rPr>
            </w:pPr>
          </w:p>
        </w:tc>
        <w:tc>
          <w:tcPr>
            <w:tcW w:w="18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E86E53">
            <w:pPr>
              <w:rPr>
                <w:rFonts w:hint="eastAsia" w:ascii="宋体" w:hAnsi="宋体" w:eastAsia="宋体" w:cs="宋体"/>
                <w:i w:val="0"/>
                <w:iCs w:val="0"/>
                <w:color w:val="000000"/>
                <w:sz w:val="18"/>
                <w:szCs w:val="18"/>
                <w:u w:val="none"/>
              </w:rPr>
            </w:pPr>
          </w:p>
        </w:tc>
        <w:tc>
          <w:tcPr>
            <w:tcW w:w="445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5E161FE">
            <w:pPr>
              <w:rPr>
                <w:rFonts w:hint="eastAsia" w:ascii="宋体" w:hAnsi="宋体" w:eastAsia="宋体" w:cs="宋体"/>
                <w:i w:val="0"/>
                <w:iCs w:val="0"/>
                <w:color w:val="000000"/>
                <w:sz w:val="18"/>
                <w:szCs w:val="18"/>
                <w:u w:val="none"/>
              </w:rPr>
            </w:pPr>
          </w:p>
        </w:tc>
        <w:tc>
          <w:tcPr>
            <w:tcW w:w="418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EF8B0D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5D7763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DE5519">
            <w:pPr>
              <w:rPr>
                <w:rFonts w:hint="eastAsia" w:ascii="宋体" w:hAnsi="宋体" w:eastAsia="宋体" w:cs="宋体"/>
                <w:i w:val="0"/>
                <w:iCs w:val="0"/>
                <w:color w:val="000000"/>
                <w:sz w:val="18"/>
                <w:szCs w:val="18"/>
                <w:u w:val="none"/>
              </w:rPr>
            </w:pP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2661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864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99BF937">
            <w:pPr>
              <w:rPr>
                <w:rFonts w:hint="eastAsia" w:ascii="宋体" w:hAnsi="宋体" w:eastAsia="宋体" w:cs="宋体"/>
                <w:i w:val="0"/>
                <w:iCs w:val="0"/>
                <w:color w:val="000000"/>
                <w:sz w:val="18"/>
                <w:szCs w:val="18"/>
                <w:u w:val="none"/>
              </w:rPr>
            </w:pPr>
          </w:p>
        </w:tc>
      </w:tr>
      <w:tr w14:paraId="2B7B1F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F9CB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D8A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B2D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77B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9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1767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12C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2C7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ACC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018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4AECB7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1D9D10">
            <w:pPr>
              <w:jc w:val="center"/>
              <w:rPr>
                <w:rFonts w:hint="eastAsia" w:ascii="宋体" w:hAnsi="宋体" w:eastAsia="宋体" w:cs="宋体"/>
                <w:i w:val="0"/>
                <w:iCs w:val="0"/>
                <w:color w:val="000000"/>
                <w:sz w:val="18"/>
                <w:szCs w:val="18"/>
                <w:u w:val="none"/>
              </w:rPr>
            </w:pP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255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033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FDB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6ACD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8F4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BA7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45C28">
            <w:pPr>
              <w:jc w:val="center"/>
              <w:rPr>
                <w:rFonts w:hint="eastAsia" w:ascii="宋体" w:hAnsi="宋体" w:eastAsia="宋体" w:cs="宋体"/>
                <w:i w:val="0"/>
                <w:iCs w:val="0"/>
                <w:color w:val="000000"/>
                <w:sz w:val="18"/>
                <w:szCs w:val="18"/>
                <w:u w:val="none"/>
              </w:rPr>
            </w:pPr>
          </w:p>
        </w:tc>
        <w:tc>
          <w:tcPr>
            <w:tcW w:w="213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79B3BF">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57539D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DDB443">
            <w:pPr>
              <w:jc w:val="center"/>
              <w:rPr>
                <w:rFonts w:hint="eastAsia" w:ascii="宋体" w:hAnsi="宋体" w:eastAsia="宋体" w:cs="宋体"/>
                <w:i w:val="0"/>
                <w:iCs w:val="0"/>
                <w:color w:val="000000"/>
                <w:sz w:val="18"/>
                <w:szCs w:val="18"/>
                <w:u w:val="none"/>
              </w:rPr>
            </w:pP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D31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2E5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1638D">
            <w:pPr>
              <w:jc w:val="center"/>
              <w:rPr>
                <w:rFonts w:hint="eastAsia" w:ascii="宋体" w:hAnsi="宋体" w:eastAsia="宋体" w:cs="宋体"/>
                <w:i w:val="0"/>
                <w:iCs w:val="0"/>
                <w:color w:val="000000"/>
                <w:sz w:val="18"/>
                <w:szCs w:val="18"/>
                <w:u w:val="none"/>
              </w:rPr>
            </w:pPr>
          </w:p>
        </w:tc>
        <w:tc>
          <w:tcPr>
            <w:tcW w:w="19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9C089F">
            <w:pPr>
              <w:jc w:val="center"/>
              <w:rPr>
                <w:rFonts w:hint="eastAsia" w:ascii="宋体" w:hAnsi="宋体" w:eastAsia="宋体" w:cs="宋体"/>
                <w:i w:val="0"/>
                <w:iCs w:val="0"/>
                <w:color w:val="000000"/>
                <w:sz w:val="18"/>
                <w:szCs w:val="18"/>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3CB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290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891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1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27E908">
            <w:pPr>
              <w:rPr>
                <w:rFonts w:hint="eastAsia" w:ascii="黑体" w:hAnsi="黑体" w:eastAsia="黑体" w:cs="黑体"/>
                <w:i/>
                <w:iCs/>
                <w:color w:val="000000"/>
                <w:sz w:val="18"/>
                <w:szCs w:val="18"/>
                <w:u w:val="none"/>
              </w:rPr>
            </w:pPr>
          </w:p>
        </w:tc>
      </w:tr>
      <w:tr w14:paraId="1331DA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A0A6DD">
            <w:pPr>
              <w:jc w:val="center"/>
              <w:rPr>
                <w:rFonts w:hint="eastAsia" w:ascii="宋体" w:hAnsi="宋体" w:eastAsia="宋体" w:cs="宋体"/>
                <w:i w:val="0"/>
                <w:iCs w:val="0"/>
                <w:color w:val="000000"/>
                <w:sz w:val="18"/>
                <w:szCs w:val="18"/>
                <w:u w:val="none"/>
              </w:rPr>
            </w:pP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1EB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24F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4C6F1">
            <w:pPr>
              <w:jc w:val="center"/>
              <w:rPr>
                <w:rFonts w:hint="eastAsia" w:ascii="宋体" w:hAnsi="宋体" w:eastAsia="宋体" w:cs="宋体"/>
                <w:i w:val="0"/>
                <w:iCs w:val="0"/>
                <w:color w:val="000000"/>
                <w:sz w:val="18"/>
                <w:szCs w:val="18"/>
                <w:u w:val="none"/>
              </w:rPr>
            </w:pPr>
          </w:p>
        </w:tc>
        <w:tc>
          <w:tcPr>
            <w:tcW w:w="19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E6A99E2">
            <w:pPr>
              <w:jc w:val="center"/>
              <w:rPr>
                <w:rFonts w:hint="eastAsia" w:ascii="宋体" w:hAnsi="宋体" w:eastAsia="宋体" w:cs="宋体"/>
                <w:i w:val="0"/>
                <w:iCs w:val="0"/>
                <w:color w:val="000000"/>
                <w:sz w:val="18"/>
                <w:szCs w:val="18"/>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CFD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5DA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BE9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1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860E51">
            <w:pPr>
              <w:rPr>
                <w:rFonts w:hint="eastAsia" w:ascii="黑体" w:hAnsi="黑体" w:eastAsia="黑体" w:cs="黑体"/>
                <w:i/>
                <w:iCs/>
                <w:color w:val="000000"/>
                <w:sz w:val="18"/>
                <w:szCs w:val="18"/>
                <w:u w:val="none"/>
              </w:rPr>
            </w:pPr>
          </w:p>
        </w:tc>
      </w:tr>
      <w:tr w14:paraId="40F585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BF7916">
            <w:pPr>
              <w:jc w:val="center"/>
              <w:rPr>
                <w:rFonts w:hint="eastAsia" w:ascii="宋体" w:hAnsi="宋体" w:eastAsia="宋体" w:cs="宋体"/>
                <w:i w:val="0"/>
                <w:iCs w:val="0"/>
                <w:color w:val="000000"/>
                <w:sz w:val="18"/>
                <w:szCs w:val="18"/>
                <w:u w:val="none"/>
              </w:rPr>
            </w:pP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1C5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482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7B90A">
            <w:pPr>
              <w:jc w:val="center"/>
              <w:rPr>
                <w:rFonts w:hint="eastAsia" w:ascii="宋体" w:hAnsi="宋体" w:eastAsia="宋体" w:cs="宋体"/>
                <w:i w:val="0"/>
                <w:iCs w:val="0"/>
                <w:color w:val="000000"/>
                <w:sz w:val="18"/>
                <w:szCs w:val="18"/>
                <w:u w:val="none"/>
              </w:rPr>
            </w:pPr>
          </w:p>
        </w:tc>
        <w:tc>
          <w:tcPr>
            <w:tcW w:w="19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B273BFD">
            <w:pPr>
              <w:jc w:val="center"/>
              <w:rPr>
                <w:rFonts w:hint="eastAsia" w:ascii="宋体" w:hAnsi="宋体" w:eastAsia="宋体" w:cs="宋体"/>
                <w:i w:val="0"/>
                <w:iCs w:val="0"/>
                <w:color w:val="000000"/>
                <w:sz w:val="18"/>
                <w:szCs w:val="18"/>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D84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530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0D0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1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3FABD4">
            <w:pPr>
              <w:rPr>
                <w:rFonts w:hint="eastAsia" w:ascii="黑体" w:hAnsi="黑体" w:eastAsia="黑体" w:cs="黑体"/>
                <w:i/>
                <w:iCs/>
                <w:color w:val="000000"/>
                <w:sz w:val="18"/>
                <w:szCs w:val="18"/>
                <w:u w:val="none"/>
              </w:rPr>
            </w:pPr>
          </w:p>
        </w:tc>
      </w:tr>
      <w:tr w14:paraId="497256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86E68D">
            <w:pPr>
              <w:jc w:val="center"/>
              <w:rPr>
                <w:rFonts w:hint="eastAsia" w:ascii="宋体" w:hAnsi="宋体" w:eastAsia="宋体" w:cs="宋体"/>
                <w:i w:val="0"/>
                <w:iCs w:val="0"/>
                <w:color w:val="000000"/>
                <w:sz w:val="18"/>
                <w:szCs w:val="18"/>
                <w:u w:val="none"/>
              </w:rPr>
            </w:pP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A65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9B27C">
            <w:pPr>
              <w:jc w:val="center"/>
              <w:rPr>
                <w:rFonts w:hint="eastAsia" w:ascii="微软雅黑" w:hAnsi="微软雅黑" w:eastAsia="微软雅黑" w:cs="微软雅黑"/>
                <w:i/>
                <w:iCs/>
                <w:color w:val="000000"/>
                <w:sz w:val="16"/>
                <w:szCs w:val="16"/>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21CB8">
            <w:pPr>
              <w:jc w:val="center"/>
              <w:rPr>
                <w:rFonts w:hint="eastAsia" w:ascii="微软雅黑" w:hAnsi="微软雅黑" w:eastAsia="微软雅黑" w:cs="微软雅黑"/>
                <w:i/>
                <w:iCs/>
                <w:color w:val="000000"/>
                <w:sz w:val="16"/>
                <w:szCs w:val="16"/>
                <w:u w:val="none"/>
              </w:rPr>
            </w:pPr>
          </w:p>
        </w:tc>
        <w:tc>
          <w:tcPr>
            <w:tcW w:w="19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8F59DC">
            <w:pPr>
              <w:jc w:val="center"/>
              <w:rPr>
                <w:rFonts w:hint="eastAsia" w:ascii="微软雅黑" w:hAnsi="微软雅黑" w:eastAsia="微软雅黑" w:cs="微软雅黑"/>
                <w:i/>
                <w:iCs/>
                <w:color w:val="000000"/>
                <w:sz w:val="16"/>
                <w:szCs w:val="16"/>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85C15">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628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4A0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1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16D38B">
            <w:pPr>
              <w:rPr>
                <w:rFonts w:hint="eastAsia" w:ascii="黑体" w:hAnsi="黑体" w:eastAsia="黑体" w:cs="黑体"/>
                <w:i/>
                <w:iCs/>
                <w:color w:val="000000"/>
                <w:sz w:val="18"/>
                <w:szCs w:val="18"/>
                <w:u w:val="none"/>
              </w:rPr>
            </w:pPr>
          </w:p>
        </w:tc>
      </w:tr>
      <w:tr w14:paraId="028011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85AF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30D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19F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E49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D47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0EF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DDD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139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010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780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A28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2668A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DD7258">
            <w:pPr>
              <w:jc w:val="center"/>
              <w:rPr>
                <w:rFonts w:hint="eastAsia" w:ascii="宋体" w:hAnsi="宋体" w:eastAsia="宋体" w:cs="宋体"/>
                <w:i w:val="0"/>
                <w:iCs w:val="0"/>
                <w:color w:val="000000"/>
                <w:sz w:val="18"/>
                <w:szCs w:val="18"/>
                <w:u w:val="none"/>
              </w:rPr>
            </w:pP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91ACB">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6D305">
            <w:pPr>
              <w:jc w:val="center"/>
              <w:rPr>
                <w:rFonts w:hint="eastAsia" w:ascii="宋体" w:hAnsi="宋体" w:eastAsia="宋体" w:cs="宋体"/>
                <w:i w:val="0"/>
                <w:iCs w:val="0"/>
                <w:color w:val="000000"/>
                <w:sz w:val="18"/>
                <w:szCs w:val="18"/>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267E4">
            <w:pPr>
              <w:jc w:val="center"/>
              <w:rPr>
                <w:rFonts w:hint="eastAsia" w:ascii="宋体" w:hAnsi="宋体" w:eastAsia="宋体" w:cs="宋体"/>
                <w:i w:val="0"/>
                <w:iCs w:val="0"/>
                <w:color w:val="000000"/>
                <w:sz w:val="18"/>
                <w:szCs w:val="18"/>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53F2D">
            <w:pPr>
              <w:jc w:val="center"/>
              <w:rPr>
                <w:rFonts w:hint="eastAsia" w:ascii="宋体" w:hAnsi="宋体" w:eastAsia="宋体" w:cs="宋体"/>
                <w:i w:val="0"/>
                <w:iCs w:val="0"/>
                <w:color w:val="000000"/>
                <w:sz w:val="18"/>
                <w:szCs w:val="18"/>
                <w:u w:val="none"/>
              </w:rPr>
            </w:pP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66829">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345A1">
            <w:pPr>
              <w:jc w:val="center"/>
              <w:rPr>
                <w:rFonts w:hint="eastAsia" w:ascii="宋体" w:hAnsi="宋体" w:eastAsia="宋体" w:cs="宋体"/>
                <w:i w:val="0"/>
                <w:iCs w:val="0"/>
                <w:color w:val="000000"/>
                <w:sz w:val="18"/>
                <w:szCs w:val="18"/>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6A54F">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E6BEF">
            <w:pPr>
              <w:jc w:val="center"/>
              <w:rPr>
                <w:rFonts w:hint="eastAsia" w:ascii="宋体" w:hAnsi="宋体" w:eastAsia="宋体" w:cs="宋体"/>
                <w:i w:val="0"/>
                <w:iCs w:val="0"/>
                <w:color w:val="000000"/>
                <w:sz w:val="18"/>
                <w:szCs w:val="18"/>
                <w:u w:val="none"/>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218EA">
            <w:pPr>
              <w:jc w:val="center"/>
              <w:rPr>
                <w:rFonts w:hint="eastAsia" w:ascii="宋体" w:hAnsi="宋体" w:eastAsia="宋体" w:cs="宋体"/>
                <w:i w:val="0"/>
                <w:iCs w:val="0"/>
                <w:color w:val="000000"/>
                <w:sz w:val="18"/>
                <w:szCs w:val="18"/>
                <w:u w:val="none"/>
              </w:rPr>
            </w:pPr>
          </w:p>
        </w:tc>
        <w:tc>
          <w:tcPr>
            <w:tcW w:w="2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2B6A7">
            <w:pPr>
              <w:jc w:val="center"/>
              <w:rPr>
                <w:rFonts w:hint="eastAsia" w:ascii="微软雅黑" w:hAnsi="微软雅黑" w:eastAsia="微软雅黑" w:cs="微软雅黑"/>
                <w:i/>
                <w:iCs/>
                <w:color w:val="000000"/>
                <w:sz w:val="16"/>
                <w:szCs w:val="16"/>
                <w:u w:val="none"/>
              </w:rPr>
            </w:pPr>
          </w:p>
        </w:tc>
      </w:tr>
      <w:tr w14:paraId="7D30A6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99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D5C3C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D4A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6FF0A">
            <w:pPr>
              <w:rPr>
                <w:rFonts w:hint="eastAsia" w:ascii="宋体" w:hAnsi="宋体" w:eastAsia="宋体" w:cs="宋体"/>
                <w:i w:val="0"/>
                <w:iCs w:val="0"/>
                <w:color w:val="000000"/>
                <w:sz w:val="18"/>
                <w:szCs w:val="18"/>
                <w:u w:val="none"/>
              </w:rPr>
            </w:pPr>
          </w:p>
        </w:tc>
        <w:tc>
          <w:tcPr>
            <w:tcW w:w="2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40E27">
            <w:pPr>
              <w:rPr>
                <w:rFonts w:hint="eastAsia" w:ascii="宋体" w:hAnsi="宋体" w:eastAsia="宋体" w:cs="宋体"/>
                <w:i w:val="0"/>
                <w:iCs w:val="0"/>
                <w:color w:val="000000"/>
                <w:sz w:val="18"/>
                <w:szCs w:val="18"/>
                <w:u w:val="none"/>
              </w:rPr>
            </w:pPr>
          </w:p>
        </w:tc>
      </w:tr>
      <w:tr w14:paraId="3E06C1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26E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048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9B7B88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0526C4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038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048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79F55E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281062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6E9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048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4CAC27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038C25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42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60FCD5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565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CC65B4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bookmarkEnd w:id="40"/>
    </w:tbl>
    <w:p w14:paraId="2D265B88">
      <w:pPr>
        <w:pageBreakBefore w:val="0"/>
        <w:kinsoku/>
        <w:wordWrap/>
        <w:overflowPunct/>
        <w:topLinePunct w:val="0"/>
        <w:bidi w:val="0"/>
        <w:spacing w:line="576" w:lineRule="exact"/>
        <w:jc w:val="both"/>
        <w:textAlignment w:val="auto"/>
        <w:outlineLvl w:val="0"/>
        <w:rPr>
          <w:rFonts w:hint="eastAsia" w:ascii="黑体" w:hAnsi="Times New Roman" w:eastAsia="黑体" w:cs="Times New Roman"/>
          <w:color w:val="000000"/>
          <w:sz w:val="44"/>
          <w:szCs w:val="44"/>
        </w:rPr>
      </w:pPr>
      <w:bookmarkStart w:id="45" w:name="_Toc7045"/>
    </w:p>
    <w:p w14:paraId="6F7C7751">
      <w:pPr>
        <w:pageBreakBefore w:val="0"/>
        <w:kinsoku/>
        <w:wordWrap/>
        <w:overflowPunct/>
        <w:topLinePunct w:val="0"/>
        <w:bidi w:val="0"/>
        <w:spacing w:line="576" w:lineRule="exact"/>
        <w:jc w:val="center"/>
        <w:textAlignment w:val="auto"/>
        <w:outlineLvl w:val="0"/>
        <w:rPr>
          <w:rFonts w:hint="eastAsia" w:ascii="黑体" w:hAnsi="Times New Roman" w:eastAsia="黑体" w:cs="Times New Roman"/>
          <w:color w:val="000000"/>
          <w:sz w:val="44"/>
          <w:szCs w:val="44"/>
        </w:rPr>
      </w:pPr>
    </w:p>
    <w:p w14:paraId="63597415">
      <w:pPr>
        <w:pageBreakBefore w:val="0"/>
        <w:kinsoku/>
        <w:wordWrap/>
        <w:overflowPunct/>
        <w:topLinePunct w:val="0"/>
        <w:bidi w:val="0"/>
        <w:spacing w:line="576" w:lineRule="exact"/>
        <w:jc w:val="center"/>
        <w:textAlignment w:val="auto"/>
        <w:outlineLvl w:val="0"/>
        <w:rPr>
          <w:rFonts w:hint="eastAsia" w:ascii="黑体" w:hAnsi="Times New Roman" w:eastAsia="黑体" w:cs="Times New Roman"/>
          <w:color w:val="000000"/>
          <w:sz w:val="44"/>
          <w:szCs w:val="44"/>
        </w:rPr>
      </w:pPr>
    </w:p>
    <w:p w14:paraId="5539BC0B">
      <w:pPr>
        <w:pageBreakBefore w:val="0"/>
        <w:kinsoku/>
        <w:wordWrap/>
        <w:overflowPunct/>
        <w:topLinePunct w:val="0"/>
        <w:bidi w:val="0"/>
        <w:spacing w:line="576" w:lineRule="exact"/>
        <w:jc w:val="center"/>
        <w:textAlignment w:val="auto"/>
        <w:outlineLvl w:val="0"/>
        <w:rPr>
          <w:rFonts w:hint="eastAsia" w:ascii="黑体" w:hAnsi="Times New Roman" w:eastAsia="黑体" w:cs="Times New Roman"/>
          <w:color w:val="000000"/>
          <w:sz w:val="44"/>
          <w:szCs w:val="44"/>
        </w:rPr>
      </w:pPr>
      <w:r>
        <w:rPr>
          <w:rFonts w:hint="eastAsia" w:ascii="黑体" w:hAnsi="Times New Roman" w:eastAsia="黑体" w:cs="Times New Roman"/>
          <w:color w:val="000000"/>
          <w:sz w:val="44"/>
          <w:szCs w:val="44"/>
        </w:rPr>
        <w:t>第五部分 附表</w:t>
      </w:r>
      <w:bookmarkEnd w:id="45"/>
    </w:p>
    <w:p w14:paraId="4874F8AD">
      <w:pPr>
        <w:pStyle w:val="5"/>
        <w:keepNext/>
        <w:keepLines/>
        <w:pageBreakBefore w:val="0"/>
        <w:kinsoku/>
        <w:wordWrap/>
        <w:overflowPunct/>
        <w:topLinePunct w:val="0"/>
        <w:bidi w:val="0"/>
        <w:spacing w:before="260" w:beforeAutospacing="0" w:after="260" w:afterAutospacing="0" w:line="576" w:lineRule="exact"/>
        <w:jc w:val="both"/>
        <w:textAlignment w:val="auto"/>
        <w:outlineLvl w:val="1"/>
        <w:rPr>
          <w:rFonts w:hint="eastAsia" w:ascii="仿宋" w:hAnsi="Cambria" w:eastAsia="仿宋" w:cs="Times New Roman"/>
          <w:b w:val="0"/>
          <w:color w:val="000000"/>
          <w:kern w:val="2"/>
          <w:sz w:val="32"/>
          <w:szCs w:val="32"/>
          <w:lang w:bidi="ar-SA"/>
        </w:rPr>
      </w:pPr>
      <w:bookmarkStart w:id="46" w:name="_Toc28912"/>
      <w:r>
        <w:rPr>
          <w:rFonts w:hint="eastAsia" w:ascii="仿宋" w:hAnsi="Cambria" w:eastAsia="仿宋" w:cs="Times New Roman"/>
          <w:b w:val="0"/>
          <w:color w:val="000000"/>
          <w:kern w:val="2"/>
          <w:sz w:val="32"/>
          <w:szCs w:val="32"/>
          <w:lang w:bidi="ar-SA"/>
        </w:rPr>
        <w:t>一、收入支出决算总表</w:t>
      </w:r>
      <w:bookmarkEnd w:id="46"/>
    </w:p>
    <w:p w14:paraId="090E18EC">
      <w:pPr>
        <w:pStyle w:val="5"/>
        <w:keepNext/>
        <w:keepLines/>
        <w:pageBreakBefore w:val="0"/>
        <w:kinsoku/>
        <w:wordWrap/>
        <w:overflowPunct/>
        <w:topLinePunct w:val="0"/>
        <w:bidi w:val="0"/>
        <w:spacing w:before="260" w:beforeAutospacing="0" w:after="260" w:afterAutospacing="0" w:line="576" w:lineRule="exact"/>
        <w:jc w:val="both"/>
        <w:textAlignment w:val="auto"/>
        <w:outlineLvl w:val="1"/>
        <w:rPr>
          <w:rFonts w:hint="eastAsia" w:ascii="仿宋" w:hAnsi="Cambria" w:eastAsia="仿宋" w:cs="Times New Roman"/>
          <w:b w:val="0"/>
          <w:color w:val="000000"/>
          <w:kern w:val="2"/>
          <w:sz w:val="32"/>
          <w:szCs w:val="32"/>
          <w:lang w:bidi="ar-SA"/>
        </w:rPr>
      </w:pPr>
      <w:bookmarkStart w:id="47" w:name="_Toc15691"/>
      <w:r>
        <w:rPr>
          <w:rFonts w:hint="eastAsia" w:ascii="仿宋" w:hAnsi="Cambria" w:eastAsia="仿宋" w:cs="Times New Roman"/>
          <w:b w:val="0"/>
          <w:color w:val="000000"/>
          <w:kern w:val="2"/>
          <w:sz w:val="32"/>
          <w:szCs w:val="32"/>
          <w:lang w:bidi="ar-SA"/>
        </w:rPr>
        <w:t>二、收入决算表</w:t>
      </w:r>
      <w:bookmarkEnd w:id="47"/>
    </w:p>
    <w:p w14:paraId="5EAF9DD9">
      <w:pPr>
        <w:pStyle w:val="5"/>
        <w:keepNext/>
        <w:keepLines/>
        <w:pageBreakBefore w:val="0"/>
        <w:kinsoku/>
        <w:wordWrap/>
        <w:overflowPunct/>
        <w:topLinePunct w:val="0"/>
        <w:bidi w:val="0"/>
        <w:spacing w:before="260" w:beforeAutospacing="0" w:after="260" w:afterAutospacing="0" w:line="576" w:lineRule="exact"/>
        <w:jc w:val="both"/>
        <w:textAlignment w:val="auto"/>
        <w:outlineLvl w:val="1"/>
        <w:rPr>
          <w:rFonts w:hint="eastAsia" w:ascii="仿宋" w:hAnsi="Cambria" w:eastAsia="仿宋" w:cs="Times New Roman"/>
          <w:b w:val="0"/>
          <w:color w:val="000000"/>
          <w:kern w:val="2"/>
          <w:sz w:val="32"/>
          <w:szCs w:val="32"/>
          <w:lang w:bidi="ar-SA"/>
        </w:rPr>
      </w:pPr>
      <w:bookmarkStart w:id="48" w:name="_Toc11856"/>
      <w:r>
        <w:rPr>
          <w:rFonts w:hint="eastAsia" w:ascii="仿宋" w:hAnsi="Cambria" w:eastAsia="仿宋" w:cs="Times New Roman"/>
          <w:b w:val="0"/>
          <w:color w:val="000000"/>
          <w:kern w:val="2"/>
          <w:sz w:val="32"/>
          <w:szCs w:val="32"/>
          <w:lang w:bidi="ar-SA"/>
        </w:rPr>
        <w:t>三、支出决算表</w:t>
      </w:r>
      <w:bookmarkEnd w:id="48"/>
    </w:p>
    <w:p w14:paraId="1C28BBE4">
      <w:pPr>
        <w:pStyle w:val="5"/>
        <w:keepNext/>
        <w:keepLines/>
        <w:pageBreakBefore w:val="0"/>
        <w:kinsoku/>
        <w:wordWrap/>
        <w:overflowPunct/>
        <w:topLinePunct w:val="0"/>
        <w:bidi w:val="0"/>
        <w:spacing w:before="260" w:beforeAutospacing="0" w:after="260" w:afterAutospacing="0" w:line="576" w:lineRule="exact"/>
        <w:jc w:val="both"/>
        <w:textAlignment w:val="auto"/>
        <w:outlineLvl w:val="1"/>
        <w:rPr>
          <w:rFonts w:hint="eastAsia" w:ascii="仿宋" w:hAnsi="Cambria" w:eastAsia="仿宋" w:cs="Times New Roman"/>
          <w:b w:val="0"/>
          <w:color w:val="000000"/>
          <w:kern w:val="2"/>
          <w:sz w:val="32"/>
          <w:szCs w:val="32"/>
          <w:lang w:bidi="ar-SA"/>
        </w:rPr>
      </w:pPr>
      <w:bookmarkStart w:id="49" w:name="_Toc25907"/>
      <w:r>
        <w:rPr>
          <w:rFonts w:hint="eastAsia" w:ascii="仿宋" w:hAnsi="Cambria" w:eastAsia="仿宋" w:cs="Times New Roman"/>
          <w:b w:val="0"/>
          <w:color w:val="000000"/>
          <w:kern w:val="2"/>
          <w:sz w:val="32"/>
          <w:szCs w:val="32"/>
          <w:lang w:bidi="ar-SA"/>
        </w:rPr>
        <w:t>四、财政拨款收入支出决算总表</w:t>
      </w:r>
      <w:bookmarkEnd w:id="49"/>
    </w:p>
    <w:p w14:paraId="10CC007C">
      <w:pPr>
        <w:pStyle w:val="5"/>
        <w:keepNext/>
        <w:keepLines/>
        <w:pageBreakBefore w:val="0"/>
        <w:kinsoku/>
        <w:wordWrap/>
        <w:overflowPunct/>
        <w:topLinePunct w:val="0"/>
        <w:bidi w:val="0"/>
        <w:spacing w:before="260" w:beforeAutospacing="0" w:after="260" w:afterAutospacing="0" w:line="576" w:lineRule="exact"/>
        <w:jc w:val="both"/>
        <w:textAlignment w:val="auto"/>
        <w:outlineLvl w:val="1"/>
        <w:rPr>
          <w:rFonts w:hint="eastAsia" w:ascii="仿宋" w:hAnsi="Cambria" w:eastAsia="仿宋" w:cs="Times New Roman"/>
          <w:b w:val="0"/>
          <w:color w:val="000000"/>
          <w:kern w:val="2"/>
          <w:sz w:val="32"/>
          <w:szCs w:val="32"/>
          <w:lang w:bidi="ar-SA"/>
        </w:rPr>
      </w:pPr>
      <w:bookmarkStart w:id="50" w:name="_Toc15912"/>
      <w:r>
        <w:rPr>
          <w:rFonts w:hint="eastAsia" w:ascii="仿宋" w:hAnsi="Cambria" w:eastAsia="仿宋" w:cs="Times New Roman"/>
          <w:b w:val="0"/>
          <w:color w:val="000000"/>
          <w:kern w:val="2"/>
          <w:sz w:val="32"/>
          <w:szCs w:val="32"/>
          <w:lang w:bidi="ar-SA"/>
        </w:rPr>
        <w:t>五、财政拨款支出决算明细表</w:t>
      </w:r>
      <w:bookmarkEnd w:id="50"/>
    </w:p>
    <w:p w14:paraId="43B2CAD8">
      <w:pPr>
        <w:pStyle w:val="5"/>
        <w:keepNext/>
        <w:keepLines/>
        <w:pageBreakBefore w:val="0"/>
        <w:kinsoku/>
        <w:wordWrap/>
        <w:overflowPunct/>
        <w:topLinePunct w:val="0"/>
        <w:bidi w:val="0"/>
        <w:spacing w:before="260" w:beforeAutospacing="0" w:after="260" w:afterAutospacing="0" w:line="576" w:lineRule="exact"/>
        <w:jc w:val="both"/>
        <w:textAlignment w:val="auto"/>
        <w:outlineLvl w:val="1"/>
        <w:rPr>
          <w:rFonts w:hint="eastAsia" w:ascii="仿宋" w:hAnsi="Cambria" w:eastAsia="仿宋" w:cs="Times New Roman"/>
          <w:b w:val="0"/>
          <w:color w:val="000000"/>
          <w:kern w:val="2"/>
          <w:sz w:val="32"/>
          <w:szCs w:val="32"/>
          <w:lang w:bidi="ar-SA"/>
        </w:rPr>
      </w:pPr>
      <w:bookmarkStart w:id="51" w:name="_Toc10267"/>
      <w:r>
        <w:rPr>
          <w:rFonts w:hint="eastAsia" w:ascii="仿宋" w:hAnsi="Cambria" w:eastAsia="仿宋" w:cs="Times New Roman"/>
          <w:b w:val="0"/>
          <w:color w:val="000000"/>
          <w:kern w:val="2"/>
          <w:sz w:val="32"/>
          <w:szCs w:val="32"/>
          <w:lang w:bidi="ar-SA"/>
        </w:rPr>
        <w:t>六、一般公共预算财政拨款支出决算表</w:t>
      </w:r>
      <w:bookmarkEnd w:id="51"/>
    </w:p>
    <w:p w14:paraId="3B8C9A58">
      <w:pPr>
        <w:pStyle w:val="5"/>
        <w:keepNext/>
        <w:keepLines/>
        <w:pageBreakBefore w:val="0"/>
        <w:kinsoku/>
        <w:wordWrap/>
        <w:overflowPunct/>
        <w:topLinePunct w:val="0"/>
        <w:bidi w:val="0"/>
        <w:spacing w:before="260" w:beforeAutospacing="0" w:after="260" w:afterAutospacing="0" w:line="576" w:lineRule="exact"/>
        <w:jc w:val="both"/>
        <w:textAlignment w:val="auto"/>
        <w:outlineLvl w:val="1"/>
        <w:rPr>
          <w:rFonts w:hint="eastAsia" w:ascii="仿宋" w:hAnsi="Cambria" w:eastAsia="仿宋" w:cs="Times New Roman"/>
          <w:b w:val="0"/>
          <w:color w:val="000000"/>
          <w:kern w:val="2"/>
          <w:sz w:val="32"/>
          <w:szCs w:val="32"/>
          <w:lang w:bidi="ar-SA"/>
        </w:rPr>
      </w:pPr>
      <w:bookmarkStart w:id="52" w:name="_Toc703"/>
      <w:r>
        <w:rPr>
          <w:rFonts w:hint="eastAsia" w:ascii="仿宋" w:hAnsi="Cambria" w:eastAsia="仿宋" w:cs="Times New Roman"/>
          <w:b w:val="0"/>
          <w:color w:val="000000"/>
          <w:kern w:val="2"/>
          <w:sz w:val="32"/>
          <w:szCs w:val="32"/>
          <w:lang w:bidi="ar-SA"/>
        </w:rPr>
        <w:t>七、一般公共预算财政拨款支出决算明细表</w:t>
      </w:r>
      <w:bookmarkEnd w:id="52"/>
    </w:p>
    <w:p w14:paraId="3E4930D0">
      <w:pPr>
        <w:pStyle w:val="5"/>
        <w:keepNext/>
        <w:keepLines/>
        <w:pageBreakBefore w:val="0"/>
        <w:kinsoku/>
        <w:wordWrap/>
        <w:overflowPunct/>
        <w:topLinePunct w:val="0"/>
        <w:bidi w:val="0"/>
        <w:spacing w:before="260" w:beforeAutospacing="0" w:after="260" w:afterAutospacing="0" w:line="576" w:lineRule="exact"/>
        <w:jc w:val="both"/>
        <w:textAlignment w:val="auto"/>
        <w:outlineLvl w:val="1"/>
        <w:rPr>
          <w:rFonts w:hint="eastAsia" w:ascii="仿宋" w:hAnsi="Cambria" w:eastAsia="仿宋" w:cs="Times New Roman"/>
          <w:b w:val="0"/>
          <w:color w:val="000000"/>
          <w:kern w:val="2"/>
          <w:sz w:val="32"/>
          <w:szCs w:val="32"/>
          <w:lang w:bidi="ar-SA"/>
        </w:rPr>
      </w:pPr>
      <w:bookmarkStart w:id="53" w:name="_Toc1164"/>
      <w:r>
        <w:rPr>
          <w:rFonts w:hint="eastAsia" w:ascii="仿宋" w:hAnsi="Cambria" w:eastAsia="仿宋" w:cs="Times New Roman"/>
          <w:b w:val="0"/>
          <w:color w:val="000000"/>
          <w:kern w:val="2"/>
          <w:sz w:val="32"/>
          <w:szCs w:val="32"/>
          <w:lang w:bidi="ar-SA"/>
        </w:rPr>
        <w:t>八、一般公共预算财政拨款基本支出决算表</w:t>
      </w:r>
      <w:bookmarkEnd w:id="53"/>
    </w:p>
    <w:p w14:paraId="046F5E64">
      <w:pPr>
        <w:pStyle w:val="5"/>
        <w:keepNext/>
        <w:keepLines/>
        <w:pageBreakBefore w:val="0"/>
        <w:kinsoku/>
        <w:wordWrap/>
        <w:overflowPunct/>
        <w:topLinePunct w:val="0"/>
        <w:bidi w:val="0"/>
        <w:spacing w:before="260" w:beforeAutospacing="0" w:after="260" w:afterAutospacing="0" w:line="576" w:lineRule="exact"/>
        <w:jc w:val="both"/>
        <w:textAlignment w:val="auto"/>
        <w:outlineLvl w:val="1"/>
        <w:rPr>
          <w:rFonts w:hint="eastAsia" w:ascii="仿宋" w:hAnsi="Cambria" w:eastAsia="仿宋" w:cs="Times New Roman"/>
          <w:b w:val="0"/>
          <w:color w:val="000000"/>
          <w:kern w:val="2"/>
          <w:sz w:val="32"/>
          <w:szCs w:val="32"/>
          <w:lang w:bidi="ar-SA"/>
        </w:rPr>
      </w:pPr>
      <w:bookmarkStart w:id="54" w:name="_Toc30827"/>
      <w:r>
        <w:rPr>
          <w:rFonts w:hint="eastAsia" w:ascii="仿宋" w:hAnsi="Cambria" w:eastAsia="仿宋" w:cs="Times New Roman"/>
          <w:b w:val="0"/>
          <w:color w:val="000000"/>
          <w:kern w:val="2"/>
          <w:sz w:val="32"/>
          <w:szCs w:val="32"/>
          <w:lang w:bidi="ar-SA"/>
        </w:rPr>
        <w:t>九、一般公共预算财政拨款项目支出决算表</w:t>
      </w:r>
      <w:bookmarkEnd w:id="54"/>
    </w:p>
    <w:p w14:paraId="1007B8B8">
      <w:pPr>
        <w:pStyle w:val="5"/>
        <w:keepNext/>
        <w:keepLines/>
        <w:pageBreakBefore w:val="0"/>
        <w:kinsoku/>
        <w:wordWrap/>
        <w:overflowPunct/>
        <w:topLinePunct w:val="0"/>
        <w:bidi w:val="0"/>
        <w:spacing w:before="260" w:beforeAutospacing="0" w:after="260" w:afterAutospacing="0" w:line="576" w:lineRule="exact"/>
        <w:jc w:val="both"/>
        <w:textAlignment w:val="auto"/>
        <w:outlineLvl w:val="1"/>
        <w:rPr>
          <w:rFonts w:hint="eastAsia" w:ascii="仿宋" w:hAnsi="Cambria" w:eastAsia="仿宋" w:cs="Times New Roman"/>
          <w:b w:val="0"/>
          <w:color w:val="000000"/>
          <w:kern w:val="2"/>
          <w:sz w:val="32"/>
          <w:szCs w:val="32"/>
          <w:lang w:bidi="ar-SA"/>
        </w:rPr>
      </w:pPr>
      <w:bookmarkStart w:id="55" w:name="_Toc26030"/>
      <w:r>
        <w:rPr>
          <w:rFonts w:hint="eastAsia" w:ascii="仿宋" w:hAnsi="Cambria" w:eastAsia="仿宋" w:cs="Times New Roman"/>
          <w:b w:val="0"/>
          <w:color w:val="000000"/>
          <w:kern w:val="2"/>
          <w:sz w:val="32"/>
          <w:szCs w:val="32"/>
          <w:lang w:bidi="ar-SA"/>
        </w:rPr>
        <w:t>十、政府性基金预算财政拨款收入支出决算表</w:t>
      </w:r>
      <w:bookmarkEnd w:id="55"/>
    </w:p>
    <w:p w14:paraId="61F893CF">
      <w:pPr>
        <w:pStyle w:val="5"/>
        <w:keepNext/>
        <w:keepLines/>
        <w:pageBreakBefore w:val="0"/>
        <w:kinsoku/>
        <w:wordWrap/>
        <w:overflowPunct/>
        <w:topLinePunct w:val="0"/>
        <w:bidi w:val="0"/>
        <w:spacing w:before="260" w:beforeAutospacing="0" w:after="260" w:afterAutospacing="0" w:line="576" w:lineRule="exact"/>
        <w:jc w:val="both"/>
        <w:textAlignment w:val="auto"/>
        <w:outlineLvl w:val="1"/>
        <w:rPr>
          <w:rFonts w:hint="eastAsia" w:ascii="仿宋" w:hAnsi="Cambria" w:eastAsia="仿宋" w:cs="Times New Roman"/>
          <w:b w:val="0"/>
          <w:color w:val="000000"/>
          <w:kern w:val="2"/>
          <w:sz w:val="32"/>
          <w:szCs w:val="32"/>
          <w:lang w:bidi="ar-SA"/>
        </w:rPr>
      </w:pPr>
      <w:bookmarkStart w:id="56" w:name="_Toc25909"/>
      <w:r>
        <w:rPr>
          <w:rFonts w:hint="eastAsia" w:ascii="仿宋" w:hAnsi="Cambria" w:eastAsia="仿宋" w:cs="Times New Roman"/>
          <w:b w:val="0"/>
          <w:color w:val="000000"/>
          <w:kern w:val="2"/>
          <w:sz w:val="32"/>
          <w:szCs w:val="32"/>
          <w:lang w:bidi="ar-SA"/>
        </w:rPr>
        <w:t>十一、国有资本经营预算财政拨款收入支出决算表</w:t>
      </w:r>
      <w:bookmarkEnd w:id="56"/>
    </w:p>
    <w:p w14:paraId="034EA27D">
      <w:pPr>
        <w:pStyle w:val="5"/>
        <w:keepNext/>
        <w:keepLines/>
        <w:pageBreakBefore w:val="0"/>
        <w:kinsoku/>
        <w:wordWrap/>
        <w:overflowPunct/>
        <w:topLinePunct w:val="0"/>
        <w:bidi w:val="0"/>
        <w:spacing w:before="260" w:beforeAutospacing="0" w:after="260" w:afterAutospacing="0" w:line="576" w:lineRule="exact"/>
        <w:jc w:val="both"/>
        <w:textAlignment w:val="auto"/>
        <w:outlineLvl w:val="1"/>
        <w:rPr>
          <w:rFonts w:hint="eastAsia" w:ascii="仿宋" w:hAnsi="Cambria" w:eastAsia="仿宋" w:cs="Times New Roman"/>
          <w:b w:val="0"/>
          <w:color w:val="000000"/>
          <w:kern w:val="2"/>
          <w:sz w:val="32"/>
          <w:szCs w:val="32"/>
          <w:lang w:bidi="ar-SA"/>
        </w:rPr>
      </w:pPr>
      <w:bookmarkStart w:id="57" w:name="_Toc27357"/>
      <w:r>
        <w:rPr>
          <w:rFonts w:hint="eastAsia" w:ascii="仿宋" w:hAnsi="Cambria" w:eastAsia="仿宋" w:cs="Times New Roman"/>
          <w:b w:val="0"/>
          <w:color w:val="000000"/>
          <w:kern w:val="2"/>
          <w:sz w:val="32"/>
          <w:szCs w:val="32"/>
          <w:lang w:bidi="ar-SA"/>
        </w:rPr>
        <w:t>十二、国有资本经营预算财政拨款支出决算表</w:t>
      </w:r>
      <w:bookmarkEnd w:id="57"/>
    </w:p>
    <w:p w14:paraId="458C0D2A">
      <w:pPr>
        <w:pStyle w:val="5"/>
        <w:keepNext/>
        <w:keepLines/>
        <w:pageBreakBefore w:val="0"/>
        <w:kinsoku/>
        <w:wordWrap/>
        <w:overflowPunct/>
        <w:topLinePunct w:val="0"/>
        <w:bidi w:val="0"/>
        <w:spacing w:before="260" w:beforeAutospacing="0" w:after="260" w:afterAutospacing="0" w:line="576" w:lineRule="exact"/>
        <w:jc w:val="both"/>
        <w:textAlignment w:val="auto"/>
        <w:outlineLvl w:val="1"/>
        <w:rPr>
          <w:rFonts w:hint="eastAsia" w:ascii="仿宋" w:hAnsi="Cambria" w:eastAsia="仿宋" w:cs="Times New Roman"/>
          <w:b w:val="0"/>
          <w:color w:val="000000"/>
          <w:kern w:val="2"/>
          <w:sz w:val="32"/>
          <w:szCs w:val="32"/>
          <w:lang w:bidi="ar-SA"/>
        </w:rPr>
      </w:pPr>
      <w:bookmarkStart w:id="58" w:name="_Toc32413"/>
      <w:r>
        <w:rPr>
          <w:rFonts w:hint="eastAsia" w:ascii="仿宋" w:hAnsi="Cambria" w:eastAsia="仿宋" w:cs="Times New Roman"/>
          <w:b w:val="0"/>
          <w:color w:val="000000"/>
          <w:kern w:val="2"/>
          <w:sz w:val="32"/>
          <w:szCs w:val="32"/>
          <w:lang w:bidi="ar-SA"/>
        </w:rPr>
        <w:t>十三、财政拨款“三公”经费支出决算表</w:t>
      </w:r>
      <w:bookmarkEnd w:id="58"/>
    </w:p>
    <w:p w14:paraId="01159D39"/>
    <w:p w14:paraId="119D7FE2"/>
    <w:sectPr>
      <w:headerReference r:id="rId3" w:type="default"/>
      <w:footerReference r:id="rId4" w:type="default"/>
      <w:pgSz w:w="11906" w:h="16838"/>
      <w:pgMar w:top="1440" w:right="1800" w:bottom="1440" w:left="1800" w:header="851" w:footer="992" w:gutter="0"/>
      <w:pgNumType w:start="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等线">
    <w:altName w:val="微软雅黑"/>
    <w:panose1 w:val="00000000000000000000"/>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等线 Light">
    <w:altName w:val="宋体"/>
    <w:panose1 w:val="00000000000000000000"/>
    <w:charset w:val="86"/>
    <w:family w:val="auto"/>
    <w:pitch w:val="default"/>
    <w:sig w:usb0="00000000" w:usb1="00000000" w:usb2="00000016" w:usb3="00000000" w:csb0="0004000F" w:csb1="00000000"/>
  </w:font>
  <w:font w:name="方正小标宋简体">
    <w:altName w:val="黑体"/>
    <w:panose1 w:val="03000509000000000000"/>
    <w:charset w:val="86"/>
    <w:family w:val="script"/>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Book Antiqua">
    <w:altName w:val="Times New Roman"/>
    <w:panose1 w:val="02040602050305030304"/>
    <w:charset w:val="00"/>
    <w:family w:val="roman"/>
    <w:pitch w:val="default"/>
    <w:sig w:usb0="00000000" w:usb1="00000000" w:usb2="00000000" w:usb3="00000000" w:csb0="2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E228EF">
    <w:pPr>
      <w:pStyle w:val="14"/>
      <w:jc w:val="center"/>
    </w:pPr>
    <w:r>
      <w:fldChar w:fldCharType="begin"/>
    </w:r>
    <w:r>
      <w:instrText xml:space="preserve">PAGE   \* MERGEFORMAT</w:instrText>
    </w:r>
    <w:r>
      <w:fldChar w:fldCharType="separate"/>
    </w:r>
    <w:r>
      <w:t>12</w:t>
    </w:r>
    <w:r>
      <w:fldChar w:fldCharType="end"/>
    </w:r>
  </w:p>
  <w:p w14:paraId="625486A2">
    <w:pPr>
      <w:pStyle w:val="1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0ACC68">
    <w:pPr>
      <w:pStyle w:val="1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B0B3865"/>
    <w:multiLevelType w:val="singleLevel"/>
    <w:tmpl w:val="AB0B3865"/>
    <w:lvl w:ilvl="0" w:tentative="0">
      <w:start w:val="3"/>
      <w:numFmt w:val="chineseCounting"/>
      <w:suff w:val="nothing"/>
      <w:lvlText w:val="（%1）"/>
      <w:lvlJc w:val="left"/>
      <w:rPr>
        <w:rFonts w:hint="eastAsia"/>
      </w:rPr>
    </w:lvl>
  </w:abstractNum>
  <w:abstractNum w:abstractNumId="1">
    <w:nsid w:val="E2FA047D"/>
    <w:multiLevelType w:val="singleLevel"/>
    <w:tmpl w:val="E2FA047D"/>
    <w:lvl w:ilvl="0" w:tentative="0">
      <w:start w:val="3"/>
      <w:numFmt w:val="chineseCounting"/>
      <w:suff w:val="space"/>
      <w:lvlText w:val="第%1部分"/>
      <w:lvlJc w:val="left"/>
      <w:rPr>
        <w:rFonts w:hint="eastAsia" w:cs="Times New Roman"/>
      </w:rPr>
    </w:lvl>
  </w:abstractNum>
  <w:abstractNum w:abstractNumId="2">
    <w:nsid w:val="24B5D28C"/>
    <w:multiLevelType w:val="singleLevel"/>
    <w:tmpl w:val="24B5D28C"/>
    <w:lvl w:ilvl="0" w:tentative="0">
      <w:start w:val="4"/>
      <w:numFmt w:val="chineseCounting"/>
      <w:suff w:val="nothing"/>
      <w:lvlText w:val="%1、"/>
      <w:lvlJc w:val="left"/>
      <w:rPr>
        <w:rFonts w:hint="eastAsi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UwYjVhZDVkOTI5M2RiZmQyYWMwYjgxMjc2NTUwM2E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2461"/>
    <w:rsid w:val="000E6613"/>
    <w:rsid w:val="000E7119"/>
    <w:rsid w:val="00114E9B"/>
    <w:rsid w:val="00115301"/>
    <w:rsid w:val="001319E1"/>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4E85"/>
    <w:rsid w:val="001F7506"/>
    <w:rsid w:val="002006CD"/>
    <w:rsid w:val="00202B36"/>
    <w:rsid w:val="00204B7A"/>
    <w:rsid w:val="00204CDE"/>
    <w:rsid w:val="0021101A"/>
    <w:rsid w:val="00220536"/>
    <w:rsid w:val="00235629"/>
    <w:rsid w:val="00244D22"/>
    <w:rsid w:val="00256262"/>
    <w:rsid w:val="00260C38"/>
    <w:rsid w:val="002616C0"/>
    <w:rsid w:val="00265372"/>
    <w:rsid w:val="002662AA"/>
    <w:rsid w:val="0027224D"/>
    <w:rsid w:val="00280496"/>
    <w:rsid w:val="002924FD"/>
    <w:rsid w:val="00294DC9"/>
    <w:rsid w:val="00295495"/>
    <w:rsid w:val="002A31DE"/>
    <w:rsid w:val="002B2613"/>
    <w:rsid w:val="002B723E"/>
    <w:rsid w:val="002D6D05"/>
    <w:rsid w:val="002D762D"/>
    <w:rsid w:val="002F1818"/>
    <w:rsid w:val="002F567B"/>
    <w:rsid w:val="00306858"/>
    <w:rsid w:val="003216A9"/>
    <w:rsid w:val="00331E0C"/>
    <w:rsid w:val="00335A74"/>
    <w:rsid w:val="0036561B"/>
    <w:rsid w:val="0037013F"/>
    <w:rsid w:val="00380C92"/>
    <w:rsid w:val="00391FB4"/>
    <w:rsid w:val="003A484F"/>
    <w:rsid w:val="003A4883"/>
    <w:rsid w:val="003B0BE0"/>
    <w:rsid w:val="003B0C1B"/>
    <w:rsid w:val="003B688C"/>
    <w:rsid w:val="003C0291"/>
    <w:rsid w:val="003C39AE"/>
    <w:rsid w:val="003C7B60"/>
    <w:rsid w:val="003D0C0F"/>
    <w:rsid w:val="003D1FB2"/>
    <w:rsid w:val="003D66DA"/>
    <w:rsid w:val="003E1310"/>
    <w:rsid w:val="003E6F55"/>
    <w:rsid w:val="003E6FE4"/>
    <w:rsid w:val="003F1607"/>
    <w:rsid w:val="00406254"/>
    <w:rsid w:val="004223DE"/>
    <w:rsid w:val="0042273C"/>
    <w:rsid w:val="00423FD7"/>
    <w:rsid w:val="00434489"/>
    <w:rsid w:val="00437085"/>
    <w:rsid w:val="00443880"/>
    <w:rsid w:val="00445607"/>
    <w:rsid w:val="004464F4"/>
    <w:rsid w:val="00471401"/>
    <w:rsid w:val="00471E6C"/>
    <w:rsid w:val="00473F31"/>
    <w:rsid w:val="0048263A"/>
    <w:rsid w:val="00484C35"/>
    <w:rsid w:val="00487E5D"/>
    <w:rsid w:val="004A711F"/>
    <w:rsid w:val="004B199D"/>
    <w:rsid w:val="004B4690"/>
    <w:rsid w:val="004D02D1"/>
    <w:rsid w:val="004D04B9"/>
    <w:rsid w:val="004D5479"/>
    <w:rsid w:val="004D5D38"/>
    <w:rsid w:val="004E0A2D"/>
    <w:rsid w:val="004E206B"/>
    <w:rsid w:val="004E6DF7"/>
    <w:rsid w:val="004F0FBD"/>
    <w:rsid w:val="00505A47"/>
    <w:rsid w:val="00512FDA"/>
    <w:rsid w:val="00520DA0"/>
    <w:rsid w:val="005269A7"/>
    <w:rsid w:val="005269D7"/>
    <w:rsid w:val="00537A94"/>
    <w:rsid w:val="0054336D"/>
    <w:rsid w:val="005664BB"/>
    <w:rsid w:val="00566FFA"/>
    <w:rsid w:val="0057481D"/>
    <w:rsid w:val="00574CA6"/>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2599F"/>
    <w:rsid w:val="00630AEF"/>
    <w:rsid w:val="006325F8"/>
    <w:rsid w:val="00633463"/>
    <w:rsid w:val="00634C9A"/>
    <w:rsid w:val="006440E4"/>
    <w:rsid w:val="00645F81"/>
    <w:rsid w:val="0066343B"/>
    <w:rsid w:val="00664777"/>
    <w:rsid w:val="00671B27"/>
    <w:rsid w:val="006748A4"/>
    <w:rsid w:val="00681A31"/>
    <w:rsid w:val="00683E73"/>
    <w:rsid w:val="006A3141"/>
    <w:rsid w:val="006A5E34"/>
    <w:rsid w:val="006B2422"/>
    <w:rsid w:val="006B2B9A"/>
    <w:rsid w:val="006C1937"/>
    <w:rsid w:val="006F020C"/>
    <w:rsid w:val="00705328"/>
    <w:rsid w:val="007127B7"/>
    <w:rsid w:val="0071798E"/>
    <w:rsid w:val="007407BF"/>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246C"/>
    <w:rsid w:val="008253BB"/>
    <w:rsid w:val="0083706E"/>
    <w:rsid w:val="008408F6"/>
    <w:rsid w:val="008423A5"/>
    <w:rsid w:val="00850625"/>
    <w:rsid w:val="0085066D"/>
    <w:rsid w:val="00853718"/>
    <w:rsid w:val="00855221"/>
    <w:rsid w:val="00860645"/>
    <w:rsid w:val="00871F71"/>
    <w:rsid w:val="00872FD8"/>
    <w:rsid w:val="00883836"/>
    <w:rsid w:val="00885AF4"/>
    <w:rsid w:val="00887634"/>
    <w:rsid w:val="00892977"/>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34D8"/>
    <w:rsid w:val="00935C98"/>
    <w:rsid w:val="00946945"/>
    <w:rsid w:val="00951248"/>
    <w:rsid w:val="0095152F"/>
    <w:rsid w:val="00954C49"/>
    <w:rsid w:val="00955E37"/>
    <w:rsid w:val="00962656"/>
    <w:rsid w:val="0097099F"/>
    <w:rsid w:val="009713A8"/>
    <w:rsid w:val="00971997"/>
    <w:rsid w:val="00971FFC"/>
    <w:rsid w:val="0098660A"/>
    <w:rsid w:val="009931C3"/>
    <w:rsid w:val="009B2C43"/>
    <w:rsid w:val="009B4EAE"/>
    <w:rsid w:val="009B7573"/>
    <w:rsid w:val="009C22F4"/>
    <w:rsid w:val="009C2A4B"/>
    <w:rsid w:val="009C2E98"/>
    <w:rsid w:val="009D3447"/>
    <w:rsid w:val="009D3AF1"/>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1ACF"/>
    <w:rsid w:val="00A56045"/>
    <w:rsid w:val="00A56DF2"/>
    <w:rsid w:val="00A56E6E"/>
    <w:rsid w:val="00A6787D"/>
    <w:rsid w:val="00A67AB5"/>
    <w:rsid w:val="00A733B2"/>
    <w:rsid w:val="00A741C2"/>
    <w:rsid w:val="00A91760"/>
    <w:rsid w:val="00A93B00"/>
    <w:rsid w:val="00A93C21"/>
    <w:rsid w:val="00AB64C9"/>
    <w:rsid w:val="00AC3C6A"/>
    <w:rsid w:val="00AD5620"/>
    <w:rsid w:val="00AD656B"/>
    <w:rsid w:val="00AD7C1B"/>
    <w:rsid w:val="00AE16BA"/>
    <w:rsid w:val="00AE1EBE"/>
    <w:rsid w:val="00AE4E5E"/>
    <w:rsid w:val="00B011E4"/>
    <w:rsid w:val="00B03C9D"/>
    <w:rsid w:val="00B060AE"/>
    <w:rsid w:val="00B10517"/>
    <w:rsid w:val="00B134EC"/>
    <w:rsid w:val="00B14E76"/>
    <w:rsid w:val="00B161B8"/>
    <w:rsid w:val="00B2048C"/>
    <w:rsid w:val="00B26A18"/>
    <w:rsid w:val="00B310B9"/>
    <w:rsid w:val="00B34006"/>
    <w:rsid w:val="00B35F3F"/>
    <w:rsid w:val="00B36CBB"/>
    <w:rsid w:val="00B425E0"/>
    <w:rsid w:val="00B440AA"/>
    <w:rsid w:val="00B44B70"/>
    <w:rsid w:val="00B53C56"/>
    <w:rsid w:val="00B57DAF"/>
    <w:rsid w:val="00B720C5"/>
    <w:rsid w:val="00B77EA6"/>
    <w:rsid w:val="00B81598"/>
    <w:rsid w:val="00B841F1"/>
    <w:rsid w:val="00B90E4E"/>
    <w:rsid w:val="00B93355"/>
    <w:rsid w:val="00B944D6"/>
    <w:rsid w:val="00B965DC"/>
    <w:rsid w:val="00BB4DF0"/>
    <w:rsid w:val="00BC289F"/>
    <w:rsid w:val="00BC2D50"/>
    <w:rsid w:val="00BC5361"/>
    <w:rsid w:val="00BC5460"/>
    <w:rsid w:val="00BC6B50"/>
    <w:rsid w:val="00BD0E25"/>
    <w:rsid w:val="00BF5BD6"/>
    <w:rsid w:val="00C03E31"/>
    <w:rsid w:val="00C04C62"/>
    <w:rsid w:val="00C33E72"/>
    <w:rsid w:val="00C354B2"/>
    <w:rsid w:val="00C35554"/>
    <w:rsid w:val="00C42709"/>
    <w:rsid w:val="00C533CC"/>
    <w:rsid w:val="00C5751C"/>
    <w:rsid w:val="00C61BFC"/>
    <w:rsid w:val="00C61ECA"/>
    <w:rsid w:val="00C62B85"/>
    <w:rsid w:val="00C65438"/>
    <w:rsid w:val="00C87FD8"/>
    <w:rsid w:val="00C91381"/>
    <w:rsid w:val="00C91CBB"/>
    <w:rsid w:val="00C91D96"/>
    <w:rsid w:val="00CB4E70"/>
    <w:rsid w:val="00CC09B6"/>
    <w:rsid w:val="00CC666F"/>
    <w:rsid w:val="00CD1E3F"/>
    <w:rsid w:val="00CE44F6"/>
    <w:rsid w:val="00CE49DA"/>
    <w:rsid w:val="00CE7B61"/>
    <w:rsid w:val="00D00095"/>
    <w:rsid w:val="00D114F0"/>
    <w:rsid w:val="00D20620"/>
    <w:rsid w:val="00D23F33"/>
    <w:rsid w:val="00D25339"/>
    <w:rsid w:val="00D254F7"/>
    <w:rsid w:val="00D26091"/>
    <w:rsid w:val="00D2685C"/>
    <w:rsid w:val="00D34E7C"/>
    <w:rsid w:val="00D35489"/>
    <w:rsid w:val="00D36AFE"/>
    <w:rsid w:val="00D51276"/>
    <w:rsid w:val="00D7035F"/>
    <w:rsid w:val="00D81A47"/>
    <w:rsid w:val="00DA634F"/>
    <w:rsid w:val="00DA65AC"/>
    <w:rsid w:val="00DB1913"/>
    <w:rsid w:val="00DC410D"/>
    <w:rsid w:val="00DC5A81"/>
    <w:rsid w:val="00DC68CA"/>
    <w:rsid w:val="00DC74B0"/>
    <w:rsid w:val="00DC7CBA"/>
    <w:rsid w:val="00DD73B7"/>
    <w:rsid w:val="00DF28BC"/>
    <w:rsid w:val="00DF34B9"/>
    <w:rsid w:val="00E00407"/>
    <w:rsid w:val="00E01053"/>
    <w:rsid w:val="00E07ACF"/>
    <w:rsid w:val="00E32CAD"/>
    <w:rsid w:val="00E331A1"/>
    <w:rsid w:val="00E33202"/>
    <w:rsid w:val="00E336A9"/>
    <w:rsid w:val="00E472B1"/>
    <w:rsid w:val="00E50624"/>
    <w:rsid w:val="00E568DF"/>
    <w:rsid w:val="00E64269"/>
    <w:rsid w:val="00E70975"/>
    <w:rsid w:val="00E82267"/>
    <w:rsid w:val="00E825DB"/>
    <w:rsid w:val="00E853CE"/>
    <w:rsid w:val="00E8567B"/>
    <w:rsid w:val="00E867B6"/>
    <w:rsid w:val="00EA010F"/>
    <w:rsid w:val="00EA6816"/>
    <w:rsid w:val="00ED1B63"/>
    <w:rsid w:val="00ED3C1F"/>
    <w:rsid w:val="00ED4085"/>
    <w:rsid w:val="00ED420E"/>
    <w:rsid w:val="00ED6FBE"/>
    <w:rsid w:val="00EE2F57"/>
    <w:rsid w:val="00EF4C34"/>
    <w:rsid w:val="00EF60EF"/>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B52A4"/>
    <w:rsid w:val="00FC1AD8"/>
    <w:rsid w:val="00FC2607"/>
    <w:rsid w:val="00FD3CC1"/>
    <w:rsid w:val="00FE553C"/>
    <w:rsid w:val="00FF1E02"/>
    <w:rsid w:val="00FF30B4"/>
    <w:rsid w:val="013730A5"/>
    <w:rsid w:val="013B4DBA"/>
    <w:rsid w:val="019E74C5"/>
    <w:rsid w:val="01CB1346"/>
    <w:rsid w:val="01F3521E"/>
    <w:rsid w:val="02E237DF"/>
    <w:rsid w:val="02EA1AA6"/>
    <w:rsid w:val="03D1333D"/>
    <w:rsid w:val="03F129D0"/>
    <w:rsid w:val="04930218"/>
    <w:rsid w:val="04E71B7F"/>
    <w:rsid w:val="04E86B91"/>
    <w:rsid w:val="058B111D"/>
    <w:rsid w:val="061B054F"/>
    <w:rsid w:val="063107D8"/>
    <w:rsid w:val="06B32D73"/>
    <w:rsid w:val="07681A52"/>
    <w:rsid w:val="09376339"/>
    <w:rsid w:val="0A1A225A"/>
    <w:rsid w:val="0A2032A3"/>
    <w:rsid w:val="0A736F6D"/>
    <w:rsid w:val="0FC401FA"/>
    <w:rsid w:val="10C055FF"/>
    <w:rsid w:val="118107EC"/>
    <w:rsid w:val="11CE129A"/>
    <w:rsid w:val="11FC5F65"/>
    <w:rsid w:val="12740C7C"/>
    <w:rsid w:val="13C02977"/>
    <w:rsid w:val="1628756B"/>
    <w:rsid w:val="16547CE8"/>
    <w:rsid w:val="16BB723D"/>
    <w:rsid w:val="16E42F30"/>
    <w:rsid w:val="17C96E8C"/>
    <w:rsid w:val="18153469"/>
    <w:rsid w:val="189B292C"/>
    <w:rsid w:val="19A908A7"/>
    <w:rsid w:val="1A7F369B"/>
    <w:rsid w:val="1B391A9C"/>
    <w:rsid w:val="1B4F155D"/>
    <w:rsid w:val="1BB47375"/>
    <w:rsid w:val="1D155CEE"/>
    <w:rsid w:val="1E90049B"/>
    <w:rsid w:val="1F1A3993"/>
    <w:rsid w:val="1F7D7088"/>
    <w:rsid w:val="1F9F4D6C"/>
    <w:rsid w:val="21A77CC7"/>
    <w:rsid w:val="22196184"/>
    <w:rsid w:val="223E5BEA"/>
    <w:rsid w:val="227839A9"/>
    <w:rsid w:val="2312721A"/>
    <w:rsid w:val="233F60BE"/>
    <w:rsid w:val="23446EF2"/>
    <w:rsid w:val="240371BF"/>
    <w:rsid w:val="264552AC"/>
    <w:rsid w:val="26972D05"/>
    <w:rsid w:val="26FC6074"/>
    <w:rsid w:val="27E70D6E"/>
    <w:rsid w:val="2834158B"/>
    <w:rsid w:val="289F315B"/>
    <w:rsid w:val="29CD4421"/>
    <w:rsid w:val="29FD04D3"/>
    <w:rsid w:val="2A1C3D55"/>
    <w:rsid w:val="2AE45A08"/>
    <w:rsid w:val="2BCA6741"/>
    <w:rsid w:val="2C332E2D"/>
    <w:rsid w:val="2D572256"/>
    <w:rsid w:val="2D6230D5"/>
    <w:rsid w:val="2D8F19F0"/>
    <w:rsid w:val="2E7035CF"/>
    <w:rsid w:val="2EEE52C5"/>
    <w:rsid w:val="2F8A06C1"/>
    <w:rsid w:val="2FCF07C9"/>
    <w:rsid w:val="31175F84"/>
    <w:rsid w:val="312B37AD"/>
    <w:rsid w:val="317F5B00"/>
    <w:rsid w:val="319F7F4E"/>
    <w:rsid w:val="31E85B72"/>
    <w:rsid w:val="3215658C"/>
    <w:rsid w:val="32DF2AD1"/>
    <w:rsid w:val="32FA790B"/>
    <w:rsid w:val="3358176D"/>
    <w:rsid w:val="34202FEC"/>
    <w:rsid w:val="345901E0"/>
    <w:rsid w:val="350E5A19"/>
    <w:rsid w:val="351A54EA"/>
    <w:rsid w:val="358636D8"/>
    <w:rsid w:val="373D070E"/>
    <w:rsid w:val="377601E8"/>
    <w:rsid w:val="37B7401D"/>
    <w:rsid w:val="381C6576"/>
    <w:rsid w:val="38284FA4"/>
    <w:rsid w:val="390A4620"/>
    <w:rsid w:val="39721065"/>
    <w:rsid w:val="399726C0"/>
    <w:rsid w:val="399860D0"/>
    <w:rsid w:val="3A126E8D"/>
    <w:rsid w:val="3B131A81"/>
    <w:rsid w:val="3B485F2C"/>
    <w:rsid w:val="3B983D0A"/>
    <w:rsid w:val="3BBD3BCC"/>
    <w:rsid w:val="3C2C4CF9"/>
    <w:rsid w:val="3D227CD9"/>
    <w:rsid w:val="3EB56DDC"/>
    <w:rsid w:val="3F0D4532"/>
    <w:rsid w:val="3F246C16"/>
    <w:rsid w:val="40E77DF5"/>
    <w:rsid w:val="40EB0D07"/>
    <w:rsid w:val="41807B75"/>
    <w:rsid w:val="42416A88"/>
    <w:rsid w:val="42723962"/>
    <w:rsid w:val="428B67D2"/>
    <w:rsid w:val="441A635D"/>
    <w:rsid w:val="464078D3"/>
    <w:rsid w:val="47883F28"/>
    <w:rsid w:val="47C63E08"/>
    <w:rsid w:val="48A15CA6"/>
    <w:rsid w:val="49802948"/>
    <w:rsid w:val="4A225C6E"/>
    <w:rsid w:val="4A30697C"/>
    <w:rsid w:val="4B6401D6"/>
    <w:rsid w:val="4B700C5B"/>
    <w:rsid w:val="4C2F01CE"/>
    <w:rsid w:val="4C516396"/>
    <w:rsid w:val="4C6043D0"/>
    <w:rsid w:val="4CA06C53"/>
    <w:rsid w:val="4CAD0A4B"/>
    <w:rsid w:val="4ECE2238"/>
    <w:rsid w:val="4F5D2E49"/>
    <w:rsid w:val="50C106B1"/>
    <w:rsid w:val="514A7858"/>
    <w:rsid w:val="51960CEF"/>
    <w:rsid w:val="51E2053E"/>
    <w:rsid w:val="525717A0"/>
    <w:rsid w:val="52746B52"/>
    <w:rsid w:val="528D5C4E"/>
    <w:rsid w:val="52A645C6"/>
    <w:rsid w:val="52C75604"/>
    <w:rsid w:val="52F26DF3"/>
    <w:rsid w:val="53480987"/>
    <w:rsid w:val="53E755F7"/>
    <w:rsid w:val="545A34B3"/>
    <w:rsid w:val="54F77CF7"/>
    <w:rsid w:val="560E52F8"/>
    <w:rsid w:val="57902C01"/>
    <w:rsid w:val="58D9764A"/>
    <w:rsid w:val="5A112174"/>
    <w:rsid w:val="5B092C41"/>
    <w:rsid w:val="5BDC543A"/>
    <w:rsid w:val="5BFC5BF3"/>
    <w:rsid w:val="5D3F048D"/>
    <w:rsid w:val="5D577585"/>
    <w:rsid w:val="5DC82230"/>
    <w:rsid w:val="5F9C5723"/>
    <w:rsid w:val="60912DAE"/>
    <w:rsid w:val="610E43FE"/>
    <w:rsid w:val="61A84853"/>
    <w:rsid w:val="61E621C0"/>
    <w:rsid w:val="62500A46"/>
    <w:rsid w:val="625422E5"/>
    <w:rsid w:val="63916DA4"/>
    <w:rsid w:val="649E018F"/>
    <w:rsid w:val="656D5001"/>
    <w:rsid w:val="6640375F"/>
    <w:rsid w:val="67FD192F"/>
    <w:rsid w:val="69282E4A"/>
    <w:rsid w:val="6A2829D5"/>
    <w:rsid w:val="6B5E3AF7"/>
    <w:rsid w:val="6B9A78F3"/>
    <w:rsid w:val="6BE37E48"/>
    <w:rsid w:val="6C3A69EF"/>
    <w:rsid w:val="6C4A05C8"/>
    <w:rsid w:val="6C691A56"/>
    <w:rsid w:val="6C813AED"/>
    <w:rsid w:val="6D4F02AD"/>
    <w:rsid w:val="6D6F26C8"/>
    <w:rsid w:val="6D7A69B8"/>
    <w:rsid w:val="6D860E3C"/>
    <w:rsid w:val="6FFC146A"/>
    <w:rsid w:val="701B1B3B"/>
    <w:rsid w:val="70D656D1"/>
    <w:rsid w:val="72734D90"/>
    <w:rsid w:val="734B073F"/>
    <w:rsid w:val="73F90F3E"/>
    <w:rsid w:val="74053257"/>
    <w:rsid w:val="745443C6"/>
    <w:rsid w:val="74B9247B"/>
    <w:rsid w:val="751029E3"/>
    <w:rsid w:val="759B2BF7"/>
    <w:rsid w:val="78C560C2"/>
    <w:rsid w:val="7AA54BD8"/>
    <w:rsid w:val="7B371003"/>
    <w:rsid w:val="7D393689"/>
    <w:rsid w:val="7D9373AE"/>
    <w:rsid w:val="7DB36601"/>
    <w:rsid w:val="7E36223B"/>
    <w:rsid w:val="7EF21D34"/>
    <w:rsid w:val="7F172312"/>
    <w:rsid w:val="7FB0663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qFormat="1" w:unhideWhenUsed="0" w:uiPriority="99"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4"/>
    <w:link w:val="38"/>
    <w:qFormat/>
    <w:uiPriority w:val="9"/>
    <w:pPr>
      <w:keepNext/>
      <w:keepLines/>
      <w:spacing w:before="340" w:after="330" w:line="578" w:lineRule="auto"/>
      <w:outlineLvl w:val="0"/>
    </w:pPr>
    <w:rPr>
      <w:b/>
      <w:bCs/>
      <w:kern w:val="44"/>
      <w:sz w:val="44"/>
      <w:szCs w:val="44"/>
    </w:rPr>
  </w:style>
  <w:style w:type="paragraph" w:styleId="5">
    <w:name w:val="heading 2"/>
    <w:basedOn w:val="1"/>
    <w:next w:val="1"/>
    <w:link w:val="42"/>
    <w:qFormat/>
    <w:uiPriority w:val="9"/>
    <w:pPr>
      <w:keepNext/>
      <w:keepLines/>
      <w:spacing w:before="260" w:after="260" w:line="416" w:lineRule="auto"/>
      <w:outlineLvl w:val="1"/>
    </w:pPr>
    <w:rPr>
      <w:rFonts w:ascii="Cambria" w:hAnsi="Cambria"/>
      <w:b/>
      <w:bCs/>
      <w:sz w:val="32"/>
      <w:szCs w:val="32"/>
    </w:rPr>
  </w:style>
  <w:style w:type="paragraph" w:styleId="4">
    <w:name w:val="heading 3"/>
    <w:basedOn w:val="1"/>
    <w:next w:val="1"/>
    <w:link w:val="35"/>
    <w:qFormat/>
    <w:uiPriority w:val="9"/>
    <w:pPr>
      <w:keepNext/>
      <w:keepLines/>
      <w:spacing w:before="260" w:after="260" w:line="416" w:lineRule="auto"/>
      <w:outlineLvl w:val="2"/>
    </w:pPr>
    <w:rPr>
      <w:b/>
      <w:bCs/>
      <w:sz w:val="32"/>
      <w:szCs w:val="32"/>
    </w:rPr>
  </w:style>
  <w:style w:type="character" w:default="1" w:styleId="26">
    <w:name w:val="Default Paragraph Font"/>
    <w:semiHidden/>
    <w:unhideWhenUsed/>
    <w:qFormat/>
    <w:uiPriority w:val="1"/>
  </w:style>
  <w:style w:type="table" w:default="1" w:styleId="25">
    <w:name w:val="Normal Table"/>
    <w:semiHidden/>
    <w:unhideWhenUsed/>
    <w:qFormat/>
    <w:uiPriority w:val="99"/>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styleId="6">
    <w:name w:val="toc 7"/>
    <w:basedOn w:val="1"/>
    <w:next w:val="1"/>
    <w:unhideWhenUsed/>
    <w:qFormat/>
    <w:uiPriority w:val="39"/>
    <w:pPr>
      <w:ind w:left="1260"/>
      <w:jc w:val="left"/>
    </w:pPr>
    <w:rPr>
      <w:rFonts w:ascii="等线" w:eastAsia="等线"/>
      <w:sz w:val="18"/>
      <w:szCs w:val="18"/>
    </w:rPr>
  </w:style>
  <w:style w:type="paragraph" w:styleId="7">
    <w:name w:val="Body Text"/>
    <w:basedOn w:val="1"/>
    <w:link w:val="36"/>
    <w:qFormat/>
    <w:uiPriority w:val="99"/>
    <w:pPr>
      <w:spacing w:beforeLines="30"/>
    </w:pPr>
    <w:rPr>
      <w:rFonts w:ascii="仿宋_GB2312" w:eastAsia="仿宋_GB2312"/>
      <w:kern w:val="0"/>
      <w:sz w:val="24"/>
      <w:szCs w:val="20"/>
      <w:lang w:val="zh-CN"/>
    </w:rPr>
  </w:style>
  <w:style w:type="paragraph" w:styleId="8">
    <w:name w:val="Body Text Indent"/>
    <w:basedOn w:val="1"/>
    <w:next w:val="9"/>
    <w:qFormat/>
    <w:uiPriority w:val="0"/>
    <w:pPr>
      <w:tabs>
        <w:tab w:val="left" w:pos="960"/>
      </w:tabs>
      <w:spacing w:line="540" w:lineRule="exact"/>
      <w:ind w:firstLine="5440" w:firstLineChars="1700"/>
    </w:pPr>
    <w:rPr>
      <w:sz w:val="32"/>
      <w:szCs w:val="32"/>
    </w:rPr>
  </w:style>
  <w:style w:type="paragraph" w:styleId="9">
    <w:name w:val="Body Text First Indent 2"/>
    <w:basedOn w:val="8"/>
    <w:next w:val="1"/>
    <w:qFormat/>
    <w:uiPriority w:val="0"/>
    <w:pPr>
      <w:ind w:firstLine="420" w:firstLineChars="200"/>
    </w:pPr>
  </w:style>
  <w:style w:type="paragraph" w:styleId="10">
    <w:name w:val="toc 5"/>
    <w:basedOn w:val="1"/>
    <w:next w:val="1"/>
    <w:unhideWhenUsed/>
    <w:qFormat/>
    <w:uiPriority w:val="39"/>
    <w:pPr>
      <w:ind w:left="840"/>
      <w:jc w:val="left"/>
    </w:pPr>
    <w:rPr>
      <w:rFonts w:ascii="等线" w:eastAsia="等线"/>
      <w:sz w:val="18"/>
      <w:szCs w:val="18"/>
    </w:rPr>
  </w:style>
  <w:style w:type="paragraph" w:styleId="11">
    <w:name w:val="toc 3"/>
    <w:basedOn w:val="1"/>
    <w:next w:val="1"/>
    <w:unhideWhenUsed/>
    <w:qFormat/>
    <w:uiPriority w:val="39"/>
    <w:pPr>
      <w:ind w:left="420"/>
      <w:jc w:val="left"/>
    </w:pPr>
    <w:rPr>
      <w:rFonts w:ascii="等线" w:eastAsia="等线"/>
      <w:i/>
      <w:iCs/>
      <w:sz w:val="20"/>
      <w:szCs w:val="20"/>
    </w:rPr>
  </w:style>
  <w:style w:type="paragraph" w:styleId="12">
    <w:name w:val="toc 8"/>
    <w:basedOn w:val="1"/>
    <w:next w:val="1"/>
    <w:unhideWhenUsed/>
    <w:qFormat/>
    <w:uiPriority w:val="39"/>
    <w:pPr>
      <w:ind w:left="1470"/>
      <w:jc w:val="left"/>
    </w:pPr>
    <w:rPr>
      <w:rFonts w:ascii="等线" w:eastAsia="等线"/>
      <w:sz w:val="18"/>
      <w:szCs w:val="18"/>
    </w:rPr>
  </w:style>
  <w:style w:type="paragraph" w:styleId="13">
    <w:name w:val="Balloon Text"/>
    <w:basedOn w:val="1"/>
    <w:link w:val="39"/>
    <w:unhideWhenUsed/>
    <w:qFormat/>
    <w:uiPriority w:val="99"/>
    <w:rPr>
      <w:sz w:val="18"/>
      <w:szCs w:val="18"/>
    </w:rPr>
  </w:style>
  <w:style w:type="paragraph" w:styleId="14">
    <w:name w:val="footer"/>
    <w:basedOn w:val="1"/>
    <w:link w:val="37"/>
    <w:qFormat/>
    <w:uiPriority w:val="99"/>
    <w:pPr>
      <w:tabs>
        <w:tab w:val="center" w:pos="4153"/>
        <w:tab w:val="right" w:pos="8306"/>
      </w:tabs>
      <w:snapToGrid w:val="0"/>
      <w:jc w:val="left"/>
    </w:pPr>
    <w:rPr>
      <w:rFonts w:ascii="Calibri" w:hAnsi="Calibri"/>
      <w:kern w:val="0"/>
      <w:sz w:val="18"/>
      <w:szCs w:val="20"/>
      <w:lang w:val="zh-CN"/>
    </w:rPr>
  </w:style>
  <w:style w:type="paragraph" w:styleId="15">
    <w:name w:val="header"/>
    <w:basedOn w:val="1"/>
    <w:link w:val="44"/>
    <w:semiHidden/>
    <w:qFormat/>
    <w:uiPriority w:val="99"/>
    <w:pPr>
      <w:pBdr>
        <w:bottom w:val="single" w:color="auto" w:sz="6" w:space="1"/>
      </w:pBdr>
      <w:tabs>
        <w:tab w:val="center" w:pos="4153"/>
        <w:tab w:val="right" w:pos="8306"/>
      </w:tabs>
      <w:snapToGrid w:val="0"/>
      <w:jc w:val="center"/>
    </w:pPr>
    <w:rPr>
      <w:rFonts w:ascii="Calibri" w:hAnsi="Calibri"/>
      <w:kern w:val="0"/>
      <w:sz w:val="18"/>
      <w:szCs w:val="20"/>
      <w:lang w:val="zh-CN"/>
    </w:rPr>
  </w:style>
  <w:style w:type="paragraph" w:styleId="16">
    <w:name w:val="toc 1"/>
    <w:basedOn w:val="1"/>
    <w:next w:val="1"/>
    <w:unhideWhenUsed/>
    <w:qFormat/>
    <w:uiPriority w:val="39"/>
    <w:pPr>
      <w:spacing w:before="120" w:after="120"/>
      <w:jc w:val="left"/>
    </w:pPr>
    <w:rPr>
      <w:rFonts w:ascii="等线" w:eastAsia="等线"/>
      <w:b/>
      <w:bCs/>
      <w:caps/>
      <w:sz w:val="20"/>
      <w:szCs w:val="20"/>
    </w:rPr>
  </w:style>
  <w:style w:type="paragraph" w:styleId="17">
    <w:name w:val="toc 4"/>
    <w:basedOn w:val="1"/>
    <w:next w:val="1"/>
    <w:unhideWhenUsed/>
    <w:qFormat/>
    <w:uiPriority w:val="39"/>
    <w:pPr>
      <w:ind w:left="630"/>
      <w:jc w:val="left"/>
    </w:pPr>
    <w:rPr>
      <w:rFonts w:ascii="等线" w:eastAsia="等线"/>
      <w:sz w:val="18"/>
      <w:szCs w:val="18"/>
    </w:rPr>
  </w:style>
  <w:style w:type="paragraph" w:styleId="18">
    <w:name w:val="footnote text"/>
    <w:basedOn w:val="1"/>
    <w:next w:val="9"/>
    <w:semiHidden/>
    <w:qFormat/>
    <w:uiPriority w:val="0"/>
    <w:pPr>
      <w:snapToGrid w:val="0"/>
      <w:jc w:val="left"/>
    </w:pPr>
    <w:rPr>
      <w:sz w:val="18"/>
      <w:szCs w:val="18"/>
    </w:rPr>
  </w:style>
  <w:style w:type="paragraph" w:styleId="19">
    <w:name w:val="toc 6"/>
    <w:basedOn w:val="1"/>
    <w:next w:val="1"/>
    <w:unhideWhenUsed/>
    <w:qFormat/>
    <w:uiPriority w:val="39"/>
    <w:pPr>
      <w:ind w:left="1050"/>
      <w:jc w:val="left"/>
    </w:pPr>
    <w:rPr>
      <w:rFonts w:ascii="等线" w:eastAsia="等线"/>
      <w:sz w:val="18"/>
      <w:szCs w:val="18"/>
    </w:rPr>
  </w:style>
  <w:style w:type="paragraph" w:styleId="20">
    <w:name w:val="table of figures"/>
    <w:basedOn w:val="1"/>
    <w:next w:val="1"/>
    <w:qFormat/>
    <w:uiPriority w:val="99"/>
    <w:pPr>
      <w:ind w:left="200" w:leftChars="200" w:hanging="200" w:hangingChars="200"/>
    </w:pPr>
    <w:rPr>
      <w:rFonts w:ascii="Times New Roman" w:hAnsi="Times New Roman"/>
      <w:szCs w:val="24"/>
    </w:rPr>
  </w:style>
  <w:style w:type="paragraph" w:styleId="21">
    <w:name w:val="toc 2"/>
    <w:basedOn w:val="1"/>
    <w:next w:val="1"/>
    <w:unhideWhenUsed/>
    <w:qFormat/>
    <w:uiPriority w:val="39"/>
    <w:pPr>
      <w:ind w:left="210"/>
      <w:jc w:val="left"/>
    </w:pPr>
    <w:rPr>
      <w:rFonts w:ascii="等线" w:eastAsia="等线"/>
      <w:smallCaps/>
      <w:sz w:val="20"/>
      <w:szCs w:val="20"/>
    </w:rPr>
  </w:style>
  <w:style w:type="paragraph" w:styleId="22">
    <w:name w:val="toc 9"/>
    <w:basedOn w:val="1"/>
    <w:next w:val="1"/>
    <w:unhideWhenUsed/>
    <w:qFormat/>
    <w:uiPriority w:val="39"/>
    <w:pPr>
      <w:ind w:left="1680"/>
      <w:jc w:val="left"/>
    </w:pPr>
    <w:rPr>
      <w:rFonts w:ascii="等线" w:eastAsia="等线"/>
      <w:sz w:val="18"/>
      <w:szCs w:val="18"/>
    </w:rPr>
  </w:style>
  <w:style w:type="paragraph" w:styleId="23">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24">
    <w:name w:val="Title"/>
    <w:basedOn w:val="1"/>
    <w:qFormat/>
    <w:uiPriority w:val="0"/>
    <w:pPr>
      <w:spacing w:before="240" w:after="60"/>
      <w:jc w:val="center"/>
      <w:outlineLvl w:val="0"/>
    </w:pPr>
    <w:rPr>
      <w:rFonts w:ascii="Arial" w:hAnsi="Arial" w:cs="Arial"/>
      <w:b/>
      <w:bCs/>
      <w:sz w:val="32"/>
      <w:szCs w:val="32"/>
    </w:rPr>
  </w:style>
  <w:style w:type="character" w:styleId="27">
    <w:name w:val="Strong"/>
    <w:basedOn w:val="26"/>
    <w:qFormat/>
    <w:uiPriority w:val="99"/>
    <w:rPr>
      <w:rFonts w:cs="Times New Roman"/>
      <w:b/>
    </w:rPr>
  </w:style>
  <w:style w:type="character" w:styleId="28">
    <w:name w:val="page number"/>
    <w:basedOn w:val="26"/>
    <w:qFormat/>
    <w:uiPriority w:val="0"/>
  </w:style>
  <w:style w:type="character" w:styleId="29">
    <w:name w:val="Hyperlink"/>
    <w:basedOn w:val="26"/>
    <w:unhideWhenUsed/>
    <w:qFormat/>
    <w:uiPriority w:val="99"/>
    <w:rPr>
      <w:rFonts w:cs="Times New Roman"/>
      <w:color w:val="0000FF"/>
      <w:u w:val="single"/>
    </w:rPr>
  </w:style>
  <w:style w:type="paragraph" w:customStyle="1" w:styleId="30">
    <w:name w:val="列表段落1"/>
    <w:basedOn w:val="1"/>
    <w:qFormat/>
    <w:uiPriority w:val="34"/>
    <w:pPr>
      <w:ind w:firstLine="420" w:firstLineChars="200"/>
    </w:pPr>
  </w:style>
  <w:style w:type="paragraph" w:customStyle="1" w:styleId="31">
    <w:name w:val="TOC 标题1"/>
    <w:basedOn w:val="3"/>
    <w:next w:val="1"/>
    <w:unhideWhenUsed/>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32">
    <w:name w:val="TOC Heading1"/>
    <w:basedOn w:val="3"/>
    <w:next w:val="1"/>
    <w:unhideWhenUsed/>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33">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customStyle="1" w:styleId="34">
    <w:name w:val="TOC 标题2"/>
    <w:basedOn w:val="3"/>
    <w:next w:val="1"/>
    <w:unhideWhenUsed/>
    <w:qFormat/>
    <w:uiPriority w:val="39"/>
    <w:pPr>
      <w:widowControl/>
      <w:spacing w:before="240" w:after="0" w:line="259" w:lineRule="auto"/>
      <w:jc w:val="left"/>
      <w:outlineLvl w:val="9"/>
    </w:pPr>
    <w:rPr>
      <w:rFonts w:ascii="等线 Light" w:hAnsi="等线 Light" w:eastAsia="等线 Light"/>
      <w:b w:val="0"/>
      <w:bCs w:val="0"/>
      <w:color w:val="2F5496"/>
      <w:kern w:val="0"/>
      <w:sz w:val="32"/>
      <w:szCs w:val="32"/>
    </w:rPr>
  </w:style>
  <w:style w:type="character" w:customStyle="1" w:styleId="35">
    <w:name w:val="标题 3 Char"/>
    <w:basedOn w:val="26"/>
    <w:link w:val="4"/>
    <w:qFormat/>
    <w:locked/>
    <w:uiPriority w:val="9"/>
    <w:rPr>
      <w:rFonts w:ascii="Times New Roman" w:hAnsi="Times New Roman" w:cs="Times New Roman"/>
      <w:b/>
      <w:bCs/>
      <w:kern w:val="2"/>
      <w:sz w:val="32"/>
      <w:szCs w:val="32"/>
    </w:rPr>
  </w:style>
  <w:style w:type="character" w:customStyle="1" w:styleId="36">
    <w:name w:val="正文文本 Char"/>
    <w:link w:val="7"/>
    <w:qFormat/>
    <w:locked/>
    <w:uiPriority w:val="99"/>
    <w:rPr>
      <w:rFonts w:ascii="仿宋_GB2312" w:hAnsi="Times New Roman" w:eastAsia="仿宋_GB2312"/>
      <w:sz w:val="24"/>
    </w:rPr>
  </w:style>
  <w:style w:type="character" w:customStyle="1" w:styleId="37">
    <w:name w:val="页脚 Char"/>
    <w:link w:val="14"/>
    <w:qFormat/>
    <w:locked/>
    <w:uiPriority w:val="99"/>
    <w:rPr>
      <w:sz w:val="18"/>
    </w:rPr>
  </w:style>
  <w:style w:type="character" w:customStyle="1" w:styleId="38">
    <w:name w:val="标题 1 Char"/>
    <w:basedOn w:val="26"/>
    <w:link w:val="3"/>
    <w:qFormat/>
    <w:locked/>
    <w:uiPriority w:val="9"/>
    <w:rPr>
      <w:rFonts w:ascii="Times New Roman" w:hAnsi="Times New Roman" w:cs="Times New Roman"/>
      <w:b/>
      <w:bCs/>
      <w:kern w:val="44"/>
      <w:sz w:val="44"/>
      <w:szCs w:val="44"/>
    </w:rPr>
  </w:style>
  <w:style w:type="character" w:customStyle="1" w:styleId="39">
    <w:name w:val="批注框文本 Char"/>
    <w:basedOn w:val="26"/>
    <w:link w:val="13"/>
    <w:semiHidden/>
    <w:qFormat/>
    <w:locked/>
    <w:uiPriority w:val="99"/>
    <w:rPr>
      <w:rFonts w:ascii="Times New Roman" w:hAnsi="Times New Roman" w:cs="Times New Roman"/>
      <w:kern w:val="2"/>
      <w:sz w:val="18"/>
      <w:szCs w:val="18"/>
    </w:rPr>
  </w:style>
  <w:style w:type="character" w:customStyle="1" w:styleId="40">
    <w:name w:val="Footer Char"/>
    <w:basedOn w:val="26"/>
    <w:semiHidden/>
    <w:qFormat/>
    <w:uiPriority w:val="99"/>
    <w:rPr>
      <w:rFonts w:ascii="Times New Roman" w:hAnsi="Times New Roman" w:cs="Times New Roman"/>
      <w:sz w:val="18"/>
      <w:szCs w:val="18"/>
    </w:rPr>
  </w:style>
  <w:style w:type="character" w:customStyle="1" w:styleId="41">
    <w:name w:val="Body Text Char"/>
    <w:basedOn w:val="26"/>
    <w:semiHidden/>
    <w:qFormat/>
    <w:uiPriority w:val="99"/>
    <w:rPr>
      <w:rFonts w:ascii="Times New Roman" w:hAnsi="Times New Roman" w:cs="Times New Roman"/>
      <w:sz w:val="24"/>
      <w:szCs w:val="24"/>
    </w:rPr>
  </w:style>
  <w:style w:type="character" w:customStyle="1" w:styleId="42">
    <w:name w:val="标题 2 Char"/>
    <w:basedOn w:val="26"/>
    <w:link w:val="5"/>
    <w:qFormat/>
    <w:locked/>
    <w:uiPriority w:val="9"/>
    <w:rPr>
      <w:rFonts w:ascii="Cambria" w:hAnsi="Cambria" w:eastAsia="宋体" w:cs="Times New Roman"/>
      <w:b/>
      <w:bCs/>
      <w:kern w:val="2"/>
      <w:sz w:val="32"/>
      <w:szCs w:val="32"/>
    </w:rPr>
  </w:style>
  <w:style w:type="character" w:customStyle="1" w:styleId="43">
    <w:name w:val="Header Char"/>
    <w:basedOn w:val="26"/>
    <w:semiHidden/>
    <w:qFormat/>
    <w:uiPriority w:val="99"/>
    <w:rPr>
      <w:rFonts w:ascii="Times New Roman" w:hAnsi="Times New Roman" w:cs="Times New Roman"/>
      <w:sz w:val="18"/>
      <w:szCs w:val="18"/>
    </w:rPr>
  </w:style>
  <w:style w:type="character" w:customStyle="1" w:styleId="44">
    <w:name w:val="页眉 Char"/>
    <w:link w:val="15"/>
    <w:semiHidden/>
    <w:qFormat/>
    <w:locked/>
    <w:uiPriority w:val="99"/>
    <w:rPr>
      <w:sz w:val="18"/>
    </w:rPr>
  </w:style>
  <w:style w:type="paragraph" w:customStyle="1" w:styleId="45">
    <w:name w:val="WPSOffice手动目录 1"/>
    <w:qFormat/>
    <w:uiPriority w:val="0"/>
    <w:pPr>
      <w:ind w:leftChars="0"/>
    </w:pPr>
    <w:rPr>
      <w:rFonts w:ascii="Times New Roman" w:hAnsi="Times New Roman" w:eastAsia="宋体" w:cs="Times New Roman"/>
      <w:sz w:val="20"/>
      <w:szCs w:val="20"/>
    </w:rPr>
  </w:style>
  <w:style w:type="paragraph" w:customStyle="1" w:styleId="46">
    <w:name w:val="WPSOffice手动目录 2"/>
    <w:qFormat/>
    <w:uiPriority w:val="0"/>
    <w:pPr>
      <w:ind w:leftChars="200"/>
    </w:pPr>
    <w:rPr>
      <w:rFonts w:ascii="Times New Roman" w:hAnsi="Times New Roman" w:eastAsia="宋体" w:cs="Times New Roman"/>
      <w:sz w:val="20"/>
      <w:szCs w:val="20"/>
    </w:rPr>
  </w:style>
  <w:style w:type="paragraph" w:customStyle="1" w:styleId="47">
    <w:name w:val="WPSOffice手动目录 3"/>
    <w:qFormat/>
    <w:uiPriority w:val="0"/>
    <w:pPr>
      <w:ind w:leftChars="4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chart" Target="charts/chart4.xml"/><Relationship Id="rId8" Type="http://schemas.openxmlformats.org/officeDocument/2006/relationships/chart" Target="charts/chart3.xml"/><Relationship Id="rId7" Type="http://schemas.openxmlformats.org/officeDocument/2006/relationships/chart" Target="charts/chart2.xml"/><Relationship Id="rId6" Type="http://schemas.openxmlformats.org/officeDocument/2006/relationships/chart" Target="charts/chart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numbering" Target="numbering.xml"/><Relationship Id="rId12" Type="http://schemas.openxmlformats.org/officeDocument/2006/relationships/chart" Target="charts/chart7.xml"/><Relationship Id="rId11" Type="http://schemas.openxmlformats.org/officeDocument/2006/relationships/chart" Target="charts/chart6.xml"/><Relationship Id="rId10" Type="http://schemas.openxmlformats.org/officeDocument/2006/relationships/chart" Target="charts/chart5.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6.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7.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altLang="en-US"/>
              <a:t>收入、支出决算总计变动情况图</a:t>
            </a:r>
            <a:endParaRPr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收入</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289.3</c:v>
                </c:pt>
                <c:pt idx="1">
                  <c:v>251.27</c:v>
                </c:pt>
              </c:numCache>
            </c:numRef>
          </c:val>
        </c:ser>
        <c:ser>
          <c:idx val="1"/>
          <c:order val="1"/>
          <c:tx>
            <c:strRef>
              <c:f>Sheet1!$C$1</c:f>
              <c:strCache>
                <c:ptCount val="1"/>
                <c:pt idx="0">
                  <c:v>支出</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Sheet1!$C$2:$C$3</c:f>
              <c:numCache>
                <c:formatCode>General</c:formatCode>
                <c:ptCount val="2"/>
                <c:pt idx="0">
                  <c:v>289.3</c:v>
                </c:pt>
                <c:pt idx="1">
                  <c:v>251.27</c:v>
                </c:pt>
              </c:numCache>
            </c:numRef>
          </c:val>
        </c:ser>
        <c:ser>
          <c:idx val="2"/>
          <c:order val="2"/>
          <c:tx>
            <c:strRef>
              <c:f>Sheet1!$D$1</c:f>
              <c:strCache>
                <c:ptCount val="1"/>
                <c:pt idx="0">
                  <c:v/>
                </c:pt>
              </c:strCache>
            </c:strRef>
          </c:tx>
          <c:spPr>
            <a:solidFill>
              <a:schemeClr val="accent3"/>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Sheet1!$D$2:$D$3</c:f>
              <c:numCache>
                <c:formatCode>General</c:formatCode>
                <c:ptCount val="2"/>
              </c:numCache>
            </c:numRef>
          </c:val>
        </c:ser>
        <c:dLbls>
          <c:showLegendKey val="0"/>
          <c:showVal val="1"/>
          <c:showCatName val="0"/>
          <c:showSerName val="0"/>
          <c:showPercent val="0"/>
          <c:showBubbleSize val="0"/>
        </c:dLbls>
        <c:gapWidth val="260"/>
        <c:overlap val="-32"/>
        <c:axId val="136941952"/>
        <c:axId val="136943488"/>
      </c:barChart>
      <c:catAx>
        <c:axId val="136941952"/>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36943488"/>
        <c:crosses val="autoZero"/>
        <c:auto val="1"/>
        <c:lblAlgn val="ctr"/>
        <c:lblOffset val="100"/>
        <c:noMultiLvlLbl val="0"/>
      </c:catAx>
      <c:valAx>
        <c:axId val="136943488"/>
        <c:scaling>
          <c:orientation val="minMax"/>
        </c:scaling>
        <c:delete val="1"/>
        <c:axPos val="l"/>
        <c:numFmt formatCode="General" sourceLinked="1"/>
        <c:majorTickMark val="none"/>
        <c:minorTickMark val="none"/>
        <c:tickLblPos val="nextTo"/>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36941952"/>
        <c:crosses val="autoZero"/>
        <c:crossBetween val="between"/>
      </c:valAx>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1bbe893f-81eb-49a5-a748-9168228ca168}"/>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收入决算结构图</a:t>
            </a:r>
          </a:p>
        </c:rich>
      </c:tx>
      <c:layout/>
      <c:overlay val="0"/>
      <c:spPr>
        <a:noFill/>
        <a:ln>
          <a:noFill/>
        </a:ln>
        <a:effectLst/>
      </c:spPr>
    </c:title>
    <c:autoTitleDeleted val="0"/>
    <c:plotArea>
      <c:layout/>
      <c:pieChart>
        <c:varyColors val="1"/>
        <c:ser>
          <c:idx val="0"/>
          <c:order val="0"/>
          <c:tx>
            <c:strRef>
              <c:f>Sheet1!$B$1</c:f>
              <c:strCache>
                <c:ptCount val="1"/>
                <c:pt idx="0">
                  <c:v>2025年本年收入</c:v>
                </c:pt>
              </c:strCache>
            </c:strRef>
          </c:tx>
          <c:spPr/>
          <c:explosion val="0"/>
          <c:dPt>
            <c:idx val="0"/>
            <c:bubble3D val="0"/>
            <c:spPr>
              <a:solidFill>
                <a:schemeClr val="accent1"/>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一般公共预算财政拨款收入</c:v>
                </c:pt>
              </c:strCache>
            </c:strRef>
          </c:cat>
          <c:val>
            <c:numRef>
              <c:f>Sheet1!$B$2</c:f>
              <c:numCache>
                <c:formatCode>General</c:formatCode>
                <c:ptCount val="1"/>
                <c:pt idx="0">
                  <c:v>289.3</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zero"/>
    <c:showDLblsOverMax val="0"/>
    <c:extLst>
      <c:ext uri="{0b15fc19-7d7d-44ad-8c2d-2c3a37ce22c3}">
        <chartProps xmlns="https://web.wps.cn/et/2018/main" chartId="{b3b509ce-5369-43fc-8caf-5c91562f331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支出决算结构图</a:t>
            </a:r>
          </a:p>
        </c:rich>
      </c:tx>
      <c:layout/>
      <c:overlay val="0"/>
      <c:spPr>
        <a:noFill/>
        <a:ln>
          <a:noFill/>
        </a:ln>
        <a:effectLst/>
      </c:spPr>
    </c:title>
    <c:autoTitleDeleted val="0"/>
    <c:plotArea>
      <c:layout/>
      <c:pieChart>
        <c:varyColors val="1"/>
        <c:ser>
          <c:idx val="0"/>
          <c:order val="0"/>
          <c:tx>
            <c:strRef>
              <c:f>Sheet1!$B$1</c:f>
              <c:strCache>
                <c:ptCount val="1"/>
                <c:pt idx="0">
                  <c:v>本年支出</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基本支出</c:v>
                </c:pt>
                <c:pt idx="1">
                  <c:v>项目支出</c:v>
                </c:pt>
              </c:strCache>
            </c:strRef>
          </c:cat>
          <c:val>
            <c:numRef>
              <c:f>Sheet1!$B$2:$B$3</c:f>
              <c:numCache>
                <c:formatCode>General</c:formatCode>
                <c:ptCount val="2"/>
                <c:pt idx="0">
                  <c:v>289.3</c:v>
                </c:pt>
                <c:pt idx="1">
                  <c:v>0</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zero"/>
    <c:showDLblsOverMax val="0"/>
    <c:extLst>
      <c:ext uri="{0b15fc19-7d7d-44ad-8c2d-2c3a37ce22c3}">
        <chartProps xmlns="https://web.wps.cn/et/2018/main" chartId="{ca650aa7-0f07-4cfb-b6dd-958a0e5594e3}"/>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财政拨款收、支决算总计变动情况</a:t>
            </a: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收入</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289.3</c:v>
                </c:pt>
                <c:pt idx="1">
                  <c:v>251.27</c:v>
                </c:pt>
              </c:numCache>
            </c:numRef>
          </c:val>
        </c:ser>
        <c:ser>
          <c:idx val="1"/>
          <c:order val="1"/>
          <c:tx>
            <c:strRef>
              <c:f>Sheet1!$C$1</c:f>
              <c:strCache>
                <c:ptCount val="1"/>
                <c:pt idx="0">
                  <c:v>支出</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Sheet1!$C$2:$C$3</c:f>
              <c:numCache>
                <c:formatCode>General</c:formatCode>
                <c:ptCount val="2"/>
                <c:pt idx="0">
                  <c:v>289.3</c:v>
                </c:pt>
                <c:pt idx="1">
                  <c:v>251.27</c:v>
                </c:pt>
              </c:numCache>
            </c:numRef>
          </c:val>
        </c:ser>
        <c:dLbls>
          <c:showLegendKey val="0"/>
          <c:showVal val="1"/>
          <c:showCatName val="0"/>
          <c:showSerName val="0"/>
          <c:showPercent val="0"/>
          <c:showBubbleSize val="0"/>
        </c:dLbls>
        <c:gapWidth val="260"/>
        <c:overlap val="-32"/>
        <c:axId val="67337600"/>
        <c:axId val="67343488"/>
      </c:barChart>
      <c:catAx>
        <c:axId val="67337600"/>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7343488"/>
        <c:crosses val="autoZero"/>
        <c:auto val="1"/>
        <c:lblAlgn val="ctr"/>
        <c:lblOffset val="100"/>
        <c:noMultiLvlLbl val="0"/>
      </c:catAx>
      <c:valAx>
        <c:axId val="67343488"/>
        <c:scaling>
          <c:orientation val="minMax"/>
        </c:scaling>
        <c:delete val="1"/>
        <c:axPos val="l"/>
        <c:numFmt formatCode="General" sourceLinked="1"/>
        <c:majorTickMark val="none"/>
        <c:minorTickMark val="none"/>
        <c:tickLblPos val="nextTo"/>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7337600"/>
        <c:crosses val="autoZero"/>
        <c:crossBetween val="between"/>
      </c:valAx>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ae8ad21e-b74d-4da5-9a29-1559d7b17b6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一般公共预算财政拨款支出决算变动情况</a:t>
            </a: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一般公共预算财政拨款支出</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289.3</c:v>
                </c:pt>
                <c:pt idx="1">
                  <c:v>251.27</c:v>
                </c:pt>
              </c:numCache>
            </c:numRef>
          </c:val>
        </c:ser>
        <c:dLbls>
          <c:showLegendKey val="0"/>
          <c:showVal val="1"/>
          <c:showCatName val="0"/>
          <c:showSerName val="0"/>
          <c:showPercent val="0"/>
          <c:showBubbleSize val="0"/>
        </c:dLbls>
        <c:gapWidth val="260"/>
        <c:overlap val="-32"/>
        <c:axId val="137389184"/>
        <c:axId val="137390720"/>
      </c:barChart>
      <c:catAx>
        <c:axId val="137389184"/>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37390720"/>
        <c:crosses val="autoZero"/>
        <c:auto val="1"/>
        <c:lblAlgn val="ctr"/>
        <c:lblOffset val="100"/>
        <c:noMultiLvlLbl val="0"/>
      </c:catAx>
      <c:valAx>
        <c:axId val="137390720"/>
        <c:scaling>
          <c:orientation val="minMax"/>
        </c:scaling>
        <c:delete val="1"/>
        <c:axPos val="l"/>
        <c:numFmt formatCode="General" sourceLinked="1"/>
        <c:majorTickMark val="none"/>
        <c:minorTickMark val="none"/>
        <c:tickLblPos val="nextTo"/>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37389184"/>
        <c:crosses val="autoZero"/>
        <c:crossBetween val="between"/>
      </c:valAx>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d2ca29fd-aff7-475e-8cfd-9003a38586df}"/>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一般公共预算财政拨款支出决算结构图</a:t>
            </a:r>
          </a:p>
        </c:rich>
      </c:tx>
      <c:layout/>
      <c:overlay val="0"/>
      <c:spPr>
        <a:noFill/>
        <a:ln>
          <a:noFill/>
        </a:ln>
        <a:effectLst/>
      </c:spPr>
    </c:title>
    <c:autoTitleDeleted val="0"/>
    <c:plotArea>
      <c:layout/>
      <c:pieChart>
        <c:varyColors val="1"/>
        <c:ser>
          <c:idx val="0"/>
          <c:order val="0"/>
          <c:tx>
            <c:strRef>
              <c:f>Sheet1!$B$1</c:f>
              <c:strCache>
                <c:ptCount val="1"/>
                <c:pt idx="0">
                  <c:v>一般公共预算财政拨款支出</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一般公共服务支出</c:v>
                </c:pt>
                <c:pt idx="1">
                  <c:v>社会保障和就业支出</c:v>
                </c:pt>
                <c:pt idx="2">
                  <c:v>卫生健康支出</c:v>
                </c:pt>
                <c:pt idx="3">
                  <c:v>住房保障支出</c:v>
                </c:pt>
              </c:strCache>
            </c:strRef>
          </c:cat>
          <c:val>
            <c:numRef>
              <c:f>Sheet1!$B$2:$B$5</c:f>
              <c:numCache>
                <c:formatCode>General</c:formatCode>
                <c:ptCount val="4"/>
                <c:pt idx="0">
                  <c:v>214.5</c:v>
                </c:pt>
                <c:pt idx="1">
                  <c:v>38.31</c:v>
                </c:pt>
                <c:pt idx="2">
                  <c:v>15.29</c:v>
                </c:pt>
                <c:pt idx="3">
                  <c:v>21.2</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zero"/>
    <c:showDLblsOverMax val="0"/>
    <c:extLst>
      <c:ext uri="{0b15fc19-7d7d-44ad-8c2d-2c3a37ce22c3}">
        <chartProps xmlns="https://web.wps.cn/et/2018/main" chartId="{f7ee8fd6-9ad7-4d23-a515-0b9311fa05b2}"/>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“三公”经费财政拨款支出结构图</a:t>
            </a:r>
          </a:p>
        </c:rich>
      </c:tx>
      <c:layout/>
      <c:overlay val="0"/>
      <c:spPr>
        <a:noFill/>
        <a:ln>
          <a:noFill/>
        </a:ln>
        <a:effectLst/>
      </c:spPr>
    </c:title>
    <c:autoTitleDeleted val="0"/>
    <c:plotArea>
      <c:layout/>
      <c:pieChart>
        <c:varyColors val="1"/>
        <c:ser>
          <c:idx val="0"/>
          <c:order val="0"/>
          <c:tx>
            <c:strRef>
              <c:f>Sheet1!$B$1</c:f>
              <c:strCache>
                <c:ptCount val="1"/>
                <c:pt idx="0">
                  <c:v>“三公”经费财政拨款支出</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因公出国（境）费支出</c:v>
                </c:pt>
                <c:pt idx="1">
                  <c:v>公务用车购置及运行维护费支出</c:v>
                </c:pt>
                <c:pt idx="2">
                  <c:v>公务接待费支出</c:v>
                </c:pt>
              </c:strCache>
            </c:strRef>
          </c:cat>
          <c:val>
            <c:numRef>
              <c:f>Sheet1!$B$2:$B$4</c:f>
              <c:numCache>
                <c:formatCode>General</c:formatCode>
                <c:ptCount val="3"/>
                <c:pt idx="1">
                  <c:v>1.85</c:v>
                </c:pt>
                <c:pt idx="2">
                  <c:v>0.06</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zero"/>
    <c:showDLblsOverMax val="0"/>
    <c:extLst>
      <c:ext uri="{0b15fc19-7d7d-44ad-8c2d-2c3a37ce22c3}">
        <chartProps xmlns="https://web.wps.cn/et/2018/main" chartId="{41d434e6-7d5c-4783-9d90-629a4e318f23}"/>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acrossLinear" id="2">
  <a:schemeClr val="accent1"/>
  <a:schemeClr val="accent2"/>
  <a:schemeClr val="accent3"/>
  <a:schemeClr val="accent4"/>
  <a:schemeClr val="accent5"/>
  <a:schemeClr val="accent6"/>
</cs:colorStyle>
</file>

<file path=word/charts/colors2.xml><?xml version="1.0" encoding="utf-8"?>
<cs:colorStyle xmlns:cs="http://schemas.microsoft.com/office/drawing/2012/chartStyle" xmlns:a="http://schemas.openxmlformats.org/drawingml/2006/main" meth="acrossLinear" id="2">
  <a:schemeClr val="accent1"/>
  <a:schemeClr val="accent2"/>
  <a:schemeClr val="accent3"/>
  <a:schemeClr val="accent4"/>
  <a:schemeClr val="accent5"/>
  <a:schemeClr val="accent6"/>
</cs:colorStyle>
</file>

<file path=word/charts/colors3.xml><?xml version="1.0" encoding="utf-8"?>
<cs:colorStyle xmlns:cs="http://schemas.microsoft.com/office/drawing/2012/chartStyle" xmlns:a="http://schemas.openxmlformats.org/drawingml/2006/main" meth="acrossLinear" id="2">
  <a:schemeClr val="accent1"/>
  <a:schemeClr val="accent2"/>
  <a:schemeClr val="accent3"/>
  <a:schemeClr val="accent4"/>
  <a:schemeClr val="accent5"/>
  <a:schemeClr val="accent6"/>
</cs:colorStyle>
</file>

<file path=word/charts/colors4.xml><?xml version="1.0" encoding="utf-8"?>
<cs:colorStyle xmlns:cs="http://schemas.microsoft.com/office/drawing/2012/chartStyle" xmlns:a="http://schemas.openxmlformats.org/drawingml/2006/main" meth="acrossLinear" id="2">
  <a:schemeClr val="accent1"/>
  <a:schemeClr val="accent2"/>
  <a:schemeClr val="accent3"/>
  <a:schemeClr val="accent4"/>
  <a:schemeClr val="accent5"/>
  <a:schemeClr val="accent6"/>
</cs:colorStyle>
</file>

<file path=word/charts/colors5.xml><?xml version="1.0" encoding="utf-8"?>
<cs:colorStyle xmlns:cs="http://schemas.microsoft.com/office/drawing/2012/chartStyle" xmlns:a="http://schemas.openxmlformats.org/drawingml/2006/main" meth="acrossLinear" id="2">
  <a:schemeClr val="accent1"/>
  <a:schemeClr val="accent2"/>
  <a:schemeClr val="accent3"/>
  <a:schemeClr val="accent4"/>
  <a:schemeClr val="accent5"/>
  <a:schemeClr val="accent6"/>
</cs:colorStyle>
</file>

<file path=word/charts/colors6.xml><?xml version="1.0" encoding="utf-8"?>
<cs:colorStyle xmlns:cs="http://schemas.microsoft.com/office/drawing/2012/chartStyle" xmlns:a="http://schemas.openxmlformats.org/drawingml/2006/main" meth="acrossLinear" id="2">
  <a:schemeClr val="accent1"/>
  <a:schemeClr val="accent2"/>
  <a:schemeClr val="accent3"/>
  <a:schemeClr val="accent4"/>
  <a:schemeClr val="accent5"/>
  <a:schemeClr val="accent6"/>
</cs:colorStyle>
</file>

<file path=word/charts/colors7.xml><?xml version="1.0" encoding="utf-8"?>
<cs:colorStyle xmlns:cs="http://schemas.microsoft.com/office/drawing/2012/chartStyle" xmlns:a="http://schemas.openxmlformats.org/drawingml/2006/main" meth="acrossLinear" id="2">
  <a:schemeClr val="accent1"/>
  <a:schemeClr val="accent2"/>
  <a:schemeClr val="accent3"/>
  <a:schemeClr val="accent4"/>
  <a:schemeClr val="accent5"/>
  <a:schemeClr val="accent6"/>
</cs:colorStyle>
</file>

<file path=word/charts/style1.xml><?xml version="1.0" encoding="utf-8"?>
<cs:chartStyle xmlns:cs="http://schemas.microsoft.com/office/drawing/2012/chartStyle" xmlns:a="http://schemas.openxmlformats.org/drawingml/2006/main" id="1000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3">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83">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10083">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9F4C17-8599-4DF6-A8E4-EA489714059E}">
  <ds:schemaRefs/>
</ds:datastoreItem>
</file>

<file path=docProps/app.xml><?xml version="1.0" encoding="utf-8"?>
<Properties xmlns="http://schemas.openxmlformats.org/officeDocument/2006/extended-properties" xmlns:vt="http://schemas.openxmlformats.org/officeDocument/2006/docPropsVTypes">
  <Template>Normal</Template>
  <Company>四川省财政厅</Company>
  <Pages>20</Pages>
  <Words>4023</Words>
  <Characters>5620</Characters>
  <Lines>12</Lines>
  <Paragraphs>18</Paragraphs>
  <TotalTime>10</TotalTime>
  <ScaleCrop>false</ScaleCrop>
  <LinksUpToDate>false</LinksUpToDate>
  <CharactersWithSpaces>5673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2022-09-14T08:18:00Z</dcterms:created>
  <dc:creator>曹颖</dc:creator>
  <cp:lastModifiedBy>Darling </cp:lastModifiedBy>
  <cp:lastPrinted>2025-09-23T01:17:00Z</cp:lastPrinted>
  <dcterms:modified xsi:type="dcterms:W3CDTF">2026-09-07T08:21:07Z</dcterms:modified>
  <dc:title>阿坝州部门决算说明</dc:title>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49C553FF62D046CFA60B86A95BB166C0_13</vt:lpwstr>
  </property>
  <property fmtid="{D5CDD505-2E9C-101B-9397-08002B2CF9AE}" pid="4" name="KSOTemplateDocerSaveRecord">
    <vt:lpwstr>eyJoZGlkIjoiNWIxYmQxODM3YzQzMzNjYmI0ODczNWI1Y2Q5NmJlYmQiLCJ1c2VySWQiOiIxMTUzNjY4NDE4In0=</vt:lpwstr>
  </property>
</Properties>
</file>