
<file path=[Content_Types].xml><?xml version="1.0" encoding="utf-8"?>
<Types xmlns="http://schemas.openxmlformats.org/package/2006/content-types">
  <Default Extension="xlsx" ContentType="application/vnd.openxmlformats-officedocument.spreadsheetml.sheet"/>
  <Default Extension="bin" ContentType="application/vnd.openxmlformats-officedocument.oleObjec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eastAsia="宋体"/>
          <w:b/>
          <w:sz w:val="72"/>
          <w:szCs w:val="72"/>
          <w:lang w:eastAsia="zh-CN"/>
        </w:rPr>
      </w:pPr>
      <w:bookmarkStart w:id="0" w:name="_Toc15396475"/>
      <w:bookmarkStart w:id="1" w:name="_Toc15306267"/>
      <w:bookmarkStart w:id="2" w:name="_Toc15377193"/>
      <w:bookmarkStart w:id="3" w:name="_Toc15377425"/>
      <w:bookmarkStart w:id="4" w:name="_Toc15378441"/>
      <w:bookmarkStart w:id="5" w:name="_Toc15396597"/>
    </w:p>
    <w:p>
      <w:pPr>
        <w:pStyle w:val="2"/>
        <w:rPr>
          <w:rFonts w:hint="eastAsia"/>
          <w:lang w:eastAsia="zh-CN"/>
        </w:rPr>
      </w:pPr>
    </w:p>
    <w:p>
      <w:pPr>
        <w:jc w:val="center"/>
        <w:rPr>
          <w:rFonts w:hint="eastAsia" w:ascii="Nimbus Roman" w:hAnsi="Nimbus Roman" w:eastAsia="方正小标宋简体" w:cs="Nimbus Roman"/>
          <w:b w:val="0"/>
          <w:bCs/>
          <w:sz w:val="72"/>
          <w:szCs w:val="72"/>
        </w:rPr>
      </w:pPr>
      <w:r>
        <w:rPr>
          <w:rFonts w:hint="eastAsia" w:ascii="方正小标宋_GBK" w:hAnsi="方正小标宋_GBK" w:eastAsia="方正小标宋_GBK" w:cs="方正小标宋_GBK"/>
          <w:b w:val="0"/>
          <w:bCs/>
          <w:sz w:val="72"/>
          <w:szCs w:val="72"/>
        </w:rPr>
        <w:t>202</w:t>
      </w:r>
      <w:r>
        <w:rPr>
          <w:rFonts w:hint="eastAsia" w:ascii="方正小标宋_GBK" w:hAnsi="方正小标宋_GBK" w:eastAsia="方正小标宋_GBK" w:cs="方正小标宋_GBK"/>
          <w:b w:val="0"/>
          <w:bCs/>
          <w:sz w:val="72"/>
          <w:szCs w:val="72"/>
          <w:lang w:val="en-US" w:eastAsia="zh-CN"/>
        </w:rPr>
        <w:t>5</w:t>
      </w:r>
      <w:r>
        <w:rPr>
          <w:rFonts w:hint="eastAsia" w:ascii="Nimbus Roman" w:hAnsi="Nimbus Roman" w:eastAsia="方正小标宋简体" w:cs="Nimbus Roman"/>
          <w:b w:val="0"/>
          <w:bCs/>
          <w:sz w:val="72"/>
          <w:szCs w:val="72"/>
        </w:rPr>
        <w:t>年度</w:t>
      </w:r>
    </w:p>
    <w:p>
      <w:pPr>
        <w:jc w:val="center"/>
        <w:rPr>
          <w:rFonts w:hint="eastAsia" w:ascii="Nimbus Roman" w:hAnsi="Nimbus Roman" w:eastAsia="方正小标宋简体" w:cs="Nimbus Roman"/>
          <w:b w:val="0"/>
          <w:bCs/>
          <w:sz w:val="72"/>
          <w:szCs w:val="72"/>
        </w:rPr>
      </w:pPr>
      <w:r>
        <w:rPr>
          <w:rFonts w:hint="eastAsia" w:ascii="Nimbus Roman" w:hAnsi="Nimbus Roman" w:eastAsia="方正小标宋简体" w:cs="Nimbus Roman"/>
          <w:b w:val="0"/>
          <w:bCs/>
          <w:sz w:val="72"/>
          <w:szCs w:val="72"/>
        </w:rPr>
        <w:t>四川省茂县地情资料收集</w:t>
      </w:r>
    </w:p>
    <w:p>
      <w:pPr>
        <w:jc w:val="center"/>
        <w:rPr>
          <w:rFonts w:hint="eastAsia" w:ascii="Nimbus Roman" w:hAnsi="Nimbus Roman" w:eastAsia="方正小标宋简体" w:cs="Nimbus Roman"/>
          <w:b w:val="0"/>
          <w:bCs/>
          <w:sz w:val="72"/>
          <w:szCs w:val="72"/>
        </w:rPr>
      </w:pPr>
      <w:r>
        <w:rPr>
          <w:rFonts w:hint="eastAsia" w:ascii="Nimbus Roman" w:hAnsi="Nimbus Roman" w:eastAsia="方正小标宋简体" w:cs="Nimbus Roman"/>
          <w:b w:val="0"/>
          <w:bCs/>
          <w:sz w:val="72"/>
          <w:szCs w:val="72"/>
        </w:rPr>
        <w:t>整理中心</w:t>
      </w:r>
      <w:r>
        <w:rPr>
          <w:rFonts w:hint="eastAsia" w:ascii="Nimbus Roman" w:hAnsi="Nimbus Roman" w:eastAsia="方正小标宋简体" w:cs="Nimbus Roman"/>
          <w:b w:val="0"/>
          <w:bCs/>
          <w:sz w:val="72"/>
          <w:szCs w:val="72"/>
          <w:lang w:eastAsia="zh-CN"/>
        </w:rPr>
        <w:t>单位</w:t>
      </w:r>
      <w:r>
        <w:rPr>
          <w:rFonts w:hint="eastAsia" w:ascii="Nimbus Roman" w:hAnsi="Nimbus Roman" w:eastAsia="方正小标宋简体" w:cs="Nimbus Roman"/>
          <w:b w:val="0"/>
          <w:bCs/>
          <w:sz w:val="72"/>
          <w:szCs w:val="72"/>
        </w:rPr>
        <w:t>决算</w:t>
      </w:r>
    </w:p>
    <w:p>
      <w:pPr>
        <w:widowControl/>
        <w:jc w:val="center"/>
        <w:rPr>
          <w:rFonts w:ascii="方正小标宋简体" w:hAnsi="宋体" w:eastAsia="方正小标宋简体"/>
          <w:color w:val="000000"/>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autoSpaceDE w:val="0"/>
        <w:autoSpaceDN w:val="0"/>
        <w:adjustRightInd w:val="0"/>
        <w:jc w:val="left"/>
        <w:rPr>
          <w:rFonts w:hint="eastAsia" w:ascii="黑体" w:hAnsi="黑体" w:eastAsia="黑体" w:cs="黑体"/>
          <w:sz w:val="32"/>
          <w:szCs w:val="32"/>
          <w:lang w:eastAsia="zh-CN"/>
        </w:rPr>
      </w:pPr>
    </w:p>
    <w:p>
      <w:pPr>
        <w:pStyle w:val="6"/>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备注：决算情况说明按决算公开表取数，以“万元”为金额单位，保留两位小数，报表金额单位转换时可能存在尾数误差。</w:t>
      </w:r>
    </w:p>
    <w:p>
      <w:pPr>
        <w:autoSpaceDE w:val="0"/>
        <w:autoSpaceDN w:val="0"/>
        <w:adjustRightInd w:val="0"/>
        <w:jc w:val="left"/>
        <w:rPr>
          <w:rFonts w:hint="eastAsia" w:ascii="黑体" w:hAnsi="黑体" w:eastAsia="黑体" w:cs="黑体"/>
          <w:sz w:val="32"/>
          <w:szCs w:val="32"/>
          <w:lang w:eastAsia="zh-CN"/>
        </w:rPr>
      </w:pPr>
    </w:p>
    <w:p>
      <w:pPr>
        <w:autoSpaceDE w:val="0"/>
        <w:autoSpaceDN w:val="0"/>
        <w:adjustRightInd w:val="0"/>
        <w:jc w:val="left"/>
        <w:rPr>
          <w:rFonts w:hint="eastAsia" w:ascii="黑体" w:hAnsi="黑体" w:eastAsia="黑体" w:cs="黑体"/>
          <w:sz w:val="32"/>
          <w:szCs w:val="32"/>
          <w:lang w:eastAsia="zh-CN"/>
        </w:rPr>
      </w:pPr>
    </w:p>
    <w:p>
      <w:pPr>
        <w:autoSpaceDE w:val="0"/>
        <w:autoSpaceDN w:val="0"/>
        <w:adjustRightInd w:val="0"/>
        <w:jc w:val="left"/>
        <w:rPr>
          <w:rFonts w:hint="eastAsia" w:ascii="CESI仿宋-GB2312" w:hAnsi="CESI仿宋-GB2312" w:eastAsia="CESI仿宋-GB2312" w:cs="CESI仿宋-GB2312"/>
          <w:sz w:val="32"/>
          <w:szCs w:val="32"/>
          <w:lang w:eastAsia="zh-CN"/>
        </w:rPr>
      </w:pPr>
    </w:p>
    <w:bookmarkEnd w:id="0"/>
    <w:bookmarkEnd w:id="1"/>
    <w:bookmarkEnd w:id="2"/>
    <w:bookmarkEnd w:id="3"/>
    <w:bookmarkEnd w:id="4"/>
    <w:bookmarkEnd w:id="5"/>
    <w:p>
      <w:pPr>
        <w:widowControl/>
        <w:jc w:val="center"/>
        <w:rPr>
          <w:rFonts w:ascii="黑体" w:hAnsi="黑体" w:eastAsia="黑体"/>
          <w:color w:val="000000"/>
          <w:sz w:val="48"/>
          <w:szCs w:val="48"/>
        </w:rPr>
      </w:pPr>
      <w:bookmarkStart w:id="6" w:name="_Toc15377196"/>
      <w:r>
        <w:rPr>
          <w:rFonts w:hint="eastAsia" w:ascii="黑体" w:hAnsi="黑体" w:eastAsia="黑体"/>
          <w:color w:val="000000"/>
          <w:sz w:val="48"/>
          <w:szCs w:val="48"/>
        </w:rPr>
        <w:t>目</w:t>
      </w:r>
      <w:r>
        <w:rPr>
          <w:rFonts w:ascii="黑体" w:hAnsi="黑体" w:eastAsia="黑体"/>
          <w:color w:val="000000"/>
          <w:sz w:val="48"/>
          <w:szCs w:val="48"/>
        </w:rPr>
        <w:t xml:space="preserve"> </w:t>
      </w:r>
      <w:r>
        <w:rPr>
          <w:rFonts w:hint="eastAsia" w:ascii="黑体" w:hAnsi="黑体" w:eastAsia="黑体"/>
          <w:color w:val="000000"/>
          <w:sz w:val="48"/>
          <w:szCs w:val="48"/>
        </w:rPr>
        <w:t>录</w:t>
      </w:r>
    </w:p>
    <w:p>
      <w:pPr>
        <w:pStyle w:val="1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公开时间：202</w:t>
      </w:r>
      <w:r>
        <w:rPr>
          <w:rFonts w:hint="eastAsia" w:ascii="仿宋_GB2312" w:hAnsi="仿宋_GB2312" w:eastAsia="仿宋_GB2312" w:cs="仿宋_GB2312"/>
          <w:b/>
          <w:bCs/>
          <w:sz w:val="28"/>
          <w:szCs w:val="28"/>
          <w:lang w:val="en-US" w:eastAsia="zh-CN"/>
        </w:rPr>
        <w:t>6</w:t>
      </w:r>
      <w:r>
        <w:rPr>
          <w:rFonts w:hint="eastAsia" w:ascii="仿宋_GB2312" w:hAnsi="仿宋_GB2312" w:eastAsia="仿宋_GB2312" w:cs="仿宋_GB2312"/>
          <w:b/>
          <w:bCs/>
          <w:sz w:val="28"/>
          <w:szCs w:val="28"/>
        </w:rPr>
        <w:t>年9月</w:t>
      </w:r>
      <w:r>
        <w:rPr>
          <w:rFonts w:hint="eastAsia" w:ascii="仿宋_GB2312" w:hAnsi="仿宋_GB2312" w:eastAsia="仿宋_GB2312" w:cs="仿宋_GB2312"/>
          <w:b/>
          <w:bCs/>
          <w:sz w:val="28"/>
          <w:szCs w:val="28"/>
          <w:lang w:val="en-US" w:eastAsia="zh-CN"/>
        </w:rPr>
        <w:t>4</w:t>
      </w:r>
      <w:r>
        <w:rPr>
          <w:rFonts w:hint="eastAsia" w:ascii="仿宋_GB2312" w:hAnsi="仿宋_GB2312" w:eastAsia="仿宋_GB2312" w:cs="仿宋_GB2312"/>
          <w:b/>
          <w:bCs/>
          <w:sz w:val="28"/>
          <w:szCs w:val="28"/>
        </w:rPr>
        <w:t>日</w:t>
      </w:r>
    </w:p>
    <w:p>
      <w:pPr>
        <w:pStyle w:val="13"/>
        <w:bidi w:val="0"/>
        <w:rPr>
          <w:rFonts w:hint="eastAsia"/>
          <w:b/>
          <w:bCs/>
          <w:lang w:eastAsia="zh-CN"/>
        </w:rPr>
      </w:pPr>
      <w:r>
        <w:rPr>
          <w:rFonts w:hint="eastAsia"/>
          <w:b/>
          <w:bCs/>
        </w:rPr>
        <w:fldChar w:fldCharType="begin"/>
      </w:r>
      <w:r>
        <w:rPr>
          <w:rFonts w:hint="eastAsia"/>
          <w:b/>
          <w:bCs/>
        </w:rPr>
        <w:instrText xml:space="preserve"> TOC \o \u </w:instrText>
      </w:r>
      <w:r>
        <w:rPr>
          <w:rFonts w:hint="eastAsia"/>
          <w:b/>
          <w:bCs/>
        </w:rPr>
        <w:fldChar w:fldCharType="separate"/>
      </w:r>
      <w:r>
        <w:rPr>
          <w:rFonts w:hint="eastAsia" w:ascii="方正黑体_GBK" w:hAnsi="方正黑体_GBK" w:eastAsia="方正黑体_GBK" w:cs="方正黑体_GBK"/>
          <w:b/>
          <w:bCs/>
        </w:rPr>
        <w:t>第一部分 部门概况</w:t>
      </w:r>
      <w:r>
        <w:rPr>
          <w:rFonts w:hint="eastAsia"/>
          <w:b/>
          <w:bCs/>
        </w:rPr>
        <w:tab/>
      </w:r>
      <w:r>
        <w:rPr>
          <w:rFonts w:hint="eastAsia"/>
          <w:b/>
          <w:bCs/>
          <w:lang w:val="en-US" w:eastAsia="zh-CN"/>
        </w:rPr>
        <w:t>5</w:t>
      </w:r>
    </w:p>
    <w:p>
      <w:pPr>
        <w:pStyle w:val="13"/>
        <w:bidi w:val="0"/>
        <w:rPr>
          <w:rFonts w:hint="eastAsia"/>
          <w:b/>
          <w:bCs/>
          <w:lang w:eastAsia="zh-CN"/>
        </w:rPr>
      </w:pPr>
      <w:r>
        <w:rPr>
          <w:rFonts w:hint="eastAsia"/>
          <w:b/>
          <w:bCs/>
          <w:lang w:val="en-US" w:eastAsia="zh-CN"/>
        </w:rPr>
        <w:t xml:space="preserve">    </w:t>
      </w:r>
      <w:r>
        <w:rPr>
          <w:rFonts w:hint="eastAsia"/>
          <w:b/>
          <w:bCs/>
        </w:rPr>
        <w:t>一</w:t>
      </w:r>
      <w:r>
        <w:rPr>
          <w:rFonts w:hint="eastAsia"/>
          <w:b/>
          <w:bCs/>
          <w:lang w:eastAsia="zh-CN"/>
        </w:rPr>
        <w:t>、部门职责</w:t>
      </w:r>
      <w:r>
        <w:rPr>
          <w:rFonts w:hint="eastAsia"/>
          <w:b/>
          <w:bCs/>
        </w:rPr>
        <w:tab/>
      </w:r>
      <w:r>
        <w:rPr>
          <w:rFonts w:hint="eastAsia"/>
          <w:b/>
          <w:bCs/>
          <w:lang w:val="en-US" w:eastAsia="zh-CN"/>
        </w:rPr>
        <w:t>5</w:t>
      </w:r>
    </w:p>
    <w:p>
      <w:pPr>
        <w:pStyle w:val="13"/>
        <w:bidi w:val="0"/>
        <w:rPr>
          <w:rFonts w:hint="eastAsia"/>
          <w:b/>
          <w:bCs/>
          <w:lang w:eastAsia="zh-CN"/>
        </w:rPr>
      </w:pPr>
      <w:r>
        <w:rPr>
          <w:rFonts w:hint="eastAsia"/>
          <w:b/>
          <w:bCs/>
          <w:lang w:val="en-US" w:eastAsia="zh-CN"/>
        </w:rPr>
        <w:t xml:space="preserve">    </w:t>
      </w:r>
      <w:r>
        <w:rPr>
          <w:rFonts w:hint="eastAsia"/>
          <w:b/>
          <w:bCs/>
        </w:rPr>
        <w:t>二、机构设置</w:t>
      </w:r>
      <w:r>
        <w:rPr>
          <w:rFonts w:hint="eastAsia"/>
          <w:b/>
          <w:bCs/>
        </w:rPr>
        <w:tab/>
      </w:r>
      <w:r>
        <w:rPr>
          <w:rFonts w:hint="eastAsia"/>
          <w:b/>
          <w:bCs/>
          <w:lang w:val="en-US" w:eastAsia="zh-CN"/>
        </w:rPr>
        <w:t>5</w:t>
      </w:r>
    </w:p>
    <w:p>
      <w:pPr>
        <w:pStyle w:val="13"/>
        <w:bidi w:val="0"/>
        <w:rPr>
          <w:rFonts w:hint="eastAsia"/>
          <w:b/>
          <w:bCs/>
          <w:lang w:eastAsia="zh-CN"/>
        </w:rPr>
      </w:pPr>
      <w:r>
        <w:rPr>
          <w:rFonts w:hint="eastAsia" w:ascii="方正黑体_GBK" w:hAnsi="方正黑体_GBK" w:eastAsia="方正黑体_GBK" w:cs="方正黑体_GBK"/>
          <w:b/>
          <w:bCs/>
        </w:rPr>
        <w:t>第二部分 202</w:t>
      </w:r>
      <w:r>
        <w:rPr>
          <w:rFonts w:hint="eastAsia" w:ascii="方正黑体_GBK" w:hAnsi="方正黑体_GBK" w:eastAsia="方正黑体_GBK" w:cs="方正黑体_GBK"/>
          <w:b/>
          <w:bCs/>
          <w:lang w:val="en-US" w:eastAsia="zh-CN"/>
        </w:rPr>
        <w:t>5</w:t>
      </w:r>
      <w:r>
        <w:rPr>
          <w:rFonts w:hint="eastAsia" w:ascii="方正黑体_GBK" w:hAnsi="方正黑体_GBK" w:eastAsia="方正黑体_GBK" w:cs="方正黑体_GBK"/>
          <w:b/>
          <w:bCs/>
        </w:rPr>
        <w:t>年度部门决算情况说明</w:t>
      </w:r>
      <w:r>
        <w:rPr>
          <w:rFonts w:hint="eastAsia"/>
          <w:b/>
          <w:bCs/>
        </w:rPr>
        <w:tab/>
      </w:r>
      <w:r>
        <w:rPr>
          <w:rFonts w:hint="eastAsia"/>
          <w:b/>
          <w:bCs/>
          <w:lang w:val="en-US" w:eastAsia="zh-CN"/>
        </w:rPr>
        <w:t>6</w:t>
      </w:r>
    </w:p>
    <w:p>
      <w:pPr>
        <w:pStyle w:val="13"/>
        <w:bidi w:val="0"/>
        <w:rPr>
          <w:rFonts w:hint="eastAsia"/>
          <w:b/>
          <w:bCs/>
          <w:lang w:eastAsia="zh-CN"/>
        </w:rPr>
      </w:pPr>
      <w:r>
        <w:rPr>
          <w:rFonts w:hint="eastAsia"/>
          <w:b/>
          <w:bCs/>
          <w:lang w:val="en-US" w:eastAsia="zh-CN"/>
        </w:rPr>
        <w:t xml:space="preserve">    </w:t>
      </w:r>
      <w:r>
        <w:rPr>
          <w:rFonts w:hint="eastAsia"/>
          <w:b/>
          <w:bCs/>
        </w:rPr>
        <w:t>一、收入支出决算总体情况说明</w:t>
      </w:r>
      <w:r>
        <w:rPr>
          <w:rFonts w:hint="eastAsia"/>
          <w:b/>
          <w:bCs/>
        </w:rPr>
        <w:tab/>
      </w:r>
      <w:r>
        <w:rPr>
          <w:rFonts w:hint="eastAsia"/>
          <w:b/>
          <w:bCs/>
          <w:lang w:val="en-US" w:eastAsia="zh-CN"/>
        </w:rPr>
        <w:t>6</w:t>
      </w:r>
    </w:p>
    <w:p>
      <w:pPr>
        <w:pStyle w:val="13"/>
        <w:bidi w:val="0"/>
        <w:rPr>
          <w:rFonts w:hint="eastAsia"/>
          <w:b/>
          <w:bCs/>
          <w:lang w:eastAsia="zh-CN"/>
        </w:rPr>
      </w:pPr>
      <w:r>
        <w:rPr>
          <w:rFonts w:hint="eastAsia"/>
          <w:b/>
          <w:bCs/>
          <w:lang w:val="en-US" w:eastAsia="zh-CN"/>
        </w:rPr>
        <w:t xml:space="preserve">    </w:t>
      </w:r>
      <w:r>
        <w:rPr>
          <w:rFonts w:hint="eastAsia"/>
          <w:b/>
          <w:bCs/>
        </w:rPr>
        <w:t>二、收入决算情况说明</w:t>
      </w:r>
      <w:r>
        <w:rPr>
          <w:rFonts w:hint="eastAsia"/>
          <w:b/>
          <w:bCs/>
        </w:rPr>
        <w:tab/>
      </w:r>
      <w:r>
        <w:rPr>
          <w:rFonts w:hint="eastAsia"/>
          <w:b/>
          <w:bCs/>
          <w:lang w:val="en-US" w:eastAsia="zh-CN"/>
        </w:rPr>
        <w:t>6</w:t>
      </w:r>
    </w:p>
    <w:p>
      <w:pPr>
        <w:pStyle w:val="13"/>
        <w:bidi w:val="0"/>
        <w:rPr>
          <w:rFonts w:hint="eastAsia"/>
          <w:b/>
          <w:bCs/>
          <w:lang w:eastAsia="zh-CN"/>
        </w:rPr>
      </w:pPr>
      <w:r>
        <w:rPr>
          <w:rFonts w:hint="eastAsia"/>
          <w:b/>
          <w:bCs/>
          <w:lang w:val="en-US" w:eastAsia="zh-CN"/>
        </w:rPr>
        <w:t xml:space="preserve">    </w:t>
      </w:r>
      <w:r>
        <w:rPr>
          <w:rFonts w:hint="eastAsia"/>
          <w:b/>
          <w:bCs/>
        </w:rPr>
        <w:t>三、支出决算情况说明</w:t>
      </w:r>
      <w:r>
        <w:rPr>
          <w:rFonts w:hint="eastAsia"/>
          <w:b/>
          <w:bCs/>
        </w:rPr>
        <w:tab/>
      </w:r>
      <w:r>
        <w:rPr>
          <w:rFonts w:hint="eastAsia"/>
          <w:b/>
          <w:bCs/>
          <w:lang w:val="en-US" w:eastAsia="zh-CN"/>
        </w:rPr>
        <w:t>7</w:t>
      </w:r>
    </w:p>
    <w:p>
      <w:pPr>
        <w:pStyle w:val="13"/>
        <w:bidi w:val="0"/>
        <w:rPr>
          <w:rFonts w:hint="eastAsia"/>
          <w:b/>
          <w:bCs/>
          <w:lang w:eastAsia="zh-CN"/>
        </w:rPr>
      </w:pPr>
      <w:r>
        <w:rPr>
          <w:rFonts w:hint="eastAsia"/>
          <w:b/>
          <w:bCs/>
          <w:lang w:val="en-US" w:eastAsia="zh-CN"/>
        </w:rPr>
        <w:t xml:space="preserve">    </w:t>
      </w:r>
      <w:r>
        <w:rPr>
          <w:rFonts w:hint="eastAsia"/>
          <w:b/>
          <w:bCs/>
        </w:rPr>
        <w:t>四、财政拨款收入支出决算总体情况说明</w:t>
      </w:r>
      <w:r>
        <w:rPr>
          <w:rFonts w:hint="eastAsia"/>
          <w:b/>
          <w:bCs/>
        </w:rPr>
        <w:tab/>
      </w:r>
      <w:r>
        <w:rPr>
          <w:rFonts w:hint="eastAsia"/>
          <w:b/>
          <w:bCs/>
          <w:lang w:val="en-US" w:eastAsia="zh-CN"/>
        </w:rPr>
        <w:t>7</w:t>
      </w:r>
    </w:p>
    <w:p>
      <w:pPr>
        <w:pStyle w:val="13"/>
        <w:bidi w:val="0"/>
        <w:rPr>
          <w:rFonts w:hint="eastAsia"/>
          <w:b/>
          <w:bCs/>
          <w:lang w:eastAsia="zh-CN"/>
        </w:rPr>
      </w:pPr>
      <w:r>
        <w:rPr>
          <w:rFonts w:hint="eastAsia"/>
          <w:b/>
          <w:bCs/>
          <w:lang w:val="en-US" w:eastAsia="zh-CN"/>
        </w:rPr>
        <w:t xml:space="preserve">    </w:t>
      </w:r>
      <w:r>
        <w:rPr>
          <w:rFonts w:hint="eastAsia"/>
          <w:b/>
          <w:bCs/>
        </w:rPr>
        <w:t>五、一般公共预算财政拨款支出决算情况说明</w:t>
      </w:r>
      <w:r>
        <w:rPr>
          <w:rFonts w:hint="eastAsia"/>
          <w:b/>
          <w:bCs/>
        </w:rPr>
        <w:tab/>
      </w:r>
      <w:r>
        <w:rPr>
          <w:rFonts w:hint="eastAsia"/>
          <w:b/>
          <w:bCs/>
          <w:lang w:val="en-US" w:eastAsia="zh-CN"/>
        </w:rPr>
        <w:t>8</w:t>
      </w:r>
    </w:p>
    <w:p>
      <w:pPr>
        <w:pStyle w:val="13"/>
        <w:bidi w:val="0"/>
        <w:rPr>
          <w:rFonts w:hint="eastAsia"/>
          <w:b/>
          <w:bCs/>
          <w:lang w:eastAsia="zh-CN"/>
        </w:rPr>
      </w:pPr>
      <w:r>
        <w:rPr>
          <w:rFonts w:hint="eastAsia"/>
          <w:b/>
          <w:bCs/>
          <w:lang w:val="en-US" w:eastAsia="zh-CN"/>
        </w:rPr>
        <w:t xml:space="preserve">   </w:t>
      </w:r>
      <w:r>
        <w:rPr>
          <w:rFonts w:hint="eastAsia"/>
          <w:b/>
          <w:bCs/>
        </w:rPr>
        <w:t>（一）一般公共预算财政拨款支出决算总体情况</w:t>
      </w:r>
      <w:r>
        <w:rPr>
          <w:rFonts w:hint="eastAsia"/>
          <w:b/>
          <w:bCs/>
        </w:rPr>
        <w:tab/>
      </w:r>
      <w:r>
        <w:rPr>
          <w:rFonts w:hint="eastAsia"/>
          <w:b/>
          <w:bCs/>
          <w:lang w:val="en-US" w:eastAsia="zh-CN"/>
        </w:rPr>
        <w:t>8</w:t>
      </w:r>
    </w:p>
    <w:p>
      <w:pPr>
        <w:pStyle w:val="13"/>
        <w:bidi w:val="0"/>
        <w:rPr>
          <w:rFonts w:hint="eastAsia"/>
          <w:b/>
          <w:bCs/>
          <w:lang w:eastAsia="zh-CN"/>
        </w:rPr>
      </w:pPr>
      <w:r>
        <w:rPr>
          <w:rFonts w:hint="eastAsia"/>
          <w:b/>
          <w:bCs/>
          <w:lang w:val="en-US" w:eastAsia="zh-CN"/>
        </w:rPr>
        <w:t xml:space="preserve">   </w:t>
      </w:r>
      <w:r>
        <w:rPr>
          <w:rFonts w:hint="eastAsia"/>
          <w:b/>
          <w:bCs/>
        </w:rPr>
        <w:t>（二）一般公共预算财政拨款支出决算结构情况</w:t>
      </w:r>
      <w:r>
        <w:rPr>
          <w:rFonts w:hint="eastAsia"/>
          <w:b/>
          <w:bCs/>
        </w:rPr>
        <w:tab/>
      </w:r>
      <w:r>
        <w:rPr>
          <w:rFonts w:hint="eastAsia"/>
          <w:b/>
          <w:bCs/>
          <w:lang w:val="en-US" w:eastAsia="zh-CN"/>
        </w:rPr>
        <w:t>8</w:t>
      </w:r>
    </w:p>
    <w:p>
      <w:pPr>
        <w:pStyle w:val="13"/>
        <w:bidi w:val="0"/>
        <w:rPr>
          <w:rFonts w:hint="eastAsia"/>
          <w:b/>
          <w:bCs/>
          <w:lang w:eastAsia="zh-CN"/>
        </w:rPr>
      </w:pPr>
      <w:r>
        <w:rPr>
          <w:rFonts w:hint="eastAsia"/>
          <w:b/>
          <w:bCs/>
          <w:lang w:val="en-US" w:eastAsia="zh-CN"/>
        </w:rPr>
        <w:t xml:space="preserve">   </w:t>
      </w:r>
      <w:r>
        <w:rPr>
          <w:rFonts w:hint="eastAsia"/>
          <w:b/>
          <w:bCs/>
        </w:rPr>
        <w:t>（三）一般公共预算财政拨款支出决算具体情况</w:t>
      </w:r>
      <w:r>
        <w:rPr>
          <w:rFonts w:hint="eastAsia"/>
          <w:b/>
          <w:bCs/>
        </w:rPr>
        <w:tab/>
      </w:r>
      <w:r>
        <w:rPr>
          <w:rFonts w:hint="eastAsia"/>
          <w:b/>
          <w:bCs/>
          <w:lang w:val="en-US" w:eastAsia="zh-CN"/>
        </w:rPr>
        <w:t>9</w:t>
      </w:r>
    </w:p>
    <w:p>
      <w:pPr>
        <w:pStyle w:val="13"/>
        <w:bidi w:val="0"/>
        <w:ind w:firstLine="843" w:firstLineChars="300"/>
        <w:jc w:val="both"/>
        <w:rPr>
          <w:rFonts w:hint="eastAsia"/>
          <w:b/>
          <w:bCs/>
          <w:lang w:eastAsia="zh-CN"/>
        </w:rPr>
      </w:pPr>
      <w:r>
        <w:rPr>
          <w:rFonts w:hint="eastAsia"/>
          <w:b/>
          <w:bCs/>
        </w:rPr>
        <w:t>六、一般公共预算财政拨款基本支出决算情况说明</w:t>
      </w:r>
      <w:r>
        <w:rPr>
          <w:rFonts w:hint="eastAsia"/>
          <w:b/>
          <w:bCs/>
          <w:lang w:val="en-US" w:eastAsia="zh-CN"/>
        </w:rPr>
        <w:t>.................9</w:t>
      </w:r>
    </w:p>
    <w:p>
      <w:pPr>
        <w:pStyle w:val="13"/>
        <w:bidi w:val="0"/>
        <w:rPr>
          <w:rFonts w:hint="default"/>
          <w:b/>
          <w:bCs/>
          <w:lang w:val="en-US" w:eastAsia="zh-CN"/>
        </w:rPr>
      </w:pPr>
      <w:r>
        <w:rPr>
          <w:rFonts w:hint="eastAsia"/>
          <w:b/>
          <w:bCs/>
          <w:lang w:val="en-US" w:eastAsia="zh-CN"/>
        </w:rPr>
        <w:t xml:space="preserve">    </w:t>
      </w:r>
      <w:r>
        <w:rPr>
          <w:rFonts w:hint="eastAsia"/>
          <w:b/>
          <w:bCs/>
        </w:rPr>
        <w:t>七、“三公”经费财政拨款支出决算情况说明</w:t>
      </w:r>
      <w:r>
        <w:rPr>
          <w:rFonts w:hint="eastAsia"/>
          <w:b/>
          <w:bCs/>
        </w:rPr>
        <w:tab/>
      </w:r>
      <w:r>
        <w:rPr>
          <w:rFonts w:hint="eastAsia"/>
          <w:b/>
          <w:bCs/>
          <w:lang w:val="en-US" w:eastAsia="zh-CN"/>
        </w:rPr>
        <w:t>.10</w:t>
      </w:r>
    </w:p>
    <w:p>
      <w:pPr>
        <w:pStyle w:val="13"/>
        <w:bidi w:val="0"/>
        <w:rPr>
          <w:rFonts w:hint="default"/>
          <w:b/>
          <w:bCs/>
          <w:lang w:val="en-US" w:eastAsia="zh-CN"/>
        </w:rPr>
      </w:pPr>
      <w:r>
        <w:rPr>
          <w:rFonts w:hint="eastAsia"/>
          <w:b/>
          <w:bCs/>
          <w:lang w:val="en-US" w:eastAsia="zh-CN"/>
        </w:rPr>
        <w:t xml:space="preserve">    </w:t>
      </w:r>
      <w:r>
        <w:rPr>
          <w:rFonts w:hint="eastAsia"/>
          <w:b/>
          <w:bCs/>
        </w:rPr>
        <w:t>（一）“三公”经费财政拨款支出决算总体情况说明</w:t>
      </w:r>
      <w:r>
        <w:rPr>
          <w:rFonts w:hint="eastAsia"/>
          <w:b/>
          <w:bCs/>
          <w:lang w:val="en-US" w:eastAsia="zh-CN"/>
        </w:rPr>
        <w:t>.............10</w:t>
      </w:r>
    </w:p>
    <w:p>
      <w:pPr>
        <w:pStyle w:val="13"/>
        <w:bidi w:val="0"/>
        <w:rPr>
          <w:rFonts w:hint="default"/>
          <w:b/>
          <w:bCs/>
          <w:lang w:val="en-US" w:eastAsia="zh-CN"/>
        </w:rPr>
      </w:pPr>
      <w:r>
        <w:rPr>
          <w:rFonts w:hint="eastAsia"/>
          <w:b/>
          <w:bCs/>
          <w:lang w:val="en-US" w:eastAsia="zh-CN"/>
        </w:rPr>
        <w:t xml:space="preserve">    </w:t>
      </w:r>
      <w:r>
        <w:rPr>
          <w:rFonts w:hint="eastAsia"/>
          <w:b/>
          <w:bCs/>
        </w:rPr>
        <w:t>（二）“三公”经费财政拨款支出决算具体情况说明</w:t>
      </w:r>
      <w:r>
        <w:rPr>
          <w:rFonts w:hint="eastAsia"/>
          <w:b/>
          <w:bCs/>
          <w:lang w:val="en-US" w:eastAsia="zh-CN"/>
        </w:rPr>
        <w:t>............10</w:t>
      </w:r>
    </w:p>
    <w:p>
      <w:pPr>
        <w:pStyle w:val="13"/>
        <w:bidi w:val="0"/>
        <w:rPr>
          <w:rFonts w:hint="default" w:eastAsia="仿宋"/>
          <w:b/>
          <w:bCs/>
          <w:lang w:val="en-US" w:eastAsia="zh-CN"/>
        </w:rPr>
      </w:pPr>
      <w:r>
        <w:rPr>
          <w:rFonts w:hint="eastAsia"/>
          <w:b/>
          <w:bCs/>
          <w:lang w:val="en-US" w:eastAsia="zh-CN"/>
        </w:rPr>
        <w:t xml:space="preserve">     </w:t>
      </w:r>
      <w:r>
        <w:rPr>
          <w:rFonts w:hint="eastAsia"/>
          <w:b/>
          <w:bCs/>
        </w:rPr>
        <w:t>八、政府性基金预算支出决算情况说明</w:t>
      </w:r>
      <w:r>
        <w:rPr>
          <w:rFonts w:hint="eastAsia"/>
          <w:b/>
          <w:bCs/>
        </w:rPr>
        <w:tab/>
      </w:r>
      <w:r>
        <w:rPr>
          <w:rFonts w:hint="eastAsia"/>
          <w:b/>
          <w:bCs/>
          <w:lang w:val="en-US" w:eastAsia="zh-CN"/>
        </w:rPr>
        <w:t>11</w:t>
      </w:r>
    </w:p>
    <w:p>
      <w:pPr>
        <w:pStyle w:val="13"/>
        <w:bidi w:val="0"/>
        <w:rPr>
          <w:rFonts w:hint="eastAsia" w:eastAsia="仿宋"/>
          <w:b/>
          <w:bCs/>
          <w:lang w:eastAsia="zh-CN"/>
        </w:rPr>
      </w:pPr>
      <w:r>
        <w:rPr>
          <w:rFonts w:hint="eastAsia"/>
          <w:b/>
          <w:bCs/>
          <w:lang w:val="en-US" w:eastAsia="zh-CN"/>
        </w:rPr>
        <w:t xml:space="preserve">     </w:t>
      </w:r>
      <w:r>
        <w:rPr>
          <w:rFonts w:hint="eastAsia"/>
          <w:b/>
          <w:bCs/>
        </w:rPr>
        <w:t>九、国有资本经营预算支出决算情况说明</w:t>
      </w:r>
      <w:r>
        <w:rPr>
          <w:rFonts w:hint="eastAsia"/>
          <w:b/>
          <w:bCs/>
        </w:rPr>
        <w:tab/>
      </w:r>
      <w:r>
        <w:rPr>
          <w:rFonts w:hint="eastAsia"/>
          <w:b/>
          <w:bCs/>
          <w:lang w:val="en-US" w:eastAsia="zh-CN"/>
        </w:rPr>
        <w:t>11</w:t>
      </w:r>
    </w:p>
    <w:p>
      <w:pPr>
        <w:pStyle w:val="13"/>
        <w:bidi w:val="0"/>
        <w:rPr>
          <w:rFonts w:hint="eastAsia"/>
          <w:b/>
          <w:bCs/>
        </w:rPr>
      </w:pPr>
      <w:r>
        <w:rPr>
          <w:rFonts w:hint="eastAsia"/>
          <w:b/>
          <w:bCs/>
          <w:lang w:val="en-US" w:eastAsia="zh-CN"/>
        </w:rPr>
        <w:t xml:space="preserve">     </w:t>
      </w:r>
      <w:r>
        <w:rPr>
          <w:rFonts w:hint="eastAsia"/>
          <w:b/>
          <w:bCs/>
        </w:rPr>
        <w:t>十、其他重要事项的情况说明</w:t>
      </w:r>
      <w:r>
        <w:rPr>
          <w:rFonts w:hint="eastAsia"/>
          <w:b/>
          <w:bCs/>
        </w:rPr>
        <w:tab/>
      </w:r>
      <w:r>
        <w:rPr>
          <w:rFonts w:hint="eastAsia"/>
          <w:b/>
          <w:bCs/>
        </w:rPr>
        <w:fldChar w:fldCharType="begin"/>
      </w:r>
      <w:r>
        <w:rPr>
          <w:rFonts w:hint="eastAsia"/>
          <w:b/>
          <w:bCs/>
        </w:rPr>
        <w:instrText xml:space="preserve"> PAGEREF _Toc23620 \h </w:instrText>
      </w:r>
      <w:r>
        <w:rPr>
          <w:rFonts w:hint="eastAsia"/>
          <w:b/>
          <w:bCs/>
        </w:rPr>
        <w:fldChar w:fldCharType="separate"/>
      </w:r>
      <w:r>
        <w:rPr>
          <w:rFonts w:hint="eastAsia"/>
          <w:b/>
          <w:bCs/>
        </w:rPr>
        <w:t>11</w:t>
      </w:r>
      <w:r>
        <w:rPr>
          <w:rFonts w:hint="eastAsia"/>
          <w:b/>
          <w:bCs/>
        </w:rPr>
        <w:fldChar w:fldCharType="end"/>
      </w:r>
    </w:p>
    <w:p>
      <w:pPr>
        <w:pStyle w:val="13"/>
        <w:bidi w:val="0"/>
        <w:rPr>
          <w:rFonts w:hint="eastAsia"/>
          <w:b/>
          <w:bCs/>
        </w:rPr>
      </w:pPr>
      <w:r>
        <w:rPr>
          <w:rFonts w:hint="eastAsia"/>
          <w:b/>
          <w:bCs/>
          <w:lang w:val="en-US" w:eastAsia="zh-CN"/>
        </w:rPr>
        <w:t xml:space="preserve">    </w:t>
      </w:r>
      <w:r>
        <w:rPr>
          <w:rFonts w:hint="eastAsia"/>
          <w:b/>
          <w:bCs/>
        </w:rPr>
        <w:t>（一）机关运行经费支出情况</w:t>
      </w:r>
      <w:r>
        <w:rPr>
          <w:rFonts w:hint="eastAsia"/>
          <w:b/>
          <w:bCs/>
        </w:rPr>
        <w:tab/>
      </w:r>
      <w:r>
        <w:rPr>
          <w:rFonts w:hint="eastAsia"/>
          <w:b/>
          <w:bCs/>
        </w:rPr>
        <w:fldChar w:fldCharType="begin"/>
      </w:r>
      <w:r>
        <w:rPr>
          <w:rFonts w:hint="eastAsia"/>
          <w:b/>
          <w:bCs/>
        </w:rPr>
        <w:instrText xml:space="preserve"> PAGEREF _Toc12140 \h </w:instrText>
      </w:r>
      <w:r>
        <w:rPr>
          <w:rFonts w:hint="eastAsia"/>
          <w:b/>
          <w:bCs/>
        </w:rPr>
        <w:fldChar w:fldCharType="separate"/>
      </w:r>
      <w:r>
        <w:rPr>
          <w:rFonts w:hint="eastAsia"/>
          <w:b/>
          <w:bCs/>
        </w:rPr>
        <w:t>11</w:t>
      </w:r>
      <w:r>
        <w:rPr>
          <w:rFonts w:hint="eastAsia"/>
          <w:b/>
          <w:bCs/>
        </w:rPr>
        <w:fldChar w:fldCharType="end"/>
      </w:r>
    </w:p>
    <w:p>
      <w:pPr>
        <w:pStyle w:val="13"/>
        <w:bidi w:val="0"/>
        <w:rPr>
          <w:rFonts w:hint="default" w:eastAsia="仿宋"/>
          <w:b/>
          <w:bCs/>
          <w:lang w:val="en-US" w:eastAsia="zh-CN"/>
        </w:rPr>
      </w:pPr>
      <w:r>
        <w:rPr>
          <w:rFonts w:hint="eastAsia"/>
          <w:b/>
          <w:bCs/>
          <w:lang w:val="en-US" w:eastAsia="zh-CN"/>
        </w:rPr>
        <w:t xml:space="preserve">    </w:t>
      </w:r>
      <w:r>
        <w:rPr>
          <w:rFonts w:hint="eastAsia"/>
          <w:b/>
          <w:bCs/>
        </w:rPr>
        <w:t>（二）政府采购支出情况</w:t>
      </w:r>
      <w:r>
        <w:rPr>
          <w:rFonts w:hint="eastAsia"/>
          <w:b/>
          <w:bCs/>
        </w:rPr>
        <w:tab/>
      </w:r>
      <w:r>
        <w:rPr>
          <w:rFonts w:hint="eastAsia"/>
          <w:b/>
          <w:bCs/>
          <w:lang w:val="en-US" w:eastAsia="zh-CN"/>
        </w:rPr>
        <w:t>11</w:t>
      </w:r>
    </w:p>
    <w:p>
      <w:pPr>
        <w:pStyle w:val="13"/>
        <w:bidi w:val="0"/>
        <w:rPr>
          <w:rFonts w:hint="eastAsia"/>
          <w:b/>
          <w:bCs/>
        </w:rPr>
      </w:pPr>
      <w:r>
        <w:rPr>
          <w:rFonts w:hint="eastAsia"/>
          <w:b/>
          <w:bCs/>
          <w:lang w:val="en-US" w:eastAsia="zh-CN"/>
        </w:rPr>
        <w:t xml:space="preserve">    </w:t>
      </w:r>
      <w:r>
        <w:rPr>
          <w:rFonts w:hint="eastAsia"/>
          <w:b/>
          <w:bCs/>
        </w:rPr>
        <w:t>（三）国有资产占有使用情况</w:t>
      </w:r>
      <w:r>
        <w:rPr>
          <w:rFonts w:hint="eastAsia"/>
          <w:b/>
          <w:bCs/>
        </w:rPr>
        <w:tab/>
      </w:r>
      <w:r>
        <w:rPr>
          <w:rFonts w:hint="eastAsia"/>
          <w:b/>
          <w:bCs/>
        </w:rPr>
        <w:fldChar w:fldCharType="begin"/>
      </w:r>
      <w:r>
        <w:rPr>
          <w:rFonts w:hint="eastAsia"/>
          <w:b/>
          <w:bCs/>
        </w:rPr>
        <w:instrText xml:space="preserve"> PAGEREF _Toc17369 \h </w:instrText>
      </w:r>
      <w:r>
        <w:rPr>
          <w:rFonts w:hint="eastAsia"/>
          <w:b/>
          <w:bCs/>
        </w:rPr>
        <w:fldChar w:fldCharType="separate"/>
      </w:r>
      <w:r>
        <w:rPr>
          <w:rFonts w:hint="eastAsia"/>
          <w:b/>
          <w:bCs/>
        </w:rPr>
        <w:t>1</w:t>
      </w:r>
      <w:r>
        <w:rPr>
          <w:rFonts w:hint="eastAsia"/>
          <w:b/>
          <w:bCs/>
          <w:lang w:val="en-US" w:eastAsia="zh-CN"/>
        </w:rPr>
        <w:t>1</w:t>
      </w:r>
      <w:r>
        <w:rPr>
          <w:rFonts w:hint="eastAsia"/>
          <w:b/>
          <w:bCs/>
        </w:rPr>
        <w:fldChar w:fldCharType="end"/>
      </w:r>
    </w:p>
    <w:p>
      <w:pPr>
        <w:pStyle w:val="13"/>
        <w:bidi w:val="0"/>
        <w:rPr>
          <w:rFonts w:hint="eastAsia"/>
          <w:b/>
          <w:bCs/>
        </w:rPr>
      </w:pPr>
      <w:r>
        <w:rPr>
          <w:rFonts w:hint="eastAsia"/>
          <w:b/>
          <w:bCs/>
          <w:lang w:val="en-US" w:eastAsia="zh-CN"/>
        </w:rPr>
        <w:t xml:space="preserve">    </w:t>
      </w:r>
      <w:r>
        <w:rPr>
          <w:rFonts w:hint="eastAsia"/>
          <w:b/>
          <w:bCs/>
        </w:rPr>
        <w:t>（四）预算绩效管理情况</w:t>
      </w:r>
      <w:r>
        <w:rPr>
          <w:rFonts w:hint="eastAsia"/>
          <w:b/>
          <w:bCs/>
        </w:rPr>
        <w:tab/>
      </w:r>
      <w:r>
        <w:rPr>
          <w:rFonts w:hint="eastAsia"/>
          <w:b/>
          <w:bCs/>
        </w:rPr>
        <w:fldChar w:fldCharType="begin"/>
      </w:r>
      <w:r>
        <w:rPr>
          <w:rFonts w:hint="eastAsia"/>
          <w:b/>
          <w:bCs/>
        </w:rPr>
        <w:instrText xml:space="preserve"> PAGEREF _Toc3762 \h </w:instrText>
      </w:r>
      <w:r>
        <w:rPr>
          <w:rFonts w:hint="eastAsia"/>
          <w:b/>
          <w:bCs/>
        </w:rPr>
        <w:fldChar w:fldCharType="separate"/>
      </w:r>
      <w:r>
        <w:rPr>
          <w:rFonts w:hint="eastAsia"/>
          <w:b/>
          <w:bCs/>
        </w:rPr>
        <w:t>12</w:t>
      </w:r>
      <w:r>
        <w:rPr>
          <w:rFonts w:hint="eastAsia"/>
          <w:b/>
          <w:bCs/>
        </w:rPr>
        <w:fldChar w:fldCharType="end"/>
      </w:r>
    </w:p>
    <w:p>
      <w:pPr>
        <w:pStyle w:val="13"/>
        <w:bidi w:val="0"/>
        <w:rPr>
          <w:rFonts w:hint="eastAsia" w:ascii="仿宋_GB2312" w:hAnsi="仿宋_GB2312" w:eastAsia="仿宋_GB2312" w:cs="仿宋_GB2312"/>
          <w:b/>
          <w:bCs/>
          <w:lang w:val="en-US" w:eastAsia="zh-CN"/>
        </w:rPr>
      </w:pPr>
      <w:r>
        <w:rPr>
          <w:rFonts w:hint="eastAsia" w:ascii="方正黑体_GBK" w:hAnsi="方正黑体_GBK" w:eastAsia="方正黑体_GBK" w:cs="方正黑体_GBK"/>
          <w:b/>
          <w:bCs/>
          <w:lang w:val="en-US" w:eastAsia="zh-CN"/>
        </w:rPr>
        <w:t xml:space="preserve">    第三部分 名词解释</w:t>
      </w:r>
      <w:r>
        <w:rPr>
          <w:rFonts w:hint="eastAsia"/>
          <w:b/>
          <w:bCs/>
        </w:rPr>
        <w:tab/>
      </w:r>
      <w:r>
        <w:rPr>
          <w:rFonts w:hint="eastAsia" w:ascii="仿宋_GB2312" w:hAnsi="仿宋_GB2312" w:eastAsia="仿宋_GB2312" w:cs="仿宋_GB2312"/>
          <w:b/>
          <w:bCs/>
          <w:lang w:val="en-US" w:eastAsia="zh-CN"/>
        </w:rPr>
        <w:t>13</w:t>
      </w:r>
    </w:p>
    <w:p>
      <w:pPr>
        <w:pStyle w:val="13"/>
        <w:bidi w:val="0"/>
        <w:jc w:val="center"/>
        <w:rPr>
          <w:rFonts w:hint="eastAsia" w:ascii="仿宋_GB2312" w:hAnsi="仿宋_GB2312" w:eastAsia="仿宋_GB2312" w:cs="仿宋_GB2312"/>
          <w:b/>
          <w:bCs/>
          <w:lang w:val="en-US" w:eastAsia="zh-CN"/>
        </w:rPr>
      </w:pPr>
      <w:r>
        <w:rPr>
          <w:rFonts w:hint="eastAsia" w:ascii="方正黑体_GBK" w:hAnsi="方正黑体_GBK" w:eastAsia="方正黑体_GBK" w:cs="方正黑体_GBK"/>
          <w:b/>
          <w:bCs/>
          <w:lang w:val="en-US" w:eastAsia="zh-CN"/>
        </w:rPr>
        <w:t xml:space="preserve">    第四部分 附件</w:t>
      </w:r>
      <w:r>
        <w:rPr>
          <w:rFonts w:hint="eastAsia"/>
          <w:b/>
          <w:bCs/>
        </w:rPr>
        <w:tab/>
      </w:r>
      <w:r>
        <w:rPr>
          <w:rFonts w:hint="eastAsia" w:ascii="仿宋_GB2312" w:hAnsi="仿宋_GB2312" w:eastAsia="仿宋_GB2312" w:cs="仿宋_GB2312"/>
          <w:b/>
          <w:bCs/>
          <w:lang w:val="en-US" w:eastAsia="zh-CN"/>
        </w:rPr>
        <w:t>16</w:t>
      </w:r>
    </w:p>
    <w:p>
      <w:pPr>
        <w:pStyle w:val="13"/>
        <w:bidi w:val="0"/>
        <w:jc w:val="center"/>
        <w:rPr>
          <w:rFonts w:hint="default" w:ascii="仿宋_GB2312" w:hAnsi="仿宋_GB2312" w:eastAsia="仿宋_GB2312" w:cs="仿宋_GB2312"/>
          <w:b/>
          <w:bCs/>
          <w:lang w:val="en-US" w:eastAsia="zh-CN"/>
        </w:rPr>
      </w:pPr>
      <w:r>
        <w:rPr>
          <w:rFonts w:hint="eastAsia" w:ascii="方正黑体_GBK" w:hAnsi="方正黑体_GBK" w:eastAsia="方正黑体_GBK" w:cs="方正黑体_GBK"/>
          <w:b/>
          <w:bCs/>
          <w:lang w:val="en-US" w:eastAsia="zh-CN"/>
        </w:rPr>
        <w:t xml:space="preserve">    </w:t>
      </w:r>
      <w:r>
        <w:rPr>
          <w:rFonts w:hint="eastAsia" w:ascii="方正黑体_GBK" w:hAnsi="方正黑体_GBK" w:eastAsia="方正黑体_GBK" w:cs="方正黑体_GBK"/>
          <w:b/>
          <w:bCs/>
        </w:rPr>
        <w:t>第五部分 附表</w:t>
      </w:r>
      <w:r>
        <w:rPr>
          <w:rFonts w:hint="eastAsia"/>
          <w:b/>
          <w:bCs/>
        </w:rPr>
        <w:tab/>
      </w:r>
      <w:r>
        <w:rPr>
          <w:rFonts w:hint="eastAsia" w:ascii="仿宋_GB2312" w:hAnsi="仿宋_GB2312" w:eastAsia="仿宋_GB2312" w:cs="仿宋_GB2312"/>
          <w:b/>
          <w:bCs/>
          <w:lang w:val="en-US" w:eastAsia="zh-CN"/>
        </w:rPr>
        <w:t>17</w:t>
      </w:r>
    </w:p>
    <w:p>
      <w:pPr>
        <w:pStyle w:val="13"/>
        <w:bidi w:val="0"/>
        <w:ind w:firstLine="843" w:firstLineChars="300"/>
        <w:jc w:val="left"/>
        <w:rPr>
          <w:rFonts w:hint="default" w:eastAsia="仿宋"/>
          <w:b/>
          <w:bCs/>
          <w:lang w:val="en-US" w:eastAsia="zh-CN"/>
        </w:rPr>
      </w:pPr>
      <w:r>
        <w:rPr>
          <w:rFonts w:hint="eastAsia"/>
          <w:b/>
          <w:bCs/>
        </w:rPr>
        <w:t>一、收入支出决算总表</w:t>
      </w:r>
      <w:r>
        <w:rPr>
          <w:rFonts w:hint="eastAsia"/>
          <w:b/>
          <w:bCs/>
          <w:lang w:val="en-US" w:eastAsia="zh-CN"/>
        </w:rPr>
        <w:t>.................................17</w:t>
      </w:r>
    </w:p>
    <w:p>
      <w:pPr>
        <w:pStyle w:val="13"/>
        <w:bidi w:val="0"/>
        <w:ind w:firstLine="843" w:firstLineChars="300"/>
        <w:jc w:val="left"/>
        <w:rPr>
          <w:rFonts w:hint="default" w:eastAsia="仿宋"/>
          <w:b/>
          <w:bCs/>
          <w:lang w:val="en-US" w:eastAsia="zh-CN"/>
        </w:rPr>
      </w:pPr>
      <w:r>
        <w:rPr>
          <w:rFonts w:hint="eastAsia"/>
          <w:b/>
          <w:bCs/>
        </w:rPr>
        <w:t>二、收入决算表</w:t>
      </w:r>
      <w:r>
        <w:rPr>
          <w:rFonts w:hint="eastAsia"/>
          <w:b/>
          <w:bCs/>
          <w:lang w:val="en-US" w:eastAsia="zh-CN"/>
        </w:rPr>
        <w:t>.......................................</w:t>
      </w:r>
      <w:r>
        <w:rPr>
          <w:rFonts w:hint="eastAsia" w:ascii="仿宋_GB2312" w:hAnsi="仿宋_GB2312" w:eastAsia="仿宋_GB2312" w:cs="仿宋_GB2312"/>
          <w:b/>
          <w:bCs/>
          <w:lang w:val="en-US" w:eastAsia="zh-CN"/>
        </w:rPr>
        <w:t>17</w:t>
      </w:r>
    </w:p>
    <w:p>
      <w:pPr>
        <w:pStyle w:val="13"/>
        <w:bidi w:val="0"/>
        <w:ind w:firstLine="843" w:firstLineChars="300"/>
        <w:jc w:val="left"/>
        <w:rPr>
          <w:rFonts w:hint="default" w:eastAsia="仿宋"/>
          <w:b/>
          <w:bCs/>
          <w:lang w:val="en-US" w:eastAsia="zh-CN"/>
        </w:rPr>
      </w:pPr>
      <w:r>
        <w:rPr>
          <w:rFonts w:hint="eastAsia"/>
          <w:b/>
          <w:bCs/>
        </w:rPr>
        <w:t>三、支出决算表</w:t>
      </w:r>
      <w:r>
        <w:rPr>
          <w:rFonts w:hint="eastAsia"/>
          <w:b/>
          <w:bCs/>
          <w:lang w:val="en-US" w:eastAsia="zh-CN"/>
        </w:rPr>
        <w:t>.......................................17</w:t>
      </w:r>
    </w:p>
    <w:p>
      <w:pPr>
        <w:pStyle w:val="13"/>
        <w:bidi w:val="0"/>
        <w:ind w:firstLine="843" w:firstLineChars="300"/>
        <w:jc w:val="left"/>
        <w:rPr>
          <w:rFonts w:hint="default" w:eastAsia="仿宋"/>
          <w:b/>
          <w:bCs/>
          <w:lang w:val="en-US" w:eastAsia="zh-CN"/>
        </w:rPr>
      </w:pPr>
      <w:r>
        <w:rPr>
          <w:rFonts w:hint="eastAsia"/>
          <w:b/>
          <w:bCs/>
        </w:rPr>
        <w:t>四、财政拨款收入支出决算总表</w:t>
      </w:r>
      <w:r>
        <w:rPr>
          <w:rFonts w:hint="eastAsia"/>
          <w:b/>
          <w:bCs/>
          <w:lang w:val="en-US" w:eastAsia="zh-CN"/>
        </w:rPr>
        <w:t>.........................17</w:t>
      </w:r>
    </w:p>
    <w:p>
      <w:pPr>
        <w:pStyle w:val="13"/>
        <w:bidi w:val="0"/>
        <w:ind w:firstLine="843" w:firstLineChars="300"/>
        <w:jc w:val="left"/>
        <w:rPr>
          <w:rFonts w:hint="default" w:eastAsia="仿宋"/>
          <w:b/>
          <w:bCs/>
          <w:lang w:val="en-US" w:eastAsia="zh-CN"/>
        </w:rPr>
      </w:pPr>
      <w:r>
        <w:rPr>
          <w:rFonts w:hint="eastAsia"/>
          <w:b/>
          <w:bCs/>
        </w:rPr>
        <w:t>五、财政拨款支出决算明细表</w:t>
      </w:r>
      <w:r>
        <w:rPr>
          <w:rFonts w:hint="eastAsia"/>
          <w:b/>
          <w:bCs/>
          <w:lang w:val="en-US" w:eastAsia="zh-CN"/>
        </w:rPr>
        <w:t>...........................17</w:t>
      </w:r>
    </w:p>
    <w:p>
      <w:pPr>
        <w:pStyle w:val="13"/>
        <w:bidi w:val="0"/>
        <w:ind w:firstLine="843" w:firstLineChars="300"/>
        <w:jc w:val="left"/>
        <w:rPr>
          <w:rFonts w:hint="default" w:eastAsia="仿宋"/>
          <w:b/>
          <w:bCs/>
          <w:lang w:val="en-US" w:eastAsia="zh-CN"/>
        </w:rPr>
      </w:pPr>
      <w:r>
        <w:rPr>
          <w:rFonts w:hint="eastAsia"/>
          <w:b/>
          <w:bCs/>
        </w:rPr>
        <w:t>六、一般公共预算财政拨款支出决算表</w:t>
      </w:r>
      <w:r>
        <w:rPr>
          <w:rFonts w:hint="eastAsia"/>
          <w:b/>
          <w:bCs/>
          <w:lang w:val="en-US" w:eastAsia="zh-CN"/>
        </w:rPr>
        <w:t>...................17</w:t>
      </w:r>
    </w:p>
    <w:p>
      <w:pPr>
        <w:pStyle w:val="13"/>
        <w:bidi w:val="0"/>
        <w:ind w:firstLine="843" w:firstLineChars="300"/>
        <w:jc w:val="left"/>
        <w:rPr>
          <w:rFonts w:hint="default" w:eastAsia="仿宋"/>
          <w:b/>
          <w:bCs/>
          <w:lang w:val="en-US" w:eastAsia="zh-CN"/>
        </w:rPr>
      </w:pPr>
      <w:r>
        <w:rPr>
          <w:rFonts w:hint="eastAsia"/>
          <w:b/>
          <w:bCs/>
        </w:rPr>
        <w:t>七、一般公共预算财政拨款支出决算明细表</w:t>
      </w:r>
      <w:r>
        <w:rPr>
          <w:rFonts w:hint="eastAsia"/>
          <w:b/>
          <w:bCs/>
          <w:lang w:val="en-US" w:eastAsia="zh-CN"/>
        </w:rPr>
        <w:t>...............17</w:t>
      </w:r>
    </w:p>
    <w:p>
      <w:pPr>
        <w:pStyle w:val="13"/>
        <w:bidi w:val="0"/>
        <w:ind w:firstLine="843" w:firstLineChars="300"/>
        <w:jc w:val="left"/>
        <w:rPr>
          <w:rFonts w:hint="default" w:eastAsia="仿宋"/>
          <w:b/>
          <w:bCs/>
          <w:lang w:val="en-US" w:eastAsia="zh-CN"/>
        </w:rPr>
      </w:pPr>
      <w:r>
        <w:rPr>
          <w:rFonts w:hint="eastAsia"/>
          <w:b/>
          <w:bCs/>
        </w:rPr>
        <w:t>八、一般公共预算财政拨款基本支出决算</w:t>
      </w:r>
      <w:r>
        <w:rPr>
          <w:rFonts w:hint="eastAsia"/>
          <w:b/>
          <w:bCs/>
          <w:lang w:eastAsia="zh-CN"/>
        </w:rPr>
        <w:t>明细</w:t>
      </w:r>
      <w:r>
        <w:rPr>
          <w:rFonts w:hint="eastAsia"/>
          <w:b/>
          <w:bCs/>
        </w:rPr>
        <w:t>表</w:t>
      </w:r>
      <w:r>
        <w:rPr>
          <w:rFonts w:hint="eastAsia"/>
          <w:b/>
          <w:bCs/>
          <w:lang w:val="en-US" w:eastAsia="zh-CN"/>
        </w:rPr>
        <w:t>........17</w:t>
      </w:r>
    </w:p>
    <w:p>
      <w:pPr>
        <w:pStyle w:val="13"/>
        <w:bidi w:val="0"/>
        <w:ind w:firstLine="843" w:firstLineChars="300"/>
        <w:jc w:val="left"/>
        <w:rPr>
          <w:rFonts w:hint="default" w:eastAsia="仿宋"/>
          <w:b/>
          <w:bCs/>
          <w:lang w:val="en-US" w:eastAsia="zh-CN"/>
        </w:rPr>
      </w:pPr>
      <w:r>
        <w:rPr>
          <w:rFonts w:hint="eastAsia"/>
          <w:b/>
          <w:bCs/>
        </w:rPr>
        <w:t>九、一般公共预算财政拨款项目支出决算表</w:t>
      </w:r>
      <w:r>
        <w:rPr>
          <w:rFonts w:hint="eastAsia"/>
          <w:b/>
          <w:bCs/>
          <w:lang w:val="en-US" w:eastAsia="zh-CN"/>
        </w:rPr>
        <w:t>............17</w:t>
      </w:r>
    </w:p>
    <w:p>
      <w:pPr>
        <w:pStyle w:val="13"/>
        <w:bidi w:val="0"/>
        <w:ind w:firstLine="843" w:firstLineChars="300"/>
        <w:jc w:val="left"/>
        <w:rPr>
          <w:rFonts w:hint="default" w:eastAsia="仿宋"/>
          <w:b/>
          <w:bCs/>
          <w:lang w:val="en-US" w:eastAsia="zh-CN"/>
        </w:rPr>
      </w:pPr>
      <w:r>
        <w:rPr>
          <w:rFonts w:hint="eastAsia"/>
          <w:b/>
          <w:bCs/>
        </w:rPr>
        <w:t>十、</w:t>
      </w:r>
      <w:r>
        <w:rPr>
          <w:rFonts w:hint="eastAsia"/>
          <w:b/>
          <w:bCs/>
          <w:lang w:eastAsia="zh-CN"/>
        </w:rPr>
        <w:t>政府性基金预算财政拨款收入支出</w:t>
      </w:r>
      <w:r>
        <w:rPr>
          <w:rFonts w:hint="eastAsia"/>
          <w:b/>
          <w:bCs/>
        </w:rPr>
        <w:t>决算表</w:t>
      </w:r>
      <w:r>
        <w:rPr>
          <w:rFonts w:hint="eastAsia"/>
          <w:b/>
          <w:bCs/>
          <w:lang w:val="en-US" w:eastAsia="zh-CN"/>
        </w:rPr>
        <w:t>..........17</w:t>
      </w:r>
    </w:p>
    <w:p>
      <w:pPr>
        <w:pStyle w:val="13"/>
        <w:bidi w:val="0"/>
        <w:ind w:firstLine="843" w:firstLineChars="300"/>
        <w:jc w:val="left"/>
        <w:rPr>
          <w:rFonts w:hint="default"/>
          <w:b/>
          <w:bCs/>
          <w:lang w:val="en-US"/>
        </w:rPr>
      </w:pPr>
      <w:r>
        <w:rPr>
          <w:rFonts w:hint="eastAsia"/>
          <w:b/>
          <w:bCs/>
        </w:rPr>
        <w:t>十一、</w:t>
      </w:r>
      <w:r>
        <w:rPr>
          <w:rFonts w:hint="eastAsia"/>
          <w:b/>
          <w:bCs/>
          <w:lang w:eastAsia="zh-CN"/>
        </w:rPr>
        <w:t>国有资本经营预算财政拨款收入支出决算表</w:t>
      </w:r>
      <w:r>
        <w:rPr>
          <w:rFonts w:hint="eastAsia"/>
          <w:b/>
          <w:bCs/>
          <w:lang w:val="en-US" w:eastAsia="zh-CN"/>
        </w:rPr>
        <w:t>......17</w:t>
      </w:r>
    </w:p>
    <w:p>
      <w:pPr>
        <w:pStyle w:val="13"/>
        <w:bidi w:val="0"/>
        <w:ind w:firstLine="843" w:firstLineChars="300"/>
        <w:jc w:val="left"/>
        <w:rPr>
          <w:rFonts w:hint="default"/>
          <w:b/>
          <w:bCs/>
          <w:lang w:val="en-US"/>
        </w:rPr>
      </w:pPr>
      <w:r>
        <w:rPr>
          <w:rFonts w:hint="eastAsia"/>
          <w:b/>
          <w:bCs/>
        </w:rPr>
        <w:t>十二、</w:t>
      </w:r>
      <w:r>
        <w:rPr>
          <w:rFonts w:hint="eastAsia"/>
          <w:b/>
          <w:bCs/>
          <w:lang w:eastAsia="zh-CN"/>
        </w:rPr>
        <w:t>国有资本经营预算财政拨款支出决算表</w:t>
      </w:r>
      <w:r>
        <w:rPr>
          <w:rFonts w:hint="eastAsia"/>
          <w:b/>
          <w:bCs/>
          <w:lang w:val="en-US" w:eastAsia="zh-CN"/>
        </w:rPr>
        <w:t>..........17</w:t>
      </w:r>
    </w:p>
    <w:p>
      <w:pPr>
        <w:pStyle w:val="13"/>
        <w:bidi w:val="0"/>
        <w:ind w:firstLine="843" w:firstLineChars="300"/>
        <w:jc w:val="left"/>
        <w:rPr>
          <w:rFonts w:hint="default" w:eastAsia="仿宋"/>
          <w:b/>
          <w:bCs/>
          <w:lang w:val="en-US" w:eastAsia="zh-CN"/>
        </w:rPr>
      </w:pPr>
      <w:r>
        <w:rPr>
          <w:rFonts w:hint="eastAsia"/>
          <w:b/>
          <w:bCs/>
        </w:rPr>
        <w:t>十三、</w:t>
      </w:r>
      <w:r>
        <w:rPr>
          <w:rFonts w:hint="eastAsia"/>
          <w:b/>
          <w:bCs/>
          <w:lang w:eastAsia="zh-CN"/>
        </w:rPr>
        <w:t>财政拨款“三公”经费</w:t>
      </w:r>
      <w:r>
        <w:rPr>
          <w:rFonts w:hint="eastAsia"/>
          <w:b/>
          <w:bCs/>
        </w:rPr>
        <w:t>支出决算表</w:t>
      </w:r>
      <w:r>
        <w:rPr>
          <w:rFonts w:hint="eastAsia"/>
          <w:b/>
          <w:bCs/>
          <w:lang w:val="en-US" w:eastAsia="zh-CN"/>
        </w:rPr>
        <w:t>..............17</w:t>
      </w:r>
    </w:p>
    <w:p>
      <w:pPr>
        <w:pStyle w:val="13"/>
        <w:bidi w:val="0"/>
        <w:rPr>
          <w:rFonts w:hint="eastAsia"/>
          <w:b/>
          <w:bCs/>
        </w:rPr>
      </w:pPr>
      <w:r>
        <w:rPr>
          <w:rFonts w:hint="eastAsia"/>
          <w:b/>
          <w:bCs/>
        </w:rPr>
        <w:fldChar w:fldCharType="end"/>
      </w:r>
      <w:bookmarkStart w:id="7" w:name="_Toc23038"/>
      <w:bookmarkStart w:id="8" w:name="_Toc1398"/>
      <w:bookmarkStart w:id="9" w:name="_Toc111208495"/>
    </w:p>
    <w:p>
      <w:pPr>
        <w:pStyle w:val="13"/>
        <w:bidi w:val="0"/>
        <w:rPr>
          <w:rFonts w:hint="eastAsia"/>
          <w:b/>
          <w:bCs/>
        </w:rPr>
      </w:pPr>
    </w:p>
    <w:p>
      <w:pPr>
        <w:pStyle w:val="13"/>
        <w:bidi w:val="0"/>
        <w:rPr>
          <w:rFonts w:hint="eastAsia"/>
          <w:b/>
          <w:bCs/>
        </w:rPr>
      </w:pPr>
    </w:p>
    <w:p>
      <w:pPr>
        <w:pStyle w:val="13"/>
        <w:bidi w:val="0"/>
        <w:rPr>
          <w:rFonts w:hint="eastAsia"/>
          <w:b/>
          <w:bCs/>
        </w:rPr>
      </w:pPr>
    </w:p>
    <w:p>
      <w:pPr>
        <w:pStyle w:val="13"/>
        <w:bidi w:val="0"/>
        <w:rPr>
          <w:rFonts w:hint="eastAsia"/>
          <w:b/>
          <w:bCs/>
        </w:rPr>
      </w:pPr>
    </w:p>
    <w:p>
      <w:pPr>
        <w:pStyle w:val="13"/>
        <w:bidi w:val="0"/>
        <w:rPr>
          <w:rFonts w:hint="eastAsia"/>
          <w:b/>
          <w:bCs/>
        </w:rPr>
      </w:pPr>
    </w:p>
    <w:p>
      <w:pPr>
        <w:pStyle w:val="13"/>
        <w:bidi w:val="0"/>
        <w:rPr>
          <w:rFonts w:hint="eastAsia"/>
          <w:b/>
          <w:bCs/>
        </w:rPr>
      </w:pPr>
    </w:p>
    <w:p>
      <w:pPr>
        <w:pStyle w:val="13"/>
        <w:bidi w:val="0"/>
        <w:rPr>
          <w:rFonts w:hint="eastAsia"/>
          <w:b/>
          <w:bCs/>
        </w:rPr>
      </w:pPr>
    </w:p>
    <w:p>
      <w:pPr>
        <w:pStyle w:val="13"/>
        <w:bidi w:val="0"/>
        <w:rPr>
          <w:rFonts w:hint="eastAsia"/>
          <w:b/>
          <w:bCs/>
        </w:rPr>
      </w:pPr>
    </w:p>
    <w:p>
      <w:pPr>
        <w:pStyle w:val="13"/>
        <w:bidi w:val="0"/>
        <w:ind w:firstLine="2200" w:firstLineChars="500"/>
        <w:jc w:val="both"/>
        <w:rPr>
          <w:rFonts w:hint="eastAsia" w:ascii="方正小标宋简体" w:hAnsi="方正小标宋简体" w:eastAsia="方正小标宋简体" w:cs="方正小标宋简体"/>
          <w:b w:val="0"/>
          <w:bCs w:val="0"/>
          <w:szCs w:val="44"/>
        </w:rPr>
      </w:pPr>
      <w:r>
        <w:rPr>
          <w:rStyle w:val="21"/>
          <w:rFonts w:hint="eastAsia" w:ascii="方正小标宋简体" w:hAnsi="方正小标宋简体" w:eastAsia="方正小标宋简体" w:cs="方正小标宋简体"/>
          <w:b w:val="0"/>
          <w:bCs/>
          <w:szCs w:val="44"/>
        </w:rPr>
        <w:t>第一部分 部门概况</w:t>
      </w:r>
      <w:bookmarkEnd w:id="6"/>
      <w:bookmarkEnd w:id="7"/>
      <w:bookmarkEnd w:id="8"/>
      <w:bookmarkEnd w:id="9"/>
    </w:p>
    <w:p>
      <w:pPr>
        <w:pStyle w:val="4"/>
        <w:pageBreakBefore w:val="0"/>
        <w:kinsoku/>
        <w:wordWrap/>
        <w:overflowPunct/>
        <w:topLinePunct w:val="0"/>
        <w:autoSpaceDE/>
        <w:autoSpaceDN/>
        <w:bidi w:val="0"/>
        <w:spacing w:before="0" w:after="0" w:line="576" w:lineRule="exact"/>
        <w:textAlignment w:val="auto"/>
        <w:rPr>
          <w:rFonts w:hint="eastAsia" w:ascii="黑体" w:eastAsia="黑体"/>
          <w:b w:val="0"/>
          <w:color w:val="000000"/>
        </w:rPr>
      </w:pPr>
      <w:bookmarkStart w:id="10" w:name="_Toc6271"/>
      <w:bookmarkStart w:id="11" w:name="_Toc25800"/>
      <w:bookmarkStart w:id="12" w:name="_Toc79163602"/>
      <w:bookmarkStart w:id="13" w:name="_Toc10216"/>
      <w:bookmarkStart w:id="14" w:name="_Toc15396600"/>
      <w:bookmarkStart w:id="15" w:name="_Toc15377197"/>
      <w:bookmarkStart w:id="16" w:name="_Toc15377204"/>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仿宋_GB2312" w:hAnsi="仿宋_GB2312" w:eastAsia="仿宋_GB2312" w:cs="仿宋_GB2312"/>
          <w:b w:val="0"/>
          <w:bCs w:val="0"/>
          <w:kern w:val="0"/>
          <w:sz w:val="32"/>
          <w:szCs w:val="32"/>
        </w:rPr>
      </w:pPr>
      <w:r>
        <w:rPr>
          <w:rFonts w:hint="eastAsia" w:ascii="方正黑体_GBK" w:hAnsi="方正黑体_GBK" w:eastAsia="方正黑体_GBK" w:cs="方正黑体_GBK"/>
          <w:b w:val="0"/>
          <w:color w:val="000000"/>
        </w:rPr>
        <w:t>一、</w:t>
      </w:r>
      <w:bookmarkEnd w:id="10"/>
      <w:bookmarkEnd w:id="11"/>
      <w:bookmarkEnd w:id="12"/>
      <w:bookmarkEnd w:id="13"/>
      <w:bookmarkEnd w:id="14"/>
      <w:bookmarkEnd w:id="15"/>
      <w:r>
        <w:rPr>
          <w:rFonts w:hint="eastAsia" w:ascii="方正黑体_GBK" w:hAnsi="方正黑体_GBK" w:eastAsia="方正黑体_GBK" w:cs="方正黑体_GBK"/>
          <w:b w:val="0"/>
          <w:color w:val="auto"/>
          <w:highlight w:val="none"/>
          <w:lang w:eastAsia="zh-CN"/>
        </w:rPr>
        <w:t>部门职责</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bCs/>
          <w:kern w:val="0"/>
          <w:sz w:val="32"/>
          <w:szCs w:val="32"/>
          <w:lang w:val="en-US" w:eastAsia="zh-CN"/>
        </w:rPr>
        <w:t>1</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rPr>
        <w:t>征集、整理县委重要党史资料，收集整理重要口述历史资料、重要党史人物回忆录，搜集、整理和研究有关中共党史、中共地方党史的信息资料</w:t>
      </w:r>
      <w:r>
        <w:rPr>
          <w:rFonts w:hint="eastAsia" w:ascii="仿宋_GB2312" w:hAnsi="仿宋_GB2312" w:eastAsia="仿宋_GB2312" w:cs="仿宋_GB2312"/>
          <w:b w:val="0"/>
          <w:bCs w:val="0"/>
          <w:kern w:val="0"/>
          <w:sz w:val="32"/>
          <w:szCs w:val="32"/>
          <w:lang w:eastAsia="zh-CN"/>
        </w:rPr>
        <w:t>。</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2</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rPr>
        <w:t>收集、整理、保存地方志文献及相关地情文献资料，组织整理旧志，推动方志理论研究</w:t>
      </w:r>
      <w:r>
        <w:rPr>
          <w:rFonts w:hint="eastAsia" w:ascii="仿宋_GB2312" w:hAnsi="仿宋_GB2312" w:eastAsia="仿宋_GB2312" w:cs="仿宋_GB2312"/>
          <w:b w:val="0"/>
          <w:bCs w:val="0"/>
          <w:kern w:val="0"/>
          <w:sz w:val="32"/>
          <w:szCs w:val="32"/>
          <w:lang w:eastAsia="zh-CN"/>
        </w:rPr>
        <w:t>。</w:t>
      </w:r>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lang w:eastAsia="zh-CN"/>
        </w:rPr>
      </w:pPr>
      <w:bookmarkStart w:id="17" w:name="_Toc23404"/>
      <w:bookmarkStart w:id="18" w:name="_Toc15377200"/>
      <w:bookmarkStart w:id="19" w:name="_Toc111208497"/>
      <w:bookmarkStart w:id="20" w:name="_Toc2743"/>
      <w:r>
        <w:rPr>
          <w:rFonts w:hint="eastAsia" w:ascii="方正黑体_GBK" w:hAnsi="方正黑体_GBK" w:eastAsia="方正黑体_GBK" w:cs="方正黑体_GBK"/>
          <w:b w:val="0"/>
          <w:color w:val="000000"/>
        </w:rPr>
        <w:t>二、机构设置</w:t>
      </w:r>
      <w:bookmarkEnd w:id="17"/>
      <w:bookmarkEnd w:id="18"/>
      <w:bookmarkEnd w:id="19"/>
    </w:p>
    <w:bookmarkEnd w:id="20"/>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rPr>
      </w:pPr>
      <w:bookmarkStart w:id="21" w:name="_Toc10049"/>
      <w:r>
        <w:rPr>
          <w:rFonts w:hint="eastAsia" w:ascii="仿宋_GB2312" w:hAnsi="仿宋_GB2312" w:eastAsia="仿宋_GB2312" w:cs="仿宋_GB2312"/>
          <w:b w:val="0"/>
          <w:bCs w:val="0"/>
          <w:kern w:val="0"/>
          <w:sz w:val="32"/>
          <w:szCs w:val="32"/>
        </w:rPr>
        <w:t>茂县地情资料收集整理中心</w:t>
      </w:r>
      <w:r>
        <w:rPr>
          <w:rFonts w:hint="eastAsia" w:ascii="仿宋_GB2312" w:hAnsi="仿宋_GB2312" w:eastAsia="仿宋_GB2312" w:cs="仿宋_GB2312"/>
          <w:b w:val="0"/>
          <w:bCs w:val="0"/>
          <w:kern w:val="0"/>
          <w:sz w:val="32"/>
          <w:szCs w:val="32"/>
          <w:lang w:eastAsia="zh-CN"/>
        </w:rPr>
        <w:t>下属二级预算单位</w:t>
      </w:r>
      <w:r>
        <w:rPr>
          <w:rFonts w:hint="eastAsia" w:ascii="仿宋_GB2312" w:hAnsi="仿宋_GB2312" w:eastAsia="仿宋_GB2312" w:cs="仿宋_GB2312"/>
          <w:b w:val="0"/>
          <w:bCs w:val="0"/>
          <w:kern w:val="0"/>
          <w:sz w:val="32"/>
          <w:szCs w:val="32"/>
          <w:lang w:val="en-US" w:eastAsia="zh-CN"/>
        </w:rPr>
        <w:t>0个</w:t>
      </w:r>
      <w:r>
        <w:rPr>
          <w:rFonts w:hint="eastAsia" w:ascii="仿宋_GB2312" w:hAnsi="仿宋_GB2312" w:eastAsia="仿宋_GB2312" w:cs="仿宋_GB2312"/>
          <w:b w:val="0"/>
          <w:bCs w:val="0"/>
          <w:kern w:val="0"/>
          <w:sz w:val="32"/>
          <w:szCs w:val="32"/>
        </w:rPr>
        <w:t>，其中行政单位0个，参照公务员法管理的事业单位</w:t>
      </w:r>
      <w:r>
        <w:rPr>
          <w:rFonts w:hint="eastAsia" w:ascii="仿宋_GB2312" w:hAnsi="仿宋_GB2312" w:eastAsia="仿宋_GB2312" w:cs="仿宋_GB2312"/>
          <w:b w:val="0"/>
          <w:bCs w:val="0"/>
          <w:kern w:val="0"/>
          <w:sz w:val="32"/>
          <w:szCs w:val="32"/>
          <w:lang w:val="en-US" w:eastAsia="zh-CN"/>
        </w:rPr>
        <w:t>0</w:t>
      </w:r>
      <w:r>
        <w:rPr>
          <w:rFonts w:hint="eastAsia" w:ascii="仿宋_GB2312" w:hAnsi="仿宋_GB2312" w:eastAsia="仿宋_GB2312" w:cs="仿宋_GB2312"/>
          <w:b w:val="0"/>
          <w:bCs w:val="0"/>
          <w:kern w:val="0"/>
          <w:sz w:val="32"/>
          <w:szCs w:val="32"/>
        </w:rPr>
        <w:t>个，其他事业单位</w:t>
      </w:r>
      <w:r>
        <w:rPr>
          <w:rFonts w:hint="eastAsia" w:ascii="仿宋_GB2312" w:hAnsi="仿宋_GB2312" w:eastAsia="仿宋_GB2312" w:cs="仿宋_GB2312"/>
          <w:b w:val="0"/>
          <w:bCs w:val="0"/>
          <w:kern w:val="0"/>
          <w:sz w:val="32"/>
          <w:szCs w:val="32"/>
          <w:lang w:val="en-US" w:eastAsia="zh-CN"/>
        </w:rPr>
        <w:t>0</w:t>
      </w:r>
      <w:r>
        <w:rPr>
          <w:rFonts w:hint="eastAsia" w:ascii="仿宋_GB2312" w:hAnsi="仿宋_GB2312" w:eastAsia="仿宋_GB2312" w:cs="仿宋_GB2312"/>
          <w:b w:val="0"/>
          <w:bCs w:val="0"/>
          <w:kern w:val="0"/>
          <w:sz w:val="32"/>
          <w:szCs w:val="32"/>
        </w:rPr>
        <w:t>个。</w:t>
      </w:r>
      <w:bookmarkEnd w:id="21"/>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rPr>
      </w:pPr>
      <w:bookmarkStart w:id="22" w:name="_Toc4756"/>
      <w:bookmarkStart w:id="23" w:name="_Toc26567"/>
      <w:bookmarkStart w:id="24" w:name="_Toc111208498"/>
    </w:p>
    <w:p>
      <w:pPr>
        <w:pStyle w:val="3"/>
        <w:pageBreakBefore w:val="0"/>
        <w:kinsoku/>
        <w:wordWrap/>
        <w:overflowPunct/>
        <w:topLinePunct w:val="0"/>
        <w:autoSpaceDE/>
        <w:autoSpaceDN/>
        <w:bidi w:val="0"/>
        <w:spacing w:before="0" w:after="0" w:line="576" w:lineRule="exact"/>
        <w:jc w:val="center"/>
        <w:textAlignment w:val="auto"/>
        <w:rPr>
          <w:rFonts w:hint="eastAsia" w:ascii="黑体" w:eastAsia="黑体" w:cs="黑体"/>
          <w:b w:val="0"/>
          <w:bCs w:val="0"/>
        </w:rPr>
      </w:pPr>
    </w:p>
    <w:p>
      <w:pPr>
        <w:rPr>
          <w:rFonts w:hint="eastAsia"/>
        </w:rPr>
      </w:pPr>
    </w:p>
    <w:p>
      <w:pPr>
        <w:pStyle w:val="3"/>
        <w:pageBreakBefore w:val="0"/>
        <w:kinsoku/>
        <w:wordWrap/>
        <w:overflowPunct/>
        <w:topLinePunct w:val="0"/>
        <w:autoSpaceDE/>
        <w:autoSpaceDN/>
        <w:bidi w:val="0"/>
        <w:spacing w:before="0" w:after="0" w:line="576" w:lineRule="exact"/>
        <w:jc w:val="center"/>
        <w:textAlignment w:val="auto"/>
        <w:rPr>
          <w:rFonts w:hint="eastAsia" w:ascii="黑体" w:eastAsia="黑体" w:cs="黑体"/>
          <w:b w:val="0"/>
          <w:bCs w:val="0"/>
        </w:rPr>
      </w:pPr>
    </w:p>
    <w:p>
      <w:pPr>
        <w:rPr>
          <w:rFonts w:hint="eastAsia"/>
        </w:rPr>
      </w:pPr>
    </w:p>
    <w:p>
      <w:pPr>
        <w:pStyle w:val="3"/>
        <w:pageBreakBefore w:val="0"/>
        <w:kinsoku/>
        <w:wordWrap/>
        <w:overflowPunct/>
        <w:topLinePunct w:val="0"/>
        <w:autoSpaceDE/>
        <w:autoSpaceDN/>
        <w:bidi w:val="0"/>
        <w:spacing w:before="0" w:after="0" w:line="576" w:lineRule="exact"/>
        <w:jc w:val="both"/>
        <w:textAlignment w:val="auto"/>
        <w:rPr>
          <w:rFonts w:ascii="黑体" w:eastAsia="黑体" w:cs="黑体"/>
          <w:b w:val="0"/>
          <w:bCs w:val="0"/>
        </w:rPr>
      </w:pPr>
      <w:r>
        <w:rPr>
          <w:rFonts w:hint="eastAsia" w:ascii="黑体" w:eastAsia="黑体" w:cs="黑体"/>
          <w:b w:val="0"/>
          <w:bCs w:val="0"/>
        </w:rPr>
        <w:t>第二部分</w:t>
      </w:r>
      <w:r>
        <w:rPr>
          <w:rFonts w:ascii="黑体" w:eastAsia="黑体" w:cs="黑体"/>
          <w:b w:val="0"/>
          <w:bCs w:val="0"/>
        </w:rPr>
        <w:t xml:space="preserve"> </w:t>
      </w:r>
      <w:r>
        <w:rPr>
          <w:rFonts w:hint="eastAsia" w:ascii="黑体" w:eastAsia="黑体" w:cs="黑体"/>
          <w:b w:val="0"/>
          <w:bCs w:val="0"/>
        </w:rPr>
        <w:t>202</w:t>
      </w:r>
      <w:r>
        <w:rPr>
          <w:rFonts w:hint="eastAsia" w:ascii="黑体" w:eastAsia="黑体" w:cs="黑体"/>
          <w:b w:val="0"/>
          <w:bCs w:val="0"/>
          <w:lang w:val="en-US" w:eastAsia="zh-CN"/>
        </w:rPr>
        <w:t>5</w:t>
      </w:r>
      <w:r>
        <w:rPr>
          <w:rFonts w:hint="eastAsia" w:ascii="黑体" w:eastAsia="黑体" w:cs="黑体"/>
          <w:b w:val="0"/>
          <w:bCs w:val="0"/>
        </w:rPr>
        <w:t>年度部门决算情况说明</w:t>
      </w:r>
      <w:bookmarkEnd w:id="16"/>
      <w:bookmarkEnd w:id="22"/>
      <w:bookmarkEnd w:id="23"/>
      <w:bookmarkEnd w:id="24"/>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黑体" w:eastAsia="黑体" w:cs="Times New Roman"/>
          <w:b w:val="0"/>
          <w:bCs/>
          <w:color w:val="000000"/>
        </w:rPr>
      </w:pPr>
      <w:bookmarkStart w:id="25" w:name="_Toc15377205"/>
      <w:bookmarkStart w:id="26" w:name="_Toc14352"/>
      <w:bookmarkStart w:id="27" w:name="_Toc26705"/>
      <w:bookmarkStart w:id="28" w:name="_Toc111208499"/>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rPr>
      </w:pPr>
      <w:r>
        <w:rPr>
          <w:rFonts w:hint="eastAsia" w:ascii="方正黑体_GBK" w:hAnsi="方正黑体_GBK" w:eastAsia="方正黑体_GBK" w:cs="方正黑体_GBK"/>
          <w:b w:val="0"/>
          <w:color w:val="000000"/>
        </w:rPr>
        <w:t>一、收入支出决算总体情况说</w:t>
      </w:r>
      <w:bookmarkEnd w:id="25"/>
      <w:r>
        <w:rPr>
          <w:rFonts w:hint="eastAsia" w:ascii="方正黑体_GBK" w:hAnsi="方正黑体_GBK" w:eastAsia="方正黑体_GBK" w:cs="方正黑体_GBK"/>
          <w:b w:val="0"/>
          <w:color w:val="000000"/>
        </w:rPr>
        <w:t>明</w:t>
      </w:r>
      <w:bookmarkEnd w:id="26"/>
      <w:bookmarkEnd w:id="27"/>
      <w:bookmarkEnd w:id="28"/>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rPr>
        <w:t>年度收、支总计</w:t>
      </w:r>
      <w:r>
        <w:rPr>
          <w:rFonts w:hint="eastAsia" w:ascii="仿宋_GB2312" w:hAnsi="仿宋_GB2312" w:eastAsia="仿宋_GB2312" w:cs="仿宋_GB2312"/>
          <w:b w:val="0"/>
          <w:bCs w:val="0"/>
          <w:kern w:val="0"/>
          <w:sz w:val="32"/>
          <w:szCs w:val="32"/>
          <w:lang w:eastAsia="zh-CN"/>
        </w:rPr>
        <w:t>均为</w:t>
      </w:r>
      <w:r>
        <w:rPr>
          <w:rFonts w:hint="eastAsia" w:ascii="仿宋_GB2312" w:hAnsi="仿宋_GB2312" w:eastAsia="仿宋_GB2312" w:cs="仿宋_GB2312"/>
          <w:b w:val="0"/>
          <w:bCs w:val="0"/>
          <w:kern w:val="0"/>
          <w:sz w:val="32"/>
          <w:szCs w:val="32"/>
          <w:lang w:val="en-US" w:eastAsia="zh-CN"/>
        </w:rPr>
        <w:t>24.50</w:t>
      </w:r>
      <w:r>
        <w:rPr>
          <w:rFonts w:hint="eastAsia" w:ascii="仿宋_GB2312" w:hAnsi="仿宋_GB2312" w:eastAsia="仿宋_GB2312" w:cs="仿宋_GB2312"/>
          <w:b w:val="0"/>
          <w:bCs w:val="0"/>
          <w:kern w:val="0"/>
          <w:sz w:val="32"/>
          <w:szCs w:val="32"/>
        </w:rPr>
        <w:t>万元。与202</w:t>
      </w:r>
      <w:r>
        <w:rPr>
          <w:rFonts w:hint="eastAsia" w:ascii="仿宋_GB2312" w:hAnsi="仿宋_GB2312" w:eastAsia="仿宋_GB2312" w:cs="仿宋_GB2312"/>
          <w:b w:val="0"/>
          <w:bCs w:val="0"/>
          <w:kern w:val="0"/>
          <w:sz w:val="32"/>
          <w:szCs w:val="32"/>
          <w:lang w:val="en-US" w:eastAsia="zh-CN"/>
        </w:rPr>
        <w:t>4</w:t>
      </w:r>
      <w:r>
        <w:rPr>
          <w:rFonts w:hint="eastAsia" w:ascii="仿宋_GB2312" w:hAnsi="仿宋_GB2312" w:eastAsia="仿宋_GB2312" w:cs="仿宋_GB2312"/>
          <w:b w:val="0"/>
          <w:bCs w:val="0"/>
          <w:kern w:val="0"/>
          <w:sz w:val="32"/>
          <w:szCs w:val="32"/>
        </w:rPr>
        <w:t>年相比，收、支总计各增加</w:t>
      </w:r>
      <w:r>
        <w:rPr>
          <w:rFonts w:hint="eastAsia" w:ascii="仿宋_GB2312" w:hAnsi="仿宋_GB2312" w:eastAsia="仿宋_GB2312" w:cs="仿宋_GB2312"/>
          <w:b w:val="0"/>
          <w:bCs w:val="0"/>
          <w:kern w:val="0"/>
          <w:sz w:val="32"/>
          <w:szCs w:val="32"/>
          <w:lang w:val="en-US" w:eastAsia="zh-CN"/>
        </w:rPr>
        <w:t>1.90</w:t>
      </w:r>
      <w:r>
        <w:rPr>
          <w:rFonts w:hint="eastAsia" w:ascii="仿宋_GB2312" w:hAnsi="仿宋_GB2312" w:eastAsia="仿宋_GB2312" w:cs="仿宋_GB2312"/>
          <w:b w:val="0"/>
          <w:bCs w:val="0"/>
          <w:kern w:val="0"/>
          <w:sz w:val="32"/>
          <w:szCs w:val="32"/>
        </w:rPr>
        <w:t>万元，增长</w:t>
      </w:r>
      <w:r>
        <w:rPr>
          <w:rFonts w:hint="eastAsia" w:ascii="仿宋_GB2312" w:hAnsi="仿宋_GB2312" w:eastAsia="仿宋_GB2312" w:cs="仿宋_GB2312"/>
          <w:b w:val="0"/>
          <w:bCs w:val="0"/>
          <w:kern w:val="0"/>
          <w:sz w:val="32"/>
          <w:szCs w:val="32"/>
          <w:lang w:val="en-US" w:eastAsia="zh-CN"/>
        </w:rPr>
        <w:t>8.4</w:t>
      </w:r>
      <w:r>
        <w:rPr>
          <w:rFonts w:hint="eastAsia" w:ascii="仿宋_GB2312" w:hAnsi="仿宋_GB2312" w:eastAsia="仿宋_GB2312" w:cs="仿宋_GB2312"/>
          <w:b w:val="0"/>
          <w:bCs w:val="0"/>
          <w:kern w:val="0"/>
          <w:sz w:val="32"/>
          <w:szCs w:val="32"/>
        </w:rPr>
        <w:t>%。主要变动原因</w:t>
      </w:r>
      <w:r>
        <w:rPr>
          <w:rFonts w:hint="eastAsia" w:ascii="仿宋_GB2312" w:hAnsi="仿宋_GB2312" w:eastAsia="仿宋_GB2312" w:cs="仿宋_GB2312"/>
          <w:b w:val="0"/>
          <w:bCs w:val="0"/>
          <w:kern w:val="0"/>
          <w:sz w:val="32"/>
          <w:szCs w:val="32"/>
          <w:lang w:eastAsia="zh-CN"/>
        </w:rPr>
        <w:t>是：人员经费的增加。</w:t>
      </w:r>
    </w:p>
    <w:p>
      <w:pPr>
        <w:pStyle w:val="6"/>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drawing>
          <wp:anchor distT="0" distB="0" distL="114300" distR="114300" simplePos="0" relativeHeight="251659264" behindDoc="0" locked="0" layoutInCell="1" allowOverlap="1">
            <wp:simplePos x="0" y="0"/>
            <wp:positionH relativeFrom="column">
              <wp:posOffset>432435</wp:posOffset>
            </wp:positionH>
            <wp:positionV relativeFrom="paragraph">
              <wp:posOffset>15240</wp:posOffset>
            </wp:positionV>
            <wp:extent cx="4944745" cy="2166620"/>
            <wp:effectExtent l="4445" t="4445" r="22860" b="19685"/>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pStyle w:val="6"/>
        <w:rPr>
          <w:rFonts w:hint="eastAsia" w:ascii="仿宋_GB2312" w:hAnsi="仿宋" w:eastAsia="仿宋_GB2312"/>
          <w:color w:val="000000"/>
          <w:sz w:val="32"/>
          <w:szCs w:val="32"/>
        </w:rPr>
      </w:pPr>
    </w:p>
    <w:p>
      <w:pPr>
        <w:pStyle w:val="6"/>
        <w:rPr>
          <w:rFonts w:hint="eastAsia" w:ascii="仿宋_GB2312" w:hAnsi="仿宋" w:eastAsia="仿宋_GB2312"/>
          <w:color w:val="000000"/>
          <w:sz w:val="32"/>
          <w:szCs w:val="32"/>
        </w:rPr>
      </w:pPr>
    </w:p>
    <w:p>
      <w:pPr>
        <w:pStyle w:val="6"/>
        <w:rPr>
          <w:rFonts w:hint="eastAsia" w:ascii="仿宋_GB2312" w:hAnsi="仿宋" w:eastAsia="仿宋_GB2312"/>
          <w:color w:val="000000"/>
          <w:sz w:val="32"/>
          <w:szCs w:val="32"/>
        </w:rPr>
      </w:pPr>
    </w:p>
    <w:p>
      <w:pPr>
        <w:pStyle w:val="6"/>
        <w:rPr>
          <w:rFonts w:hint="eastAsia" w:ascii="仿宋_GB2312" w:hAnsi="仿宋" w:eastAsia="仿宋_GB2312"/>
          <w:color w:val="000000"/>
          <w:sz w:val="32"/>
          <w:szCs w:val="32"/>
        </w:rPr>
      </w:pPr>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rPr>
      </w:pPr>
      <w:bookmarkStart w:id="29" w:name="_Toc22482"/>
      <w:bookmarkStart w:id="30" w:name="_Toc111208500"/>
      <w:bookmarkStart w:id="31" w:name="_Toc25746"/>
      <w:bookmarkStart w:id="32" w:name="_Toc15377206"/>
      <w:r>
        <w:rPr>
          <w:rFonts w:hint="eastAsia" w:ascii="方正黑体_GBK" w:hAnsi="方正黑体_GBK" w:eastAsia="方正黑体_GBK" w:cs="方正黑体_GBK"/>
          <w:b w:val="0"/>
          <w:color w:val="000000"/>
        </w:rPr>
        <w:t>二、收入决算情况说明</w:t>
      </w:r>
      <w:bookmarkEnd w:id="29"/>
      <w:bookmarkEnd w:id="30"/>
      <w:bookmarkEnd w:id="31"/>
      <w:bookmarkEnd w:id="32"/>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2025年度本年收入合计24.50万元，其中：一般公共预算财政拨款收入24.50万元，占100%。</w:t>
      </w:r>
    </w:p>
    <w:p>
      <w:pPr>
        <w:pStyle w:val="14"/>
        <w:ind w:left="0" w:leftChars="0" w:firstLine="0" w:firstLineChars="0"/>
        <w:jc w:val="both"/>
      </w:pPr>
      <w:r>
        <w:rPr>
          <w:rFonts w:hint="eastAsia" w:ascii="仿宋_GB2312" w:eastAsia="仿宋_GB2312"/>
          <w:color w:val="FF0000"/>
          <w:sz w:val="32"/>
          <w:szCs w:val="32"/>
          <w:lang w:val="en-US" w:eastAsia="zh-CN"/>
        </w:rPr>
        <w:t xml:space="preserve">  </w:t>
      </w:r>
      <w:r>
        <w:rPr>
          <w:rFonts w:hint="eastAsia" w:ascii="仿宋_GB2312" w:eastAsia="仿宋_GB2312"/>
          <w:color w:val="FF0000"/>
          <w:sz w:val="32"/>
          <w:szCs w:val="32"/>
        </w:rPr>
        <w:drawing>
          <wp:inline distT="0" distB="0" distL="114300" distR="114300">
            <wp:extent cx="4857750" cy="2029460"/>
            <wp:effectExtent l="5080" t="4445" r="13970" b="2349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rPr>
      </w:pPr>
      <w:bookmarkStart w:id="33" w:name="_Toc15377207"/>
      <w:bookmarkStart w:id="34" w:name="_Toc111208501"/>
      <w:bookmarkStart w:id="35" w:name="_Toc13351"/>
      <w:bookmarkStart w:id="36" w:name="_Toc26388"/>
      <w:r>
        <w:rPr>
          <w:rFonts w:hint="eastAsia" w:ascii="方正黑体_GBK" w:hAnsi="方正黑体_GBK" w:eastAsia="方正黑体_GBK" w:cs="方正黑体_GBK"/>
          <w:b w:val="0"/>
          <w:color w:val="000000"/>
        </w:rPr>
        <w:t>三、支出决算情况说明</w:t>
      </w:r>
      <w:bookmarkEnd w:id="33"/>
      <w:bookmarkEnd w:id="34"/>
      <w:bookmarkEnd w:id="35"/>
      <w:bookmarkEnd w:id="36"/>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Nimbus Roman" w:hAnsi="Nimbus Roman" w:eastAsia="方正仿宋_GBK" w:cs="Nimbus Roman"/>
          <w:b/>
          <w:bCs/>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2025年度本年支出合计24.50万元，其中：基本支出24.50万元，占100%；项目支出0万元。</w:t>
      </w:r>
    </w:p>
    <w:p>
      <w:pPr>
        <w:jc w:val="center"/>
      </w:pPr>
      <w:r>
        <w:rPr>
          <w:rFonts w:hint="eastAsia" w:ascii="仿宋_GB2312" w:eastAsia="仿宋_GB2312"/>
          <w:color w:val="FF0000"/>
          <w:sz w:val="32"/>
          <w:szCs w:val="32"/>
          <w:lang w:eastAsia="zh-CN"/>
        </w:rPr>
        <w:drawing>
          <wp:inline distT="0" distB="0" distL="114300" distR="114300">
            <wp:extent cx="4725035" cy="2328545"/>
            <wp:effectExtent l="4445" t="4445" r="13970" b="1016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rPr>
      </w:pPr>
      <w:bookmarkStart w:id="37" w:name="_Toc111208502"/>
      <w:bookmarkStart w:id="38" w:name="_Toc25611"/>
      <w:bookmarkStart w:id="39" w:name="_Toc27304"/>
      <w:bookmarkStart w:id="40" w:name="_Toc15377208"/>
      <w:r>
        <w:rPr>
          <w:rFonts w:hint="eastAsia" w:ascii="方正黑体_GBK" w:hAnsi="方正黑体_GBK" w:eastAsia="方正黑体_GBK" w:cs="方正黑体_GBK"/>
          <w:b w:val="0"/>
          <w:color w:val="000000"/>
        </w:rPr>
        <w:t>四、财政拨款收入支出决算总体情况说明</w:t>
      </w:r>
      <w:bookmarkEnd w:id="37"/>
      <w:bookmarkEnd w:id="38"/>
      <w:bookmarkEnd w:id="39"/>
      <w:bookmarkEnd w:id="40"/>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Nimbus Roman" w:hAnsi="Nimbus Roman" w:eastAsia="方正仿宋_GBK" w:cs="Nimbus Roman"/>
          <w:b/>
          <w:bCs/>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2025年度财政拨款收、支总计均为24.50万元。与2024年度相比，财政拨款收、支总计各增加1.90万元，增长8.4%。主要变动原因是：人员经费增加。</w:t>
      </w:r>
    </w:p>
    <w:p>
      <w:pPr>
        <w:pStyle w:val="6"/>
        <w:ind w:firstLine="1673" w:firstLineChars="523"/>
        <w:rPr>
          <w:rFonts w:hint="eastAsia" w:ascii="仿宋_GB2312" w:eastAsia="仿宋_GB2312" w:cs="仿宋_GB2312"/>
          <w:color w:val="000000"/>
          <w:kern w:val="2"/>
          <w:sz w:val="32"/>
          <w:szCs w:val="32"/>
          <w:lang w:val="en-US" w:eastAsia="zh-CN" w:bidi="ar-SA"/>
        </w:rPr>
      </w:pPr>
      <w:r>
        <w:rPr>
          <w:rFonts w:hint="eastAsia" w:ascii="仿宋_GB2312" w:hAnsi="仿宋" w:eastAsia="仿宋_GB2312"/>
          <w:color w:val="000000"/>
          <w:sz w:val="32"/>
          <w:szCs w:val="32"/>
        </w:rPr>
        <w:drawing>
          <wp:anchor distT="0" distB="0" distL="114300" distR="114300" simplePos="0" relativeHeight="251660288" behindDoc="0" locked="0" layoutInCell="1" allowOverlap="1">
            <wp:simplePos x="0" y="0"/>
            <wp:positionH relativeFrom="column">
              <wp:posOffset>548640</wp:posOffset>
            </wp:positionH>
            <wp:positionV relativeFrom="paragraph">
              <wp:posOffset>219075</wp:posOffset>
            </wp:positionV>
            <wp:extent cx="4610735" cy="2696845"/>
            <wp:effectExtent l="4445" t="4445" r="13970" b="22860"/>
            <wp:wrapSquare wrapText="bothSides"/>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6"/>
        <w:jc w:val="left"/>
      </w:pPr>
    </w:p>
    <w:p>
      <w:pPr>
        <w:pStyle w:val="6"/>
        <w:jc w:val="left"/>
      </w:pPr>
    </w:p>
    <w:p>
      <w:pPr>
        <w:pStyle w:val="6"/>
        <w:jc w:val="left"/>
      </w:pPr>
    </w:p>
    <w:p>
      <w:pPr>
        <w:pStyle w:val="6"/>
        <w:jc w:val="left"/>
      </w:pPr>
    </w:p>
    <w:p>
      <w:pPr>
        <w:pStyle w:val="6"/>
        <w:jc w:val="left"/>
      </w:pPr>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rPr>
      </w:pPr>
      <w:bookmarkStart w:id="41" w:name="_Toc15377209"/>
      <w:bookmarkStart w:id="42" w:name="_Toc111208503"/>
      <w:bookmarkStart w:id="43" w:name="_Toc24234"/>
      <w:bookmarkStart w:id="44" w:name="_Toc11217"/>
      <w:bookmarkStart w:id="45" w:name="_Toc15377211"/>
      <w:r>
        <w:rPr>
          <w:rFonts w:hint="eastAsia" w:ascii="方正黑体_GBK" w:hAnsi="方正黑体_GBK" w:eastAsia="方正黑体_GBK" w:cs="方正黑体_GBK"/>
          <w:b w:val="0"/>
          <w:color w:val="000000"/>
        </w:rPr>
        <w:t>五、一般公共预算财政拨款支出决算情况说</w:t>
      </w:r>
      <w:bookmarkEnd w:id="41"/>
      <w:r>
        <w:rPr>
          <w:rFonts w:hint="eastAsia" w:ascii="方正黑体_GBK" w:hAnsi="方正黑体_GBK" w:eastAsia="方正黑体_GBK" w:cs="方正黑体_GBK"/>
          <w:b w:val="0"/>
          <w:color w:val="000000"/>
        </w:rPr>
        <w:t>明</w:t>
      </w:r>
      <w:bookmarkEnd w:id="42"/>
      <w:bookmarkEnd w:id="43"/>
      <w:bookmarkEnd w:id="44"/>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rPr>
      </w:pPr>
      <w:bookmarkStart w:id="46" w:name="_Toc1306"/>
      <w:bookmarkStart w:id="47" w:name="_Toc15377210"/>
      <w:r>
        <w:rPr>
          <w:rFonts w:hint="eastAsia" w:ascii="方正楷体_GBK" w:hAnsi="方正楷体_GBK" w:eastAsia="方正楷体_GBK" w:cs="方正楷体_GBK"/>
          <w:b/>
          <w:bCs w:val="0"/>
          <w:color w:val="000000"/>
          <w:sz w:val="32"/>
          <w:szCs w:val="32"/>
        </w:rPr>
        <w:t>（一）一般公共预算财政拨款支出决算总体情况</w:t>
      </w:r>
      <w:bookmarkEnd w:id="46"/>
      <w:bookmarkEnd w:id="47"/>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2025年度一般公共预算财政拨款支出24.50万元，占本年支出合计的100%。与2024年度相比，一般公共预算财政拨款支出增加1.90万元，增长8.4%。主要变动原因是：人员经费增加。</w:t>
      </w:r>
    </w:p>
    <w:p>
      <w:pPr>
        <w:pStyle w:val="6"/>
        <w:ind w:firstLine="0"/>
        <w:rPr>
          <w:rFonts w:ascii="仿宋_GB2312" w:eastAsia="仿宋_GB2312"/>
          <w:b/>
          <w:color w:val="000000"/>
          <w:sz w:val="32"/>
          <w:szCs w:val="32"/>
        </w:rPr>
      </w:pPr>
      <w:r>
        <w:rPr>
          <w:rFonts w:hint="eastAsia" w:ascii="仿宋_GB2312" w:hAnsi="仿宋" w:eastAsia="仿宋_GB2312"/>
          <w:color w:val="000000"/>
          <w:sz w:val="32"/>
          <w:szCs w:val="32"/>
        </w:rPr>
        <w:drawing>
          <wp:anchor distT="0" distB="0" distL="114300" distR="114300" simplePos="0" relativeHeight="251661312" behindDoc="0" locked="0" layoutInCell="1" allowOverlap="1">
            <wp:simplePos x="0" y="0"/>
            <wp:positionH relativeFrom="column">
              <wp:posOffset>434340</wp:posOffset>
            </wp:positionH>
            <wp:positionV relativeFrom="paragraph">
              <wp:posOffset>61595</wp:posOffset>
            </wp:positionV>
            <wp:extent cx="4890135" cy="2109470"/>
            <wp:effectExtent l="5080" t="4445" r="19685" b="1968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6"/>
        <w:ind w:firstLine="0"/>
        <w:rPr>
          <w:rFonts w:ascii="仿宋_GB2312" w:eastAsia="仿宋_GB2312"/>
          <w:b/>
          <w:color w:val="000000"/>
          <w:sz w:val="32"/>
          <w:szCs w:val="32"/>
        </w:rPr>
      </w:pPr>
    </w:p>
    <w:p>
      <w:pPr>
        <w:pStyle w:val="6"/>
        <w:ind w:firstLine="0"/>
        <w:rPr>
          <w:rFonts w:ascii="仿宋_GB2312" w:eastAsia="仿宋_GB2312"/>
          <w:b/>
          <w:color w:val="000000"/>
          <w:sz w:val="32"/>
          <w:szCs w:val="32"/>
        </w:rPr>
      </w:pPr>
    </w:p>
    <w:p>
      <w:pPr>
        <w:pStyle w:val="6"/>
        <w:ind w:firstLine="0"/>
        <w:rPr>
          <w:rFonts w:ascii="仿宋_GB2312" w:eastAsia="仿宋_GB2312"/>
          <w:b/>
          <w:color w:val="000000"/>
          <w:sz w:val="32"/>
          <w:szCs w:val="32"/>
        </w:rPr>
      </w:pPr>
    </w:p>
    <w:p>
      <w:pPr>
        <w:pStyle w:val="6"/>
        <w:ind w:firstLine="0"/>
        <w:rPr>
          <w:rFonts w:ascii="仿宋_GB2312" w:eastAsia="仿宋_GB2312"/>
          <w:b/>
          <w:color w:val="000000"/>
          <w:sz w:val="32"/>
          <w:szCs w:val="32"/>
        </w:rPr>
      </w:pPr>
    </w:p>
    <w:bookmarkEnd w:id="45"/>
    <w:p>
      <w:pPr>
        <w:spacing w:line="600" w:lineRule="exact"/>
        <w:outlineLvl w:val="2"/>
        <w:rPr>
          <w:rFonts w:hint="eastAsia" w:ascii="仿宋" w:hAnsi="仿宋" w:eastAsia="仿宋" w:cs="仿宋"/>
          <w:b/>
          <w:bCs w:val="0"/>
          <w:color w:val="000000"/>
          <w:sz w:val="32"/>
          <w:szCs w:val="32"/>
        </w:rPr>
      </w:pPr>
      <w:bookmarkStart w:id="48" w:name="_Toc28498"/>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方正楷体_GBK" w:hAnsi="方正楷体_GBK" w:eastAsia="方正楷体_GBK" w:cs="方正楷体_GBK"/>
          <w:b/>
          <w:bCs w:val="0"/>
          <w:color w:val="000000"/>
          <w:sz w:val="32"/>
          <w:szCs w:val="32"/>
        </w:rPr>
      </w:pPr>
      <w:r>
        <w:rPr>
          <w:rFonts w:hint="eastAsia" w:ascii="方正楷体_GBK" w:hAnsi="方正楷体_GBK" w:eastAsia="方正楷体_GBK" w:cs="方正楷体_GBK"/>
          <w:b/>
          <w:bCs w:val="0"/>
          <w:color w:val="000000"/>
          <w:sz w:val="32"/>
          <w:szCs w:val="32"/>
        </w:rPr>
        <w:t>（二）一般公共预算财政拨款支出决算结构情况</w:t>
      </w:r>
      <w:bookmarkEnd w:id="48"/>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640" w:firstLineChars="200"/>
        <w:jc w:val="left"/>
        <w:textAlignment w:val="auto"/>
      </w:pPr>
      <w:r>
        <w:rPr>
          <w:rFonts w:hint="eastAsia" w:ascii="仿宋_GB2312" w:hAnsi="仿宋_GB2312" w:eastAsia="仿宋_GB2312" w:cs="仿宋_GB2312"/>
          <w:b w:val="0"/>
          <w:bCs w:val="0"/>
          <w:kern w:val="0"/>
          <w:sz w:val="32"/>
          <w:szCs w:val="32"/>
          <w:lang w:val="en-US" w:eastAsia="zh-CN" w:bidi="ar-SA"/>
        </w:rPr>
        <w:t>2025年度一般公共预算财政拨款支出24.50万元，主要用于以下方面：</w:t>
      </w:r>
      <w:r>
        <w:rPr>
          <w:rFonts w:hint="eastAsia" w:ascii="仿宋_GB2312" w:hAnsi="仿宋_GB2312" w:eastAsia="仿宋_GB2312" w:cs="仿宋_GB2312"/>
          <w:b w:val="0"/>
          <w:bCs w:val="0"/>
          <w:color w:val="000000"/>
          <w:kern w:val="2"/>
          <w:sz w:val="32"/>
          <w:szCs w:val="32"/>
          <w:lang w:val="en-US" w:eastAsia="zh-CN" w:bidi="ar-SA"/>
        </w:rPr>
        <w:t>科学技术支出</w:t>
      </w:r>
      <w:r>
        <w:rPr>
          <w:rFonts w:hint="eastAsia" w:ascii="仿宋_GB2312" w:hAnsi="仿宋_GB2312" w:eastAsia="仿宋_GB2312" w:cs="仿宋_GB2312"/>
          <w:b w:val="0"/>
          <w:bCs w:val="0"/>
          <w:kern w:val="0"/>
          <w:sz w:val="32"/>
          <w:szCs w:val="32"/>
          <w:lang w:val="en-US" w:eastAsia="zh-CN" w:bidi="ar-SA"/>
        </w:rPr>
        <w:t>17.91万元，占73.1%；</w:t>
      </w:r>
      <w:r>
        <w:rPr>
          <w:rFonts w:hint="eastAsia" w:ascii="仿宋_GB2312" w:hAnsi="仿宋_GB2312" w:eastAsia="仿宋_GB2312" w:cs="仿宋_GB2312"/>
          <w:b w:val="0"/>
          <w:bCs w:val="0"/>
          <w:color w:val="000000"/>
          <w:kern w:val="2"/>
          <w:sz w:val="32"/>
          <w:szCs w:val="32"/>
          <w:lang w:val="en-US" w:eastAsia="zh-CN" w:bidi="ar-SA"/>
        </w:rPr>
        <w:t>社会保障和就业支</w:t>
      </w:r>
      <w:r>
        <w:rPr>
          <w:rFonts w:hint="eastAsia" w:ascii="仿宋_GB2312" w:hAnsi="仿宋_GB2312" w:eastAsia="仿宋_GB2312" w:cs="仿宋_GB2312"/>
          <w:b w:val="0"/>
          <w:bCs w:val="0"/>
          <w:kern w:val="0"/>
          <w:sz w:val="32"/>
          <w:szCs w:val="32"/>
          <w:lang w:val="en-US" w:eastAsia="zh-CN" w:bidi="ar-SA"/>
        </w:rPr>
        <w:t>出3.47万元，占14.2%；</w:t>
      </w:r>
      <w:r>
        <w:rPr>
          <w:rFonts w:hint="eastAsia" w:ascii="仿宋_GB2312" w:hAnsi="仿宋_GB2312" w:eastAsia="仿宋_GB2312" w:cs="仿宋_GB2312"/>
          <w:b w:val="0"/>
          <w:bCs w:val="0"/>
          <w:color w:val="000000"/>
          <w:kern w:val="2"/>
          <w:sz w:val="32"/>
          <w:szCs w:val="32"/>
          <w:lang w:val="en-US" w:eastAsia="zh-CN" w:bidi="ar-SA"/>
        </w:rPr>
        <w:t>卫生健康支出</w:t>
      </w:r>
      <w:r>
        <w:rPr>
          <w:rFonts w:hint="eastAsia" w:ascii="仿宋_GB2312" w:hAnsi="仿宋_GB2312" w:eastAsia="仿宋_GB2312" w:cs="仿宋_GB2312"/>
          <w:b w:val="0"/>
          <w:bCs w:val="0"/>
          <w:kern w:val="0"/>
          <w:sz w:val="32"/>
          <w:szCs w:val="32"/>
          <w:lang w:val="en-US" w:eastAsia="zh-CN" w:bidi="ar-SA"/>
        </w:rPr>
        <w:t>1.25万元，占5.1%；</w:t>
      </w:r>
      <w:r>
        <w:rPr>
          <w:rFonts w:hint="eastAsia" w:ascii="仿宋_GB2312" w:hAnsi="仿宋_GB2312" w:eastAsia="仿宋_GB2312" w:cs="仿宋_GB2312"/>
          <w:b w:val="0"/>
          <w:bCs w:val="0"/>
          <w:color w:val="000000"/>
          <w:kern w:val="2"/>
          <w:sz w:val="32"/>
          <w:szCs w:val="32"/>
          <w:lang w:val="en-US" w:eastAsia="zh-CN" w:bidi="ar-SA"/>
        </w:rPr>
        <w:t>住房保障支出</w:t>
      </w:r>
      <w:r>
        <w:rPr>
          <w:rFonts w:hint="eastAsia" w:ascii="仿宋_GB2312" w:hAnsi="仿宋_GB2312" w:eastAsia="仿宋_GB2312" w:cs="仿宋_GB2312"/>
          <w:b w:val="0"/>
          <w:bCs w:val="0"/>
          <w:kern w:val="0"/>
          <w:sz w:val="32"/>
          <w:szCs w:val="32"/>
          <w:lang w:val="en-US" w:eastAsia="zh-CN" w:bidi="ar-SA"/>
        </w:rPr>
        <w:t>1.87万元，占7.6%</w:t>
      </w:r>
      <w:r>
        <w:rPr>
          <w:rFonts w:hint="eastAsia" w:ascii="Nimbus Roman" w:hAnsi="Nimbus Roman" w:eastAsia="方正仿宋_GBK" w:cs="Nimbus Roman"/>
          <w:b w:val="0"/>
          <w:bCs w:val="0"/>
          <w:kern w:val="0"/>
          <w:sz w:val="32"/>
          <w:szCs w:val="32"/>
          <w:lang w:val="en-US" w:eastAsia="zh-CN" w:bidi="ar-SA"/>
        </w:rPr>
        <w:t>。</w:t>
      </w:r>
      <w:bookmarkStart w:id="49" w:name="_Toc15377212"/>
    </w:p>
    <w:p>
      <w:pPr>
        <w:pStyle w:val="6"/>
        <w:ind w:left="0" w:leftChars="0" w:firstLine="0" w:firstLineChars="0"/>
      </w:pPr>
      <w:r>
        <w:rPr>
          <w:rFonts w:hint="eastAsia" w:ascii="仿宋" w:hAnsi="仿宋" w:eastAsia="仿宋"/>
          <w:color w:val="000000"/>
          <w:sz w:val="32"/>
          <w:szCs w:val="32"/>
        </w:rPr>
        <w:drawing>
          <wp:anchor distT="0" distB="0" distL="114300" distR="114300" simplePos="0" relativeHeight="251662336" behindDoc="0" locked="0" layoutInCell="1" allowOverlap="1">
            <wp:simplePos x="0" y="0"/>
            <wp:positionH relativeFrom="column">
              <wp:posOffset>616585</wp:posOffset>
            </wp:positionH>
            <wp:positionV relativeFrom="paragraph">
              <wp:posOffset>43180</wp:posOffset>
            </wp:positionV>
            <wp:extent cx="4519930" cy="1691640"/>
            <wp:effectExtent l="4445" t="5080" r="9525" b="17780"/>
            <wp:wrapSquare wrapText="bothSides"/>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2" w:firstLineChars="200"/>
        <w:outlineLvl w:val="2"/>
        <w:rPr>
          <w:rFonts w:hint="eastAsia" w:ascii="楷体_GB2312" w:eastAsia="楷体_GB2312" w:cs="楷体_GB2312"/>
          <w:b/>
          <w:bCs w:val="0"/>
          <w:color w:val="000000"/>
          <w:sz w:val="32"/>
          <w:szCs w:val="32"/>
        </w:rPr>
      </w:pPr>
    </w:p>
    <w:p>
      <w:pPr>
        <w:spacing w:line="600" w:lineRule="exact"/>
        <w:outlineLvl w:val="2"/>
        <w:rPr>
          <w:rFonts w:hint="eastAsia" w:ascii="楷体_GB2312" w:eastAsia="楷体_GB2312" w:cs="楷体_GB2312"/>
          <w:b/>
          <w:bCs w:val="0"/>
          <w:color w:val="000000"/>
          <w:sz w:val="32"/>
          <w:szCs w:val="32"/>
        </w:rPr>
      </w:pPr>
    </w:p>
    <w:p>
      <w:pPr>
        <w:pageBreakBefore w:val="0"/>
        <w:kinsoku/>
        <w:wordWrap/>
        <w:overflowPunct/>
        <w:topLinePunct w:val="0"/>
        <w:bidi w:val="0"/>
        <w:spacing w:beforeAutospacing="0" w:afterAutospacing="0" w:line="576" w:lineRule="exact"/>
        <w:ind w:leftChars="0" w:firstLine="642" w:firstLineChars="200"/>
        <w:textAlignment w:val="auto"/>
        <w:outlineLvl w:val="2"/>
        <w:rPr>
          <w:rFonts w:hint="eastAsia" w:ascii="方正楷体_GBK" w:hAnsi="方正楷体_GBK" w:eastAsia="方正楷体_GBK" w:cs="方正楷体_GBK"/>
          <w:b/>
          <w:bCs w:val="0"/>
          <w:color w:val="000000"/>
          <w:sz w:val="32"/>
          <w:szCs w:val="32"/>
        </w:rPr>
      </w:pPr>
      <w:bookmarkStart w:id="50" w:name="_Toc30403"/>
      <w:r>
        <w:rPr>
          <w:rFonts w:hint="eastAsia" w:ascii="方正楷体_GBK" w:hAnsi="方正楷体_GBK" w:eastAsia="方正楷体_GBK" w:cs="方正楷体_GBK"/>
          <w:b/>
          <w:bCs w:val="0"/>
          <w:color w:val="000000"/>
          <w:sz w:val="32"/>
          <w:szCs w:val="32"/>
        </w:rPr>
        <w:t>（三）一般公共预算财政拨款支出决算具体情况</w:t>
      </w:r>
      <w:bookmarkEnd w:id="49"/>
      <w:bookmarkEnd w:id="50"/>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bookmarkStart w:id="51" w:name="_Toc15377213"/>
      <w:bookmarkStart w:id="52" w:name="_Toc15377444"/>
      <w:bookmarkStart w:id="53" w:name="_Toc15378460"/>
      <w:r>
        <w:rPr>
          <w:rFonts w:hint="eastAsia" w:ascii="仿宋_GB2312" w:hAnsi="仿宋_GB2312" w:eastAsia="仿宋_GB2312" w:cs="仿宋_GB2312"/>
          <w:b w:val="0"/>
          <w:bCs w:val="0"/>
          <w:kern w:val="0"/>
          <w:sz w:val="32"/>
          <w:szCs w:val="32"/>
          <w:lang w:val="en-US" w:eastAsia="zh-CN"/>
        </w:rPr>
        <w:t>2025年度一般公共预算支出决算数为24.50万元，完成预算100%。其中：</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1.科学技术（类）科技条件与服务（款）其他科技条件与服务（项）</w:t>
      </w:r>
      <w:r>
        <w:rPr>
          <w:rFonts w:hint="eastAsia" w:ascii="仿宋_GB2312" w:hAnsi="仿宋_GB2312" w:eastAsia="仿宋_GB2312" w:cs="仿宋_GB2312"/>
          <w:b w:val="0"/>
          <w:bCs w:val="0"/>
          <w:kern w:val="0"/>
          <w:sz w:val="32"/>
          <w:szCs w:val="32"/>
          <w:lang w:val="en-US" w:eastAsia="zh-CN"/>
        </w:rPr>
        <w:t>：支出决算数17.91万元，完成预算100%，决算数等于预算数。</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2.社会保障和就业（类）行政事业单位离退休（款）机关事业单位基本养老保险（项）</w:t>
      </w:r>
      <w:r>
        <w:rPr>
          <w:rFonts w:hint="eastAsia" w:ascii="仿宋_GB2312" w:hAnsi="仿宋_GB2312" w:eastAsia="仿宋_GB2312" w:cs="仿宋_GB2312"/>
          <w:b w:val="0"/>
          <w:bCs w:val="0"/>
          <w:kern w:val="0"/>
          <w:sz w:val="32"/>
          <w:szCs w:val="32"/>
          <w:lang w:val="en-US" w:eastAsia="zh-CN"/>
        </w:rPr>
        <w:t>：支出决算数2.31万元，完成预算100%，决算数等于预算数。</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3.社会保障和就业（类）行政事业单位离退休（款）机关事业单位职业年金缴费（项）</w:t>
      </w:r>
      <w:r>
        <w:rPr>
          <w:rFonts w:hint="eastAsia" w:ascii="仿宋_GB2312" w:hAnsi="仿宋_GB2312" w:eastAsia="仿宋_GB2312" w:cs="仿宋_GB2312"/>
          <w:b w:val="0"/>
          <w:bCs w:val="0"/>
          <w:kern w:val="0"/>
          <w:sz w:val="32"/>
          <w:szCs w:val="32"/>
          <w:lang w:val="en-US" w:eastAsia="zh-CN"/>
        </w:rPr>
        <w:t>：支出决算数1.16万元，完成预算100%，决算数等于预算数。</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4.医疗卫生与计划生育（类）行政事业单位医疗（款）事业单位医疗（项）</w:t>
      </w:r>
      <w:r>
        <w:rPr>
          <w:rFonts w:hint="eastAsia" w:ascii="仿宋_GB2312" w:hAnsi="仿宋_GB2312" w:eastAsia="仿宋_GB2312" w:cs="仿宋_GB2312"/>
          <w:b w:val="0"/>
          <w:bCs w:val="0"/>
          <w:kern w:val="0"/>
          <w:sz w:val="32"/>
          <w:szCs w:val="32"/>
          <w:lang w:val="en-US" w:eastAsia="zh-CN"/>
        </w:rPr>
        <w:t>：支出决算数1.25万元，完成预算100%，决算数等于预算数。</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5.住房保障（类）住房改革（款）住房公积金（项）</w:t>
      </w:r>
      <w:r>
        <w:rPr>
          <w:rFonts w:hint="eastAsia" w:ascii="仿宋_GB2312" w:hAnsi="仿宋_GB2312" w:eastAsia="仿宋_GB2312" w:cs="仿宋_GB2312"/>
          <w:b w:val="0"/>
          <w:bCs w:val="0"/>
          <w:kern w:val="0"/>
          <w:sz w:val="32"/>
          <w:szCs w:val="32"/>
          <w:lang w:val="en-US" w:eastAsia="zh-CN"/>
        </w:rPr>
        <w:t>：支出决算数1.87万元，完成预算100%，决算数等于预算数。</w:t>
      </w:r>
      <w:bookmarkEnd w:id="51"/>
      <w:bookmarkEnd w:id="52"/>
      <w:bookmarkEnd w:id="53"/>
      <w:bookmarkStart w:id="54" w:name="_Toc15377214"/>
      <w:bookmarkStart w:id="55" w:name="_Toc32028"/>
      <w:bookmarkStart w:id="56" w:name="_Toc12824"/>
      <w:bookmarkStart w:id="57" w:name="_Toc111208504"/>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rPr>
      </w:pPr>
      <w:r>
        <w:rPr>
          <w:rFonts w:hint="eastAsia" w:ascii="方正黑体_GBK" w:hAnsi="方正黑体_GBK" w:eastAsia="方正黑体_GBK" w:cs="方正黑体_GBK"/>
          <w:b w:val="0"/>
          <w:color w:val="000000"/>
        </w:rPr>
        <w:t>六、一般公共预算财政拨款基本支出决算情况说</w:t>
      </w:r>
      <w:bookmarkEnd w:id="54"/>
      <w:r>
        <w:rPr>
          <w:rFonts w:hint="eastAsia" w:ascii="方正黑体_GBK" w:hAnsi="方正黑体_GBK" w:eastAsia="方正黑体_GBK" w:cs="方正黑体_GBK"/>
          <w:b w:val="0"/>
          <w:color w:val="000000"/>
        </w:rPr>
        <w:t>明</w:t>
      </w:r>
      <w:bookmarkEnd w:id="55"/>
      <w:bookmarkEnd w:id="56"/>
      <w:bookmarkEnd w:id="57"/>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2025年度一般公共预算财政拨款基本支出24.50万元，其中：</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人员经费23.52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公用经费0.98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rPr>
      </w:pPr>
      <w:bookmarkStart w:id="58" w:name="_Toc15377215"/>
      <w:bookmarkStart w:id="59" w:name="_Toc111208505"/>
      <w:bookmarkStart w:id="60" w:name="_Toc8600"/>
      <w:bookmarkStart w:id="61" w:name="_Toc24403"/>
      <w:r>
        <w:rPr>
          <w:rFonts w:hint="eastAsia" w:ascii="方正黑体_GBK" w:hAnsi="方正黑体_GBK" w:eastAsia="方正黑体_GBK" w:cs="方正黑体_GBK"/>
          <w:b w:val="0"/>
          <w:color w:val="000000"/>
        </w:rPr>
        <w:t>七、“三公”经费财政拨款支出决算情况说明</w:t>
      </w:r>
      <w:bookmarkEnd w:id="58"/>
      <w:bookmarkEnd w:id="59"/>
      <w:bookmarkEnd w:id="60"/>
      <w:bookmarkEnd w:id="61"/>
    </w:p>
    <w:p>
      <w:pPr>
        <w:pageBreakBefore w:val="0"/>
        <w:kinsoku/>
        <w:wordWrap/>
        <w:overflowPunct/>
        <w:topLinePunct w:val="0"/>
        <w:bidi w:val="0"/>
        <w:spacing w:beforeAutospacing="0" w:afterAutospacing="0" w:line="576" w:lineRule="exact"/>
        <w:ind w:leftChars="0" w:firstLine="642" w:firstLineChars="200"/>
        <w:textAlignment w:val="auto"/>
        <w:outlineLvl w:val="2"/>
        <w:rPr>
          <w:rFonts w:hint="eastAsia" w:ascii="方正楷体_GBK" w:hAnsi="方正楷体_GBK" w:eastAsia="方正楷体_GBK" w:cs="方正楷体_GBK"/>
          <w:b/>
          <w:bCs w:val="0"/>
          <w:color w:val="000000"/>
          <w:sz w:val="32"/>
          <w:szCs w:val="32"/>
        </w:rPr>
      </w:pPr>
      <w:bookmarkStart w:id="62" w:name="_Toc15377216"/>
      <w:bookmarkStart w:id="63" w:name="_Toc32099"/>
      <w:r>
        <w:rPr>
          <w:rFonts w:hint="eastAsia" w:ascii="方正楷体_GBK" w:hAnsi="方正楷体_GBK" w:eastAsia="方正楷体_GBK" w:cs="方正楷体_GBK"/>
          <w:b/>
          <w:bCs w:val="0"/>
          <w:color w:val="000000"/>
          <w:sz w:val="32"/>
          <w:szCs w:val="32"/>
        </w:rPr>
        <w:t>（一）“三公”经费财政拨款支出决算总体情况说明</w:t>
      </w:r>
      <w:bookmarkEnd w:id="62"/>
      <w:bookmarkEnd w:id="63"/>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2025年度“三公”经费财政拨款支出决算为0万元，完成预算100%，与上年度相比无变化。</w:t>
      </w:r>
      <w:bookmarkStart w:id="64" w:name="_Toc15377217"/>
    </w:p>
    <w:p>
      <w:pPr>
        <w:pageBreakBefore w:val="0"/>
        <w:kinsoku/>
        <w:wordWrap/>
        <w:overflowPunct/>
        <w:topLinePunct w:val="0"/>
        <w:bidi w:val="0"/>
        <w:spacing w:beforeAutospacing="0" w:afterAutospacing="0" w:line="576" w:lineRule="exact"/>
        <w:ind w:leftChars="0" w:firstLine="642" w:firstLineChars="200"/>
        <w:textAlignment w:val="auto"/>
        <w:outlineLvl w:val="2"/>
        <w:rPr>
          <w:rFonts w:hint="eastAsia" w:ascii="方正楷体_GBK" w:hAnsi="方正楷体_GBK" w:eastAsia="方正楷体_GBK" w:cs="方正楷体_GBK"/>
          <w:b/>
          <w:bCs w:val="0"/>
          <w:color w:val="000000"/>
          <w:sz w:val="32"/>
          <w:szCs w:val="32"/>
        </w:rPr>
      </w:pPr>
      <w:bookmarkStart w:id="65" w:name="_Toc10142"/>
      <w:r>
        <w:rPr>
          <w:rFonts w:hint="eastAsia" w:ascii="方正楷体_GBK" w:hAnsi="方正楷体_GBK" w:eastAsia="方正楷体_GBK" w:cs="方正楷体_GBK"/>
          <w:b/>
          <w:bCs w:val="0"/>
          <w:color w:val="000000"/>
          <w:sz w:val="32"/>
          <w:szCs w:val="32"/>
        </w:rPr>
        <w:t>（二）“三公”经费财政拨款支出决算具体情况说明</w:t>
      </w:r>
      <w:bookmarkEnd w:id="64"/>
      <w:bookmarkEnd w:id="65"/>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2025年度“三公”经费财政拨款支出决算中，因公出国（境）费支出决算0万元；公务用车购置及运行维护费支出决算0万元；公务接待费支出决算0万元</w:t>
      </w:r>
      <w:bookmarkStart w:id="118" w:name="_GoBack"/>
      <w:bookmarkEnd w:id="118"/>
      <w:r>
        <w:rPr>
          <w:rFonts w:hint="eastAsia" w:ascii="仿宋_GB2312" w:hAnsi="仿宋_GB2312" w:eastAsia="仿宋_GB2312" w:cs="仿宋_GB2312"/>
          <w:b w:val="0"/>
          <w:bCs w:val="0"/>
          <w:kern w:val="0"/>
          <w:sz w:val="32"/>
          <w:szCs w:val="32"/>
          <w:lang w:val="en-US" w:eastAsia="zh-CN"/>
        </w:rPr>
        <w:t>。具体情况如下：</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Nimbus Roman" w:hAnsi="Nimbus Roman" w:eastAsia="方正仿宋_GBK" w:cs="Nimbus Roman"/>
          <w:b/>
          <w:bCs/>
          <w:kern w:val="0"/>
          <w:sz w:val="32"/>
          <w:szCs w:val="32"/>
          <w:lang w:val="en-US" w:eastAsia="zh-CN"/>
        </w:rPr>
        <w:t>1.因公出国（境）经费支出</w:t>
      </w:r>
      <w:r>
        <w:rPr>
          <w:rFonts w:hint="eastAsia" w:ascii="仿宋_GB2312" w:hAnsi="仿宋_GB2312" w:eastAsia="仿宋_GB2312" w:cs="仿宋_GB2312"/>
          <w:b/>
          <w:bCs/>
          <w:kern w:val="0"/>
          <w:sz w:val="32"/>
          <w:szCs w:val="32"/>
          <w:lang w:val="en-US" w:eastAsia="zh-CN"/>
        </w:rPr>
        <w:t>0</w:t>
      </w:r>
      <w:r>
        <w:rPr>
          <w:rFonts w:hint="eastAsia" w:ascii="Nimbus Roman" w:hAnsi="Nimbus Roman" w:eastAsia="方正仿宋_GBK" w:cs="Nimbus Roman"/>
          <w:b/>
          <w:bCs/>
          <w:kern w:val="0"/>
          <w:sz w:val="32"/>
          <w:szCs w:val="32"/>
          <w:lang w:val="en-US" w:eastAsia="zh-CN"/>
        </w:rPr>
        <w:t>万元，</w:t>
      </w:r>
      <w:r>
        <w:rPr>
          <w:rFonts w:hint="eastAsia" w:ascii="Nimbus Roman" w:hAnsi="Nimbus Roman" w:eastAsia="方正仿宋_GBK" w:cs="Nimbus Roman"/>
          <w:b w:val="0"/>
          <w:bCs w:val="0"/>
          <w:kern w:val="0"/>
          <w:sz w:val="32"/>
          <w:szCs w:val="32"/>
          <w:lang w:val="en-US" w:eastAsia="zh-CN"/>
        </w:rPr>
        <w:t>完成预算100%</w:t>
      </w:r>
      <w:r>
        <w:rPr>
          <w:rFonts w:hint="eastAsia" w:ascii="Nimbus Roman" w:hAnsi="Nimbus Roman" w:eastAsia="方正仿宋_GBK" w:cs="Nimbus Roman"/>
          <w:b/>
          <w:bCs/>
          <w:kern w:val="0"/>
          <w:sz w:val="32"/>
          <w:szCs w:val="32"/>
          <w:lang w:val="en-US" w:eastAsia="zh-CN"/>
        </w:rPr>
        <w:t>。</w:t>
      </w:r>
      <w:r>
        <w:rPr>
          <w:rFonts w:hint="eastAsia" w:ascii="仿宋_GB2312" w:hAnsi="仿宋_GB2312" w:eastAsia="仿宋_GB2312" w:cs="仿宋_GB2312"/>
          <w:b w:val="0"/>
          <w:bCs w:val="0"/>
          <w:kern w:val="0"/>
          <w:sz w:val="32"/>
          <w:szCs w:val="32"/>
          <w:lang w:val="en-US" w:eastAsia="zh-CN"/>
        </w:rPr>
        <w:t>全年安排因公出国（境）团组0次，出国（境）0人。与2024年度相比无变化。</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Nimbus Roman" w:hAnsi="Nimbus Roman" w:eastAsia="方正仿宋_GBK" w:cs="Nimbus Roman"/>
          <w:b/>
          <w:bCs/>
          <w:kern w:val="0"/>
          <w:sz w:val="32"/>
          <w:szCs w:val="32"/>
          <w:lang w:val="en-US" w:eastAsia="zh-CN"/>
        </w:rPr>
        <w:t>2.公务用车购置及运行维护费支出</w:t>
      </w:r>
      <w:r>
        <w:rPr>
          <w:rFonts w:hint="eastAsia" w:ascii="仿宋_GB2312" w:hAnsi="仿宋_GB2312" w:eastAsia="仿宋_GB2312" w:cs="仿宋_GB2312"/>
          <w:b/>
          <w:bCs/>
          <w:kern w:val="0"/>
          <w:sz w:val="32"/>
          <w:szCs w:val="32"/>
          <w:lang w:val="en-US" w:eastAsia="zh-CN"/>
        </w:rPr>
        <w:t>0</w:t>
      </w:r>
      <w:r>
        <w:rPr>
          <w:rFonts w:hint="eastAsia" w:ascii="Nimbus Roman" w:hAnsi="Nimbus Roman" w:eastAsia="方正仿宋_GBK" w:cs="Nimbus Roman"/>
          <w:b/>
          <w:bCs/>
          <w:kern w:val="0"/>
          <w:sz w:val="32"/>
          <w:szCs w:val="32"/>
          <w:lang w:val="en-US" w:eastAsia="zh-CN"/>
        </w:rPr>
        <w:t>万元。</w:t>
      </w:r>
      <w:r>
        <w:rPr>
          <w:rFonts w:hint="eastAsia" w:ascii="仿宋_GB2312" w:hAnsi="仿宋_GB2312" w:eastAsia="仿宋_GB2312" w:cs="仿宋_GB2312"/>
          <w:b w:val="0"/>
          <w:bCs w:val="0"/>
          <w:kern w:val="0"/>
          <w:sz w:val="32"/>
          <w:szCs w:val="32"/>
          <w:lang w:val="en-US" w:eastAsia="zh-CN"/>
        </w:rPr>
        <w:t>公务用车购置及运行维护费支出决算与2024年度相比无变化。</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截至2025年12月31日，单位共有公务用车0辆，其中：轿车0辆、越野车0辆、载客汽车0辆。</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公务用车运行维护费支出0万元。</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Nimbus Roman" w:hAnsi="Nimbus Roman" w:eastAsia="方正仿宋_GBK" w:cs="Nimbus Roman"/>
          <w:b/>
          <w:bCs/>
          <w:kern w:val="0"/>
          <w:sz w:val="32"/>
          <w:szCs w:val="32"/>
          <w:lang w:val="en-US" w:eastAsia="zh-CN"/>
        </w:rPr>
        <w:t>3.公务接待费支出</w:t>
      </w:r>
      <w:r>
        <w:rPr>
          <w:rFonts w:hint="eastAsia" w:ascii="仿宋_GB2312" w:hAnsi="仿宋_GB2312" w:eastAsia="仿宋_GB2312" w:cs="仿宋_GB2312"/>
          <w:b/>
          <w:bCs/>
          <w:kern w:val="0"/>
          <w:sz w:val="32"/>
          <w:szCs w:val="32"/>
          <w:lang w:val="en-US" w:eastAsia="zh-CN"/>
        </w:rPr>
        <w:t>0</w:t>
      </w:r>
      <w:r>
        <w:rPr>
          <w:rFonts w:hint="eastAsia" w:ascii="Nimbus Roman" w:hAnsi="Nimbus Roman" w:eastAsia="方正仿宋_GBK" w:cs="Nimbus Roman"/>
          <w:b/>
          <w:bCs/>
          <w:kern w:val="0"/>
          <w:sz w:val="32"/>
          <w:szCs w:val="32"/>
          <w:lang w:val="en-US" w:eastAsia="zh-CN"/>
        </w:rPr>
        <w:t>万元，</w:t>
      </w:r>
      <w:r>
        <w:rPr>
          <w:rFonts w:hint="eastAsia" w:ascii="Nimbus Roman" w:hAnsi="Nimbus Roman" w:eastAsia="方正仿宋_GBK" w:cs="Nimbus Roman"/>
          <w:b w:val="0"/>
          <w:bCs w:val="0"/>
          <w:kern w:val="0"/>
          <w:sz w:val="32"/>
          <w:szCs w:val="32"/>
          <w:lang w:val="en-US" w:eastAsia="zh-CN"/>
        </w:rPr>
        <w:t>完成预算100</w:t>
      </w:r>
      <w:r>
        <w:rPr>
          <w:rFonts w:hint="eastAsia" w:ascii="仿宋_GB2312" w:hAnsi="仿宋_GB2312" w:eastAsia="仿宋_GB2312" w:cs="仿宋_GB2312"/>
          <w:b w:val="0"/>
          <w:bCs w:val="0"/>
          <w:kern w:val="0"/>
          <w:sz w:val="32"/>
          <w:szCs w:val="32"/>
          <w:lang w:val="en-US" w:eastAsia="zh-CN"/>
        </w:rPr>
        <w:t>%</w:t>
      </w:r>
      <w:r>
        <w:rPr>
          <w:rFonts w:hint="eastAsia" w:ascii="Nimbus Roman" w:hAnsi="Nimbus Roman" w:eastAsia="方正仿宋_GBK" w:cs="Nimbus Roman"/>
          <w:b/>
          <w:bCs/>
          <w:kern w:val="0"/>
          <w:sz w:val="32"/>
          <w:szCs w:val="32"/>
          <w:lang w:val="en-US" w:eastAsia="zh-CN"/>
        </w:rPr>
        <w:t>。</w:t>
      </w:r>
      <w:r>
        <w:rPr>
          <w:rFonts w:hint="eastAsia" w:ascii="仿宋_GB2312" w:hAnsi="仿宋_GB2312" w:eastAsia="仿宋_GB2312" w:cs="仿宋_GB2312"/>
          <w:b w:val="0"/>
          <w:bCs w:val="0"/>
          <w:kern w:val="0"/>
          <w:sz w:val="32"/>
          <w:szCs w:val="32"/>
          <w:lang w:val="en-US" w:eastAsia="zh-CN"/>
        </w:rPr>
        <w:t>公务接待费支出决算与2024年度相比无变化。其中：</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国内公务接待支出0万元，国内公务接待0批次，0人次。</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外事接待支出0万元。外事接待0批次，0人次。</w:t>
      </w:r>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rPr>
      </w:pPr>
      <w:bookmarkStart w:id="66" w:name="_Toc31386"/>
      <w:bookmarkStart w:id="67" w:name="_Toc9979"/>
      <w:bookmarkStart w:id="68" w:name="_Toc111208506"/>
      <w:bookmarkStart w:id="69" w:name="_Toc15377218"/>
      <w:r>
        <w:rPr>
          <w:rFonts w:hint="eastAsia" w:ascii="方正黑体_GBK" w:hAnsi="方正黑体_GBK" w:eastAsia="方正黑体_GBK" w:cs="方正黑体_GBK"/>
          <w:b w:val="0"/>
          <w:color w:val="000000"/>
        </w:rPr>
        <w:t>八、政府性基金预算支出决算情况说明</w:t>
      </w:r>
      <w:bookmarkEnd w:id="66"/>
      <w:bookmarkEnd w:id="67"/>
      <w:bookmarkEnd w:id="68"/>
      <w:bookmarkEnd w:id="69"/>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color w:val="000000"/>
          <w:kern w:val="2"/>
          <w:sz w:val="32"/>
          <w:szCs w:val="32"/>
          <w:lang w:val="en-US" w:eastAsia="zh-CN" w:bidi="ar-SA"/>
        </w:rPr>
      </w:pPr>
      <w:r>
        <w:rPr>
          <w:rFonts w:hint="eastAsia" w:ascii="仿宋_GB2312" w:hAnsi="仿宋_GB2312" w:eastAsia="仿宋_GB2312" w:cs="仿宋_GB2312"/>
          <w:b w:val="0"/>
          <w:bCs w:val="0"/>
          <w:kern w:val="0"/>
          <w:sz w:val="32"/>
          <w:szCs w:val="32"/>
          <w:lang w:val="en-US" w:eastAsia="zh-CN"/>
        </w:rPr>
        <w:t>2025年度政府性基金预算拨款支出0万元。</w:t>
      </w:r>
      <w:bookmarkStart w:id="70" w:name="_Toc15377219"/>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rPr>
      </w:pPr>
      <w:bookmarkStart w:id="71" w:name="_Toc12233"/>
      <w:bookmarkStart w:id="72" w:name="_Toc111208507"/>
      <w:bookmarkStart w:id="73" w:name="_Toc19072"/>
      <w:r>
        <w:rPr>
          <w:rFonts w:hint="eastAsia" w:ascii="方正黑体_GBK" w:hAnsi="方正黑体_GBK" w:eastAsia="方正黑体_GBK" w:cs="方正黑体_GBK"/>
          <w:b w:val="0"/>
          <w:color w:val="000000"/>
        </w:rPr>
        <w:t>九、国有资本经营预算支出决算情况说明</w:t>
      </w:r>
      <w:bookmarkEnd w:id="70"/>
      <w:bookmarkEnd w:id="71"/>
      <w:bookmarkEnd w:id="72"/>
      <w:bookmarkEnd w:id="73"/>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Nimbus Roman" w:hAnsi="Nimbus Roman" w:eastAsia="方正仿宋_GBK" w:cs="Nimbus Roman"/>
          <w:b/>
          <w:bCs/>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2025年度国有资本经营预算拨款支出0万元。</w:t>
      </w:r>
    </w:p>
    <w:p>
      <w:pPr>
        <w:pStyle w:val="4"/>
        <w:pageBreakBefore w:val="0"/>
        <w:kinsoku/>
        <w:wordWrap/>
        <w:overflowPunct/>
        <w:topLinePunct w:val="0"/>
        <w:autoSpaceDE/>
        <w:autoSpaceDN/>
        <w:bidi w:val="0"/>
        <w:spacing w:before="0" w:after="0" w:line="576" w:lineRule="exact"/>
        <w:ind w:firstLine="640" w:firstLineChars="200"/>
        <w:textAlignment w:val="auto"/>
        <w:rPr>
          <w:rFonts w:hint="eastAsia" w:ascii="方正黑体_GBK" w:hAnsi="方正黑体_GBK" w:eastAsia="方正黑体_GBK" w:cs="方正黑体_GBK"/>
          <w:b w:val="0"/>
          <w:color w:val="000000"/>
        </w:rPr>
      </w:pPr>
      <w:bookmarkStart w:id="74" w:name="_Toc15377221"/>
      <w:bookmarkStart w:id="75" w:name="_Toc24656"/>
      <w:bookmarkStart w:id="76" w:name="_Toc111208508"/>
      <w:bookmarkStart w:id="77" w:name="_Toc23620"/>
      <w:r>
        <w:rPr>
          <w:rFonts w:hint="eastAsia" w:ascii="方正黑体_GBK" w:hAnsi="方正黑体_GBK" w:eastAsia="方正黑体_GBK" w:cs="方正黑体_GBK"/>
          <w:b w:val="0"/>
          <w:color w:val="000000"/>
        </w:rPr>
        <w:t>十、其他重要事项的情况说明</w:t>
      </w:r>
      <w:bookmarkEnd w:id="74"/>
      <w:bookmarkEnd w:id="75"/>
      <w:bookmarkEnd w:id="76"/>
      <w:bookmarkEnd w:id="77"/>
    </w:p>
    <w:p>
      <w:pPr>
        <w:pageBreakBefore w:val="0"/>
        <w:kinsoku/>
        <w:wordWrap/>
        <w:overflowPunct/>
        <w:topLinePunct w:val="0"/>
        <w:bidi w:val="0"/>
        <w:spacing w:beforeAutospacing="0" w:afterAutospacing="0" w:line="576" w:lineRule="exact"/>
        <w:ind w:leftChars="0" w:firstLine="642" w:firstLineChars="200"/>
        <w:textAlignment w:val="auto"/>
        <w:outlineLvl w:val="2"/>
        <w:rPr>
          <w:rFonts w:hint="eastAsia" w:ascii="方正楷体_GBK" w:hAnsi="方正楷体_GBK" w:eastAsia="方正楷体_GBK" w:cs="方正楷体_GBK"/>
          <w:b/>
          <w:bCs w:val="0"/>
          <w:color w:val="000000"/>
          <w:sz w:val="32"/>
          <w:szCs w:val="32"/>
        </w:rPr>
      </w:pPr>
      <w:bookmarkStart w:id="78" w:name="_Toc12140"/>
      <w:bookmarkStart w:id="79" w:name="_Toc15377222"/>
      <w:r>
        <w:rPr>
          <w:rFonts w:hint="eastAsia" w:ascii="方正楷体_GBK" w:hAnsi="方正楷体_GBK" w:eastAsia="方正楷体_GBK" w:cs="方正楷体_GBK"/>
          <w:b/>
          <w:bCs w:val="0"/>
          <w:color w:val="000000"/>
          <w:sz w:val="32"/>
          <w:szCs w:val="32"/>
        </w:rPr>
        <w:t>（一）机关运行经费支出情况</w:t>
      </w:r>
      <w:bookmarkEnd w:id="78"/>
      <w:bookmarkEnd w:id="79"/>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2025年度，茂县地情资料收集整理中心机关运行经费支出0.98万元，与2024年度相比增加0.29万元，增长42%，主要原因是：增加了其他商品和服务支出。 </w:t>
      </w:r>
    </w:p>
    <w:p>
      <w:pPr>
        <w:pageBreakBefore w:val="0"/>
        <w:kinsoku/>
        <w:wordWrap/>
        <w:overflowPunct/>
        <w:topLinePunct w:val="0"/>
        <w:bidi w:val="0"/>
        <w:spacing w:beforeAutospacing="0" w:afterAutospacing="0" w:line="576" w:lineRule="exact"/>
        <w:ind w:leftChars="0" w:firstLine="642" w:firstLineChars="200"/>
        <w:textAlignment w:val="auto"/>
        <w:outlineLvl w:val="2"/>
        <w:rPr>
          <w:rFonts w:hint="eastAsia" w:ascii="方正楷体_GBK" w:hAnsi="方正楷体_GBK" w:eastAsia="方正楷体_GBK" w:cs="方正楷体_GBK"/>
          <w:b/>
          <w:bCs w:val="0"/>
          <w:color w:val="000000"/>
          <w:sz w:val="32"/>
          <w:szCs w:val="32"/>
        </w:rPr>
      </w:pPr>
      <w:bookmarkStart w:id="80" w:name="_Toc13849"/>
      <w:bookmarkStart w:id="81" w:name="_Toc15377223"/>
      <w:r>
        <w:rPr>
          <w:rFonts w:hint="eastAsia" w:ascii="方正楷体_GBK" w:hAnsi="方正楷体_GBK" w:eastAsia="方正楷体_GBK" w:cs="方正楷体_GBK"/>
          <w:b/>
          <w:bCs w:val="0"/>
          <w:color w:val="000000"/>
          <w:sz w:val="32"/>
          <w:szCs w:val="32"/>
        </w:rPr>
        <w:t>（二）政府采购支出情况</w:t>
      </w:r>
      <w:bookmarkEnd w:id="80"/>
      <w:bookmarkEnd w:id="81"/>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2025年度，茂县地情资料收集整理中心政府采购支出总额0万元。</w:t>
      </w:r>
    </w:p>
    <w:p>
      <w:pPr>
        <w:pageBreakBefore w:val="0"/>
        <w:kinsoku/>
        <w:wordWrap/>
        <w:overflowPunct/>
        <w:topLinePunct w:val="0"/>
        <w:bidi w:val="0"/>
        <w:spacing w:beforeAutospacing="0" w:afterAutospacing="0" w:line="576" w:lineRule="exact"/>
        <w:ind w:leftChars="0" w:firstLine="642" w:firstLineChars="200"/>
        <w:textAlignment w:val="auto"/>
        <w:outlineLvl w:val="2"/>
        <w:rPr>
          <w:rFonts w:hint="eastAsia" w:ascii="方正楷体_GBK" w:hAnsi="方正楷体_GBK" w:eastAsia="方正楷体_GBK" w:cs="方正楷体_GBK"/>
          <w:b/>
          <w:bCs w:val="0"/>
          <w:color w:val="000000"/>
          <w:sz w:val="32"/>
          <w:szCs w:val="32"/>
        </w:rPr>
      </w:pPr>
      <w:bookmarkStart w:id="82" w:name="_Toc17369"/>
      <w:bookmarkStart w:id="83" w:name="_Toc15377224"/>
      <w:r>
        <w:rPr>
          <w:rFonts w:hint="eastAsia" w:ascii="方正楷体_GBK" w:hAnsi="方正楷体_GBK" w:eastAsia="方正楷体_GBK" w:cs="方正楷体_GBK"/>
          <w:b/>
          <w:bCs w:val="0"/>
          <w:color w:val="000000"/>
          <w:sz w:val="32"/>
          <w:szCs w:val="32"/>
          <w:lang w:eastAsia="zh-CN"/>
        </w:rPr>
        <w:t>（三）</w:t>
      </w:r>
      <w:r>
        <w:rPr>
          <w:rFonts w:hint="eastAsia" w:ascii="方正楷体_GBK" w:hAnsi="方正楷体_GBK" w:eastAsia="方正楷体_GBK" w:cs="方正楷体_GBK"/>
          <w:b/>
          <w:bCs w:val="0"/>
          <w:color w:val="000000"/>
          <w:sz w:val="32"/>
          <w:szCs w:val="32"/>
        </w:rPr>
        <w:t>国有资产占有使用情况</w:t>
      </w:r>
      <w:bookmarkEnd w:id="82"/>
      <w:bookmarkEnd w:id="83"/>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截至2025年12月31日，茂县地情资料收集整理中心共有车辆0辆。</w:t>
      </w:r>
    </w:p>
    <w:p>
      <w:pPr>
        <w:pageBreakBefore w:val="0"/>
        <w:kinsoku/>
        <w:wordWrap/>
        <w:overflowPunct/>
        <w:topLinePunct w:val="0"/>
        <w:bidi w:val="0"/>
        <w:spacing w:beforeAutospacing="0" w:afterAutospacing="0" w:line="576" w:lineRule="exact"/>
        <w:ind w:leftChars="0" w:firstLine="642" w:firstLineChars="200"/>
        <w:textAlignment w:val="auto"/>
        <w:outlineLvl w:val="2"/>
        <w:rPr>
          <w:rFonts w:hint="eastAsia" w:ascii="方正楷体_GBK" w:hAnsi="方正楷体_GBK" w:eastAsia="方正楷体_GBK" w:cs="方正楷体_GBK"/>
          <w:b/>
          <w:bCs w:val="0"/>
          <w:color w:val="000000"/>
          <w:sz w:val="32"/>
          <w:szCs w:val="32"/>
        </w:rPr>
      </w:pPr>
      <w:bookmarkStart w:id="84" w:name="_Toc3762"/>
      <w:r>
        <w:rPr>
          <w:rFonts w:hint="eastAsia" w:ascii="方正楷体_GBK" w:hAnsi="方正楷体_GBK" w:eastAsia="方正楷体_GBK" w:cs="方正楷体_GBK"/>
          <w:b/>
          <w:bCs w:val="0"/>
          <w:color w:val="000000"/>
          <w:sz w:val="32"/>
          <w:szCs w:val="32"/>
          <w:lang w:eastAsia="zh-CN"/>
        </w:rPr>
        <w:t>（四）</w:t>
      </w:r>
      <w:r>
        <w:rPr>
          <w:rFonts w:hint="eastAsia" w:ascii="方正楷体_GBK" w:hAnsi="方正楷体_GBK" w:eastAsia="方正楷体_GBK" w:cs="方正楷体_GBK"/>
          <w:b/>
          <w:bCs w:val="0"/>
          <w:color w:val="000000"/>
          <w:sz w:val="32"/>
          <w:szCs w:val="32"/>
        </w:rPr>
        <w:t>预算绩效管理情况</w:t>
      </w:r>
      <w:bookmarkEnd w:id="84"/>
      <w:bookmarkStart w:id="85" w:name="_Toc1419"/>
      <w:bookmarkStart w:id="86" w:name="_Toc2930"/>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根据预算绩效管理要求，茂县地情资料收集整理中心在2025年度预算编制阶段组织对一般公共预算项目开展了预算事前绩效评估，并编制了绩效目标，预算执行过程中开展绩效监控，形成单位整体绩效评价报告。整体支出绩效评价自查自评结果良好，自评得分90分。</w:t>
      </w:r>
    </w:p>
    <w:p>
      <w:pPr>
        <w:pageBreakBefore w:val="0"/>
        <w:numPr>
          <w:ilvl w:val="0"/>
          <w:numId w:val="0"/>
        </w:numPr>
        <w:kinsoku/>
        <w:wordWrap/>
        <w:overflowPunct/>
        <w:topLinePunct w:val="0"/>
        <w:bidi w:val="0"/>
        <w:spacing w:beforeAutospacing="0" w:afterAutospacing="0" w:line="576" w:lineRule="exact"/>
        <w:ind w:firstLine="640" w:firstLineChars="200"/>
        <w:textAlignment w:val="auto"/>
        <w:outlineLvl w:val="2"/>
        <w:rPr>
          <w:rFonts w:hint="eastAsia" w:ascii="仿宋_GB2312" w:hAnsi="仿宋_GB2312" w:eastAsia="仿宋_GB2312" w:cs="仿宋_GB2312"/>
          <w:b w:val="0"/>
          <w:bCs w:val="0"/>
          <w:sz w:val="32"/>
          <w:szCs w:val="32"/>
        </w:rPr>
      </w:pPr>
    </w:p>
    <w:p>
      <w:pPr>
        <w:pageBreakBefore w:val="0"/>
        <w:numPr>
          <w:ilvl w:val="0"/>
          <w:numId w:val="0"/>
        </w:numPr>
        <w:kinsoku/>
        <w:wordWrap/>
        <w:overflowPunct/>
        <w:topLinePunct w:val="0"/>
        <w:bidi w:val="0"/>
        <w:spacing w:beforeAutospacing="0" w:afterAutospacing="0" w:line="576" w:lineRule="exact"/>
        <w:ind w:firstLine="640" w:firstLineChars="200"/>
        <w:textAlignment w:val="auto"/>
        <w:outlineLvl w:val="2"/>
        <w:rPr>
          <w:rFonts w:hint="eastAsia" w:ascii="仿宋_GB2312" w:hAnsi="仿宋_GB2312" w:eastAsia="仿宋_GB2312" w:cs="仿宋_GB2312"/>
          <w:b w:val="0"/>
          <w:bCs w:val="0"/>
          <w:sz w:val="32"/>
          <w:szCs w:val="32"/>
        </w:rPr>
      </w:pPr>
    </w:p>
    <w:p>
      <w:pPr>
        <w:pageBreakBefore w:val="0"/>
        <w:numPr>
          <w:ilvl w:val="0"/>
          <w:numId w:val="0"/>
        </w:numPr>
        <w:kinsoku/>
        <w:wordWrap/>
        <w:overflowPunct/>
        <w:topLinePunct w:val="0"/>
        <w:bidi w:val="0"/>
        <w:spacing w:beforeAutospacing="0" w:afterAutospacing="0" w:line="576" w:lineRule="exact"/>
        <w:ind w:firstLine="640" w:firstLineChars="200"/>
        <w:textAlignment w:val="auto"/>
        <w:outlineLvl w:val="2"/>
        <w:rPr>
          <w:rFonts w:hint="eastAsia" w:ascii="仿宋_GB2312" w:hAnsi="仿宋_GB2312" w:eastAsia="仿宋_GB2312" w:cs="仿宋_GB2312"/>
          <w:b w:val="0"/>
          <w:bCs w:val="0"/>
          <w:sz w:val="32"/>
          <w:szCs w:val="32"/>
        </w:rPr>
      </w:pPr>
    </w:p>
    <w:p>
      <w:pPr>
        <w:ind w:firstLine="2200" w:firstLineChars="500"/>
        <w:jc w:val="both"/>
        <w:rPr>
          <w:rFonts w:hint="eastAsia" w:ascii="黑体" w:hAnsi="黑体" w:eastAsia="黑体" w:cs="黑体"/>
          <w:sz w:val="44"/>
          <w:szCs w:val="44"/>
        </w:rPr>
      </w:pPr>
    </w:p>
    <w:p>
      <w:pPr>
        <w:ind w:firstLine="2200" w:firstLineChars="500"/>
        <w:jc w:val="both"/>
        <w:rPr>
          <w:rFonts w:hint="eastAsia" w:ascii="黑体" w:hAnsi="黑体" w:eastAsia="黑体" w:cs="黑体"/>
          <w:sz w:val="44"/>
          <w:szCs w:val="44"/>
        </w:rPr>
      </w:pPr>
    </w:p>
    <w:p>
      <w:pPr>
        <w:ind w:firstLine="2200" w:firstLineChars="500"/>
        <w:jc w:val="both"/>
        <w:rPr>
          <w:rFonts w:hint="eastAsia" w:ascii="黑体" w:hAnsi="黑体" w:eastAsia="黑体" w:cs="黑体"/>
          <w:sz w:val="44"/>
          <w:szCs w:val="44"/>
        </w:rPr>
      </w:pPr>
    </w:p>
    <w:p>
      <w:pPr>
        <w:ind w:firstLine="2200" w:firstLineChars="500"/>
        <w:jc w:val="both"/>
        <w:rPr>
          <w:rFonts w:hint="eastAsia" w:ascii="黑体" w:hAnsi="黑体" w:eastAsia="黑体" w:cs="黑体"/>
          <w:sz w:val="44"/>
          <w:szCs w:val="44"/>
        </w:rPr>
      </w:pPr>
    </w:p>
    <w:p>
      <w:pPr>
        <w:ind w:firstLine="2200" w:firstLineChars="500"/>
        <w:jc w:val="both"/>
        <w:rPr>
          <w:rFonts w:hint="eastAsia" w:ascii="黑体" w:hAnsi="黑体" w:eastAsia="黑体" w:cs="黑体"/>
          <w:sz w:val="44"/>
          <w:szCs w:val="44"/>
        </w:rPr>
      </w:pPr>
    </w:p>
    <w:p>
      <w:pPr>
        <w:ind w:firstLine="2200" w:firstLineChars="500"/>
        <w:jc w:val="both"/>
        <w:rPr>
          <w:rFonts w:hint="eastAsia" w:ascii="黑体" w:hAnsi="黑体" w:eastAsia="黑体" w:cs="黑体"/>
          <w:sz w:val="44"/>
          <w:szCs w:val="44"/>
        </w:rPr>
      </w:pPr>
    </w:p>
    <w:p>
      <w:pPr>
        <w:ind w:firstLine="2200" w:firstLineChars="500"/>
        <w:jc w:val="both"/>
        <w:rPr>
          <w:rFonts w:hint="eastAsia" w:ascii="黑体" w:hAnsi="黑体" w:eastAsia="黑体" w:cs="黑体"/>
          <w:sz w:val="44"/>
          <w:szCs w:val="44"/>
        </w:rPr>
      </w:pPr>
    </w:p>
    <w:p>
      <w:pPr>
        <w:ind w:firstLine="2200" w:firstLineChars="500"/>
        <w:jc w:val="both"/>
        <w:rPr>
          <w:rFonts w:hint="eastAsia" w:ascii="黑体" w:hAnsi="黑体" w:eastAsia="黑体" w:cs="黑体"/>
          <w:sz w:val="44"/>
          <w:szCs w:val="44"/>
        </w:rPr>
      </w:pPr>
    </w:p>
    <w:p>
      <w:pPr>
        <w:ind w:firstLine="2200" w:firstLineChars="500"/>
        <w:jc w:val="both"/>
        <w:rPr>
          <w:rFonts w:hint="eastAsia" w:ascii="黑体" w:hAnsi="黑体" w:eastAsia="黑体" w:cs="黑体"/>
          <w:sz w:val="44"/>
          <w:szCs w:val="44"/>
        </w:rPr>
      </w:pPr>
    </w:p>
    <w:p>
      <w:pPr>
        <w:ind w:firstLine="2200" w:firstLineChars="500"/>
        <w:jc w:val="both"/>
        <w:rPr>
          <w:rFonts w:hint="eastAsia" w:ascii="黑体" w:hAnsi="黑体" w:eastAsia="黑体" w:cs="黑体"/>
          <w:sz w:val="44"/>
          <w:szCs w:val="44"/>
        </w:rPr>
      </w:pPr>
    </w:p>
    <w:p>
      <w:pPr>
        <w:ind w:firstLine="2200" w:firstLineChars="500"/>
        <w:jc w:val="both"/>
        <w:rPr>
          <w:rFonts w:hint="eastAsia" w:ascii="仿宋_GB2312" w:hAnsi="仿宋_GB2312" w:eastAsia="仿宋_GB2312" w:cs="仿宋_GB2312"/>
          <w:color w:val="000000"/>
          <w:sz w:val="32"/>
          <w:szCs w:val="32"/>
        </w:rPr>
      </w:pPr>
      <w:r>
        <w:rPr>
          <w:rFonts w:hint="eastAsia" w:ascii="黑体" w:hAnsi="黑体" w:eastAsia="黑体" w:cs="黑体"/>
          <w:sz w:val="44"/>
          <w:szCs w:val="44"/>
        </w:rPr>
        <w:t>第三部分 名词解释</w:t>
      </w:r>
      <w:bookmarkEnd w:id="85"/>
      <w:bookmarkEnd w:id="86"/>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1.财政拨款收入：指单位从同级财政部门取得的财政预算资金。</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2.事业收入：指事业单位开展专业业务活动及辅助活动取得的收入。</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3.经营收入：指事业单位在专业业务活动及其辅助活动之外开展非独立核算经营活动取得的收入。</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4.其他收入：指单位取得的除上述收入以外的各项收入。 </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5.使用非财政拨款结余：指事业单位使用以前年度积累的非财政拨款结余弥补当年收支差额的金额。 </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6.年初结转和结余：指以前年度尚未完成、结转到本年按有关规定继续使用的资金。 </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7.结余分配：指事业单位按照会计制度规定缴纳的所得税、提取的专用结余以及转入非财政拨款结余的金额等。</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8.年末结转和结余：指单位按有关规定结转到下年或以后年度继续使用的资金。</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9.科学技术（类）科技条件与服务（款）其他科技条件与服务（项）：指反映其他用于科技条件与服务方面的支出。</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10.社会保障和就业（类）行政事业单位离退休（款）机关事业单位基本养老保险缴费支出（项）：指反映机关事业单位实施养老保险制度由单位缴纳的基本养老保险费支出。</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11.社会保障和就业（类）行政事业单位离退休（款）机关事业单位职业年金缴费支出（项）：指反映机关事业单位实施养老保险制度由单位缴纳的职业年金支出。</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12.医疗卫生与计划生育（类）行政事业单位医疗（款）行政单位医疗（项）：指反映财政部门集中安排的行政单位基本医疗保险缴费经费。</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13.住房保障（类）住房改革（款）住房公积金（项）：指反映行政事业单位按人力资源和社会保障部、财政部规定的基本工资和津贴补贴以及规定比例为职工缴纳的住房公积金。</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14.住房保障（类）住房改革（款）购房补贴（项）：指反映行政事业单位按人力资源和社会保障部、财政部规定的基本工资和津贴补贴以及规定比例为职工支出的购房补贴。</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15.农林水支出（类）扶贫（款）社会发展支出（项）：指反映用于农村贫困地区中小学教育、文化、广播、电视、医疗、卫生等方面的项目支出。</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16.基本支出：指为保障机构正常运转、完成日常工作任务而发生的人员支出和公用支出。</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17.项目支出：指在基本支出之外为完成特定行政任务和事业发展目标所发生的支出。 </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18.经营支出：指事业单位在专业业务活动及其辅助活动之外开展非独立核算经营活动发生的支出。</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firstLine="642" w:firstLineChars="200"/>
        <w:jc w:val="both"/>
        <w:textAlignment w:val="auto"/>
        <w:rPr>
          <w:rFonts w:hint="eastAsia" w:ascii="Nimbus Roman" w:hAnsi="Nimbus Roman" w:eastAsia="方正仿宋_GBK" w:cs="Nimbus Roman"/>
          <w:b/>
          <w:bCs/>
          <w:kern w:val="0"/>
          <w:sz w:val="32"/>
          <w:szCs w:val="32"/>
          <w:lang w:val="en-US" w:eastAsia="zh-CN"/>
        </w:rPr>
      </w:pPr>
      <w:bookmarkStart w:id="87" w:name="_Toc15177"/>
      <w:bookmarkStart w:id="88" w:name="_Toc19088"/>
      <w:bookmarkStart w:id="89" w:name="_Toc7978"/>
      <w:bookmarkStart w:id="90" w:name="_Toc111208510"/>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center"/>
        <w:textAlignment w:val="auto"/>
        <w:outlineLvl w:val="0"/>
        <w:rPr>
          <w:rFonts w:hint="eastAsia" w:ascii="CESI仿宋-GB2312" w:hAnsi="CESI仿宋-GB2312" w:eastAsia="CESI仿宋-GB2312" w:cs="CESI仿宋-GB2312"/>
          <w:color w:val="000000"/>
          <w:kern w:val="2"/>
          <w:sz w:val="44"/>
          <w:szCs w:val="44"/>
          <w:lang w:val="en-US" w:eastAsia="zh-CN" w:bidi="ar-SA"/>
        </w:rPr>
      </w:pP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center"/>
        <w:textAlignment w:val="auto"/>
        <w:outlineLvl w:val="0"/>
        <w:rPr>
          <w:rFonts w:hint="eastAsia" w:ascii="CESI仿宋-GB2312" w:hAnsi="CESI仿宋-GB2312" w:eastAsia="CESI仿宋-GB2312" w:cs="CESI仿宋-GB2312"/>
          <w:color w:val="000000"/>
          <w:kern w:val="2"/>
          <w:sz w:val="44"/>
          <w:szCs w:val="44"/>
          <w:lang w:val="en-US" w:eastAsia="zh-CN" w:bidi="ar-SA"/>
        </w:rPr>
      </w:pP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both"/>
        <w:textAlignment w:val="auto"/>
        <w:outlineLvl w:val="0"/>
        <w:rPr>
          <w:rFonts w:hint="eastAsia" w:ascii="黑体" w:hAnsi="Times New Roman" w:eastAsia="黑体" w:cs="Times New Roman"/>
          <w:color w:val="000000"/>
          <w:kern w:val="2"/>
          <w:sz w:val="44"/>
          <w:szCs w:val="44"/>
          <w:lang w:val="en-US" w:eastAsia="zh-CN" w:bidi="ar-SA"/>
        </w:rPr>
      </w:pPr>
      <w:bookmarkStart w:id="91" w:name="_Toc16323"/>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both"/>
        <w:textAlignment w:val="auto"/>
        <w:outlineLvl w:val="0"/>
        <w:rPr>
          <w:rFonts w:hint="eastAsia" w:ascii="方正小标宋简体" w:hAnsi="方正小标宋简体" w:eastAsia="方正小标宋简体" w:cs="方正小标宋简体"/>
          <w:color w:val="000000"/>
          <w:kern w:val="2"/>
          <w:sz w:val="44"/>
          <w:szCs w:val="44"/>
          <w:lang w:val="en-US" w:eastAsia="zh-CN" w:bidi="ar-SA"/>
        </w:rPr>
      </w:pP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both"/>
        <w:textAlignment w:val="auto"/>
        <w:outlineLvl w:val="0"/>
        <w:rPr>
          <w:rFonts w:hint="eastAsia" w:ascii="方正小标宋简体" w:hAnsi="方正小标宋简体" w:eastAsia="方正小标宋简体" w:cs="方正小标宋简体"/>
          <w:color w:val="000000"/>
          <w:kern w:val="2"/>
          <w:sz w:val="44"/>
          <w:szCs w:val="44"/>
          <w:lang w:val="en-US" w:eastAsia="zh-CN" w:bidi="ar-SA"/>
        </w:rPr>
      </w:pP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both"/>
        <w:textAlignment w:val="auto"/>
        <w:outlineLvl w:val="0"/>
        <w:rPr>
          <w:rFonts w:hint="eastAsia" w:ascii="方正小标宋简体" w:hAnsi="方正小标宋简体" w:eastAsia="方正小标宋简体" w:cs="方正小标宋简体"/>
          <w:color w:val="000000"/>
          <w:kern w:val="2"/>
          <w:sz w:val="44"/>
          <w:szCs w:val="44"/>
          <w:lang w:val="en-US" w:eastAsia="zh-CN" w:bidi="ar-SA"/>
        </w:rPr>
      </w:pP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both"/>
        <w:textAlignment w:val="auto"/>
        <w:outlineLvl w:val="0"/>
        <w:rPr>
          <w:rFonts w:hint="eastAsia" w:ascii="方正小标宋简体" w:hAnsi="方正小标宋简体" w:eastAsia="方正小标宋简体" w:cs="方正小标宋简体"/>
          <w:color w:val="000000"/>
          <w:kern w:val="2"/>
          <w:sz w:val="44"/>
          <w:szCs w:val="44"/>
          <w:lang w:val="en-US" w:eastAsia="zh-CN" w:bidi="ar-SA"/>
        </w:rPr>
      </w:pP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both"/>
        <w:textAlignment w:val="auto"/>
        <w:outlineLvl w:val="0"/>
        <w:rPr>
          <w:rFonts w:hint="eastAsia" w:ascii="方正小标宋简体" w:hAnsi="方正小标宋简体" w:eastAsia="方正小标宋简体" w:cs="方正小标宋简体"/>
          <w:color w:val="000000"/>
          <w:kern w:val="2"/>
          <w:sz w:val="44"/>
          <w:szCs w:val="44"/>
          <w:lang w:val="en-US" w:eastAsia="zh-CN" w:bidi="ar-SA"/>
        </w:rPr>
      </w:pP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both"/>
        <w:textAlignment w:val="auto"/>
        <w:outlineLvl w:val="0"/>
        <w:rPr>
          <w:rFonts w:hint="eastAsia" w:ascii="方正小标宋简体" w:hAnsi="方正小标宋简体" w:eastAsia="方正小标宋简体" w:cs="方正小标宋简体"/>
          <w:color w:val="000000"/>
          <w:kern w:val="2"/>
          <w:sz w:val="44"/>
          <w:szCs w:val="44"/>
          <w:lang w:val="en-US" w:eastAsia="zh-CN" w:bidi="ar-SA"/>
        </w:rPr>
      </w:pP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firstLine="2640" w:firstLineChars="600"/>
        <w:jc w:val="both"/>
        <w:textAlignment w:val="auto"/>
        <w:outlineLvl w:val="0"/>
        <w:rPr>
          <w:rFonts w:hint="eastAsia" w:ascii="黑体" w:hAnsi="Times New Roman" w:eastAsia="黑体" w:cs="Times New Roman"/>
          <w:color w:val="000000"/>
          <w:kern w:val="2"/>
          <w:sz w:val="44"/>
          <w:szCs w:val="44"/>
          <w:lang w:val="en-US" w:eastAsia="zh-CN" w:bidi="ar-SA"/>
        </w:rPr>
      </w:pPr>
      <w:r>
        <w:rPr>
          <w:rFonts w:hint="eastAsia" w:ascii="方正小标宋简体" w:hAnsi="方正小标宋简体" w:eastAsia="方正小标宋简体" w:cs="方正小标宋简体"/>
          <w:color w:val="000000"/>
          <w:kern w:val="2"/>
          <w:sz w:val="44"/>
          <w:szCs w:val="44"/>
          <w:lang w:val="en-US" w:eastAsia="zh-CN" w:bidi="ar-SA"/>
        </w:rPr>
        <w:t>第四部分 附件</w:t>
      </w: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both"/>
        <w:textAlignment w:val="auto"/>
        <w:outlineLvl w:val="0"/>
        <w:rPr>
          <w:rFonts w:hint="eastAsia" w:ascii="黑体" w:hAnsi="Times New Roman" w:eastAsia="黑体" w:cs="Times New Roman"/>
          <w:color w:val="000000"/>
          <w:kern w:val="2"/>
          <w:sz w:val="44"/>
          <w:szCs w:val="44"/>
          <w:lang w:val="en-US" w:eastAsia="zh-CN" w:bidi="ar-SA"/>
        </w:rPr>
      </w:pP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both"/>
        <w:textAlignment w:val="auto"/>
        <w:outlineLvl w:val="0"/>
        <w:rPr>
          <w:rFonts w:hint="eastAsia" w:ascii="仿宋_GB2312" w:hAnsi="仿宋_GB2312" w:eastAsia="仿宋_GB2312" w:cs="仿宋_GB2312"/>
          <w:color w:val="000000"/>
          <w:kern w:val="2"/>
          <w:sz w:val="32"/>
          <w:szCs w:val="32"/>
          <w:lang w:val="en-US" w:eastAsia="zh-CN" w:bidi="ar-SA"/>
        </w:rPr>
      </w:pPr>
      <w:r>
        <w:rPr>
          <w:rFonts w:hint="eastAsia" w:ascii="黑体" w:eastAsia="黑体" w:cs="Times New Roman"/>
          <w:color w:val="000000"/>
          <w:kern w:val="2"/>
          <w:sz w:val="44"/>
          <w:szCs w:val="44"/>
          <w:lang w:val="en-US" w:eastAsia="zh-CN" w:bidi="ar-SA"/>
        </w:rPr>
        <w:t xml:space="preserve">        </w:t>
      </w:r>
      <w:r>
        <w:rPr>
          <w:rFonts w:hint="eastAsia" w:ascii="仿宋_GB2312" w:hAnsi="仿宋_GB2312" w:eastAsia="仿宋_GB2312" w:cs="仿宋_GB2312"/>
          <w:color w:val="000000"/>
          <w:kern w:val="2"/>
          <w:sz w:val="32"/>
          <w:szCs w:val="32"/>
          <w:lang w:val="en-US" w:eastAsia="zh-CN" w:bidi="ar-SA"/>
        </w:rPr>
        <w:t>（本单位不涉及此类项目）</w:t>
      </w: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both"/>
        <w:textAlignment w:val="auto"/>
        <w:outlineLvl w:val="0"/>
        <w:rPr>
          <w:rFonts w:hint="eastAsia" w:ascii="仿宋_GB2312" w:hAnsi="仿宋_GB2312" w:eastAsia="仿宋_GB2312" w:cs="仿宋_GB2312"/>
          <w:color w:val="000000"/>
          <w:kern w:val="2"/>
          <w:sz w:val="32"/>
          <w:szCs w:val="32"/>
          <w:lang w:val="en-US" w:eastAsia="zh-CN" w:bidi="ar-SA"/>
        </w:rPr>
      </w:pPr>
    </w:p>
    <w:p>
      <w:pPr>
        <w:pStyle w:val="16"/>
        <w:keepNext w:val="0"/>
        <w:keepLines w:val="0"/>
        <w:pageBreakBefore w:val="0"/>
        <w:widowControl/>
        <w:suppressLineNumbers w:val="0"/>
        <w:kinsoku/>
        <w:wordWrap/>
        <w:overflowPunct/>
        <w:topLinePunct w:val="0"/>
        <w:bidi w:val="0"/>
        <w:spacing w:before="0" w:beforeAutospacing="0" w:after="0" w:afterAutospacing="0" w:line="576" w:lineRule="exact"/>
        <w:ind w:leftChars="0"/>
        <w:jc w:val="center"/>
        <w:textAlignment w:val="auto"/>
        <w:outlineLvl w:val="0"/>
        <w:rPr>
          <w:rFonts w:hint="eastAsia" w:ascii="黑体" w:hAnsi="Times New Roman" w:eastAsia="黑体" w:cs="Times New Roman"/>
          <w:color w:val="000000"/>
          <w:kern w:val="2"/>
          <w:sz w:val="44"/>
          <w:szCs w:val="44"/>
          <w:lang w:val="en-US" w:eastAsia="zh-CN" w:bidi="ar-SA"/>
        </w:rPr>
      </w:pPr>
    </w:p>
    <w:bookmarkEnd w:id="87"/>
    <w:bookmarkEnd w:id="88"/>
    <w:bookmarkEnd w:id="89"/>
    <w:bookmarkEnd w:id="90"/>
    <w:bookmarkEnd w:id="91"/>
    <w:p>
      <w:pPr>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eastAsia" w:ascii="方正小标宋简体" w:hAnsi="方正小标宋简体" w:eastAsia="方正小标宋简体" w:cs="方正小标宋简体"/>
          <w:b w:val="0"/>
          <w:bCs w:val="0"/>
          <w:sz w:val="44"/>
          <w:szCs w:val="44"/>
          <w:lang w:eastAsia="zh-CN"/>
        </w:rPr>
      </w:pPr>
    </w:p>
    <w:p>
      <w:pPr>
        <w:ind w:firstLine="2640" w:firstLineChars="600"/>
        <w:jc w:val="both"/>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eastAsia="zh-CN"/>
        </w:rPr>
        <w:t>第五部分</w:t>
      </w:r>
      <w:r>
        <w:rPr>
          <w:rFonts w:hint="eastAsia" w:ascii="方正小标宋简体" w:hAnsi="方正小标宋简体" w:eastAsia="方正小标宋简体" w:cs="方正小标宋简体"/>
          <w:b w:val="0"/>
          <w:bCs w:val="0"/>
          <w:sz w:val="44"/>
          <w:szCs w:val="44"/>
          <w:lang w:val="en-US" w:eastAsia="zh-CN"/>
        </w:rPr>
        <w:t xml:space="preserve">   附表</w:t>
      </w:r>
    </w:p>
    <w:p>
      <w:pPr>
        <w:numPr>
          <w:ilvl w:val="0"/>
          <w:numId w:val="0"/>
        </w:numPr>
        <w:rPr>
          <w:rFonts w:hint="eastAsia"/>
        </w:rPr>
      </w:pPr>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92" w:name="_Toc1426"/>
      <w:bookmarkStart w:id="93" w:name="_Toc9059"/>
      <w:r>
        <w:rPr>
          <w:rFonts w:hint="eastAsia" w:ascii="仿宋_GB2312" w:hAnsi="仿宋_GB2312" w:eastAsia="仿宋_GB2312" w:cs="仿宋_GB2312"/>
          <w:b w:val="0"/>
          <w:bCs w:val="0"/>
          <w:kern w:val="0"/>
          <w:sz w:val="32"/>
          <w:szCs w:val="32"/>
          <w:lang w:val="en-US" w:eastAsia="zh-CN" w:bidi="ar-SA"/>
        </w:rPr>
        <w:t>一、收入支出决算总表</w:t>
      </w:r>
      <w:bookmarkEnd w:id="92"/>
      <w:bookmarkEnd w:id="93"/>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94" w:name="_Toc25951"/>
      <w:bookmarkStart w:id="95" w:name="_Toc16276"/>
      <w:r>
        <w:rPr>
          <w:rFonts w:hint="eastAsia" w:ascii="仿宋_GB2312" w:hAnsi="仿宋_GB2312" w:eastAsia="仿宋_GB2312" w:cs="仿宋_GB2312"/>
          <w:b w:val="0"/>
          <w:bCs w:val="0"/>
          <w:kern w:val="0"/>
          <w:sz w:val="32"/>
          <w:szCs w:val="32"/>
          <w:lang w:val="en-US" w:eastAsia="zh-CN" w:bidi="ar-SA"/>
        </w:rPr>
        <w:t>二、收入决算表</w:t>
      </w:r>
      <w:bookmarkEnd w:id="94"/>
      <w:bookmarkEnd w:id="95"/>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96" w:name="_Toc30359"/>
      <w:bookmarkStart w:id="97" w:name="_Toc1809"/>
      <w:r>
        <w:rPr>
          <w:rFonts w:hint="eastAsia" w:ascii="仿宋_GB2312" w:hAnsi="仿宋_GB2312" w:eastAsia="仿宋_GB2312" w:cs="仿宋_GB2312"/>
          <w:b w:val="0"/>
          <w:bCs w:val="0"/>
          <w:kern w:val="0"/>
          <w:sz w:val="32"/>
          <w:szCs w:val="32"/>
          <w:lang w:val="en-US" w:eastAsia="zh-CN" w:bidi="ar-SA"/>
        </w:rPr>
        <w:t>三、支出决算表</w:t>
      </w:r>
      <w:bookmarkEnd w:id="96"/>
      <w:bookmarkEnd w:id="97"/>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98" w:name="_Toc13976"/>
      <w:bookmarkStart w:id="99" w:name="_Toc13188"/>
      <w:r>
        <w:rPr>
          <w:rFonts w:hint="eastAsia" w:ascii="仿宋_GB2312" w:hAnsi="仿宋_GB2312" w:eastAsia="仿宋_GB2312" w:cs="仿宋_GB2312"/>
          <w:b w:val="0"/>
          <w:bCs w:val="0"/>
          <w:kern w:val="0"/>
          <w:sz w:val="32"/>
          <w:szCs w:val="32"/>
          <w:lang w:val="en-US" w:eastAsia="zh-CN" w:bidi="ar-SA"/>
        </w:rPr>
        <w:t>四、财政拨款收入支出决算总表</w:t>
      </w:r>
      <w:bookmarkEnd w:id="98"/>
      <w:bookmarkEnd w:id="99"/>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100" w:name="_Toc25514"/>
      <w:bookmarkStart w:id="101" w:name="_Toc18298"/>
      <w:r>
        <w:rPr>
          <w:rFonts w:hint="eastAsia" w:ascii="仿宋_GB2312" w:hAnsi="仿宋_GB2312" w:eastAsia="仿宋_GB2312" w:cs="仿宋_GB2312"/>
          <w:b w:val="0"/>
          <w:bCs w:val="0"/>
          <w:kern w:val="0"/>
          <w:sz w:val="32"/>
          <w:szCs w:val="32"/>
          <w:lang w:val="en-US" w:eastAsia="zh-CN" w:bidi="ar-SA"/>
        </w:rPr>
        <w:t>五、财政拨款支出决算明细表</w:t>
      </w:r>
      <w:bookmarkEnd w:id="100"/>
      <w:bookmarkEnd w:id="101"/>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102" w:name="_Toc13411"/>
      <w:bookmarkStart w:id="103" w:name="_Toc25120"/>
      <w:r>
        <w:rPr>
          <w:rFonts w:hint="eastAsia" w:ascii="仿宋_GB2312" w:hAnsi="仿宋_GB2312" w:eastAsia="仿宋_GB2312" w:cs="仿宋_GB2312"/>
          <w:b w:val="0"/>
          <w:bCs w:val="0"/>
          <w:kern w:val="0"/>
          <w:sz w:val="32"/>
          <w:szCs w:val="32"/>
          <w:lang w:val="en-US" w:eastAsia="zh-CN" w:bidi="ar-SA"/>
        </w:rPr>
        <w:t>六、一般公共预算财政拨款支出决算表</w:t>
      </w:r>
      <w:bookmarkEnd w:id="102"/>
      <w:bookmarkEnd w:id="103"/>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104" w:name="_Toc7404"/>
      <w:bookmarkStart w:id="105" w:name="_Toc26430"/>
      <w:r>
        <w:rPr>
          <w:rFonts w:hint="eastAsia" w:ascii="仿宋_GB2312" w:hAnsi="仿宋_GB2312" w:eastAsia="仿宋_GB2312" w:cs="仿宋_GB2312"/>
          <w:b w:val="0"/>
          <w:bCs w:val="0"/>
          <w:kern w:val="0"/>
          <w:sz w:val="32"/>
          <w:szCs w:val="32"/>
          <w:lang w:val="en-US" w:eastAsia="zh-CN" w:bidi="ar-SA"/>
        </w:rPr>
        <w:t>七、一般公共预算财政拨款支出决算明细表</w:t>
      </w:r>
      <w:bookmarkEnd w:id="104"/>
      <w:bookmarkEnd w:id="105"/>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106" w:name="_Toc6312"/>
      <w:bookmarkStart w:id="107" w:name="_Toc25058"/>
      <w:r>
        <w:rPr>
          <w:rFonts w:hint="eastAsia" w:ascii="仿宋_GB2312" w:hAnsi="仿宋_GB2312" w:eastAsia="仿宋_GB2312" w:cs="仿宋_GB2312"/>
          <w:b w:val="0"/>
          <w:bCs w:val="0"/>
          <w:kern w:val="0"/>
          <w:sz w:val="32"/>
          <w:szCs w:val="32"/>
          <w:lang w:val="en-US" w:eastAsia="zh-CN" w:bidi="ar-SA"/>
        </w:rPr>
        <w:t>八、一般公共预算财政拨款基本支出决算表</w:t>
      </w:r>
      <w:bookmarkEnd w:id="106"/>
      <w:bookmarkEnd w:id="107"/>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108" w:name="_Toc29979"/>
      <w:bookmarkStart w:id="109" w:name="_Toc30828"/>
      <w:r>
        <w:rPr>
          <w:rFonts w:hint="eastAsia" w:ascii="仿宋_GB2312" w:hAnsi="仿宋_GB2312" w:eastAsia="仿宋_GB2312" w:cs="仿宋_GB2312"/>
          <w:b w:val="0"/>
          <w:bCs w:val="0"/>
          <w:kern w:val="0"/>
          <w:sz w:val="32"/>
          <w:szCs w:val="32"/>
          <w:lang w:val="en-US" w:eastAsia="zh-CN" w:bidi="ar-SA"/>
        </w:rPr>
        <w:t>九、一般公共预算财政拨款项目支出决算表</w:t>
      </w:r>
      <w:bookmarkEnd w:id="108"/>
      <w:bookmarkEnd w:id="109"/>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110" w:name="_Toc29725"/>
      <w:bookmarkStart w:id="111" w:name="_Toc25021"/>
      <w:r>
        <w:rPr>
          <w:rFonts w:hint="eastAsia" w:ascii="仿宋_GB2312" w:hAnsi="仿宋_GB2312" w:eastAsia="仿宋_GB2312" w:cs="仿宋_GB2312"/>
          <w:b w:val="0"/>
          <w:bCs w:val="0"/>
          <w:kern w:val="0"/>
          <w:sz w:val="32"/>
          <w:szCs w:val="32"/>
          <w:lang w:val="en-US" w:eastAsia="zh-CN" w:bidi="ar-SA"/>
        </w:rPr>
        <w:t>十、政府性基金预算财政拨款收入支出决算表</w:t>
      </w:r>
      <w:bookmarkEnd w:id="110"/>
      <w:bookmarkEnd w:id="111"/>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112" w:name="_Toc2823"/>
      <w:bookmarkStart w:id="113" w:name="_Toc792"/>
      <w:r>
        <w:rPr>
          <w:rFonts w:hint="eastAsia" w:ascii="仿宋_GB2312" w:hAnsi="仿宋_GB2312" w:eastAsia="仿宋_GB2312" w:cs="仿宋_GB2312"/>
          <w:b w:val="0"/>
          <w:bCs w:val="0"/>
          <w:kern w:val="0"/>
          <w:sz w:val="32"/>
          <w:szCs w:val="32"/>
          <w:lang w:val="en-US" w:eastAsia="zh-CN" w:bidi="ar-SA"/>
        </w:rPr>
        <w:t>十一、国有资本经营预算财政拨款收入支出决算表</w:t>
      </w:r>
      <w:bookmarkEnd w:id="112"/>
      <w:bookmarkEnd w:id="113"/>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114" w:name="_Toc4229"/>
      <w:bookmarkStart w:id="115" w:name="_Toc25006"/>
      <w:r>
        <w:rPr>
          <w:rFonts w:hint="eastAsia" w:ascii="仿宋_GB2312" w:hAnsi="仿宋_GB2312" w:eastAsia="仿宋_GB2312" w:cs="仿宋_GB2312"/>
          <w:b w:val="0"/>
          <w:bCs w:val="0"/>
          <w:kern w:val="0"/>
          <w:sz w:val="32"/>
          <w:szCs w:val="32"/>
          <w:lang w:val="en-US" w:eastAsia="zh-CN" w:bidi="ar-SA"/>
        </w:rPr>
        <w:t>十二、</w:t>
      </w:r>
      <w:bookmarkEnd w:id="114"/>
      <w:bookmarkStart w:id="116" w:name="_Toc10442"/>
      <w:r>
        <w:rPr>
          <w:rFonts w:hint="eastAsia" w:ascii="仿宋_GB2312" w:hAnsi="仿宋_GB2312" w:eastAsia="仿宋_GB2312" w:cs="仿宋_GB2312"/>
          <w:b w:val="0"/>
          <w:bCs w:val="0"/>
          <w:kern w:val="0"/>
          <w:sz w:val="32"/>
          <w:szCs w:val="32"/>
          <w:lang w:val="en-US" w:eastAsia="zh-CN" w:bidi="ar-SA"/>
        </w:rPr>
        <w:t>国有资本经营预算财政拨款支出决算表</w:t>
      </w:r>
      <w:bookmarkEnd w:id="115"/>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仿宋_GB2312" w:hAnsi="仿宋_GB2312" w:eastAsia="仿宋_GB2312" w:cs="仿宋_GB2312"/>
          <w:b w:val="0"/>
          <w:bCs w:val="0"/>
          <w:kern w:val="0"/>
          <w:sz w:val="32"/>
          <w:szCs w:val="32"/>
          <w:lang w:val="en-US" w:eastAsia="zh-CN" w:bidi="ar-SA"/>
        </w:rPr>
      </w:pPr>
      <w:bookmarkStart w:id="117" w:name="_Toc21675"/>
      <w:r>
        <w:rPr>
          <w:rFonts w:hint="eastAsia" w:ascii="仿宋_GB2312" w:hAnsi="仿宋_GB2312" w:eastAsia="仿宋_GB2312" w:cs="仿宋_GB2312"/>
          <w:b w:val="0"/>
          <w:bCs w:val="0"/>
          <w:kern w:val="0"/>
          <w:sz w:val="32"/>
          <w:szCs w:val="32"/>
          <w:lang w:val="en-US" w:eastAsia="zh-CN" w:bidi="ar-SA"/>
        </w:rPr>
        <w:t>十三、财政拨款“三公”经费支出决算表</w:t>
      </w:r>
      <w:bookmarkEnd w:id="116"/>
      <w:bookmarkEnd w:id="117"/>
    </w:p>
    <w:p>
      <w:pPr>
        <w:pStyle w:val="4"/>
        <w:keepNext/>
        <w:keepLines/>
        <w:pageBreakBefore w:val="0"/>
        <w:widowControl w:val="0"/>
        <w:kinsoku/>
        <w:wordWrap/>
        <w:overflowPunct/>
        <w:topLinePunct w:val="0"/>
        <w:autoSpaceDE/>
        <w:autoSpaceDN/>
        <w:bidi w:val="0"/>
        <w:adjustRightInd/>
        <w:snapToGrid/>
        <w:spacing w:before="0" w:beforeAutospacing="0" w:after="0" w:afterAutospacing="0" w:line="576" w:lineRule="exact"/>
        <w:ind w:leftChars="0" w:firstLine="640" w:firstLineChars="200"/>
        <w:textAlignment w:val="auto"/>
        <w:rPr>
          <w:rFonts w:hint="eastAsia" w:ascii="CESI仿宋-GB2312" w:hAnsi="CESI仿宋-GB2312" w:eastAsia="CESI仿宋-GB2312" w:cs="CESI仿宋-GB2312"/>
          <w:b w:val="0"/>
          <w:bCs/>
          <w:color w:val="000000"/>
        </w:rPr>
      </w:pPr>
    </w:p>
    <w:p>
      <w:pPr>
        <w:pageBreakBefore w:val="0"/>
        <w:kinsoku/>
        <w:wordWrap/>
        <w:overflowPunct/>
        <w:topLinePunct w:val="0"/>
        <w:bidi w:val="0"/>
        <w:spacing w:beforeAutospacing="0" w:afterAutospacing="0" w:line="576" w:lineRule="exact"/>
        <w:ind w:leftChars="0"/>
        <w:textAlignment w:val="auto"/>
        <w:rPr>
          <w:rFonts w:hint="eastAsia" w:ascii="CESI仿宋-GB2312" w:hAnsi="CESI仿宋-GB2312" w:eastAsia="CESI仿宋-GB2312" w:cs="CESI仿宋-GB2312"/>
          <w:b w:val="0"/>
          <w:bCs/>
        </w:rPr>
      </w:pPr>
    </w:p>
    <w:sectPr>
      <w:headerReference r:id="rId3" w:type="default"/>
      <w:footerReference r:id="rId4" w:type="default"/>
      <w:pgSz w:w="11906" w:h="16838"/>
      <w:pgMar w:top="2098" w:right="1474" w:bottom="1984" w:left="158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Nimbus Roman">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黑体_GBK">
    <w:panose1 w:val="02000000000000000000"/>
    <w:charset w:val="86"/>
    <w:family w:val="auto"/>
    <w:pitch w:val="default"/>
    <w:sig w:usb0="00000001" w:usb1="08000000" w:usb2="00000000" w:usb3="00000000" w:csb0="00040000" w:csb1="00000000"/>
  </w:font>
  <w:font w:name="AR PL UKai CN">
    <w:altName w:val="C059"/>
    <w:panose1 w:val="00000000000000000000"/>
    <w:charset w:val="01"/>
    <w:family w:val="auto"/>
    <w:pitch w:val="default"/>
    <w:sig w:usb0="00000000" w:usb1="00000000" w:usb2="00000000" w:usb3="00000000" w:csb0="00000000" w:csb1="00000000"/>
  </w:font>
  <w:font w:name="Lucida Sans">
    <w:altName w:val="Lucida Sans Unicode"/>
    <w:panose1 w:val="020B0602030504020204"/>
    <w:charset w:val="01"/>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思源黑体 CN Medium">
    <w:panose1 w:val="020B0600000000000000"/>
    <w:charset w:val="86"/>
    <w:family w:val="auto"/>
    <w:pitch w:val="default"/>
    <w:sig w:usb0="20000003" w:usb1="2ADF3C10" w:usb2="00000016" w:usb3="00000000" w:csb0="60060107"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1"/>
          <w:jc w:val="center"/>
        </w:pPr>
        <w:r>
          <w:fldChar w:fldCharType="begin"/>
        </w:r>
        <w:r>
          <w:instrText xml:space="preserve">PAGE   \* MERGEFORMAT</w:instrText>
        </w:r>
        <w:r>
          <w:fldChar w:fldCharType="separate"/>
        </w:r>
        <w:r>
          <w:rPr>
            <w:lang w:val="zh-CN"/>
          </w:rPr>
          <w:t>4</w:t>
        </w:r>
        <w:r>
          <w:fldChar w:fldCharType="end"/>
        </w:r>
      </w:p>
    </w:sdtContent>
  </w:sdt>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hZTdlMGIzODJkYmQ1ODc3YjgyNGVmZWNiMjhmZjEifQ=="/>
  </w:docVars>
  <w:rsids>
    <w:rsidRoot w:val="00000000"/>
    <w:rsid w:val="01F42CF7"/>
    <w:rsid w:val="022D1746"/>
    <w:rsid w:val="054B3704"/>
    <w:rsid w:val="05C37CE3"/>
    <w:rsid w:val="061614DB"/>
    <w:rsid w:val="06622F82"/>
    <w:rsid w:val="07BE29D4"/>
    <w:rsid w:val="07E97D8C"/>
    <w:rsid w:val="07F12200"/>
    <w:rsid w:val="0AA5260C"/>
    <w:rsid w:val="0BDB462C"/>
    <w:rsid w:val="10951256"/>
    <w:rsid w:val="11307DE0"/>
    <w:rsid w:val="127FCC9F"/>
    <w:rsid w:val="163B6372"/>
    <w:rsid w:val="175A3CEF"/>
    <w:rsid w:val="1831369D"/>
    <w:rsid w:val="185C440F"/>
    <w:rsid w:val="1A3A9519"/>
    <w:rsid w:val="1AC110D6"/>
    <w:rsid w:val="1AC5672F"/>
    <w:rsid w:val="1B171B26"/>
    <w:rsid w:val="1C984EE8"/>
    <w:rsid w:val="1D746261"/>
    <w:rsid w:val="1DB13FB4"/>
    <w:rsid w:val="1DEE0D80"/>
    <w:rsid w:val="1DF046E4"/>
    <w:rsid w:val="1F3B805D"/>
    <w:rsid w:val="1F6DF82D"/>
    <w:rsid w:val="1FFEAA9E"/>
    <w:rsid w:val="20350AB8"/>
    <w:rsid w:val="205E3D53"/>
    <w:rsid w:val="208F2F74"/>
    <w:rsid w:val="22AA2C1D"/>
    <w:rsid w:val="23565728"/>
    <w:rsid w:val="26062EC3"/>
    <w:rsid w:val="26077BE4"/>
    <w:rsid w:val="264E03C6"/>
    <w:rsid w:val="26CF5A37"/>
    <w:rsid w:val="275F1A66"/>
    <w:rsid w:val="27B46451"/>
    <w:rsid w:val="27FF2790"/>
    <w:rsid w:val="280B46B8"/>
    <w:rsid w:val="282B09BF"/>
    <w:rsid w:val="299815A5"/>
    <w:rsid w:val="29DF7BB7"/>
    <w:rsid w:val="29F850BE"/>
    <w:rsid w:val="2A5F4C8E"/>
    <w:rsid w:val="2A787FA4"/>
    <w:rsid w:val="2AAE055A"/>
    <w:rsid w:val="2AD62119"/>
    <w:rsid w:val="2B7C45EA"/>
    <w:rsid w:val="2B896186"/>
    <w:rsid w:val="2BE91E97"/>
    <w:rsid w:val="2CDF9F0B"/>
    <w:rsid w:val="2DAD1E76"/>
    <w:rsid w:val="2DF074BA"/>
    <w:rsid w:val="2EED10C4"/>
    <w:rsid w:val="2F324481"/>
    <w:rsid w:val="301D5049"/>
    <w:rsid w:val="304846CF"/>
    <w:rsid w:val="308166B1"/>
    <w:rsid w:val="31836306"/>
    <w:rsid w:val="322E71DE"/>
    <w:rsid w:val="325C3658"/>
    <w:rsid w:val="32A1698A"/>
    <w:rsid w:val="32FF4775"/>
    <w:rsid w:val="33241EAF"/>
    <w:rsid w:val="33746B9D"/>
    <w:rsid w:val="337C6554"/>
    <w:rsid w:val="33815F6A"/>
    <w:rsid w:val="341F0E81"/>
    <w:rsid w:val="344A2E4D"/>
    <w:rsid w:val="34FB62F0"/>
    <w:rsid w:val="35380BBF"/>
    <w:rsid w:val="35552210"/>
    <w:rsid w:val="35FE1B45"/>
    <w:rsid w:val="365B5433"/>
    <w:rsid w:val="36A748FA"/>
    <w:rsid w:val="36B4A911"/>
    <w:rsid w:val="370159CC"/>
    <w:rsid w:val="378EB102"/>
    <w:rsid w:val="37C75988"/>
    <w:rsid w:val="37D85005"/>
    <w:rsid w:val="38433EC1"/>
    <w:rsid w:val="385145A0"/>
    <w:rsid w:val="39DDA15A"/>
    <w:rsid w:val="39E6D59D"/>
    <w:rsid w:val="3A2625AB"/>
    <w:rsid w:val="3C0B10D5"/>
    <w:rsid w:val="3CD97E1E"/>
    <w:rsid w:val="3D296BB4"/>
    <w:rsid w:val="3E36C5B9"/>
    <w:rsid w:val="3EF67E23"/>
    <w:rsid w:val="3F0F7FAA"/>
    <w:rsid w:val="3F5FAF32"/>
    <w:rsid w:val="3F6BB190"/>
    <w:rsid w:val="3FD98AFF"/>
    <w:rsid w:val="3FFBA920"/>
    <w:rsid w:val="3FFFEC78"/>
    <w:rsid w:val="402F0C61"/>
    <w:rsid w:val="41326E0A"/>
    <w:rsid w:val="42606DC8"/>
    <w:rsid w:val="427B2EB7"/>
    <w:rsid w:val="431052A5"/>
    <w:rsid w:val="456C7FA3"/>
    <w:rsid w:val="45D16D59"/>
    <w:rsid w:val="460236F4"/>
    <w:rsid w:val="464C654D"/>
    <w:rsid w:val="47DD1923"/>
    <w:rsid w:val="47FD0CFC"/>
    <w:rsid w:val="48846E86"/>
    <w:rsid w:val="49AF7CB9"/>
    <w:rsid w:val="4A8D0DD3"/>
    <w:rsid w:val="4BB27D2F"/>
    <w:rsid w:val="4BF65666"/>
    <w:rsid w:val="4C4A325A"/>
    <w:rsid w:val="4C8B4645"/>
    <w:rsid w:val="4CD50323"/>
    <w:rsid w:val="4DFF1AEF"/>
    <w:rsid w:val="4F3DA8CC"/>
    <w:rsid w:val="4F7FECC7"/>
    <w:rsid w:val="4F823373"/>
    <w:rsid w:val="50856579"/>
    <w:rsid w:val="50B31B7D"/>
    <w:rsid w:val="512F3A08"/>
    <w:rsid w:val="525070F0"/>
    <w:rsid w:val="53470203"/>
    <w:rsid w:val="53951B0A"/>
    <w:rsid w:val="53BFE225"/>
    <w:rsid w:val="56813D1C"/>
    <w:rsid w:val="56A95C01"/>
    <w:rsid w:val="571E0092"/>
    <w:rsid w:val="57294EB0"/>
    <w:rsid w:val="572F603A"/>
    <w:rsid w:val="57EF8285"/>
    <w:rsid w:val="57EF8D4F"/>
    <w:rsid w:val="57F0234F"/>
    <w:rsid w:val="58214696"/>
    <w:rsid w:val="5984C5D6"/>
    <w:rsid w:val="59D61F0E"/>
    <w:rsid w:val="5B217B5E"/>
    <w:rsid w:val="5BA04C44"/>
    <w:rsid w:val="5BEE84A0"/>
    <w:rsid w:val="5C661102"/>
    <w:rsid w:val="5C8F7D98"/>
    <w:rsid w:val="5CAF11E0"/>
    <w:rsid w:val="5CBC7459"/>
    <w:rsid w:val="5D1F0697"/>
    <w:rsid w:val="5DBF65EB"/>
    <w:rsid w:val="5DEAEBE0"/>
    <w:rsid w:val="5DF67589"/>
    <w:rsid w:val="5EF24A4E"/>
    <w:rsid w:val="5F216D76"/>
    <w:rsid w:val="5F771C92"/>
    <w:rsid w:val="5F797E1C"/>
    <w:rsid w:val="5F7A6958"/>
    <w:rsid w:val="5FBF66DC"/>
    <w:rsid w:val="5FCF8B3C"/>
    <w:rsid w:val="5FE512C2"/>
    <w:rsid w:val="5FF5D88D"/>
    <w:rsid w:val="5FF72C91"/>
    <w:rsid w:val="5FFB4B23"/>
    <w:rsid w:val="617A7CE6"/>
    <w:rsid w:val="61AE115F"/>
    <w:rsid w:val="624F3D2A"/>
    <w:rsid w:val="62FFF85B"/>
    <w:rsid w:val="634B193A"/>
    <w:rsid w:val="638C0197"/>
    <w:rsid w:val="63BF76DE"/>
    <w:rsid w:val="647FD5F1"/>
    <w:rsid w:val="65E9543A"/>
    <w:rsid w:val="66A01F9C"/>
    <w:rsid w:val="66AD3E5D"/>
    <w:rsid w:val="66CD6B09"/>
    <w:rsid w:val="684C129B"/>
    <w:rsid w:val="6850354E"/>
    <w:rsid w:val="695270B1"/>
    <w:rsid w:val="6A224FFA"/>
    <w:rsid w:val="6AFFC2BC"/>
    <w:rsid w:val="6B834D21"/>
    <w:rsid w:val="6BD5DF02"/>
    <w:rsid w:val="6C103720"/>
    <w:rsid w:val="6DEBCCD1"/>
    <w:rsid w:val="6DFFBC2A"/>
    <w:rsid w:val="6E4ECBE6"/>
    <w:rsid w:val="6ECABA56"/>
    <w:rsid w:val="6EE13152"/>
    <w:rsid w:val="6F7836FE"/>
    <w:rsid w:val="6FBE63A8"/>
    <w:rsid w:val="6FEFB5D1"/>
    <w:rsid w:val="6FFD80D9"/>
    <w:rsid w:val="706D5F5F"/>
    <w:rsid w:val="722B70F5"/>
    <w:rsid w:val="73006072"/>
    <w:rsid w:val="733C383E"/>
    <w:rsid w:val="7395E7E0"/>
    <w:rsid w:val="73B14CAF"/>
    <w:rsid w:val="73B16185"/>
    <w:rsid w:val="73BE8ECC"/>
    <w:rsid w:val="73CF20D1"/>
    <w:rsid w:val="745B415B"/>
    <w:rsid w:val="75B75CFB"/>
    <w:rsid w:val="75F5294E"/>
    <w:rsid w:val="76E47C83"/>
    <w:rsid w:val="771234C0"/>
    <w:rsid w:val="777234E1"/>
    <w:rsid w:val="777FFE3A"/>
    <w:rsid w:val="77D55678"/>
    <w:rsid w:val="77F6DB27"/>
    <w:rsid w:val="785726D7"/>
    <w:rsid w:val="78603A1D"/>
    <w:rsid w:val="78A46672"/>
    <w:rsid w:val="78E27A84"/>
    <w:rsid w:val="791E1021"/>
    <w:rsid w:val="795CBC76"/>
    <w:rsid w:val="79FF7A6B"/>
    <w:rsid w:val="7A2134D3"/>
    <w:rsid w:val="7ABDD0A3"/>
    <w:rsid w:val="7ACFD9C9"/>
    <w:rsid w:val="7AF378CC"/>
    <w:rsid w:val="7AFCB028"/>
    <w:rsid w:val="7B7F1388"/>
    <w:rsid w:val="7BBB10B3"/>
    <w:rsid w:val="7BDB2CC8"/>
    <w:rsid w:val="7BED688C"/>
    <w:rsid w:val="7BFDD136"/>
    <w:rsid w:val="7BFF5D32"/>
    <w:rsid w:val="7CDFF601"/>
    <w:rsid w:val="7DB33182"/>
    <w:rsid w:val="7DB53458"/>
    <w:rsid w:val="7DBB9F08"/>
    <w:rsid w:val="7DBDA028"/>
    <w:rsid w:val="7DCFB41D"/>
    <w:rsid w:val="7DDE87BD"/>
    <w:rsid w:val="7DFD9262"/>
    <w:rsid w:val="7E34D8CB"/>
    <w:rsid w:val="7E5F7CD7"/>
    <w:rsid w:val="7E97CA82"/>
    <w:rsid w:val="7EC7E00E"/>
    <w:rsid w:val="7ED39992"/>
    <w:rsid w:val="7EEA314F"/>
    <w:rsid w:val="7EFD65F0"/>
    <w:rsid w:val="7EFF55E7"/>
    <w:rsid w:val="7EFFA415"/>
    <w:rsid w:val="7F2BBEF7"/>
    <w:rsid w:val="7F340FD3"/>
    <w:rsid w:val="7F4F4108"/>
    <w:rsid w:val="7F77FCE7"/>
    <w:rsid w:val="7F7B934C"/>
    <w:rsid w:val="7F9D5509"/>
    <w:rsid w:val="7F9F152B"/>
    <w:rsid w:val="7FBBFAB4"/>
    <w:rsid w:val="7FC1FBBC"/>
    <w:rsid w:val="7FC9BE1B"/>
    <w:rsid w:val="7FCBAF3D"/>
    <w:rsid w:val="7FDC6FAE"/>
    <w:rsid w:val="7FDD3294"/>
    <w:rsid w:val="7FEEFD55"/>
    <w:rsid w:val="7FF38548"/>
    <w:rsid w:val="7FFF2B40"/>
    <w:rsid w:val="7FFF6E3B"/>
    <w:rsid w:val="7FFFD0BA"/>
    <w:rsid w:val="7FFFF4EB"/>
    <w:rsid w:val="89BF7195"/>
    <w:rsid w:val="8FFB0729"/>
    <w:rsid w:val="97F79BFD"/>
    <w:rsid w:val="9BBB847D"/>
    <w:rsid w:val="9D7FC7FF"/>
    <w:rsid w:val="9FBC5BB5"/>
    <w:rsid w:val="AFED4158"/>
    <w:rsid w:val="B5E7ABD2"/>
    <w:rsid w:val="B675A091"/>
    <w:rsid w:val="B75B3995"/>
    <w:rsid w:val="B7B7CC51"/>
    <w:rsid w:val="B7C6E446"/>
    <w:rsid w:val="B9FE1E35"/>
    <w:rsid w:val="BABBD7C5"/>
    <w:rsid w:val="BB65ECFB"/>
    <w:rsid w:val="BD8FA5C0"/>
    <w:rsid w:val="BD9FA456"/>
    <w:rsid w:val="BDDF511A"/>
    <w:rsid w:val="BE3F963F"/>
    <w:rsid w:val="BEF25687"/>
    <w:rsid w:val="BEFF77C8"/>
    <w:rsid w:val="BF5F0154"/>
    <w:rsid w:val="BFFB6DD4"/>
    <w:rsid w:val="BFFCB314"/>
    <w:rsid w:val="C17F0560"/>
    <w:rsid w:val="C7FFA820"/>
    <w:rsid w:val="C9370373"/>
    <w:rsid w:val="CBDE32EE"/>
    <w:rsid w:val="CCED85FD"/>
    <w:rsid w:val="CE7F2D34"/>
    <w:rsid w:val="CEE230D0"/>
    <w:rsid w:val="CFC6E02E"/>
    <w:rsid w:val="CFFD1F5C"/>
    <w:rsid w:val="CFFED82C"/>
    <w:rsid w:val="D0DDE7E0"/>
    <w:rsid w:val="D7F9CE44"/>
    <w:rsid w:val="DAFF7D0E"/>
    <w:rsid w:val="DDFE9CD6"/>
    <w:rsid w:val="DE3D8BDD"/>
    <w:rsid w:val="DE7F9A9B"/>
    <w:rsid w:val="DEDD1852"/>
    <w:rsid w:val="DF5B4520"/>
    <w:rsid w:val="DF5DAD60"/>
    <w:rsid w:val="DF7E5158"/>
    <w:rsid w:val="DFB2225C"/>
    <w:rsid w:val="DFDFC655"/>
    <w:rsid w:val="DFF2DF85"/>
    <w:rsid w:val="E7572F4B"/>
    <w:rsid w:val="E77D2A93"/>
    <w:rsid w:val="E7DB514B"/>
    <w:rsid w:val="EBFCAF47"/>
    <w:rsid w:val="EC5BF56B"/>
    <w:rsid w:val="ECFBD72C"/>
    <w:rsid w:val="ECFFD71B"/>
    <w:rsid w:val="EDD38DF9"/>
    <w:rsid w:val="EDFDC90C"/>
    <w:rsid w:val="EE4F007D"/>
    <w:rsid w:val="EE89CDFE"/>
    <w:rsid w:val="EEBD88F0"/>
    <w:rsid w:val="EEF95D0D"/>
    <w:rsid w:val="EEFB3D7E"/>
    <w:rsid w:val="EF3E903E"/>
    <w:rsid w:val="EF6366FE"/>
    <w:rsid w:val="EF6FDABC"/>
    <w:rsid w:val="EF8F2550"/>
    <w:rsid w:val="EFB79180"/>
    <w:rsid w:val="EFFACAF2"/>
    <w:rsid w:val="EFFBE404"/>
    <w:rsid w:val="EFFC3282"/>
    <w:rsid w:val="F1DF6AE0"/>
    <w:rsid w:val="F1EA6F06"/>
    <w:rsid w:val="F29E686F"/>
    <w:rsid w:val="F3EF2DC5"/>
    <w:rsid w:val="F3EFE5D9"/>
    <w:rsid w:val="F6FD2E66"/>
    <w:rsid w:val="F71108B5"/>
    <w:rsid w:val="F757BDB3"/>
    <w:rsid w:val="F766F08C"/>
    <w:rsid w:val="F77DFCAD"/>
    <w:rsid w:val="F77E7A5D"/>
    <w:rsid w:val="F7EC6645"/>
    <w:rsid w:val="F89FEEF9"/>
    <w:rsid w:val="F8CF9D7E"/>
    <w:rsid w:val="F97F4488"/>
    <w:rsid w:val="FADFC361"/>
    <w:rsid w:val="FBBCC88D"/>
    <w:rsid w:val="FBFEE116"/>
    <w:rsid w:val="FCB3DFE9"/>
    <w:rsid w:val="FCF767E8"/>
    <w:rsid w:val="FDCFC7AE"/>
    <w:rsid w:val="FDDB4A5F"/>
    <w:rsid w:val="FDF62AC6"/>
    <w:rsid w:val="FDFC3701"/>
    <w:rsid w:val="FE0F89D2"/>
    <w:rsid w:val="FEBFFC2D"/>
    <w:rsid w:val="FEFBEE7B"/>
    <w:rsid w:val="FEFFD30F"/>
    <w:rsid w:val="FF5777D7"/>
    <w:rsid w:val="FF656A12"/>
    <w:rsid w:val="FF6FE39A"/>
    <w:rsid w:val="FF71DB08"/>
    <w:rsid w:val="FF7A6A1A"/>
    <w:rsid w:val="FF7F6D4D"/>
    <w:rsid w:val="FFBB8A99"/>
    <w:rsid w:val="FFBECE3E"/>
    <w:rsid w:val="FFE396E8"/>
    <w:rsid w:val="FFED7DCA"/>
    <w:rsid w:val="FFEDB42A"/>
    <w:rsid w:val="FFFC4967"/>
    <w:rsid w:val="FFFD34FB"/>
    <w:rsid w:val="FFFE58CC"/>
    <w:rsid w:val="FFFE86C3"/>
    <w:rsid w:val="FFFEB4E1"/>
    <w:rsid w:val="FFFF0AA2"/>
    <w:rsid w:val="FFFFA6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1"/>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35"/>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qFormat/>
    <w:uiPriority w:val="0"/>
    <w:pPr>
      <w:ind w:firstLine="680"/>
    </w:pPr>
  </w:style>
  <w:style w:type="paragraph" w:styleId="7">
    <w:name w:val="annotation text"/>
    <w:basedOn w:val="1"/>
    <w:qFormat/>
    <w:uiPriority w:val="0"/>
    <w:pPr>
      <w:jc w:val="left"/>
    </w:pPr>
  </w:style>
  <w:style w:type="paragraph" w:styleId="8">
    <w:name w:val="Body Text"/>
    <w:basedOn w:val="1"/>
    <w:qFormat/>
    <w:uiPriority w:val="0"/>
    <w:pPr>
      <w:spacing w:before="30" w:beforeLines="30"/>
    </w:pPr>
    <w:rPr>
      <w:rFonts w:ascii="仿宋_GB2312" w:eastAsia="仿宋_GB2312"/>
      <w:kern w:val="0"/>
      <w:sz w:val="30"/>
    </w:r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table of figures"/>
    <w:basedOn w:val="1"/>
    <w:next w:val="1"/>
    <w:qFormat/>
    <w:uiPriority w:val="0"/>
    <w:pPr>
      <w:ind w:left="400" w:leftChars="200" w:hanging="200" w:hangingChars="200"/>
    </w:pPr>
  </w:style>
  <w:style w:type="paragraph" w:styleId="15">
    <w:name w:val="toc 2"/>
    <w:basedOn w:val="1"/>
    <w:next w:val="1"/>
    <w:qFormat/>
    <w:uiPriority w:val="0"/>
    <w:pPr>
      <w:tabs>
        <w:tab w:val="right" w:leader="dot" w:pos="8296"/>
      </w:tabs>
      <w:ind w:left="20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0"/>
    <w:rPr>
      <w:b/>
    </w:rPr>
  </w:style>
  <w:style w:type="character" w:styleId="20">
    <w:name w:val="annotation reference"/>
    <w:basedOn w:val="18"/>
    <w:qFormat/>
    <w:uiPriority w:val="0"/>
    <w:rPr>
      <w:sz w:val="21"/>
      <w:szCs w:val="21"/>
    </w:rPr>
  </w:style>
  <w:style w:type="character" w:customStyle="1" w:styleId="21">
    <w:name w:val="heading 1 Char"/>
    <w:basedOn w:val="18"/>
    <w:link w:val="3"/>
    <w:qFormat/>
    <w:uiPriority w:val="0"/>
    <w:rPr>
      <w:rFonts w:ascii="Times New Roman" w:hAnsi="Times New Roman" w:eastAsia="宋体" w:cs="Times New Roman"/>
      <w:b/>
      <w:bCs/>
      <w:kern w:val="44"/>
      <w:sz w:val="44"/>
      <w:szCs w:val="44"/>
      <w:lang w:val="en-US" w:eastAsia="zh-CN" w:bidi="ar-SA"/>
    </w:rPr>
  </w:style>
  <w:style w:type="character" w:customStyle="1" w:styleId="22">
    <w:name w:val="heading 2 Char"/>
    <w:basedOn w:val="18"/>
    <w:link w:val="4"/>
    <w:qFormat/>
    <w:uiPriority w:val="0"/>
    <w:rPr>
      <w:rFonts w:ascii="Cambria" w:hAnsi="Cambria" w:eastAsia="宋体" w:cs="Times New Roman"/>
      <w:b/>
      <w:bCs/>
      <w:kern w:val="2"/>
      <w:sz w:val="32"/>
      <w:szCs w:val="32"/>
      <w:lang w:val="en-US" w:eastAsia="zh-CN" w:bidi="ar-SA"/>
    </w:rPr>
  </w:style>
  <w:style w:type="paragraph" w:customStyle="1" w:styleId="23">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24">
    <w:name w:val="Header Char"/>
    <w:basedOn w:val="18"/>
    <w:qFormat/>
    <w:uiPriority w:val="0"/>
    <w:rPr>
      <w:rFonts w:ascii="Times New Roman" w:hAnsi="Times New Roman"/>
      <w:sz w:val="18"/>
      <w:szCs w:val="18"/>
    </w:rPr>
  </w:style>
  <w:style w:type="character" w:customStyle="1" w:styleId="25">
    <w:name w:val="Footer Char"/>
    <w:basedOn w:val="18"/>
    <w:qFormat/>
    <w:uiPriority w:val="0"/>
    <w:rPr>
      <w:rFonts w:ascii="Times New Roman" w:hAnsi="Times New Roman"/>
      <w:sz w:val="18"/>
      <w:szCs w:val="18"/>
    </w:rPr>
  </w:style>
  <w:style w:type="character" w:customStyle="1" w:styleId="26">
    <w:name w:val="Body Text Char"/>
    <w:basedOn w:val="18"/>
    <w:qFormat/>
    <w:uiPriority w:val="0"/>
    <w:rPr>
      <w:rFonts w:ascii="Times New Roman" w:hAnsi="Times New Roman"/>
      <w:szCs w:val="24"/>
    </w:rPr>
  </w:style>
  <w:style w:type="paragraph" w:styleId="27">
    <w:name w:val="List Paragraph"/>
    <w:basedOn w:val="1"/>
    <w:qFormat/>
    <w:uiPriority w:val="0"/>
    <w:pPr>
      <w:ind w:firstLine="200" w:firstLineChars="200"/>
    </w:pPr>
  </w:style>
  <w:style w:type="paragraph" w:customStyle="1" w:styleId="28">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66091"/>
      <w:kern w:val="0"/>
      <w:sz w:val="28"/>
      <w:szCs w:val="28"/>
    </w:rPr>
  </w:style>
  <w:style w:type="paragraph" w:customStyle="1" w:styleId="29">
    <w:name w:val="Normal363950e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Default Paragraph Font830522c6"/>
    <w:qFormat/>
    <w:uiPriority w:val="0"/>
  </w:style>
  <w:style w:type="paragraph" w:customStyle="1" w:styleId="31">
    <w:name w:val="Normal31da962d"/>
    <w:qFormat/>
    <w:uiPriority w:val="0"/>
    <w:pPr>
      <w:widowControl w:val="0"/>
      <w:jc w:val="both"/>
    </w:pPr>
    <w:rPr>
      <w:rFonts w:ascii="Times New Roman" w:hAnsi="Times New Roman" w:eastAsia="宋体" w:cs="Times New Roman"/>
      <w:kern w:val="2"/>
      <w:sz w:val="21"/>
      <w:szCs w:val="21"/>
      <w:lang w:val="en-US" w:eastAsia="zh-CN" w:bidi="ar-SA"/>
    </w:rPr>
  </w:style>
  <w:style w:type="character" w:customStyle="1" w:styleId="32">
    <w:name w:val="Default Paragraph Font5"/>
    <w:qFormat/>
    <w:uiPriority w:val="0"/>
  </w:style>
  <w:style w:type="paragraph" w:customStyle="1" w:styleId="33">
    <w:name w:val="footerce85b5ec"/>
    <w:basedOn w:val="31"/>
    <w:qFormat/>
    <w:uiPriority w:val="0"/>
    <w:pPr>
      <w:tabs>
        <w:tab w:val="center" w:pos="4153"/>
        <w:tab w:val="right" w:pos="8306"/>
      </w:tabs>
      <w:snapToGrid w:val="0"/>
      <w:jc w:val="left"/>
    </w:pPr>
    <w:rPr>
      <w:kern w:val="0"/>
      <w:sz w:val="18"/>
      <w:szCs w:val="20"/>
    </w:rPr>
  </w:style>
  <w:style w:type="paragraph" w:customStyle="1" w:styleId="34">
    <w:name w:val="headerf7e0821f"/>
    <w:basedOn w:val="31"/>
    <w:qFormat/>
    <w:uiPriority w:val="0"/>
    <w:pPr>
      <w:pBdr>
        <w:bottom w:val="single" w:color="auto" w:sz="6" w:space="1"/>
      </w:pBdr>
      <w:tabs>
        <w:tab w:val="center" w:pos="4153"/>
        <w:tab w:val="right" w:pos="8306"/>
      </w:tabs>
      <w:snapToGrid w:val="0"/>
      <w:jc w:val="center"/>
    </w:pPr>
    <w:rPr>
      <w:kern w:val="0"/>
      <w:sz w:val="18"/>
      <w:szCs w:val="20"/>
    </w:rPr>
  </w:style>
  <w:style w:type="character" w:customStyle="1" w:styleId="35">
    <w:name w:val="标题 2 Char"/>
    <w:basedOn w:val="18"/>
    <w:link w:val="4"/>
    <w:qFormat/>
    <w:uiPriority w:val="9"/>
    <w:rPr>
      <w:rFonts w:ascii="Cambria" w:hAnsi="Cambria" w:eastAsia="宋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embeddings/oleObject4.bin"/></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embeddings/oleObject3.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0385257480416078"/>
          <c:y val="0.0527549824150059"/>
          <c:w val="0.862378167641326"/>
          <c:h val="0.826013513513513"/>
        </c:manualLayout>
      </c:layout>
      <c:barChart>
        <c:barDir val="col"/>
        <c:grouping val="clustered"/>
        <c:varyColors val="0"/>
        <c:ser>
          <c:idx val="0"/>
          <c:order val="0"/>
          <c:tx>
            <c:strRef>
              <c:f>Sheet1!$B$1</c:f>
              <c:strCache>
                <c:ptCount val="1"/>
                <c:pt idx="0">
                  <c:v>金额</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Sheet1!$A$2:$A$5</c:f>
              <c:strCache>
                <c:ptCount val="4"/>
                <c:pt idx="0">
                  <c:v>2024年收入</c:v>
                </c:pt>
                <c:pt idx="1">
                  <c:v>2024年支出</c:v>
                </c:pt>
                <c:pt idx="2">
                  <c:v>2025年收入</c:v>
                </c:pt>
                <c:pt idx="3">
                  <c:v>2025年支出</c:v>
                </c:pt>
              </c:strCache>
            </c:strRef>
          </c:cat>
          <c:val>
            <c:numRef>
              <c:f>Sheet1!$B$2:$B$5</c:f>
              <c:numCache>
                <c:formatCode>0.00_ </c:formatCode>
                <c:ptCount val="4"/>
                <c:pt idx="0">
                  <c:v>22.61</c:v>
                </c:pt>
                <c:pt idx="1">
                  <c:v>22.61</c:v>
                </c:pt>
                <c:pt idx="2">
                  <c:v>24.5</c:v>
                </c:pt>
                <c:pt idx="3">
                  <c:v>24.5</c:v>
                </c:pt>
              </c:numCache>
            </c:numRef>
          </c:val>
        </c:ser>
        <c:dLbls>
          <c:showLegendKey val="0"/>
          <c:showVal val="1"/>
          <c:showCatName val="0"/>
          <c:showSerName val="0"/>
          <c:showPercent val="0"/>
          <c:showBubbleSize val="0"/>
        </c:dLbls>
        <c:gapWidth val="41"/>
        <c:overlap val="0"/>
        <c:axId val="60139776"/>
        <c:axId val="60160256"/>
      </c:barChart>
      <c:catAx>
        <c:axId val="60139776"/>
        <c:scaling>
          <c:orientation val="minMax"/>
        </c:scaling>
        <c:delete val="0"/>
        <c:axPos val="b"/>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effectLst/>
                <a:latin typeface="+mn-lt"/>
                <a:ea typeface="+mn-ea"/>
                <a:cs typeface="+mn-cs"/>
              </a:defRPr>
            </a:pPr>
          </a:p>
        </c:txPr>
        <c:crossAx val="60160256"/>
        <c:crosses val="autoZero"/>
        <c:auto val="1"/>
        <c:lblAlgn val="ctr"/>
        <c:lblOffset val="100"/>
        <c:noMultiLvlLbl val="0"/>
      </c:catAx>
      <c:valAx>
        <c:axId val="60160256"/>
        <c:scaling>
          <c:orientation val="minMax"/>
        </c:scaling>
        <c:delete val="1"/>
        <c:axPos val="l"/>
        <c:numFmt formatCode="0.00_ "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60139776"/>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grad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t" anchorCtr="0"/>
          <a:lstStyle/>
          <a:p>
            <a:pPr>
              <a:defRPr lang="zh-CN" sz="1800" b="1" i="0" u="none" strike="noStrike" kern="1200" baseline="0">
                <a:solidFill>
                  <a:srgbClr val="000000"/>
                </a:solidFill>
                <a:latin typeface="AR PL UKai CN"/>
                <a:ea typeface="AR PL UKai CN"/>
                <a:cs typeface="Lucida Sans" panose="020B0602030504020204"/>
              </a:defRPr>
            </a:pPr>
            <a:r>
              <a:rPr lang="zh-CN"/>
              <a:t>收入决算结构图</a:t>
            </a:r>
            <a:endParaRPr lang="zh-CN"/>
          </a:p>
        </c:rich>
      </c:tx>
      <c:layout/>
      <c:overlay val="0"/>
      <c:spPr>
        <a:ln>
          <a:noFill/>
        </a:ln>
      </c:spPr>
    </c:title>
    <c:autoTitleDeleted val="0"/>
    <c:plotArea>
      <c:layout/>
      <c:pieChart>
        <c:varyColors val="1"/>
        <c:ser>
          <c:idx val="1"/>
          <c:order val="0"/>
          <c:spPr>
            <a:ln>
              <a:noFill/>
            </a:ln>
          </c:spPr>
          <c:explosion val="0"/>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Pt>
            <c:idx val="4"/>
            <c:bubble3D val="0"/>
            <c:spPr>
              <a:solidFill>
                <a:srgbClr val="4198AF"/>
              </a:solidFill>
            </c:spPr>
          </c:dPt>
          <c:dPt>
            <c:idx val="5"/>
            <c:bubble3D val="0"/>
            <c:spPr>
              <a:solidFill>
                <a:srgbClr val="DB843D"/>
              </a:solidFill>
            </c:spPr>
          </c:dPt>
          <c:dPt>
            <c:idx val="6"/>
            <c:bubble3D val="0"/>
            <c:spPr>
              <a:solidFill>
                <a:srgbClr val="93A9CF"/>
              </a:solidFill>
            </c:spPr>
          </c:dPt>
          <c:dPt>
            <c:idx val="7"/>
            <c:bubble3D val="0"/>
            <c:spPr>
              <a:solidFill>
                <a:srgbClr val="D19392"/>
              </a:solidFill>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AR PL UKai CN"/>
                    <a:ea typeface="AR PL UKai CN"/>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{"一般公共预算财政拨款收入","政府性基金预算财政拨款收入","国有资本经营预算财政拨款收入","上级补助收入","事业收入","经营收入","附属单位上缴收入","其他收入"}</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{12537102.67,0,0,0,0,0,0,0}</c:f>
              <c:numCache>
                <c:formatCode>General</c:formatCode>
                <c:ptCount val="8"/>
                <c:pt idx="0">
                  <c:v>12537102.67</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rot="0" spcFirstLastPara="0" vertOverflow="ellipsis" vert="horz" wrap="square" anchor="ctr" anchorCtr="1"/>
        <a:lstStyle/>
        <a:p>
          <a:pPr>
            <a:defRPr lang="zh-CN" sz="900" b="0" i="0" u="none" strike="noStrike" kern="1200" baseline="0">
              <a:solidFill>
                <a:srgbClr val="404040"/>
              </a:solidFill>
              <a:latin typeface="AR PL UKai CN"/>
              <a:ea typeface="AR PL UKai CN"/>
              <a:cs typeface="Lucida Sans" panose="020B0602030504020204"/>
            </a:defRPr>
          </a:pPr>
        </a:p>
      </c:txPr>
    </c:legend>
    <c:plotVisOnly val="1"/>
    <c:dispBlanksAs val="zero"/>
    <c:showDLblsOverMax val="0"/>
  </c:chart>
  <c:spPr>
    <a:gradFill rotWithShape="1">
      <a:gsLst>
        <a:gs pos="0">
          <a:srgbClr val="FFFFFF">
            <a:alpha val="100000"/>
          </a:srgbClr>
        </a:gs>
        <a:gs pos="39000">
          <a:srgbClr val="FFFFFF">
            <a:alpha val="100000"/>
          </a:srgbClr>
        </a:gs>
        <a:gs pos="100000">
          <a:srgbClr val="BFBFBF">
            <a:alpha val="100000"/>
          </a:srgbClr>
        </a:gs>
      </a:gsLst>
      <a:path path="circle">
        <a:fillToRect l="100000" t="100000"/>
      </a:path>
      <a:tileRect r="-100000" b="-100000"/>
    </a:gradFill>
    <a:ln w="6350" cap="flat" cmpd="sng" algn="ctr">
      <a:solidFill>
        <a:srgbClr val="BFBFBF"/>
      </a:solidFill>
      <a:prstDash val="solid"/>
      <a:round/>
    </a:ln>
  </c:spPr>
  <c:txPr>
    <a:bodyPr/>
    <a:lstStyle/>
    <a:p>
      <a:pPr>
        <a:defRPr lang="zh-CN" sz="1000" b="0" i="0" u="none" strike="noStrike" baseline="0">
          <a:solidFill>
            <a:srgbClr val="000000"/>
          </a:solidFill>
          <a:latin typeface="AR PL UKai CN"/>
          <a:ea typeface="AR PL UKai CN"/>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c:f>
              <c:strCache>
                <c:ptCount val="1"/>
                <c:pt idx="0">
                  <c:v>基本支出</c:v>
                </c:pt>
              </c:strCache>
            </c:strRef>
          </c:cat>
          <c:val>
            <c:numRef>
              <c:f>Sheet1!$B$2</c:f>
              <c:numCache>
                <c:formatCode>0.00_ </c:formatCode>
                <c:ptCount val="1"/>
                <c:pt idx="0">
                  <c:v>20.6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02494021182098"/>
          <c:y val="0.0122599100939926"/>
          <c:w val="0.862378167641326"/>
          <c:h val="0.826013513513513"/>
        </c:manualLayout>
      </c:layout>
      <c:barChart>
        <c:barDir val="col"/>
        <c:grouping val="clustered"/>
        <c:varyColors val="0"/>
        <c:ser>
          <c:idx val="0"/>
          <c:order val="0"/>
          <c:tx>
            <c:strRef>
              <c:f>Sheet1!$B$1</c:f>
              <c:strCache>
                <c:ptCount val="1"/>
                <c:pt idx="0">
                  <c:v>金额</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2024年支出</c:v>
                </c:pt>
                <c:pt idx="2">
                  <c:v>2025年收入</c:v>
                </c:pt>
                <c:pt idx="3">
                  <c:v>2025年支出</c:v>
                </c:pt>
              </c:strCache>
            </c:strRef>
          </c:cat>
          <c:val>
            <c:numRef>
              <c:f>Sheet1!$B$2:$B$5</c:f>
              <c:numCache>
                <c:formatCode>0.00_ </c:formatCode>
                <c:ptCount val="4"/>
                <c:pt idx="0">
                  <c:v>22.61</c:v>
                </c:pt>
                <c:pt idx="1">
                  <c:v>22.61</c:v>
                </c:pt>
                <c:pt idx="2">
                  <c:v>24.5</c:v>
                </c:pt>
                <c:pt idx="3">
                  <c:v>24.5</c:v>
                </c:pt>
              </c:numCache>
            </c:numRef>
          </c:val>
        </c:ser>
        <c:dLbls>
          <c:showLegendKey val="0"/>
          <c:showVal val="1"/>
          <c:showCatName val="0"/>
          <c:showSerName val="0"/>
          <c:showPercent val="0"/>
          <c:showBubbleSize val="0"/>
        </c:dLbls>
        <c:gapWidth val="219"/>
        <c:overlap val="-27"/>
        <c:axId val="60139776"/>
        <c:axId val="60160256"/>
      </c:barChart>
      <c:catAx>
        <c:axId val="601397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60256"/>
        <c:crosses val="autoZero"/>
        <c:auto val="1"/>
        <c:lblAlgn val="ctr"/>
        <c:lblOffset val="100"/>
        <c:noMultiLvlLbl val="0"/>
      </c:catAx>
      <c:valAx>
        <c:axId val="60160256"/>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3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044014827368"/>
          <c:y val="0.0402424242424242"/>
          <c:w val="0.862378167641326"/>
          <c:h val="0.826013513513513"/>
        </c:manualLayout>
      </c:layout>
      <c:barChart>
        <c:barDir val="col"/>
        <c:grouping val="clustered"/>
        <c:varyColors val="0"/>
        <c:ser>
          <c:idx val="0"/>
          <c:order val="0"/>
          <c:tx>
            <c:strRef>
              <c:f>Sheet1!$B$1</c:f>
              <c:strCache>
                <c:ptCount val="1"/>
                <c:pt idx="0">
                  <c:v>金额</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0.00_ </c:formatCode>
                <c:ptCount val="2"/>
                <c:pt idx="0">
                  <c:v>22.61</c:v>
                </c:pt>
                <c:pt idx="1">
                  <c:v>24.5</c:v>
                </c:pt>
              </c:numCache>
            </c:numRef>
          </c:val>
        </c:ser>
        <c:dLbls>
          <c:showLegendKey val="0"/>
          <c:showVal val="1"/>
          <c:showCatName val="0"/>
          <c:showSerName val="0"/>
          <c:showPercent val="0"/>
          <c:showBubbleSize val="0"/>
        </c:dLbls>
        <c:gapWidth val="75"/>
        <c:axId val="60139776"/>
        <c:axId val="60160256"/>
      </c:barChart>
      <c:catAx>
        <c:axId val="60139776"/>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0160256"/>
        <c:crosses val="autoZero"/>
        <c:auto val="1"/>
        <c:lblAlgn val="ctr"/>
        <c:lblOffset val="100"/>
        <c:noMultiLvlLbl val="0"/>
      </c:catAx>
      <c:valAx>
        <c:axId val="60160256"/>
        <c:scaling>
          <c:orientation val="minMax"/>
        </c:scaling>
        <c:delete val="0"/>
        <c:axPos val="l"/>
        <c:numFmt formatCode="0.00_ "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013977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金额</c:v>
                </c:pt>
              </c:strCache>
            </c:strRef>
          </c:tx>
          <c:explosion val="0"/>
          <c:dPt>
            <c:idx val="0"/>
            <c:bubble3D val="0"/>
          </c:dPt>
          <c:dPt>
            <c:idx val="1"/>
            <c:bubble3D val="0"/>
          </c:dPt>
          <c:dPt>
            <c:idx val="2"/>
            <c:bubble3D val="0"/>
          </c:dPt>
          <c:dPt>
            <c:idx val="3"/>
            <c:bubble3D val="0"/>
          </c:dPt>
          <c:dLbls>
            <c:delete val="1"/>
          </c:dLbls>
          <c:cat>
            <c:strRef>
              <c:f>Sheet1!$A$2:$A$5</c:f>
              <c:strCache>
                <c:ptCount val="4"/>
                <c:pt idx="0">
                  <c:v>其他科学技术支出73.1%</c:v>
                </c:pt>
                <c:pt idx="1">
                  <c:v>社会保障和就业支出14.2%</c:v>
                </c:pt>
                <c:pt idx="2">
                  <c:v>卫生健康支出5.1%</c:v>
                </c:pt>
                <c:pt idx="3">
                  <c:v>住房保障支出7.6%</c:v>
                </c:pt>
              </c:strCache>
            </c:strRef>
          </c:cat>
          <c:val>
            <c:numRef>
              <c:f>Sheet1!$B$2:$B$5</c:f>
              <c:numCache>
                <c:formatCode>0.00_ </c:formatCode>
                <c:ptCount val="4"/>
                <c:pt idx="0">
                  <c:v>17.91</c:v>
                </c:pt>
                <c:pt idx="1">
                  <c:v>3.47</c:v>
                </c:pt>
                <c:pt idx="2">
                  <c:v>1.26</c:v>
                </c:pt>
                <c:pt idx="3">
                  <c:v>1.87</c:v>
                </c:pt>
              </c:numCache>
            </c:numRef>
          </c:val>
        </c:ser>
        <c:ser>
          <c:idx val="1"/>
          <c:order val="1"/>
          <c:tx>
            <c:strRef>
              <c:f>Sheet1!#REF!</c:f>
              <c:strCache>
                <c:ptCount val="1"/>
                <c:pt idx="0">
                  <c:v/>
                </c:pt>
              </c:strCache>
            </c:strRef>
          </c:tx>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其他科学技术支出73.1%</c:v>
                </c:pt>
                <c:pt idx="1">
                  <c:v>社会保障和就业支出14.2%</c:v>
                </c:pt>
                <c:pt idx="2">
                  <c:v>卫生健康支出5.1%</c:v>
                </c:pt>
                <c:pt idx="3">
                  <c:v>住房保障支出7.6%</c:v>
                </c:pt>
              </c:strCache>
            </c:strRef>
          </c:cat>
          <c:val>
            <c:numRef>
              <c:f>Sheet1!#REF!</c:f>
              <c:numCache>
                <c:formatCode>General</c:formatCode>
                <c:ptCount val="1"/>
                <c:pt idx="0">
                  <c:v>1</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677238456312652"/>
          <c:y val="0.0841256735616201"/>
          <c:w val="0.318076239923487"/>
          <c:h val="0.86161567877629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22</Pages>
  <Words>6496</Words>
  <Characters>6979</Characters>
  <Lines>441</Lines>
  <Paragraphs>193</Paragraphs>
  <TotalTime>1</TotalTime>
  <ScaleCrop>false</ScaleCrop>
  <LinksUpToDate>false</LinksUpToDate>
  <CharactersWithSpaces>7117</CharactersWithSpaces>
  <Application>WPS Office_11.8.2.12128_F1E327BC-269C-435d-A152-05C5408002CA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2022-09-03T09:31:00Z</dcterms:created>
  <dc:creator>lgk</dc:creator>
  <cp:lastModifiedBy>user</cp:lastModifiedBy>
  <cp:lastPrinted>2026-09-03T08:16:00Z</cp:lastPrinted>
  <dcterms:modified xsi:type="dcterms:W3CDTF">2026-09-01T16:37:41Z</dcterms:modified>
  <dc:title>四川省决算编制说明</dc:title>
  <cp:revision>303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58623B47BD294E14A600AB92A114339E_13</vt:lpwstr>
  </property>
  <property fmtid="{D5CDD505-2E9C-101B-9397-08002B2CF9AE}" pid="4" name="KSOTemplateDocerSaveRecord">
    <vt:lpwstr>eyJoZGlkIjoiNWM4OTcyNjZiNjMwYmNhZjVlZTVhMTE3YWMyNGZhNDkiLCJ1c2VySWQiOiI1MDcwMjE3NzkifQ==</vt:lpwstr>
  </property>
</Properties>
</file>