
<file path=[Content_Types].xml><?xml version="1.0" encoding="utf-8"?>
<Types xmlns="http://schemas.openxmlformats.org/package/2006/content-types">
  <Default Extension="xlsx" ContentType="application/vnd.openxmlformats-officedocument.spreadsheetml.sheet"/>
  <Default Extension="bin" ContentType="application/vnd.openxmlformats-officedocument.oleObjec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2891" w:hanging="2891" w:hangingChars="400"/>
        <w:rPr>
          <w:rFonts w:hint="default" w:ascii="Nimbus Roman" w:hAnsi="Nimbus Roman" w:eastAsia="方正黑体_GBK" w:cs="Nimbus Roman"/>
          <w:b/>
          <w:sz w:val="72"/>
          <w:szCs w:val="72"/>
        </w:rPr>
      </w:pPr>
      <w:bookmarkStart w:id="0" w:name="_Toc15378441"/>
      <w:bookmarkStart w:id="1" w:name="_Toc15377193"/>
      <w:bookmarkStart w:id="2" w:name="_Toc15396597"/>
      <w:bookmarkStart w:id="3" w:name="_Toc15377425"/>
      <w:bookmarkStart w:id="4" w:name="_Toc15396475"/>
      <w:bookmarkStart w:id="5" w:name="_Toc15306267"/>
      <w:r>
        <w:rPr>
          <w:rFonts w:hint="eastAsia" w:ascii="宋体"/>
          <w:b/>
          <w:sz w:val="72"/>
          <w:szCs w:val="72"/>
          <w:lang w:val="en-US" w:eastAsia="zh-CN"/>
        </w:rPr>
        <w:t xml:space="preserve">                                                                                                                                                                                                                                                                                                                                                                                                                                                                                                                                                                                                                                                                                                                                                                                                                                                                                                                                                                                                                                                              </w:t>
      </w:r>
      <w:r>
        <w:rPr>
          <w:rFonts w:hint="default" w:ascii="Nimbus Roman" w:hAnsi="Nimbus Roman" w:eastAsia="方正黑体_GBK" w:cs="Nimbus Roman"/>
          <w:b/>
          <w:sz w:val="72"/>
          <w:szCs w:val="72"/>
        </w:rPr>
        <w:t>202</w:t>
      </w:r>
      <w:r>
        <w:rPr>
          <w:rFonts w:hint="default" w:ascii="Nimbus Roman" w:hAnsi="Nimbus Roman" w:eastAsia="方正黑体_GBK" w:cs="Nimbus Roman"/>
          <w:b/>
          <w:sz w:val="72"/>
          <w:szCs w:val="72"/>
          <w:lang w:val="en-US" w:eastAsia="zh-CN"/>
        </w:rPr>
        <w:t>5</w:t>
      </w:r>
      <w:r>
        <w:rPr>
          <w:rFonts w:hint="default" w:ascii="Nimbus Roman" w:hAnsi="Nimbus Roman" w:eastAsia="方正黑体_GBK" w:cs="Nimbus Roman"/>
          <w:b/>
          <w:sz w:val="72"/>
          <w:szCs w:val="72"/>
        </w:rPr>
        <w:t>年度</w:t>
      </w:r>
      <w:bookmarkEnd w:id="0"/>
      <w:bookmarkEnd w:id="1"/>
      <w:bookmarkEnd w:id="2"/>
      <w:bookmarkEnd w:id="3"/>
      <w:bookmarkEnd w:id="4"/>
    </w:p>
    <w:p>
      <w:pPr>
        <w:jc w:val="center"/>
        <w:rPr>
          <w:rFonts w:hint="default" w:ascii="Nimbus Roman" w:hAnsi="Nimbus Roman" w:eastAsia="方正黑体_GBK" w:cs="Nimbus Roman"/>
          <w:b/>
          <w:sz w:val="72"/>
          <w:szCs w:val="72"/>
        </w:rPr>
      </w:pPr>
      <w:r>
        <w:rPr>
          <w:rFonts w:hint="default" w:ascii="Nimbus Roman" w:hAnsi="Nimbus Roman" w:eastAsia="方正黑体_GBK" w:cs="Nimbus Roman"/>
          <w:b/>
          <w:sz w:val="72"/>
          <w:szCs w:val="72"/>
          <w:lang w:eastAsia="zh-CN"/>
        </w:rPr>
        <w:t>四川省</w:t>
      </w:r>
      <w:bookmarkEnd w:id="5"/>
      <w:bookmarkStart w:id="6" w:name="_Toc15377194"/>
      <w:bookmarkStart w:id="7" w:name="_Toc15396476"/>
      <w:bookmarkStart w:id="8" w:name="_Toc15378442"/>
      <w:bookmarkStart w:id="9" w:name="_Toc15306268"/>
      <w:bookmarkStart w:id="10" w:name="_Toc15377426"/>
      <w:bookmarkStart w:id="11" w:name="_Toc15396598"/>
      <w:r>
        <w:rPr>
          <w:rFonts w:hint="default" w:ascii="Nimbus Roman" w:hAnsi="Nimbus Roman" w:eastAsia="方正黑体_GBK" w:cs="Nimbus Roman"/>
          <w:b/>
          <w:sz w:val="72"/>
          <w:szCs w:val="72"/>
        </w:rPr>
        <w:t>阿坝州茂县</w:t>
      </w:r>
      <w:r>
        <w:rPr>
          <w:rFonts w:hint="default" w:ascii="Nimbus Roman" w:hAnsi="Nimbus Roman" w:eastAsia="方正黑体_GBK" w:cs="Nimbus Roman"/>
          <w:b/>
          <w:sz w:val="72"/>
          <w:szCs w:val="72"/>
          <w:lang w:eastAsia="zh-CN"/>
        </w:rPr>
        <w:t>党史研究和地方志编纂中心单位</w:t>
      </w:r>
      <w:r>
        <w:rPr>
          <w:rFonts w:hint="default" w:ascii="Nimbus Roman" w:hAnsi="Nimbus Roman" w:eastAsia="方正黑体_GBK" w:cs="Nimbus Roman"/>
          <w:b/>
          <w:sz w:val="72"/>
          <w:szCs w:val="72"/>
        </w:rPr>
        <w:t>决算</w:t>
      </w:r>
      <w:bookmarkEnd w:id="6"/>
      <w:bookmarkEnd w:id="7"/>
      <w:bookmarkEnd w:id="8"/>
      <w:bookmarkEnd w:id="9"/>
      <w:bookmarkEnd w:id="10"/>
      <w:bookmarkEnd w:id="11"/>
    </w:p>
    <w:p>
      <w:pPr>
        <w:pStyle w:val="16"/>
        <w:ind w:left="0" w:leftChars="0" w:firstLine="0" w:firstLineChars="0"/>
        <w:jc w:val="center"/>
        <w:rPr>
          <w:rFonts w:hint="default" w:ascii="Nimbus Roman" w:hAnsi="Nimbus Roman" w:eastAsia="方正黑体_GBK" w:cs="Nimbus Roman"/>
          <w:lang w:val="en-US" w:eastAsia="zh-CN"/>
        </w:rPr>
      </w:pPr>
      <w:r>
        <w:rPr>
          <w:rFonts w:hint="default" w:ascii="Nimbus Roman" w:hAnsi="Nimbus Roman" w:eastAsia="方正黑体_GBK" w:cs="Nimbus Roman"/>
          <w:b/>
          <w:sz w:val="72"/>
          <w:szCs w:val="72"/>
          <w:lang w:val="en-US" w:eastAsia="zh-CN"/>
        </w:rPr>
        <w:t>（本级）</w:t>
      </w:r>
    </w:p>
    <w:p>
      <w:pPr>
        <w:pStyle w:val="7"/>
        <w:rPr>
          <w:rFonts w:hint="default" w:ascii="Nimbus Roman" w:hAnsi="Nimbus Roman" w:eastAsia="方正黑体_GBK" w:cs="Nimbus Roman"/>
        </w:rPr>
      </w:pPr>
    </w:p>
    <w:p>
      <w:pPr>
        <w:pStyle w:val="7"/>
        <w:rPr>
          <w:rFonts w:hint="default" w:ascii="Nimbus Roman" w:hAnsi="Nimbus Roman" w:eastAsia="方正黑体_GBK" w:cs="Nimbus Roman"/>
        </w:rPr>
      </w:pPr>
    </w:p>
    <w:p>
      <w:pPr>
        <w:pStyle w:val="7"/>
      </w:pPr>
    </w:p>
    <w:p>
      <w:pPr>
        <w:pStyle w:val="7"/>
      </w:pPr>
    </w:p>
    <w:p>
      <w:pPr>
        <w:pStyle w:val="7"/>
      </w:pPr>
    </w:p>
    <w:p>
      <w:pPr>
        <w:pStyle w:val="7"/>
      </w:pPr>
    </w:p>
    <w:p>
      <w:pPr>
        <w:pStyle w:val="7"/>
      </w:pPr>
    </w:p>
    <w:p>
      <w:pPr>
        <w:pStyle w:val="7"/>
      </w:pPr>
    </w:p>
    <w:p>
      <w:pPr>
        <w:pStyle w:val="7"/>
      </w:pPr>
    </w:p>
    <w:p>
      <w:pPr>
        <w:pStyle w:val="7"/>
        <w:tabs>
          <w:tab w:val="left" w:pos="3600"/>
        </w:tabs>
      </w:pPr>
      <w:r>
        <w:tab/>
      </w:r>
    </w:p>
    <w:p>
      <w:pPr>
        <w:pStyle w:val="7"/>
      </w:pPr>
    </w:p>
    <w:p>
      <w:pPr>
        <w:pStyle w:val="7"/>
      </w:pPr>
    </w:p>
    <w:p>
      <w:pPr>
        <w:pStyle w:val="7"/>
      </w:pPr>
    </w:p>
    <w:p>
      <w:pPr>
        <w:pStyle w:val="7"/>
      </w:pPr>
    </w:p>
    <w:p>
      <w:pPr>
        <w:pStyle w:val="7"/>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备注：决算情况说明按决算公开表取数，以“万元”为金额单位，保留两位小数，报表金额单位转换时可能存在尾数误差。</w:t>
      </w:r>
    </w:p>
    <w:p>
      <w:pPr>
        <w:pStyle w:val="7"/>
      </w:pPr>
    </w:p>
    <w:p>
      <w:pPr>
        <w:pStyle w:val="7"/>
      </w:pPr>
    </w:p>
    <w:p>
      <w:pPr>
        <w:widowControl/>
        <w:jc w:val="center"/>
        <w:rPr>
          <w:rFonts w:ascii="黑体" w:hAnsi="黑体" w:eastAsia="黑体"/>
          <w:color w:val="000000"/>
          <w:sz w:val="48"/>
          <w:szCs w:val="48"/>
        </w:rPr>
      </w:pPr>
      <w:r>
        <w:rPr>
          <w:rFonts w:ascii="方正小标宋简体" w:eastAsia="方正小标宋简体"/>
          <w:color w:val="000000"/>
          <w:sz w:val="36"/>
          <w:szCs w:val="36"/>
        </w:rPr>
        <w:br w:type="page"/>
      </w:r>
      <w:r>
        <w:rPr>
          <w:rFonts w:hint="eastAsia" w:ascii="黑体" w:hAnsi="黑体" w:eastAsia="黑体"/>
          <w:color w:val="000000"/>
          <w:sz w:val="48"/>
          <w:szCs w:val="48"/>
        </w:rPr>
        <w:t>目</w:t>
      </w:r>
      <w:r>
        <w:rPr>
          <w:rFonts w:ascii="黑体" w:hAnsi="黑体" w:eastAsia="黑体"/>
          <w:color w:val="000000"/>
          <w:sz w:val="48"/>
          <w:szCs w:val="48"/>
        </w:rPr>
        <w:t xml:space="preserve"> </w:t>
      </w:r>
      <w:r>
        <w:rPr>
          <w:rFonts w:hint="eastAsia" w:ascii="黑体" w:hAnsi="黑体" w:eastAsia="黑体"/>
          <w:color w:val="000000"/>
          <w:sz w:val="48"/>
          <w:szCs w:val="48"/>
        </w:rPr>
        <w:t>录</w:t>
      </w:r>
    </w:p>
    <w:p>
      <w:pPr>
        <w:pStyle w:val="15"/>
        <w:jc w:val="center"/>
        <w:rPr>
          <w:rFonts w:hint="eastAsia" w:ascii="宋体" w:hAnsi="Times New Roman" w:eastAsia="宋体" w:cs="Times New Roman"/>
          <w:b/>
          <w:bCs/>
          <w:kern w:val="2"/>
          <w:sz w:val="24"/>
          <w:szCs w:val="24"/>
          <w:lang w:val="en-US" w:eastAsia="zh-CN" w:bidi="ar-SA"/>
        </w:rPr>
      </w:pPr>
      <w:r>
        <w:rPr>
          <w:rFonts w:hint="eastAsia" w:ascii="宋体" w:hAnsi="Times New Roman" w:eastAsia="宋体" w:cs="Times New Roman"/>
          <w:b/>
          <w:bCs/>
          <w:kern w:val="2"/>
          <w:sz w:val="24"/>
          <w:szCs w:val="24"/>
          <w:lang w:val="en-US" w:eastAsia="zh-CN" w:bidi="ar-SA"/>
        </w:rPr>
        <w:t>公开时间：2026年9月4日</w:t>
      </w:r>
    </w:p>
    <w:p>
      <w:pPr>
        <w:pStyle w:val="15"/>
        <w:bidi w:val="0"/>
        <w:jc w:val="center"/>
        <w:rPr>
          <w:rFonts w:hint="eastAsia" w:ascii="Nimbus Roman" w:hAnsi="Nimbus Roman" w:cs="Nimbus Roman"/>
          <w:b/>
          <w:bCs/>
          <w:lang w:eastAsia="zh-CN"/>
        </w:rPr>
      </w:pPr>
      <w:r>
        <w:rPr>
          <w:rFonts w:hint="eastAsia" w:ascii="Nimbus Roman" w:hAnsi="Nimbus Roman" w:cs="Nimbus Roman"/>
          <w:b/>
          <w:bCs/>
        </w:rPr>
        <w:fldChar w:fldCharType="begin"/>
      </w:r>
      <w:r>
        <w:rPr>
          <w:rFonts w:hint="eastAsia" w:ascii="Nimbus Roman" w:hAnsi="Nimbus Roman" w:cs="Nimbus Roman"/>
          <w:b/>
          <w:bCs/>
        </w:rPr>
        <w:instrText xml:space="preserve"> TOC \o \u </w:instrText>
      </w:r>
      <w:r>
        <w:rPr>
          <w:rFonts w:hint="eastAsia" w:ascii="Nimbus Roman" w:hAnsi="Nimbus Roman" w:cs="Nimbus Roman"/>
          <w:b/>
          <w:bCs/>
        </w:rPr>
        <w:fldChar w:fldCharType="separate"/>
      </w:r>
      <w:r>
        <w:rPr>
          <w:rFonts w:hint="eastAsia" w:ascii="方正黑体_GBK" w:hAnsi="方正黑体_GBK" w:eastAsia="方正黑体_GBK" w:cs="方正黑体_GBK"/>
          <w:b/>
          <w:bCs/>
        </w:rPr>
        <w:t>第一部分 部门概况</w:t>
      </w:r>
      <w:r>
        <w:rPr>
          <w:rFonts w:hint="eastAsia" w:ascii="Nimbus Roman" w:hAnsi="Nimbus Roman" w:cs="Nimbus Roman"/>
          <w:b/>
          <w:bCs/>
        </w:rPr>
        <w:tab/>
      </w:r>
      <w:r>
        <w:rPr>
          <w:rFonts w:hint="eastAsia" w:ascii="Nimbus Roman" w:hAnsi="Nimbus Roman" w:cs="Nimbus Roman"/>
          <w:b/>
          <w:bCs/>
          <w:lang w:val="en-US" w:eastAsia="zh-CN"/>
        </w:rPr>
        <w:t>5</w:t>
      </w:r>
    </w:p>
    <w:p>
      <w:pPr>
        <w:pStyle w:val="15"/>
        <w:bidi w:val="0"/>
        <w:jc w:val="center"/>
        <w:rPr>
          <w:rFonts w:hint="eastAsia" w:ascii="Nimbus Roman" w:hAnsi="Nimbus Roman" w:cs="Nimbus Roman"/>
          <w:b/>
          <w:bCs/>
          <w:lang w:eastAsia="zh-CN"/>
        </w:rPr>
      </w:pPr>
      <w:r>
        <w:rPr>
          <w:rFonts w:hint="eastAsia" w:ascii="Nimbus Roman" w:hAnsi="Nimbus Roman" w:cs="Nimbus Roman"/>
          <w:b/>
          <w:bCs/>
          <w:lang w:val="en-US" w:eastAsia="zh-CN"/>
        </w:rPr>
        <w:t xml:space="preserve">    </w:t>
      </w:r>
      <w:r>
        <w:rPr>
          <w:rFonts w:hint="eastAsia" w:ascii="Nimbus Roman" w:hAnsi="Nimbus Roman" w:cs="Nimbus Roman"/>
          <w:b w:val="0"/>
          <w:bCs w:val="0"/>
        </w:rPr>
        <w:t>一</w:t>
      </w:r>
      <w:r>
        <w:rPr>
          <w:rFonts w:hint="eastAsia" w:ascii="Nimbus Roman" w:hAnsi="Nimbus Roman" w:cs="Nimbus Roman"/>
          <w:b w:val="0"/>
          <w:bCs w:val="0"/>
          <w:lang w:eastAsia="zh-CN"/>
        </w:rPr>
        <w:t>、部门</w:t>
      </w:r>
      <w:r>
        <w:rPr>
          <w:rFonts w:hint="eastAsia" w:ascii="Nimbus Roman" w:hAnsi="Nimbus Roman" w:cs="Nimbus Roman"/>
          <w:b/>
          <w:bCs/>
          <w:lang w:eastAsia="zh-CN"/>
        </w:rPr>
        <w:t>职责</w:t>
      </w:r>
      <w:r>
        <w:rPr>
          <w:rFonts w:hint="eastAsia" w:ascii="Nimbus Roman" w:hAnsi="Nimbus Roman" w:cs="Nimbus Roman"/>
          <w:b/>
          <w:bCs/>
        </w:rPr>
        <w:tab/>
      </w:r>
      <w:r>
        <w:rPr>
          <w:rFonts w:hint="eastAsia" w:ascii="Nimbus Roman" w:hAnsi="Nimbus Roman" w:cs="Nimbus Roman"/>
          <w:b/>
          <w:bCs/>
          <w:lang w:val="en-US" w:eastAsia="zh-CN"/>
        </w:rPr>
        <w:t>...........5</w:t>
      </w:r>
    </w:p>
    <w:p>
      <w:pPr>
        <w:pStyle w:val="15"/>
        <w:bidi w:val="0"/>
        <w:jc w:val="center"/>
        <w:rPr>
          <w:rFonts w:hint="default" w:ascii="Nimbus Roman" w:hAnsi="Nimbus Roman" w:cs="Nimbus Roman"/>
          <w:b/>
          <w:bCs/>
          <w:lang w:val="en-US" w:eastAsia="zh-CN"/>
        </w:rPr>
      </w:pPr>
      <w:r>
        <w:rPr>
          <w:rFonts w:hint="eastAsia" w:ascii="Nimbus Roman" w:hAnsi="Nimbus Roman" w:cs="Nimbus Roman"/>
          <w:b/>
          <w:bCs/>
          <w:lang w:val="en-US" w:eastAsia="zh-CN"/>
        </w:rPr>
        <w:t xml:space="preserve">    </w:t>
      </w:r>
      <w:r>
        <w:rPr>
          <w:rFonts w:hint="eastAsia" w:ascii="Nimbus Roman" w:hAnsi="Nimbus Roman" w:cs="Nimbus Roman"/>
          <w:b/>
          <w:bCs/>
        </w:rPr>
        <w:t>二、机构设置</w:t>
      </w:r>
      <w:r>
        <w:rPr>
          <w:rFonts w:hint="eastAsia" w:ascii="Nimbus Roman" w:hAnsi="Nimbus Roman" w:cs="Nimbus Roman"/>
          <w:b/>
          <w:bCs/>
        </w:rPr>
        <w:tab/>
      </w:r>
      <w:r>
        <w:rPr>
          <w:rFonts w:hint="eastAsia" w:ascii="Nimbus Roman" w:hAnsi="Nimbus Roman" w:cs="Nimbus Roman"/>
          <w:b/>
          <w:bCs/>
          <w:lang w:val="en-US" w:eastAsia="zh-CN"/>
        </w:rPr>
        <w:t>6</w:t>
      </w:r>
    </w:p>
    <w:p>
      <w:pPr>
        <w:pStyle w:val="15"/>
        <w:bidi w:val="0"/>
        <w:jc w:val="center"/>
        <w:rPr>
          <w:rFonts w:hint="eastAsia" w:ascii="Nimbus Roman" w:hAnsi="Nimbus Roman" w:cs="Nimbus Roman"/>
          <w:b/>
          <w:bCs/>
          <w:lang w:eastAsia="zh-CN"/>
        </w:rPr>
      </w:pPr>
      <w:r>
        <w:rPr>
          <w:rFonts w:hint="eastAsia" w:ascii="方正黑体_GBK" w:hAnsi="方正黑体_GBK" w:eastAsia="方正黑体_GBK" w:cs="方正黑体_GBK"/>
          <w:b/>
          <w:bCs/>
        </w:rPr>
        <w:t>第二部分 202</w:t>
      </w:r>
      <w:r>
        <w:rPr>
          <w:rFonts w:hint="eastAsia" w:ascii="方正黑体_GBK" w:hAnsi="方正黑体_GBK" w:eastAsia="方正黑体_GBK" w:cs="方正黑体_GBK"/>
          <w:b/>
          <w:bCs/>
          <w:lang w:val="en-US" w:eastAsia="zh-CN"/>
        </w:rPr>
        <w:t>5</w:t>
      </w:r>
      <w:r>
        <w:rPr>
          <w:rFonts w:hint="eastAsia" w:ascii="方正黑体_GBK" w:hAnsi="方正黑体_GBK" w:eastAsia="方正黑体_GBK" w:cs="方正黑体_GBK"/>
          <w:b/>
          <w:bCs/>
        </w:rPr>
        <w:t>年度部门决算情况说明</w:t>
      </w:r>
      <w:r>
        <w:rPr>
          <w:rFonts w:hint="eastAsia" w:ascii="Nimbus Roman" w:hAnsi="Nimbus Roman" w:cs="Nimbus Roman"/>
          <w:b/>
          <w:bCs/>
        </w:rPr>
        <w:tab/>
      </w:r>
      <w:r>
        <w:rPr>
          <w:rFonts w:hint="eastAsia" w:ascii="Nimbus Roman" w:hAnsi="Nimbus Roman" w:cs="Nimbus Roman"/>
          <w:b/>
          <w:bCs/>
          <w:lang w:val="en-US" w:eastAsia="zh-CN"/>
        </w:rPr>
        <w:t>7</w:t>
      </w:r>
    </w:p>
    <w:p>
      <w:pPr>
        <w:pStyle w:val="15"/>
        <w:bidi w:val="0"/>
        <w:jc w:val="center"/>
        <w:rPr>
          <w:rFonts w:hint="default" w:ascii="Nimbus Roman" w:hAnsi="Nimbus Roman" w:cs="Nimbus Roman"/>
          <w:b/>
          <w:bCs/>
          <w:lang w:val="en-US" w:eastAsia="zh-CN"/>
        </w:rPr>
      </w:pPr>
      <w:r>
        <w:rPr>
          <w:rFonts w:hint="eastAsia" w:ascii="Nimbus Roman" w:hAnsi="Nimbus Roman" w:cs="Nimbus Roman"/>
          <w:b/>
          <w:bCs/>
          <w:lang w:val="en-US" w:eastAsia="zh-CN"/>
        </w:rPr>
        <w:t xml:space="preserve">    </w:t>
      </w:r>
      <w:r>
        <w:rPr>
          <w:rFonts w:hint="eastAsia" w:ascii="Nimbus Roman" w:hAnsi="Nimbus Roman" w:cs="Nimbus Roman"/>
          <w:b/>
          <w:bCs/>
        </w:rPr>
        <w:t>一、收入支出决算总体情况说明</w:t>
      </w:r>
      <w:r>
        <w:rPr>
          <w:rFonts w:hint="eastAsia" w:ascii="Nimbus Roman" w:hAnsi="Nimbus Roman" w:cs="Nimbus Roman"/>
          <w:b/>
          <w:bCs/>
        </w:rPr>
        <w:tab/>
      </w:r>
      <w:r>
        <w:rPr>
          <w:rFonts w:hint="eastAsia" w:ascii="Nimbus Roman" w:hAnsi="Nimbus Roman" w:cs="Nimbus Roman"/>
          <w:b/>
          <w:bCs/>
          <w:lang w:val="en-US" w:eastAsia="zh-CN"/>
        </w:rPr>
        <w:t>.7</w:t>
      </w:r>
    </w:p>
    <w:p>
      <w:pPr>
        <w:pStyle w:val="15"/>
        <w:bidi w:val="0"/>
        <w:jc w:val="center"/>
        <w:rPr>
          <w:rFonts w:hint="eastAsia" w:ascii="Nimbus Roman" w:hAnsi="Nimbus Roman" w:cs="Nimbus Roman"/>
          <w:b/>
          <w:bCs/>
          <w:lang w:eastAsia="zh-CN"/>
        </w:rPr>
      </w:pPr>
      <w:r>
        <w:rPr>
          <w:rFonts w:hint="eastAsia" w:ascii="Nimbus Roman" w:hAnsi="Nimbus Roman" w:cs="Nimbus Roman"/>
          <w:b/>
          <w:bCs/>
          <w:lang w:val="en-US" w:eastAsia="zh-CN"/>
        </w:rPr>
        <w:t xml:space="preserve">    </w:t>
      </w:r>
      <w:r>
        <w:rPr>
          <w:rFonts w:hint="eastAsia" w:ascii="Nimbus Roman" w:hAnsi="Nimbus Roman" w:cs="Nimbus Roman"/>
          <w:b/>
          <w:bCs/>
        </w:rPr>
        <w:t>二、收入决算情况说明</w:t>
      </w:r>
      <w:r>
        <w:rPr>
          <w:rFonts w:hint="eastAsia" w:ascii="Nimbus Roman" w:hAnsi="Nimbus Roman" w:cs="Nimbus Roman"/>
          <w:b/>
          <w:bCs/>
        </w:rPr>
        <w:tab/>
      </w:r>
      <w:r>
        <w:rPr>
          <w:rFonts w:hint="eastAsia" w:ascii="Nimbus Roman" w:hAnsi="Nimbus Roman" w:cs="Nimbus Roman"/>
          <w:b/>
          <w:bCs/>
          <w:lang w:val="en-US" w:eastAsia="zh-CN"/>
        </w:rPr>
        <w:t>7</w:t>
      </w:r>
    </w:p>
    <w:p>
      <w:pPr>
        <w:pStyle w:val="15"/>
        <w:bidi w:val="0"/>
        <w:jc w:val="center"/>
        <w:rPr>
          <w:rFonts w:hint="eastAsia" w:ascii="Nimbus Roman" w:hAnsi="Nimbus Roman" w:cs="Nimbus Roman"/>
          <w:b/>
          <w:bCs/>
          <w:lang w:val="en-US" w:eastAsia="zh-CN"/>
        </w:rPr>
      </w:pPr>
      <w:r>
        <w:rPr>
          <w:rFonts w:hint="eastAsia" w:ascii="Nimbus Roman" w:hAnsi="Nimbus Roman" w:cs="Nimbus Roman"/>
          <w:b/>
          <w:bCs/>
          <w:lang w:val="en-US" w:eastAsia="zh-CN"/>
        </w:rPr>
        <w:t xml:space="preserve">    </w:t>
      </w:r>
      <w:r>
        <w:rPr>
          <w:rFonts w:hint="eastAsia" w:ascii="Nimbus Roman" w:hAnsi="Nimbus Roman" w:cs="Nimbus Roman"/>
          <w:b/>
          <w:bCs/>
        </w:rPr>
        <w:t>三、支出决算情况说明</w:t>
      </w:r>
      <w:r>
        <w:rPr>
          <w:rFonts w:hint="eastAsia" w:ascii="Nimbus Roman" w:hAnsi="Nimbus Roman" w:cs="Nimbus Roman"/>
          <w:b/>
          <w:bCs/>
        </w:rPr>
        <w:tab/>
      </w:r>
      <w:r>
        <w:rPr>
          <w:rFonts w:hint="eastAsia" w:ascii="Nimbus Roman" w:hAnsi="Nimbus Roman" w:cs="Nimbus Roman"/>
          <w:b/>
          <w:bCs/>
          <w:lang w:val="en-US" w:eastAsia="zh-CN"/>
        </w:rPr>
        <w:t>8</w:t>
      </w:r>
    </w:p>
    <w:p>
      <w:pPr>
        <w:pStyle w:val="15"/>
        <w:bidi w:val="0"/>
        <w:jc w:val="center"/>
        <w:rPr>
          <w:rFonts w:hint="default" w:ascii="Nimbus Roman" w:hAnsi="Nimbus Roman" w:cs="Nimbus Roman"/>
          <w:b/>
          <w:bCs/>
          <w:lang w:val="en-US" w:eastAsia="zh-CN"/>
        </w:rPr>
      </w:pPr>
      <w:r>
        <w:rPr>
          <w:rFonts w:hint="eastAsia" w:ascii="Nimbus Roman" w:hAnsi="Nimbus Roman" w:cs="Nimbus Roman"/>
          <w:b/>
          <w:bCs/>
          <w:lang w:val="en-US" w:eastAsia="zh-CN"/>
        </w:rPr>
        <w:t xml:space="preserve">    </w:t>
      </w:r>
      <w:r>
        <w:rPr>
          <w:rFonts w:hint="eastAsia" w:ascii="Nimbus Roman" w:hAnsi="Nimbus Roman" w:cs="Nimbus Roman"/>
          <w:b/>
          <w:bCs/>
        </w:rPr>
        <w:t>四、财政拨款收入支出决算总体情况说明</w:t>
      </w:r>
      <w:r>
        <w:rPr>
          <w:rFonts w:hint="eastAsia" w:ascii="Nimbus Roman" w:hAnsi="Nimbus Roman" w:cs="Nimbus Roman"/>
          <w:b/>
          <w:bCs/>
        </w:rPr>
        <w:tab/>
      </w:r>
      <w:r>
        <w:rPr>
          <w:rFonts w:hint="eastAsia" w:ascii="Nimbus Roman" w:hAnsi="Nimbus Roman" w:cs="Nimbus Roman"/>
          <w:b/>
          <w:bCs/>
          <w:lang w:val="en-US" w:eastAsia="zh-CN"/>
        </w:rPr>
        <w:t>8</w:t>
      </w:r>
    </w:p>
    <w:p>
      <w:pPr>
        <w:pStyle w:val="15"/>
        <w:bidi w:val="0"/>
        <w:jc w:val="center"/>
        <w:rPr>
          <w:rFonts w:hint="default" w:ascii="Nimbus Roman" w:hAnsi="Nimbus Roman" w:eastAsia="仿宋" w:cs="Nimbus Roman"/>
          <w:b/>
          <w:bCs/>
          <w:lang w:val="en-US" w:eastAsia="zh-CN"/>
        </w:rPr>
      </w:pPr>
      <w:r>
        <w:rPr>
          <w:rFonts w:hint="eastAsia" w:ascii="Nimbus Roman" w:hAnsi="Nimbus Roman" w:cs="Nimbus Roman"/>
          <w:b/>
          <w:bCs/>
          <w:lang w:val="en-US" w:eastAsia="zh-CN"/>
        </w:rPr>
        <w:t xml:space="preserve">    </w:t>
      </w:r>
      <w:r>
        <w:rPr>
          <w:rFonts w:hint="eastAsia" w:ascii="Nimbus Roman" w:hAnsi="Nimbus Roman" w:cs="Nimbus Roman"/>
          <w:b/>
          <w:bCs/>
        </w:rPr>
        <w:t>五、一般公共预算财政拨款支出决算情况说明</w:t>
      </w:r>
      <w:r>
        <w:rPr>
          <w:rFonts w:hint="eastAsia" w:ascii="Nimbus Roman" w:hAnsi="Nimbus Roman" w:cs="Nimbus Roman"/>
          <w:b/>
          <w:bCs/>
        </w:rPr>
        <w:tab/>
      </w:r>
      <w:r>
        <w:rPr>
          <w:rFonts w:hint="eastAsia" w:ascii="Nimbus Roman" w:hAnsi="Nimbus Roman" w:cs="Nimbus Roman"/>
          <w:b/>
          <w:bCs/>
          <w:lang w:val="en-US" w:eastAsia="zh-CN"/>
        </w:rPr>
        <w:t>9</w:t>
      </w:r>
    </w:p>
    <w:p>
      <w:pPr>
        <w:pStyle w:val="15"/>
        <w:bidi w:val="0"/>
        <w:jc w:val="center"/>
        <w:rPr>
          <w:rFonts w:hint="default" w:ascii="Nimbus Roman" w:hAnsi="Nimbus Roman" w:eastAsia="仿宋" w:cs="Nimbus Roman"/>
          <w:b/>
          <w:bCs/>
          <w:lang w:val="en-US" w:eastAsia="zh-CN"/>
        </w:rPr>
      </w:pPr>
      <w:r>
        <w:rPr>
          <w:rFonts w:hint="eastAsia" w:ascii="Nimbus Roman" w:hAnsi="Nimbus Roman" w:cs="Nimbus Roman"/>
          <w:b/>
          <w:bCs/>
          <w:lang w:val="en-US" w:eastAsia="zh-CN"/>
        </w:rPr>
        <w:t xml:space="preserve">   </w:t>
      </w:r>
      <w:r>
        <w:rPr>
          <w:rFonts w:hint="eastAsia" w:ascii="Nimbus Roman" w:hAnsi="Nimbus Roman" w:cs="Nimbus Roman"/>
          <w:b/>
          <w:bCs/>
        </w:rPr>
        <w:t>（一）一般公共预算财政拨款支出决算总体情况</w:t>
      </w:r>
      <w:r>
        <w:rPr>
          <w:rFonts w:hint="eastAsia" w:ascii="Nimbus Roman" w:hAnsi="Nimbus Roman" w:cs="Nimbus Roman"/>
          <w:b/>
          <w:bCs/>
        </w:rPr>
        <w:tab/>
      </w:r>
      <w:r>
        <w:rPr>
          <w:rFonts w:hint="eastAsia" w:ascii="Nimbus Roman" w:hAnsi="Nimbus Roman" w:cs="Nimbus Roman"/>
          <w:b/>
          <w:bCs/>
          <w:lang w:val="en-US" w:eastAsia="zh-CN"/>
        </w:rPr>
        <w:t>9</w:t>
      </w:r>
    </w:p>
    <w:p>
      <w:pPr>
        <w:pStyle w:val="15"/>
        <w:bidi w:val="0"/>
        <w:jc w:val="center"/>
        <w:rPr>
          <w:rFonts w:hint="default" w:ascii="Nimbus Roman" w:hAnsi="Nimbus Roman" w:eastAsia="仿宋" w:cs="Nimbus Roman"/>
          <w:b/>
          <w:bCs/>
          <w:lang w:val="en-US" w:eastAsia="zh-CN"/>
        </w:rPr>
      </w:pPr>
      <w:r>
        <w:rPr>
          <w:rFonts w:hint="eastAsia" w:ascii="Nimbus Roman" w:hAnsi="Nimbus Roman" w:cs="Nimbus Roman"/>
          <w:b/>
          <w:bCs/>
          <w:lang w:val="en-US" w:eastAsia="zh-CN"/>
        </w:rPr>
        <w:t xml:space="preserve">   </w:t>
      </w:r>
      <w:r>
        <w:rPr>
          <w:rFonts w:hint="eastAsia" w:ascii="Nimbus Roman" w:hAnsi="Nimbus Roman" w:cs="Nimbus Roman"/>
          <w:b/>
          <w:bCs/>
        </w:rPr>
        <w:t>（二）一般公共预算财政拨款支出决算结构情况</w:t>
      </w:r>
      <w:r>
        <w:rPr>
          <w:rFonts w:hint="eastAsia" w:ascii="Nimbus Roman" w:hAnsi="Nimbus Roman" w:cs="Nimbus Roman"/>
          <w:b/>
          <w:bCs/>
        </w:rPr>
        <w:tab/>
      </w:r>
      <w:r>
        <w:rPr>
          <w:rFonts w:hint="eastAsia" w:ascii="Nimbus Roman" w:hAnsi="Nimbus Roman" w:cs="Nimbus Roman"/>
          <w:b/>
          <w:bCs/>
          <w:lang w:val="en-US" w:eastAsia="zh-CN"/>
        </w:rPr>
        <w:t>9</w:t>
      </w:r>
    </w:p>
    <w:p>
      <w:pPr>
        <w:pStyle w:val="15"/>
        <w:bidi w:val="0"/>
        <w:jc w:val="center"/>
        <w:rPr>
          <w:rFonts w:hint="default" w:ascii="Nimbus Roman" w:hAnsi="Nimbus Roman" w:eastAsia="仿宋" w:cs="Nimbus Roman"/>
          <w:b/>
          <w:bCs/>
          <w:lang w:val="en-US" w:eastAsia="zh-CN"/>
        </w:rPr>
      </w:pPr>
      <w:r>
        <w:rPr>
          <w:rFonts w:hint="eastAsia" w:ascii="Nimbus Roman" w:hAnsi="Nimbus Roman" w:cs="Nimbus Roman"/>
          <w:b/>
          <w:bCs/>
          <w:lang w:val="en-US" w:eastAsia="zh-CN"/>
        </w:rPr>
        <w:t xml:space="preserve">   </w:t>
      </w:r>
      <w:r>
        <w:rPr>
          <w:rFonts w:hint="eastAsia" w:ascii="Nimbus Roman" w:hAnsi="Nimbus Roman" w:cs="Nimbus Roman"/>
          <w:b/>
          <w:bCs/>
        </w:rPr>
        <w:t>（三）一般公共预算财政拨款支出决算具体情况</w:t>
      </w:r>
      <w:r>
        <w:rPr>
          <w:rFonts w:hint="eastAsia" w:ascii="Nimbus Roman" w:hAnsi="Nimbus Roman" w:cs="Nimbus Roman"/>
          <w:b/>
          <w:bCs/>
        </w:rPr>
        <w:tab/>
      </w:r>
      <w:r>
        <w:rPr>
          <w:rFonts w:hint="eastAsia" w:ascii="Nimbus Roman" w:hAnsi="Nimbus Roman" w:cs="Nimbus Roman"/>
          <w:b/>
          <w:bCs/>
          <w:lang w:val="en-US" w:eastAsia="zh-CN"/>
        </w:rPr>
        <w:t>10</w:t>
      </w:r>
    </w:p>
    <w:p>
      <w:pPr>
        <w:pStyle w:val="15"/>
        <w:bidi w:val="0"/>
        <w:jc w:val="center"/>
        <w:rPr>
          <w:rFonts w:hint="default" w:ascii="Nimbus Roman" w:hAnsi="Nimbus Roman" w:eastAsia="仿宋" w:cs="Nimbus Roman"/>
          <w:b/>
          <w:bCs/>
          <w:lang w:val="en-US" w:eastAsia="zh-CN"/>
        </w:rPr>
      </w:pPr>
      <w:r>
        <w:rPr>
          <w:rFonts w:hint="eastAsia" w:ascii="Nimbus Roman" w:hAnsi="Nimbus Roman" w:cs="Nimbus Roman"/>
          <w:b/>
          <w:bCs/>
          <w:lang w:val="en-US" w:eastAsia="zh-CN"/>
        </w:rPr>
        <w:t xml:space="preserve">    </w:t>
      </w:r>
      <w:r>
        <w:rPr>
          <w:rFonts w:hint="eastAsia" w:ascii="Nimbus Roman" w:hAnsi="Nimbus Roman" w:cs="Nimbus Roman"/>
          <w:b/>
          <w:bCs/>
        </w:rPr>
        <w:t>六、一般公共预算财政拨款基本支出决算情况说明</w:t>
      </w:r>
      <w:r>
        <w:rPr>
          <w:rFonts w:hint="eastAsia" w:ascii="Nimbus Roman" w:hAnsi="Nimbus Roman" w:cs="Nimbus Roman"/>
          <w:b/>
          <w:bCs/>
        </w:rPr>
        <w:tab/>
      </w:r>
      <w:r>
        <w:rPr>
          <w:rFonts w:hint="eastAsia" w:ascii="Nimbus Roman" w:hAnsi="Nimbus Roman" w:cs="Nimbus Roman"/>
          <w:b/>
          <w:bCs/>
          <w:lang w:val="en-US" w:eastAsia="zh-CN"/>
        </w:rPr>
        <w:t>10</w:t>
      </w:r>
    </w:p>
    <w:p>
      <w:pPr>
        <w:pStyle w:val="15"/>
        <w:bidi w:val="0"/>
        <w:jc w:val="center"/>
        <w:rPr>
          <w:rFonts w:hint="default" w:ascii="Nimbus Roman" w:hAnsi="Nimbus Roman" w:eastAsia="仿宋" w:cs="Nimbus Roman"/>
          <w:b/>
          <w:bCs/>
          <w:lang w:val="en-US" w:eastAsia="zh-CN"/>
        </w:rPr>
      </w:pPr>
      <w:r>
        <w:rPr>
          <w:rFonts w:hint="eastAsia" w:ascii="Nimbus Roman" w:hAnsi="Nimbus Roman" w:cs="Nimbus Roman"/>
          <w:b/>
          <w:bCs/>
          <w:lang w:val="en-US" w:eastAsia="zh-CN"/>
        </w:rPr>
        <w:t xml:space="preserve">    </w:t>
      </w:r>
      <w:r>
        <w:rPr>
          <w:rFonts w:hint="eastAsia" w:ascii="Nimbus Roman" w:hAnsi="Nimbus Roman" w:cs="Nimbus Roman"/>
          <w:b/>
          <w:bCs/>
        </w:rPr>
        <w:t>七、“三公”经费财政拨款支出决算情况说明</w:t>
      </w:r>
      <w:r>
        <w:rPr>
          <w:rFonts w:hint="eastAsia" w:ascii="Nimbus Roman" w:hAnsi="Nimbus Roman" w:cs="Nimbus Roman"/>
          <w:b/>
          <w:bCs/>
        </w:rPr>
        <w:tab/>
      </w:r>
      <w:r>
        <w:rPr>
          <w:rFonts w:hint="eastAsia" w:ascii="Nimbus Roman" w:hAnsi="Nimbus Roman" w:cs="Nimbus Roman"/>
          <w:b/>
          <w:bCs/>
          <w:lang w:val="en-US" w:eastAsia="zh-CN"/>
        </w:rPr>
        <w:t>11</w:t>
      </w:r>
    </w:p>
    <w:p>
      <w:pPr>
        <w:pStyle w:val="15"/>
        <w:bidi w:val="0"/>
        <w:jc w:val="center"/>
        <w:rPr>
          <w:rFonts w:hint="default" w:ascii="Nimbus Roman" w:hAnsi="Nimbus Roman" w:eastAsia="仿宋" w:cs="Nimbus Roman"/>
          <w:b/>
          <w:bCs/>
          <w:lang w:val="en-US" w:eastAsia="zh-CN"/>
        </w:rPr>
      </w:pPr>
      <w:r>
        <w:rPr>
          <w:rFonts w:hint="eastAsia" w:ascii="Nimbus Roman" w:hAnsi="Nimbus Roman" w:cs="Nimbus Roman"/>
          <w:b/>
          <w:bCs/>
          <w:lang w:val="en-US" w:eastAsia="zh-CN"/>
        </w:rPr>
        <w:t xml:space="preserve">    </w:t>
      </w:r>
      <w:r>
        <w:rPr>
          <w:rFonts w:hint="eastAsia" w:ascii="Nimbus Roman" w:hAnsi="Nimbus Roman" w:cs="Nimbus Roman"/>
          <w:b/>
          <w:bCs/>
        </w:rPr>
        <w:t>（一）“三公”经费财政拨款支出决算总体情况说明</w:t>
      </w:r>
      <w:r>
        <w:rPr>
          <w:rFonts w:hint="eastAsia" w:ascii="Nimbus Roman" w:hAnsi="Nimbus Roman" w:cs="Nimbus Roman"/>
          <w:b/>
          <w:bCs/>
          <w:lang w:val="en-US" w:eastAsia="zh-CN"/>
        </w:rPr>
        <w:t>.</w:t>
      </w:r>
      <w:r>
        <w:rPr>
          <w:rFonts w:hint="eastAsia" w:ascii="Nimbus Roman" w:hAnsi="Nimbus Roman" w:cs="Nimbus Roman"/>
          <w:b/>
          <w:bCs/>
        </w:rPr>
        <w:tab/>
      </w:r>
      <w:r>
        <w:rPr>
          <w:rFonts w:hint="eastAsia" w:ascii="Nimbus Roman" w:hAnsi="Nimbus Roman" w:cs="Nimbus Roman"/>
          <w:b/>
          <w:bCs/>
          <w:lang w:val="en-US" w:eastAsia="zh-CN"/>
        </w:rPr>
        <w:t>11</w:t>
      </w:r>
    </w:p>
    <w:p>
      <w:pPr>
        <w:pStyle w:val="15"/>
        <w:bidi w:val="0"/>
        <w:jc w:val="center"/>
        <w:rPr>
          <w:rFonts w:hint="eastAsia" w:ascii="Nimbus Roman" w:hAnsi="Nimbus Roman" w:cs="Nimbus Roman"/>
          <w:b/>
          <w:bCs/>
        </w:rPr>
      </w:pPr>
      <w:r>
        <w:rPr>
          <w:rFonts w:hint="eastAsia" w:ascii="Nimbus Roman" w:hAnsi="Nimbus Roman" w:cs="Nimbus Roman"/>
          <w:b/>
          <w:bCs/>
          <w:lang w:val="en-US" w:eastAsia="zh-CN"/>
        </w:rPr>
        <w:t xml:space="preserve">    </w:t>
      </w:r>
      <w:r>
        <w:rPr>
          <w:rFonts w:hint="eastAsia" w:ascii="Nimbus Roman" w:hAnsi="Nimbus Roman" w:cs="Nimbus Roman"/>
          <w:b/>
          <w:bCs/>
        </w:rPr>
        <w:t>（二）“三公”经费财政拨款支出决算具体情况说明</w:t>
      </w:r>
      <w:r>
        <w:rPr>
          <w:rFonts w:hint="eastAsia" w:ascii="Nimbus Roman" w:hAnsi="Nimbus Roman" w:cs="Nimbus Roman"/>
          <w:b/>
          <w:bCs/>
          <w:lang w:val="en-US" w:eastAsia="zh-CN"/>
        </w:rPr>
        <w:t>.</w:t>
      </w:r>
      <w:r>
        <w:rPr>
          <w:rFonts w:hint="eastAsia" w:ascii="Nimbus Roman" w:hAnsi="Nimbus Roman" w:cs="Nimbus Roman"/>
          <w:b/>
          <w:bCs/>
        </w:rPr>
        <w:tab/>
      </w:r>
      <w:r>
        <w:rPr>
          <w:rFonts w:hint="eastAsia" w:ascii="Nimbus Roman" w:hAnsi="Nimbus Roman" w:cs="Nimbus Roman"/>
          <w:b/>
          <w:bCs/>
        </w:rPr>
        <w:fldChar w:fldCharType="begin"/>
      </w:r>
      <w:r>
        <w:rPr>
          <w:rFonts w:hint="eastAsia" w:ascii="Nimbus Roman" w:hAnsi="Nimbus Roman" w:cs="Nimbus Roman"/>
          <w:b/>
          <w:bCs/>
        </w:rPr>
        <w:instrText xml:space="preserve"> PAGEREF _Toc21457 \h </w:instrText>
      </w:r>
      <w:r>
        <w:rPr>
          <w:rFonts w:hint="eastAsia" w:ascii="Nimbus Roman" w:hAnsi="Nimbus Roman" w:cs="Nimbus Roman"/>
          <w:b/>
          <w:bCs/>
        </w:rPr>
        <w:fldChar w:fldCharType="separate"/>
      </w:r>
      <w:r>
        <w:rPr>
          <w:rFonts w:hint="eastAsia" w:ascii="Nimbus Roman" w:hAnsi="Nimbus Roman" w:cs="Nimbus Roman"/>
          <w:b/>
          <w:bCs/>
        </w:rPr>
        <w:t>11</w:t>
      </w:r>
      <w:r>
        <w:rPr>
          <w:rFonts w:hint="eastAsia" w:ascii="Nimbus Roman" w:hAnsi="Nimbus Roman" w:cs="Nimbus Roman"/>
          <w:b/>
          <w:bCs/>
        </w:rPr>
        <w:fldChar w:fldCharType="end"/>
      </w:r>
    </w:p>
    <w:p>
      <w:pPr>
        <w:pStyle w:val="15"/>
        <w:bidi w:val="0"/>
        <w:jc w:val="center"/>
        <w:rPr>
          <w:rFonts w:hint="eastAsia" w:ascii="Nimbus Roman" w:hAnsi="Nimbus Roman" w:cs="Nimbus Roman"/>
          <w:b/>
          <w:bCs/>
        </w:rPr>
      </w:pPr>
      <w:r>
        <w:rPr>
          <w:rFonts w:hint="eastAsia" w:ascii="Nimbus Roman" w:hAnsi="Nimbus Roman" w:cs="Nimbus Roman"/>
          <w:b/>
          <w:bCs/>
          <w:lang w:val="en-US" w:eastAsia="zh-CN"/>
        </w:rPr>
        <w:t xml:space="preserve">   </w:t>
      </w:r>
      <w:r>
        <w:rPr>
          <w:rFonts w:hint="eastAsia" w:ascii="Nimbus Roman" w:hAnsi="Nimbus Roman" w:cs="Nimbus Roman"/>
          <w:b/>
          <w:bCs/>
        </w:rPr>
        <w:t>八、政府性基金预算支出决算情况说明</w:t>
      </w:r>
      <w:r>
        <w:rPr>
          <w:rFonts w:hint="eastAsia" w:ascii="Nimbus Roman" w:hAnsi="Nimbus Roman" w:cs="Nimbus Roman"/>
          <w:b/>
          <w:bCs/>
        </w:rPr>
        <w:tab/>
      </w:r>
      <w:r>
        <w:rPr>
          <w:rFonts w:hint="eastAsia" w:ascii="Nimbus Roman" w:hAnsi="Nimbus Roman" w:cs="Nimbus Roman"/>
          <w:b/>
          <w:bCs/>
        </w:rPr>
        <w:fldChar w:fldCharType="begin"/>
      </w:r>
      <w:r>
        <w:rPr>
          <w:rFonts w:hint="eastAsia" w:ascii="Nimbus Roman" w:hAnsi="Nimbus Roman" w:cs="Nimbus Roman"/>
          <w:b/>
          <w:bCs/>
        </w:rPr>
        <w:instrText xml:space="preserve"> PAGEREF _Toc21420 \h </w:instrText>
      </w:r>
      <w:r>
        <w:rPr>
          <w:rFonts w:hint="eastAsia" w:ascii="Nimbus Roman" w:hAnsi="Nimbus Roman" w:cs="Nimbus Roman"/>
          <w:b/>
          <w:bCs/>
        </w:rPr>
        <w:fldChar w:fldCharType="separate"/>
      </w:r>
      <w:r>
        <w:rPr>
          <w:rFonts w:hint="eastAsia" w:ascii="Nimbus Roman" w:hAnsi="Nimbus Roman" w:cs="Nimbus Roman"/>
          <w:b/>
          <w:bCs/>
        </w:rPr>
        <w:t>13</w:t>
      </w:r>
      <w:r>
        <w:rPr>
          <w:rFonts w:hint="eastAsia" w:ascii="Nimbus Roman" w:hAnsi="Nimbus Roman" w:cs="Nimbus Roman"/>
          <w:b/>
          <w:bCs/>
        </w:rPr>
        <w:fldChar w:fldCharType="end"/>
      </w:r>
    </w:p>
    <w:p>
      <w:pPr>
        <w:pStyle w:val="15"/>
        <w:bidi w:val="0"/>
        <w:jc w:val="center"/>
        <w:rPr>
          <w:rFonts w:hint="eastAsia" w:ascii="Nimbus Roman" w:hAnsi="Nimbus Roman" w:cs="Nimbus Roman"/>
          <w:b/>
          <w:bCs/>
        </w:rPr>
      </w:pPr>
      <w:r>
        <w:rPr>
          <w:rFonts w:hint="eastAsia" w:ascii="Nimbus Roman" w:hAnsi="Nimbus Roman" w:cs="Nimbus Roman"/>
          <w:b/>
          <w:bCs/>
          <w:lang w:val="en-US" w:eastAsia="zh-CN"/>
        </w:rPr>
        <w:t xml:space="preserve">   </w:t>
      </w:r>
      <w:r>
        <w:rPr>
          <w:rFonts w:hint="eastAsia" w:ascii="Nimbus Roman" w:hAnsi="Nimbus Roman" w:cs="Nimbus Roman"/>
          <w:b/>
          <w:bCs/>
        </w:rPr>
        <w:t>九、国有资本经营预算支出决算情况说明</w:t>
      </w:r>
      <w:r>
        <w:rPr>
          <w:rFonts w:hint="eastAsia" w:ascii="Nimbus Roman" w:hAnsi="Nimbus Roman" w:cs="Nimbus Roman"/>
          <w:b/>
          <w:bCs/>
        </w:rPr>
        <w:tab/>
      </w:r>
      <w:r>
        <w:rPr>
          <w:rFonts w:hint="eastAsia" w:ascii="Nimbus Roman" w:hAnsi="Nimbus Roman" w:cs="Nimbus Roman"/>
          <w:b/>
          <w:bCs/>
        </w:rPr>
        <w:fldChar w:fldCharType="begin"/>
      </w:r>
      <w:r>
        <w:rPr>
          <w:rFonts w:hint="eastAsia" w:ascii="Nimbus Roman" w:hAnsi="Nimbus Roman" w:cs="Nimbus Roman"/>
          <w:b/>
          <w:bCs/>
        </w:rPr>
        <w:instrText xml:space="preserve"> PAGEREF _Toc28598 \h </w:instrText>
      </w:r>
      <w:r>
        <w:rPr>
          <w:rFonts w:hint="eastAsia" w:ascii="Nimbus Roman" w:hAnsi="Nimbus Roman" w:cs="Nimbus Roman"/>
          <w:b/>
          <w:bCs/>
        </w:rPr>
        <w:fldChar w:fldCharType="separate"/>
      </w:r>
      <w:r>
        <w:rPr>
          <w:rFonts w:hint="eastAsia" w:ascii="Nimbus Roman" w:hAnsi="Nimbus Roman" w:cs="Nimbus Roman"/>
          <w:b/>
          <w:bCs/>
        </w:rPr>
        <w:t>13</w:t>
      </w:r>
      <w:r>
        <w:rPr>
          <w:rFonts w:hint="eastAsia" w:ascii="Nimbus Roman" w:hAnsi="Nimbus Roman" w:cs="Nimbus Roman"/>
          <w:b/>
          <w:bCs/>
        </w:rPr>
        <w:fldChar w:fldCharType="end"/>
      </w:r>
    </w:p>
    <w:p>
      <w:pPr>
        <w:pStyle w:val="15"/>
        <w:bidi w:val="0"/>
        <w:jc w:val="center"/>
        <w:rPr>
          <w:rFonts w:hint="eastAsia" w:ascii="Nimbus Roman" w:hAnsi="Nimbus Roman" w:cs="Nimbus Roman"/>
          <w:b/>
          <w:bCs/>
        </w:rPr>
      </w:pPr>
      <w:r>
        <w:rPr>
          <w:rFonts w:hint="eastAsia" w:ascii="Nimbus Roman" w:hAnsi="Nimbus Roman" w:cs="Nimbus Roman"/>
          <w:b/>
          <w:bCs/>
          <w:lang w:val="en-US" w:eastAsia="zh-CN"/>
        </w:rPr>
        <w:t xml:space="preserve">   </w:t>
      </w:r>
      <w:r>
        <w:rPr>
          <w:rFonts w:hint="eastAsia" w:ascii="Nimbus Roman" w:hAnsi="Nimbus Roman" w:cs="Nimbus Roman"/>
          <w:b/>
          <w:bCs/>
        </w:rPr>
        <w:t>十、其他重要事项的情况说明</w:t>
      </w:r>
      <w:r>
        <w:rPr>
          <w:rFonts w:hint="eastAsia" w:ascii="Nimbus Roman" w:hAnsi="Nimbus Roman" w:cs="Nimbus Roman"/>
          <w:b/>
          <w:bCs/>
        </w:rPr>
        <w:tab/>
      </w:r>
      <w:r>
        <w:rPr>
          <w:rFonts w:hint="eastAsia" w:ascii="Nimbus Roman" w:hAnsi="Nimbus Roman" w:cs="Nimbus Roman"/>
          <w:b/>
          <w:bCs/>
        </w:rPr>
        <w:fldChar w:fldCharType="begin"/>
      </w:r>
      <w:r>
        <w:rPr>
          <w:rFonts w:hint="eastAsia" w:ascii="Nimbus Roman" w:hAnsi="Nimbus Roman" w:cs="Nimbus Roman"/>
          <w:b/>
          <w:bCs/>
        </w:rPr>
        <w:instrText xml:space="preserve"> PAGEREF _Toc3773 \h </w:instrText>
      </w:r>
      <w:r>
        <w:rPr>
          <w:rFonts w:hint="eastAsia" w:ascii="Nimbus Roman" w:hAnsi="Nimbus Roman" w:cs="Nimbus Roman"/>
          <w:b/>
          <w:bCs/>
        </w:rPr>
        <w:fldChar w:fldCharType="separate"/>
      </w:r>
      <w:r>
        <w:rPr>
          <w:rFonts w:hint="eastAsia" w:ascii="Nimbus Roman" w:hAnsi="Nimbus Roman" w:cs="Nimbus Roman"/>
          <w:b/>
          <w:bCs/>
        </w:rPr>
        <w:t>13</w:t>
      </w:r>
      <w:r>
        <w:rPr>
          <w:rFonts w:hint="eastAsia" w:ascii="Nimbus Roman" w:hAnsi="Nimbus Roman" w:cs="Nimbus Roman"/>
          <w:b/>
          <w:bCs/>
        </w:rPr>
        <w:fldChar w:fldCharType="end"/>
      </w:r>
    </w:p>
    <w:p>
      <w:pPr>
        <w:pStyle w:val="15"/>
        <w:bidi w:val="0"/>
        <w:jc w:val="center"/>
        <w:rPr>
          <w:rFonts w:hint="eastAsia" w:ascii="Nimbus Roman" w:hAnsi="Nimbus Roman" w:cs="Nimbus Roman"/>
          <w:b/>
          <w:bCs/>
        </w:rPr>
      </w:pPr>
      <w:r>
        <w:rPr>
          <w:rFonts w:hint="eastAsia" w:ascii="Nimbus Roman" w:hAnsi="Nimbus Roman" w:cs="Nimbus Roman"/>
          <w:b/>
          <w:bCs/>
          <w:lang w:val="en-US" w:eastAsia="zh-CN"/>
        </w:rPr>
        <w:t xml:space="preserve">   </w:t>
      </w:r>
      <w:r>
        <w:rPr>
          <w:rFonts w:hint="eastAsia" w:ascii="Nimbus Roman" w:hAnsi="Nimbus Roman" w:cs="Nimbus Roman"/>
          <w:b/>
          <w:bCs/>
        </w:rPr>
        <w:t>（一）机关运行经费支出情况</w:t>
      </w:r>
      <w:r>
        <w:rPr>
          <w:rFonts w:hint="eastAsia" w:ascii="Nimbus Roman" w:hAnsi="Nimbus Roman" w:cs="Nimbus Roman"/>
          <w:b/>
          <w:bCs/>
        </w:rPr>
        <w:tab/>
      </w:r>
      <w:r>
        <w:rPr>
          <w:rFonts w:hint="eastAsia" w:ascii="Nimbus Roman" w:hAnsi="Nimbus Roman" w:cs="Nimbus Roman"/>
          <w:b/>
          <w:bCs/>
        </w:rPr>
        <w:fldChar w:fldCharType="begin"/>
      </w:r>
      <w:r>
        <w:rPr>
          <w:rFonts w:hint="eastAsia" w:ascii="Nimbus Roman" w:hAnsi="Nimbus Roman" w:cs="Nimbus Roman"/>
          <w:b/>
          <w:bCs/>
        </w:rPr>
        <w:instrText xml:space="preserve"> PAGEREF _Toc18021 \h </w:instrText>
      </w:r>
      <w:r>
        <w:rPr>
          <w:rFonts w:hint="eastAsia" w:ascii="Nimbus Roman" w:hAnsi="Nimbus Roman" w:cs="Nimbus Roman"/>
          <w:b/>
          <w:bCs/>
        </w:rPr>
        <w:fldChar w:fldCharType="separate"/>
      </w:r>
      <w:r>
        <w:rPr>
          <w:rFonts w:hint="eastAsia" w:ascii="Nimbus Roman" w:hAnsi="Nimbus Roman" w:cs="Nimbus Roman"/>
          <w:b/>
          <w:bCs/>
        </w:rPr>
        <w:t>13</w:t>
      </w:r>
      <w:r>
        <w:rPr>
          <w:rFonts w:hint="eastAsia" w:ascii="Nimbus Roman" w:hAnsi="Nimbus Roman" w:cs="Nimbus Roman"/>
          <w:b/>
          <w:bCs/>
        </w:rPr>
        <w:fldChar w:fldCharType="end"/>
      </w:r>
    </w:p>
    <w:p>
      <w:pPr>
        <w:pStyle w:val="15"/>
        <w:bidi w:val="0"/>
        <w:jc w:val="center"/>
        <w:rPr>
          <w:rFonts w:hint="eastAsia" w:ascii="Nimbus Roman" w:hAnsi="Nimbus Roman" w:cs="Nimbus Roman"/>
          <w:b/>
          <w:bCs/>
        </w:rPr>
      </w:pPr>
      <w:r>
        <w:rPr>
          <w:rFonts w:hint="eastAsia" w:ascii="Nimbus Roman" w:hAnsi="Nimbus Roman" w:cs="Nimbus Roman"/>
          <w:b/>
          <w:bCs/>
          <w:lang w:val="en-US" w:eastAsia="zh-CN"/>
        </w:rPr>
        <w:t xml:space="preserve">   </w:t>
      </w:r>
      <w:r>
        <w:rPr>
          <w:rFonts w:hint="eastAsia" w:ascii="Nimbus Roman" w:hAnsi="Nimbus Roman" w:cs="Nimbus Roman"/>
          <w:b/>
          <w:bCs/>
        </w:rPr>
        <w:t>（二）政府采购支出情况</w:t>
      </w:r>
      <w:r>
        <w:rPr>
          <w:rFonts w:hint="eastAsia" w:ascii="Nimbus Roman" w:hAnsi="Nimbus Roman" w:cs="Nimbus Roman"/>
          <w:b/>
          <w:bCs/>
        </w:rPr>
        <w:tab/>
      </w:r>
      <w:r>
        <w:rPr>
          <w:rFonts w:hint="eastAsia" w:ascii="Nimbus Roman" w:hAnsi="Nimbus Roman" w:cs="Nimbus Roman"/>
          <w:b/>
          <w:bCs/>
        </w:rPr>
        <w:fldChar w:fldCharType="begin"/>
      </w:r>
      <w:r>
        <w:rPr>
          <w:rFonts w:hint="eastAsia" w:ascii="Nimbus Roman" w:hAnsi="Nimbus Roman" w:cs="Nimbus Roman"/>
          <w:b/>
          <w:bCs/>
        </w:rPr>
        <w:instrText xml:space="preserve"> PAGEREF _Toc22177 \h </w:instrText>
      </w:r>
      <w:r>
        <w:rPr>
          <w:rFonts w:hint="eastAsia" w:ascii="Nimbus Roman" w:hAnsi="Nimbus Roman" w:cs="Nimbus Roman"/>
          <w:b/>
          <w:bCs/>
        </w:rPr>
        <w:fldChar w:fldCharType="separate"/>
      </w:r>
      <w:r>
        <w:rPr>
          <w:rFonts w:hint="eastAsia" w:ascii="Nimbus Roman" w:hAnsi="Nimbus Roman" w:cs="Nimbus Roman"/>
          <w:b/>
          <w:bCs/>
        </w:rPr>
        <w:t>13</w:t>
      </w:r>
      <w:r>
        <w:rPr>
          <w:rFonts w:hint="eastAsia" w:ascii="Nimbus Roman" w:hAnsi="Nimbus Roman" w:cs="Nimbus Roman"/>
          <w:b/>
          <w:bCs/>
        </w:rPr>
        <w:fldChar w:fldCharType="end"/>
      </w:r>
    </w:p>
    <w:p>
      <w:pPr>
        <w:pStyle w:val="15"/>
        <w:bidi w:val="0"/>
        <w:jc w:val="center"/>
        <w:rPr>
          <w:rFonts w:hint="eastAsia" w:ascii="Nimbus Roman" w:hAnsi="Nimbus Roman" w:cs="Nimbus Roman"/>
          <w:b/>
          <w:bCs/>
        </w:rPr>
      </w:pPr>
      <w:r>
        <w:rPr>
          <w:rFonts w:hint="eastAsia" w:ascii="Nimbus Roman" w:hAnsi="Nimbus Roman" w:cs="Nimbus Roman"/>
          <w:b/>
          <w:bCs/>
          <w:lang w:val="en-US" w:eastAsia="zh-CN"/>
        </w:rPr>
        <w:t xml:space="preserve">   </w:t>
      </w:r>
      <w:r>
        <w:rPr>
          <w:rFonts w:hint="eastAsia" w:ascii="Nimbus Roman" w:hAnsi="Nimbus Roman" w:cs="Nimbus Roman"/>
          <w:b/>
          <w:bCs/>
        </w:rPr>
        <w:t>（三）国有资产占有使用情况</w:t>
      </w:r>
      <w:r>
        <w:rPr>
          <w:rFonts w:hint="eastAsia" w:ascii="Nimbus Roman" w:hAnsi="Nimbus Roman" w:cs="Nimbus Roman"/>
          <w:b/>
          <w:bCs/>
        </w:rPr>
        <w:tab/>
      </w:r>
      <w:r>
        <w:rPr>
          <w:rFonts w:hint="eastAsia" w:ascii="Nimbus Roman" w:hAnsi="Nimbus Roman" w:cs="Nimbus Roman"/>
          <w:b/>
          <w:bCs/>
        </w:rPr>
        <w:fldChar w:fldCharType="begin"/>
      </w:r>
      <w:r>
        <w:rPr>
          <w:rFonts w:hint="eastAsia" w:ascii="Nimbus Roman" w:hAnsi="Nimbus Roman" w:cs="Nimbus Roman"/>
          <w:b/>
          <w:bCs/>
        </w:rPr>
        <w:instrText xml:space="preserve"> PAGEREF _Toc24577 \h </w:instrText>
      </w:r>
      <w:r>
        <w:rPr>
          <w:rFonts w:hint="eastAsia" w:ascii="Nimbus Roman" w:hAnsi="Nimbus Roman" w:cs="Nimbus Roman"/>
          <w:b/>
          <w:bCs/>
        </w:rPr>
        <w:fldChar w:fldCharType="separate"/>
      </w:r>
      <w:r>
        <w:rPr>
          <w:rFonts w:hint="eastAsia" w:ascii="Nimbus Roman" w:hAnsi="Nimbus Roman" w:cs="Nimbus Roman"/>
          <w:b/>
          <w:bCs/>
        </w:rPr>
        <w:t>13</w:t>
      </w:r>
      <w:r>
        <w:rPr>
          <w:rFonts w:hint="eastAsia" w:ascii="Nimbus Roman" w:hAnsi="Nimbus Roman" w:cs="Nimbus Roman"/>
          <w:b/>
          <w:bCs/>
        </w:rPr>
        <w:fldChar w:fldCharType="end"/>
      </w:r>
    </w:p>
    <w:p>
      <w:pPr>
        <w:pStyle w:val="15"/>
        <w:bidi w:val="0"/>
        <w:jc w:val="center"/>
        <w:rPr>
          <w:rFonts w:hint="eastAsia" w:ascii="Nimbus Roman" w:hAnsi="Nimbus Roman" w:cs="Nimbus Roman"/>
          <w:b/>
          <w:bCs/>
        </w:rPr>
      </w:pPr>
      <w:r>
        <w:rPr>
          <w:rFonts w:hint="eastAsia" w:ascii="Nimbus Roman" w:hAnsi="Nimbus Roman" w:cs="Nimbus Roman"/>
          <w:b/>
          <w:bCs/>
          <w:lang w:val="en-US" w:eastAsia="zh-CN"/>
        </w:rPr>
        <w:t xml:space="preserve">   </w:t>
      </w:r>
      <w:r>
        <w:rPr>
          <w:rFonts w:hint="eastAsia" w:ascii="Nimbus Roman" w:hAnsi="Nimbus Roman" w:cs="Nimbus Roman"/>
          <w:b/>
          <w:bCs/>
        </w:rPr>
        <w:t>（四）预算绩效管理情况</w:t>
      </w:r>
      <w:r>
        <w:rPr>
          <w:rFonts w:hint="eastAsia" w:ascii="Nimbus Roman" w:hAnsi="Nimbus Roman" w:cs="Nimbus Roman"/>
          <w:b/>
          <w:bCs/>
        </w:rPr>
        <w:tab/>
      </w:r>
      <w:r>
        <w:rPr>
          <w:rFonts w:hint="eastAsia" w:ascii="Nimbus Roman" w:hAnsi="Nimbus Roman" w:cs="Nimbus Roman"/>
          <w:b/>
          <w:bCs/>
        </w:rPr>
        <w:fldChar w:fldCharType="begin"/>
      </w:r>
      <w:r>
        <w:rPr>
          <w:rFonts w:hint="eastAsia" w:ascii="Nimbus Roman" w:hAnsi="Nimbus Roman" w:cs="Nimbus Roman"/>
          <w:b/>
          <w:bCs/>
        </w:rPr>
        <w:instrText xml:space="preserve"> PAGEREF _Toc14304 \h </w:instrText>
      </w:r>
      <w:r>
        <w:rPr>
          <w:rFonts w:hint="eastAsia" w:ascii="Nimbus Roman" w:hAnsi="Nimbus Roman" w:cs="Nimbus Roman"/>
          <w:b/>
          <w:bCs/>
        </w:rPr>
        <w:fldChar w:fldCharType="separate"/>
      </w:r>
      <w:r>
        <w:rPr>
          <w:rFonts w:hint="eastAsia" w:ascii="Nimbus Roman" w:hAnsi="Nimbus Roman" w:cs="Nimbus Roman"/>
          <w:b/>
          <w:bCs/>
        </w:rPr>
        <w:t>13</w:t>
      </w:r>
      <w:r>
        <w:rPr>
          <w:rFonts w:hint="eastAsia" w:ascii="Nimbus Roman" w:hAnsi="Nimbus Roman" w:cs="Nimbus Roman"/>
          <w:b/>
          <w:bCs/>
        </w:rPr>
        <w:fldChar w:fldCharType="end"/>
      </w:r>
    </w:p>
    <w:p>
      <w:pPr>
        <w:pStyle w:val="15"/>
        <w:bidi w:val="0"/>
        <w:jc w:val="center"/>
        <w:rPr>
          <w:rFonts w:hint="eastAsia" w:ascii="Nimbus Roman" w:hAnsi="Nimbus Roman" w:cs="Nimbus Roman"/>
          <w:b/>
          <w:bCs/>
          <w:lang w:val="en-US" w:eastAsia="zh-CN"/>
        </w:rPr>
      </w:pPr>
      <w:r>
        <w:rPr>
          <w:rFonts w:hint="eastAsia" w:ascii="方正黑体_GBK" w:hAnsi="方正黑体_GBK" w:eastAsia="方正黑体_GBK" w:cs="方正黑体_GBK"/>
          <w:b/>
          <w:bCs/>
        </w:rPr>
        <w:t>第三部分 名词解释</w:t>
      </w:r>
      <w:r>
        <w:rPr>
          <w:rFonts w:hint="eastAsia" w:ascii="Nimbus Roman" w:hAnsi="Nimbus Roman" w:cs="Nimbus Roman"/>
          <w:b/>
          <w:bCs/>
        </w:rPr>
        <w:tab/>
      </w:r>
      <w:r>
        <w:rPr>
          <w:rFonts w:hint="eastAsia" w:ascii="Nimbus Roman" w:hAnsi="Nimbus Roman" w:cs="Nimbus Roman"/>
          <w:b/>
          <w:bCs/>
          <w:lang w:val="en-US" w:eastAsia="zh-CN"/>
        </w:rPr>
        <w:t>14</w:t>
      </w:r>
    </w:p>
    <w:p>
      <w:pPr>
        <w:pStyle w:val="15"/>
        <w:bidi w:val="0"/>
        <w:jc w:val="center"/>
        <w:rPr>
          <w:rFonts w:hint="default" w:ascii="Nimbus Roman" w:hAnsi="Nimbus Roman" w:cs="Nimbus Roman"/>
          <w:b/>
          <w:bCs/>
          <w:lang w:val="en-US" w:eastAsia="zh-CN"/>
        </w:rPr>
      </w:pPr>
      <w:r>
        <w:rPr>
          <w:rFonts w:hint="eastAsia" w:ascii="方正黑体_GBK" w:hAnsi="方正黑体_GBK" w:eastAsia="方正黑体_GBK" w:cs="方正黑体_GBK"/>
          <w:b/>
          <w:bCs/>
          <w:lang w:val="en-US" w:eastAsia="zh-CN"/>
        </w:rPr>
        <w:t>第四部分 附件</w:t>
      </w:r>
      <w:r>
        <w:rPr>
          <w:rFonts w:hint="eastAsia" w:ascii="Nimbus Roman" w:hAnsi="Nimbus Roman" w:cs="Nimbus Roman"/>
          <w:b/>
          <w:bCs/>
          <w:lang w:val="en-US" w:eastAsia="zh-CN"/>
        </w:rPr>
        <w:t>.........................................................................................17</w:t>
      </w:r>
    </w:p>
    <w:p>
      <w:pPr>
        <w:pStyle w:val="15"/>
        <w:bidi w:val="0"/>
        <w:jc w:val="both"/>
        <w:rPr>
          <w:rFonts w:hint="default" w:ascii="Nimbus Roman" w:hAnsi="Nimbus Roman" w:cs="Nimbus Roman"/>
          <w:b/>
          <w:bCs/>
          <w:lang w:val="en-US" w:eastAsia="zh-CN"/>
        </w:rPr>
      </w:pPr>
      <w:r>
        <w:rPr>
          <w:rFonts w:hint="eastAsia" w:ascii="Nimbus Roman" w:hAnsi="Nimbus Roman" w:cs="Nimbus Roman"/>
          <w:b/>
          <w:bCs/>
          <w:lang w:val="en-US" w:eastAsia="zh-CN"/>
        </w:rPr>
        <w:t xml:space="preserve">      </w:t>
      </w:r>
      <w:r>
        <w:rPr>
          <w:rFonts w:hint="eastAsia" w:ascii="Nimbus Roman" w:hAnsi="Nimbus Roman" w:cs="Nimbus Roman"/>
          <w:b/>
          <w:bCs/>
          <w:spacing w:val="-20"/>
          <w:sz w:val="28"/>
          <w:lang w:eastAsia="zh-CN"/>
        </w:rPr>
        <w:t>茂县党史研究和地方志编纂中心</w:t>
      </w:r>
      <w:r>
        <w:rPr>
          <w:rFonts w:hint="eastAsia" w:ascii="Nimbus Roman" w:hAnsi="Nimbus Roman" w:cs="Nimbus Roman"/>
          <w:b/>
          <w:bCs/>
          <w:spacing w:val="-20"/>
          <w:sz w:val="28"/>
        </w:rPr>
        <w:t>202</w:t>
      </w:r>
      <w:r>
        <w:rPr>
          <w:rFonts w:hint="eastAsia" w:ascii="Nimbus Roman" w:hAnsi="Nimbus Roman" w:cs="Nimbus Roman"/>
          <w:b/>
          <w:bCs/>
          <w:spacing w:val="-20"/>
          <w:sz w:val="28"/>
          <w:lang w:val="en-US" w:eastAsia="zh-CN"/>
        </w:rPr>
        <w:t>5年部门预算项目支出自评表</w:t>
      </w:r>
      <w:r>
        <w:rPr>
          <w:rFonts w:hint="eastAsia" w:ascii="Nimbus Roman" w:hAnsi="Nimbus Roman" w:cs="Nimbus Roman"/>
          <w:b/>
          <w:bCs/>
          <w:lang w:val="en-US" w:eastAsia="zh-CN"/>
        </w:rPr>
        <w:t>.........17</w:t>
      </w:r>
    </w:p>
    <w:p>
      <w:pPr>
        <w:pStyle w:val="15"/>
        <w:bidi w:val="0"/>
        <w:jc w:val="center"/>
        <w:rPr>
          <w:rFonts w:hint="default" w:ascii="Nimbus Roman" w:hAnsi="Nimbus Roman" w:cs="Nimbus Roman"/>
          <w:b/>
          <w:bCs/>
          <w:lang w:val="en-US" w:eastAsia="zh-CN"/>
        </w:rPr>
      </w:pPr>
      <w:r>
        <w:rPr>
          <w:rFonts w:hint="eastAsia" w:ascii="方正黑体_GBK" w:hAnsi="方正黑体_GBK" w:eastAsia="方正黑体_GBK" w:cs="方正黑体_GBK"/>
          <w:b/>
          <w:bCs/>
        </w:rPr>
        <w:t>第五部分 附表</w:t>
      </w:r>
      <w:r>
        <w:rPr>
          <w:rFonts w:hint="eastAsia" w:ascii="Nimbus Roman" w:hAnsi="Nimbus Roman" w:cs="Nimbus Roman"/>
          <w:b/>
          <w:bCs/>
        </w:rPr>
        <w:tab/>
      </w:r>
      <w:r>
        <w:rPr>
          <w:rFonts w:hint="eastAsia" w:ascii="Nimbus Roman" w:hAnsi="Nimbus Roman" w:cs="Nimbus Roman"/>
          <w:b/>
          <w:bCs/>
          <w:lang w:val="en-US" w:eastAsia="zh-CN"/>
        </w:rPr>
        <w:t>28</w:t>
      </w:r>
    </w:p>
    <w:p>
      <w:pPr>
        <w:pStyle w:val="15"/>
        <w:bidi w:val="0"/>
        <w:ind w:firstLine="843" w:firstLineChars="300"/>
        <w:jc w:val="left"/>
        <w:rPr>
          <w:rFonts w:hint="default" w:ascii="Nimbus Roman" w:hAnsi="Nimbus Roman" w:eastAsia="仿宋" w:cs="Nimbus Roman"/>
          <w:b/>
          <w:bCs/>
          <w:lang w:val="en-US" w:eastAsia="zh-CN"/>
        </w:rPr>
      </w:pPr>
      <w:r>
        <w:rPr>
          <w:rFonts w:hint="eastAsia" w:ascii="Nimbus Roman" w:hAnsi="Nimbus Roman" w:cs="Nimbus Roman"/>
          <w:b/>
          <w:bCs/>
        </w:rPr>
        <w:t>一、收入支出决算总表</w:t>
      </w:r>
      <w:r>
        <w:rPr>
          <w:rFonts w:hint="eastAsia" w:ascii="Nimbus Roman" w:hAnsi="Nimbus Roman" w:cs="Nimbus Roman"/>
          <w:b/>
          <w:bCs/>
          <w:lang w:val="en-US" w:eastAsia="zh-CN"/>
        </w:rPr>
        <w:t>..................................................................28</w:t>
      </w:r>
    </w:p>
    <w:p>
      <w:pPr>
        <w:pStyle w:val="15"/>
        <w:bidi w:val="0"/>
        <w:ind w:firstLine="843" w:firstLineChars="300"/>
        <w:jc w:val="left"/>
        <w:rPr>
          <w:rFonts w:hint="default" w:ascii="Nimbus Roman" w:hAnsi="Nimbus Roman" w:eastAsia="仿宋" w:cs="Nimbus Roman"/>
          <w:b/>
          <w:bCs/>
          <w:lang w:val="en-US" w:eastAsia="zh-CN"/>
        </w:rPr>
      </w:pPr>
      <w:r>
        <w:rPr>
          <w:rFonts w:hint="eastAsia" w:ascii="Nimbus Roman" w:hAnsi="Nimbus Roman" w:cs="Nimbus Roman"/>
          <w:b/>
          <w:bCs/>
        </w:rPr>
        <w:t>二、收入决算表</w:t>
      </w:r>
      <w:r>
        <w:rPr>
          <w:rFonts w:hint="eastAsia" w:ascii="Nimbus Roman" w:hAnsi="Nimbus Roman" w:cs="Nimbus Roman"/>
          <w:b/>
          <w:bCs/>
          <w:lang w:val="en-US" w:eastAsia="zh-CN"/>
        </w:rPr>
        <w:t>..............................................................................28</w:t>
      </w:r>
    </w:p>
    <w:p>
      <w:pPr>
        <w:pStyle w:val="15"/>
        <w:bidi w:val="0"/>
        <w:ind w:firstLine="843" w:firstLineChars="300"/>
        <w:jc w:val="left"/>
        <w:rPr>
          <w:rFonts w:hint="default" w:ascii="Nimbus Roman" w:hAnsi="Nimbus Roman" w:eastAsia="仿宋" w:cs="Nimbus Roman"/>
          <w:b/>
          <w:bCs/>
          <w:lang w:val="en-US" w:eastAsia="zh-CN"/>
        </w:rPr>
      </w:pPr>
      <w:r>
        <w:rPr>
          <w:rFonts w:hint="eastAsia" w:ascii="Nimbus Roman" w:hAnsi="Nimbus Roman" w:cs="Nimbus Roman"/>
          <w:b/>
          <w:bCs/>
        </w:rPr>
        <w:t>三、支出决算表</w:t>
      </w:r>
      <w:r>
        <w:rPr>
          <w:rFonts w:hint="eastAsia" w:ascii="Nimbus Roman" w:hAnsi="Nimbus Roman" w:cs="Nimbus Roman"/>
          <w:b/>
          <w:bCs/>
          <w:lang w:val="en-US" w:eastAsia="zh-CN"/>
        </w:rPr>
        <w:t>..............................................................................28</w:t>
      </w:r>
    </w:p>
    <w:p>
      <w:pPr>
        <w:pStyle w:val="15"/>
        <w:bidi w:val="0"/>
        <w:ind w:firstLine="843" w:firstLineChars="300"/>
        <w:jc w:val="left"/>
        <w:rPr>
          <w:rFonts w:hint="default" w:ascii="Nimbus Roman" w:hAnsi="Nimbus Roman" w:eastAsia="仿宋" w:cs="Nimbus Roman"/>
          <w:b/>
          <w:bCs/>
          <w:lang w:val="en-US" w:eastAsia="zh-CN"/>
        </w:rPr>
      </w:pPr>
      <w:r>
        <w:rPr>
          <w:rFonts w:hint="eastAsia" w:ascii="Nimbus Roman" w:hAnsi="Nimbus Roman" w:cs="Nimbus Roman"/>
          <w:b/>
          <w:bCs/>
        </w:rPr>
        <w:t>四、财政拨款收入支出决算总表</w:t>
      </w:r>
      <w:r>
        <w:rPr>
          <w:rFonts w:hint="eastAsia" w:ascii="Nimbus Roman" w:hAnsi="Nimbus Roman" w:cs="Nimbus Roman"/>
          <w:b/>
          <w:bCs/>
          <w:lang w:val="en-US" w:eastAsia="zh-CN"/>
        </w:rPr>
        <w:t>..................................................28</w:t>
      </w:r>
    </w:p>
    <w:p>
      <w:pPr>
        <w:pStyle w:val="15"/>
        <w:bidi w:val="0"/>
        <w:ind w:firstLine="843" w:firstLineChars="300"/>
        <w:jc w:val="left"/>
        <w:rPr>
          <w:rFonts w:hint="default" w:ascii="Nimbus Roman" w:hAnsi="Nimbus Roman" w:eastAsia="仿宋" w:cs="Nimbus Roman"/>
          <w:b/>
          <w:bCs/>
          <w:lang w:val="en-US" w:eastAsia="zh-CN"/>
        </w:rPr>
      </w:pPr>
      <w:r>
        <w:rPr>
          <w:rFonts w:hint="eastAsia" w:ascii="Nimbus Roman" w:hAnsi="Nimbus Roman" w:cs="Nimbus Roman"/>
          <w:b/>
          <w:bCs/>
        </w:rPr>
        <w:t>五、财政拨款支出决算明细表</w:t>
      </w:r>
      <w:r>
        <w:rPr>
          <w:rFonts w:hint="eastAsia" w:ascii="Nimbus Roman" w:hAnsi="Nimbus Roman" w:cs="Nimbus Roman"/>
          <w:b/>
          <w:bCs/>
          <w:lang w:val="en-US" w:eastAsia="zh-CN"/>
        </w:rPr>
        <w:t>......................................................28</w:t>
      </w:r>
    </w:p>
    <w:p>
      <w:pPr>
        <w:pStyle w:val="15"/>
        <w:bidi w:val="0"/>
        <w:ind w:firstLine="843" w:firstLineChars="300"/>
        <w:jc w:val="left"/>
        <w:rPr>
          <w:rFonts w:hint="default" w:ascii="Nimbus Roman" w:hAnsi="Nimbus Roman" w:eastAsia="仿宋" w:cs="Nimbus Roman"/>
          <w:b/>
          <w:bCs/>
          <w:lang w:val="en-US" w:eastAsia="zh-CN"/>
        </w:rPr>
      </w:pPr>
      <w:r>
        <w:rPr>
          <w:rFonts w:hint="eastAsia" w:ascii="Nimbus Roman" w:hAnsi="Nimbus Roman" w:cs="Nimbus Roman"/>
          <w:b/>
          <w:bCs/>
        </w:rPr>
        <w:t>六、一般公共预算财政拨款支出决算表</w:t>
      </w:r>
      <w:r>
        <w:rPr>
          <w:rFonts w:hint="eastAsia" w:ascii="Nimbus Roman" w:hAnsi="Nimbus Roman" w:cs="Nimbus Roman"/>
          <w:b/>
          <w:bCs/>
          <w:lang w:val="en-US" w:eastAsia="zh-CN"/>
        </w:rPr>
        <w:t>......................................28</w:t>
      </w:r>
    </w:p>
    <w:p>
      <w:pPr>
        <w:pStyle w:val="15"/>
        <w:bidi w:val="0"/>
        <w:ind w:firstLine="843" w:firstLineChars="300"/>
        <w:jc w:val="left"/>
        <w:rPr>
          <w:rFonts w:hint="default" w:ascii="Nimbus Roman" w:hAnsi="Nimbus Roman" w:eastAsia="仿宋" w:cs="Nimbus Roman"/>
          <w:b/>
          <w:bCs/>
          <w:lang w:val="en-US" w:eastAsia="zh-CN"/>
        </w:rPr>
      </w:pPr>
      <w:r>
        <w:rPr>
          <w:rFonts w:hint="eastAsia" w:ascii="Nimbus Roman" w:hAnsi="Nimbus Roman" w:cs="Nimbus Roman"/>
          <w:b/>
          <w:bCs/>
        </w:rPr>
        <w:t>七、一般公共预算财政拨款支出决算明细表</w:t>
      </w:r>
      <w:r>
        <w:rPr>
          <w:rFonts w:hint="eastAsia" w:ascii="Nimbus Roman" w:hAnsi="Nimbus Roman" w:cs="Nimbus Roman"/>
          <w:b/>
          <w:bCs/>
          <w:lang w:val="en-US" w:eastAsia="zh-CN"/>
        </w:rPr>
        <w:t>..............................28</w:t>
      </w:r>
    </w:p>
    <w:p>
      <w:pPr>
        <w:pStyle w:val="15"/>
        <w:bidi w:val="0"/>
        <w:ind w:firstLine="843" w:firstLineChars="300"/>
        <w:jc w:val="left"/>
        <w:rPr>
          <w:rFonts w:hint="default" w:ascii="Nimbus Roman" w:hAnsi="Nimbus Roman" w:eastAsia="仿宋" w:cs="Nimbus Roman"/>
          <w:b/>
          <w:bCs/>
          <w:lang w:val="en-US" w:eastAsia="zh-CN"/>
        </w:rPr>
      </w:pPr>
      <w:r>
        <w:rPr>
          <w:rFonts w:hint="eastAsia" w:ascii="Nimbus Roman" w:hAnsi="Nimbus Roman" w:cs="Nimbus Roman"/>
          <w:b/>
          <w:bCs/>
        </w:rPr>
        <w:t>八、一般公共预算财政拨款基本支出决算表</w:t>
      </w:r>
      <w:r>
        <w:rPr>
          <w:rFonts w:hint="eastAsia" w:ascii="Nimbus Roman" w:hAnsi="Nimbus Roman" w:cs="Nimbus Roman"/>
          <w:b/>
          <w:bCs/>
          <w:lang w:val="en-US" w:eastAsia="zh-CN"/>
        </w:rPr>
        <w:t>.......................28</w:t>
      </w:r>
    </w:p>
    <w:p>
      <w:pPr>
        <w:pStyle w:val="15"/>
        <w:bidi w:val="0"/>
        <w:ind w:firstLine="843" w:firstLineChars="300"/>
        <w:jc w:val="left"/>
        <w:rPr>
          <w:rFonts w:hint="default" w:ascii="Nimbus Roman" w:hAnsi="Nimbus Roman" w:eastAsia="仿宋" w:cs="Nimbus Roman"/>
          <w:b/>
          <w:bCs/>
          <w:lang w:val="en-US" w:eastAsia="zh-CN"/>
        </w:rPr>
      </w:pPr>
      <w:r>
        <w:rPr>
          <w:rFonts w:hint="eastAsia" w:ascii="Nimbus Roman" w:hAnsi="Nimbus Roman" w:cs="Nimbus Roman"/>
          <w:b/>
          <w:bCs/>
        </w:rPr>
        <w:t>九、一般公共预算财政拨款项目支出决算表</w:t>
      </w:r>
      <w:r>
        <w:rPr>
          <w:rFonts w:hint="eastAsia" w:ascii="Nimbus Roman" w:hAnsi="Nimbus Roman" w:cs="Nimbus Roman"/>
          <w:b/>
          <w:bCs/>
          <w:lang w:val="en-US" w:eastAsia="zh-CN"/>
        </w:rPr>
        <w:t>.......................28</w:t>
      </w:r>
    </w:p>
    <w:p>
      <w:pPr>
        <w:pStyle w:val="15"/>
        <w:bidi w:val="0"/>
        <w:ind w:firstLine="843" w:firstLineChars="300"/>
        <w:jc w:val="left"/>
        <w:rPr>
          <w:rFonts w:hint="default" w:ascii="Nimbus Roman" w:hAnsi="Nimbus Roman" w:eastAsia="仿宋" w:cs="Nimbus Roman"/>
          <w:b/>
          <w:bCs/>
          <w:lang w:val="en-US" w:eastAsia="zh-CN"/>
        </w:rPr>
      </w:pPr>
      <w:r>
        <w:rPr>
          <w:rFonts w:hint="eastAsia" w:ascii="Nimbus Roman" w:hAnsi="Nimbus Roman" w:cs="Nimbus Roman"/>
          <w:b/>
          <w:bCs/>
        </w:rPr>
        <w:t>十、</w:t>
      </w:r>
      <w:r>
        <w:rPr>
          <w:rFonts w:hint="eastAsia" w:ascii="Nimbus Roman" w:hAnsi="Nimbus Roman" w:cs="Nimbus Roman"/>
          <w:b/>
          <w:bCs/>
          <w:lang w:eastAsia="zh-CN"/>
        </w:rPr>
        <w:t>政府性基金预算财政拨款收入支出</w:t>
      </w:r>
      <w:r>
        <w:rPr>
          <w:rFonts w:hint="eastAsia" w:ascii="Nimbus Roman" w:hAnsi="Nimbus Roman" w:cs="Nimbus Roman"/>
          <w:b/>
          <w:bCs/>
        </w:rPr>
        <w:t>决算表</w:t>
      </w:r>
      <w:r>
        <w:rPr>
          <w:rFonts w:hint="eastAsia" w:ascii="Nimbus Roman" w:hAnsi="Nimbus Roman" w:cs="Nimbus Roman"/>
          <w:b/>
          <w:bCs/>
          <w:lang w:val="en-US" w:eastAsia="zh-CN"/>
        </w:rPr>
        <w:t>...................28</w:t>
      </w:r>
    </w:p>
    <w:p>
      <w:pPr>
        <w:pStyle w:val="15"/>
        <w:bidi w:val="0"/>
        <w:ind w:firstLine="843" w:firstLineChars="300"/>
        <w:jc w:val="left"/>
        <w:rPr>
          <w:rFonts w:hint="default" w:ascii="Nimbus Roman" w:hAnsi="Nimbus Roman" w:cs="Nimbus Roman"/>
          <w:b/>
          <w:bCs/>
          <w:lang w:val="en-US" w:eastAsia="zh-CN"/>
        </w:rPr>
      </w:pPr>
      <w:r>
        <w:rPr>
          <w:rFonts w:hint="eastAsia" w:ascii="Nimbus Roman" w:hAnsi="Nimbus Roman" w:cs="Nimbus Roman"/>
          <w:b/>
          <w:bCs/>
        </w:rPr>
        <w:t>十一、</w:t>
      </w:r>
      <w:r>
        <w:rPr>
          <w:rFonts w:hint="eastAsia" w:ascii="Nimbus Roman" w:hAnsi="Nimbus Roman" w:cs="Nimbus Roman"/>
          <w:b/>
          <w:bCs/>
          <w:lang w:eastAsia="zh-CN"/>
        </w:rPr>
        <w:t>国有资本经营预算财政拨款收入支出决算表</w:t>
      </w:r>
      <w:r>
        <w:rPr>
          <w:rFonts w:hint="eastAsia" w:ascii="Nimbus Roman" w:hAnsi="Nimbus Roman" w:cs="Nimbus Roman"/>
          <w:b/>
          <w:bCs/>
          <w:lang w:val="en-US" w:eastAsia="zh-CN"/>
        </w:rPr>
        <w:t>...........28</w:t>
      </w:r>
    </w:p>
    <w:p>
      <w:pPr>
        <w:pStyle w:val="15"/>
        <w:bidi w:val="0"/>
        <w:ind w:firstLine="843" w:firstLineChars="300"/>
        <w:jc w:val="left"/>
        <w:rPr>
          <w:rFonts w:hint="default" w:ascii="Nimbus Roman" w:hAnsi="Nimbus Roman" w:cs="Nimbus Roman"/>
          <w:b/>
          <w:bCs/>
          <w:lang w:val="en-US" w:eastAsia="zh-CN"/>
        </w:rPr>
      </w:pPr>
      <w:r>
        <w:rPr>
          <w:rFonts w:hint="eastAsia" w:ascii="Nimbus Roman" w:hAnsi="Nimbus Roman" w:cs="Nimbus Roman"/>
          <w:b/>
          <w:bCs/>
        </w:rPr>
        <w:t>十二、</w:t>
      </w:r>
      <w:r>
        <w:rPr>
          <w:rFonts w:hint="eastAsia" w:ascii="Nimbus Roman" w:hAnsi="Nimbus Roman" w:cs="Nimbus Roman"/>
          <w:b/>
          <w:bCs/>
          <w:lang w:eastAsia="zh-CN"/>
        </w:rPr>
        <w:t>国有资本经营预算财政拨款支出决算表</w:t>
      </w:r>
      <w:r>
        <w:rPr>
          <w:rFonts w:hint="eastAsia" w:ascii="Nimbus Roman" w:hAnsi="Nimbus Roman" w:cs="Nimbus Roman"/>
          <w:b/>
          <w:bCs/>
          <w:lang w:val="en-US" w:eastAsia="zh-CN"/>
        </w:rPr>
        <w:t>...................28</w:t>
      </w:r>
    </w:p>
    <w:p>
      <w:pPr>
        <w:pStyle w:val="15"/>
        <w:bidi w:val="0"/>
        <w:ind w:firstLine="843" w:firstLineChars="300"/>
        <w:jc w:val="left"/>
        <w:rPr>
          <w:rFonts w:hint="default" w:ascii="Nimbus Roman" w:hAnsi="Nimbus Roman" w:eastAsia="仿宋" w:cs="Nimbus Roman"/>
          <w:b/>
          <w:bCs/>
          <w:lang w:val="en-US" w:eastAsia="zh-CN"/>
        </w:rPr>
      </w:pPr>
      <w:r>
        <w:rPr>
          <w:rFonts w:hint="eastAsia" w:ascii="Nimbus Roman" w:hAnsi="Nimbus Roman" w:cs="Nimbus Roman"/>
          <w:b/>
          <w:bCs/>
        </w:rPr>
        <w:t>十三、</w:t>
      </w:r>
      <w:r>
        <w:rPr>
          <w:rFonts w:hint="eastAsia" w:ascii="Nimbus Roman" w:hAnsi="Nimbus Roman" w:cs="Nimbus Roman"/>
          <w:b/>
          <w:bCs/>
          <w:lang w:eastAsia="zh-CN"/>
        </w:rPr>
        <w:t>财政拨款“三公”经费</w:t>
      </w:r>
      <w:r>
        <w:rPr>
          <w:rFonts w:hint="eastAsia" w:ascii="Nimbus Roman" w:hAnsi="Nimbus Roman" w:cs="Nimbus Roman"/>
          <w:b/>
          <w:bCs/>
        </w:rPr>
        <w:t>支出决算表</w:t>
      </w:r>
      <w:r>
        <w:rPr>
          <w:rFonts w:hint="eastAsia" w:ascii="Nimbus Roman" w:hAnsi="Nimbus Roman" w:cs="Nimbus Roman"/>
          <w:b/>
          <w:bCs/>
          <w:lang w:val="en-US" w:eastAsia="zh-CN"/>
        </w:rPr>
        <w:t>..........................28</w:t>
      </w:r>
    </w:p>
    <w:p>
      <w:pPr>
        <w:pStyle w:val="15"/>
        <w:bidi w:val="0"/>
        <w:jc w:val="center"/>
        <w:rPr>
          <w:rFonts w:hint="eastAsia" w:ascii="仿宋_GB2312" w:hAnsi="仿宋_GB2312" w:eastAsia="仿宋_GB2312" w:cs="仿宋_GB2312"/>
          <w:bCs/>
          <w:caps/>
          <w:smallCaps/>
          <w:sz w:val="32"/>
          <w:szCs w:val="32"/>
        </w:rPr>
      </w:pPr>
      <w:r>
        <w:rPr>
          <w:rFonts w:hint="eastAsia" w:ascii="Nimbus Roman" w:hAnsi="Nimbus Roman" w:cs="Nimbus Roman"/>
          <w:b/>
          <w:bCs/>
        </w:rPr>
        <w:fldChar w:fldCharType="end"/>
      </w:r>
      <w:bookmarkStart w:id="12" w:name="_Toc15377196"/>
    </w:p>
    <w:p>
      <w:pPr>
        <w:pStyle w:val="7"/>
        <w:rPr>
          <w:rFonts w:hint="eastAsia" w:ascii="仿宋_GB2312" w:hAnsi="仿宋_GB2312" w:eastAsia="仿宋_GB2312" w:cs="仿宋_GB2312"/>
          <w:bCs/>
          <w:caps/>
          <w:smallCaps/>
          <w:sz w:val="32"/>
          <w:szCs w:val="32"/>
        </w:rPr>
      </w:pPr>
    </w:p>
    <w:p>
      <w:pPr>
        <w:pStyle w:val="7"/>
        <w:rPr>
          <w:rFonts w:hint="eastAsia" w:ascii="仿宋_GB2312" w:hAnsi="仿宋_GB2312" w:eastAsia="仿宋_GB2312" w:cs="仿宋_GB2312"/>
          <w:bCs/>
          <w:caps/>
          <w:smallCaps/>
          <w:sz w:val="32"/>
          <w:szCs w:val="32"/>
        </w:rPr>
      </w:pPr>
    </w:p>
    <w:p>
      <w:pPr>
        <w:pStyle w:val="7"/>
        <w:rPr>
          <w:rFonts w:hint="eastAsia" w:ascii="仿宋_GB2312" w:hAnsi="仿宋_GB2312" w:eastAsia="仿宋_GB2312" w:cs="仿宋_GB2312"/>
          <w:bCs/>
          <w:caps/>
          <w:smallCaps/>
          <w:sz w:val="32"/>
          <w:szCs w:val="32"/>
        </w:rPr>
      </w:pPr>
    </w:p>
    <w:p>
      <w:pPr>
        <w:pStyle w:val="7"/>
        <w:rPr>
          <w:rFonts w:hint="eastAsia" w:ascii="仿宋_GB2312" w:hAnsi="仿宋_GB2312" w:eastAsia="仿宋_GB2312" w:cs="仿宋_GB2312"/>
          <w:bCs/>
          <w:caps/>
          <w:smallCaps/>
          <w:sz w:val="32"/>
          <w:szCs w:val="32"/>
        </w:rPr>
      </w:pPr>
    </w:p>
    <w:p>
      <w:pPr>
        <w:pStyle w:val="7"/>
        <w:rPr>
          <w:rFonts w:hint="eastAsia" w:ascii="仿宋_GB2312" w:hAnsi="仿宋_GB2312" w:eastAsia="仿宋_GB2312" w:cs="仿宋_GB2312"/>
          <w:bCs/>
          <w:caps/>
          <w:smallCaps/>
          <w:sz w:val="32"/>
          <w:szCs w:val="32"/>
        </w:rPr>
      </w:pPr>
    </w:p>
    <w:p>
      <w:pPr>
        <w:pStyle w:val="7"/>
        <w:rPr>
          <w:rFonts w:hint="eastAsia" w:ascii="仿宋_GB2312" w:hAnsi="仿宋_GB2312" w:eastAsia="仿宋_GB2312" w:cs="仿宋_GB2312"/>
          <w:bCs/>
          <w:caps/>
          <w:smallCaps/>
          <w:sz w:val="32"/>
          <w:szCs w:val="32"/>
        </w:rPr>
      </w:pPr>
    </w:p>
    <w:p>
      <w:pPr>
        <w:pStyle w:val="7"/>
        <w:rPr>
          <w:rFonts w:hint="eastAsia" w:ascii="仿宋_GB2312" w:hAnsi="仿宋_GB2312" w:eastAsia="仿宋_GB2312" w:cs="仿宋_GB2312"/>
          <w:bCs/>
          <w:caps/>
          <w:smallCaps/>
          <w:sz w:val="32"/>
          <w:szCs w:val="32"/>
        </w:rPr>
      </w:pPr>
    </w:p>
    <w:p>
      <w:pPr>
        <w:pStyle w:val="7"/>
        <w:rPr>
          <w:rFonts w:hint="eastAsia" w:ascii="仿宋_GB2312" w:hAnsi="仿宋_GB2312" w:eastAsia="仿宋_GB2312" w:cs="仿宋_GB2312"/>
          <w:bCs/>
          <w:caps/>
          <w:smallCaps/>
          <w:sz w:val="32"/>
          <w:szCs w:val="32"/>
        </w:rPr>
      </w:pPr>
    </w:p>
    <w:p>
      <w:pPr>
        <w:pStyle w:val="7"/>
        <w:rPr>
          <w:rFonts w:hint="eastAsia" w:ascii="仿宋_GB2312" w:hAnsi="仿宋_GB2312" w:eastAsia="仿宋_GB2312" w:cs="仿宋_GB2312"/>
          <w:bCs/>
          <w:caps/>
          <w:smallCaps/>
          <w:sz w:val="32"/>
          <w:szCs w:val="32"/>
        </w:rPr>
      </w:pPr>
    </w:p>
    <w:p>
      <w:pPr>
        <w:pStyle w:val="7"/>
        <w:rPr>
          <w:rFonts w:hint="eastAsia" w:ascii="仿宋_GB2312" w:hAnsi="仿宋_GB2312" w:eastAsia="仿宋_GB2312" w:cs="仿宋_GB2312"/>
          <w:bCs/>
          <w:caps/>
          <w:smallCaps/>
          <w:sz w:val="32"/>
          <w:szCs w:val="32"/>
        </w:rPr>
      </w:pPr>
    </w:p>
    <w:p>
      <w:pPr>
        <w:pStyle w:val="7"/>
        <w:rPr>
          <w:rFonts w:hint="eastAsia" w:ascii="仿宋_GB2312" w:hAnsi="仿宋_GB2312" w:eastAsia="仿宋_GB2312" w:cs="仿宋_GB2312"/>
          <w:bCs/>
          <w:caps/>
          <w:smallCaps/>
          <w:sz w:val="32"/>
          <w:szCs w:val="32"/>
        </w:rPr>
      </w:pPr>
    </w:p>
    <w:p>
      <w:pPr>
        <w:pStyle w:val="3"/>
        <w:pageBreakBefore w:val="0"/>
        <w:kinsoku/>
        <w:wordWrap/>
        <w:overflowPunct/>
        <w:topLinePunct w:val="0"/>
        <w:autoSpaceDE/>
        <w:autoSpaceDN/>
        <w:bidi w:val="0"/>
        <w:spacing w:before="0" w:beforeAutospacing="0" w:after="0" w:afterAutospacing="0" w:line="576" w:lineRule="exact"/>
        <w:ind w:firstLine="2200" w:firstLineChars="500"/>
        <w:jc w:val="both"/>
        <w:textAlignment w:val="auto"/>
        <w:rPr>
          <w:rFonts w:hint="eastAsia" w:ascii="方正小标宋简体" w:hAnsi="方正小标宋简体" w:eastAsia="方正小标宋简体" w:cs="方正小标宋简体"/>
          <w:b w:val="0"/>
          <w:bCs w:val="0"/>
        </w:rPr>
      </w:pPr>
      <w:bookmarkStart w:id="13" w:name="_Toc4804"/>
      <w:bookmarkStart w:id="14" w:name="_Toc23038"/>
      <w:bookmarkStart w:id="15" w:name="_Toc111208495"/>
      <w:r>
        <w:rPr>
          <w:rFonts w:hint="eastAsia" w:ascii="方正小标宋简体" w:hAnsi="方正小标宋简体" w:eastAsia="方正小标宋简体" w:cs="方正小标宋简体"/>
          <w:b w:val="0"/>
          <w:bCs w:val="0"/>
        </w:rPr>
        <w:t xml:space="preserve">第一部分 </w:t>
      </w:r>
      <w:r>
        <w:rPr>
          <w:rStyle w:val="25"/>
          <w:rFonts w:hint="eastAsia" w:ascii="方正小标宋简体" w:hAnsi="方正小标宋简体" w:eastAsia="方正小标宋简体" w:cs="方正小标宋简体"/>
          <w:b w:val="0"/>
          <w:bCs w:val="0"/>
        </w:rPr>
        <w:t>部门概况</w:t>
      </w:r>
      <w:bookmarkEnd w:id="12"/>
      <w:bookmarkEnd w:id="13"/>
      <w:bookmarkEnd w:id="14"/>
      <w:bookmarkEnd w:id="15"/>
    </w:p>
    <w:p>
      <w:pPr>
        <w:pStyle w:val="4"/>
        <w:pageBreakBefore w:val="0"/>
        <w:kinsoku/>
        <w:wordWrap/>
        <w:overflowPunct/>
        <w:topLinePunct w:val="0"/>
        <w:autoSpaceDE/>
        <w:autoSpaceDN/>
        <w:bidi w:val="0"/>
        <w:spacing w:before="0" w:beforeAutospacing="0" w:after="0" w:afterAutospacing="0" w:line="576" w:lineRule="exact"/>
        <w:ind w:firstLine="640" w:firstLineChars="200"/>
        <w:textAlignment w:val="auto"/>
        <w:rPr>
          <w:rFonts w:hint="eastAsia" w:ascii="黑体" w:eastAsia="黑体"/>
          <w:b w:val="0"/>
          <w:color w:val="000000"/>
        </w:rPr>
      </w:pPr>
      <w:bookmarkStart w:id="16" w:name="_Toc79163602"/>
      <w:bookmarkStart w:id="17" w:name="_Toc15377197"/>
      <w:bookmarkStart w:id="18" w:name="_Toc12118"/>
      <w:bookmarkStart w:id="19" w:name="_Toc15396600"/>
      <w:bookmarkStart w:id="20" w:name="_Toc25800"/>
      <w:bookmarkStart w:id="21" w:name="_Toc10216"/>
      <w:bookmarkStart w:id="22" w:name="_Toc15377204"/>
    </w:p>
    <w:p>
      <w:pPr>
        <w:pStyle w:val="4"/>
        <w:pageBreakBefore w:val="0"/>
        <w:kinsoku/>
        <w:wordWrap/>
        <w:overflowPunct/>
        <w:topLinePunct w:val="0"/>
        <w:autoSpaceDE/>
        <w:autoSpaceDN/>
        <w:bidi w:val="0"/>
        <w:spacing w:before="0" w:beforeAutospacing="0" w:after="0" w:afterAutospacing="0" w:line="576" w:lineRule="exact"/>
        <w:ind w:firstLine="640" w:firstLineChars="200"/>
        <w:textAlignment w:val="auto"/>
        <w:rPr>
          <w:rFonts w:hint="eastAsia" w:ascii="仿宋_GB2312" w:hAnsi="仿宋_GB2312" w:eastAsia="仿宋_GB2312" w:cs="仿宋_GB2312"/>
          <w:b w:val="0"/>
          <w:bCs w:val="0"/>
          <w:kern w:val="0"/>
          <w:sz w:val="32"/>
          <w:szCs w:val="32"/>
        </w:rPr>
      </w:pPr>
      <w:r>
        <w:rPr>
          <w:rFonts w:hint="eastAsia" w:ascii="方正黑体_GBK" w:hAnsi="方正黑体_GBK" w:eastAsia="方正黑体_GBK" w:cs="方正黑体_GBK"/>
          <w:b w:val="0"/>
          <w:color w:val="000000"/>
        </w:rPr>
        <w:t>一、</w:t>
      </w:r>
      <w:r>
        <w:rPr>
          <w:rFonts w:hint="eastAsia" w:ascii="方正黑体_GBK" w:hAnsi="方正黑体_GBK" w:eastAsia="方正黑体_GBK" w:cs="方正黑体_GBK"/>
          <w:b w:val="0"/>
          <w:color w:val="000000"/>
          <w:lang w:eastAsia="zh-CN"/>
        </w:rPr>
        <w:t>部门</w:t>
      </w:r>
      <w:bookmarkEnd w:id="16"/>
      <w:bookmarkEnd w:id="17"/>
      <w:bookmarkEnd w:id="18"/>
      <w:bookmarkEnd w:id="19"/>
      <w:bookmarkEnd w:id="20"/>
      <w:bookmarkEnd w:id="21"/>
      <w:r>
        <w:rPr>
          <w:rFonts w:hint="eastAsia" w:ascii="方正黑体_GBK" w:hAnsi="方正黑体_GBK" w:eastAsia="方正黑体_GBK" w:cs="方正黑体_GBK"/>
          <w:b w:val="0"/>
          <w:color w:val="000000"/>
          <w:lang w:eastAsia="zh-CN"/>
        </w:rPr>
        <w:t>职责</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1.贯彻落实中央和省、州、县委有关党史工作的方针、政策，制定全县党史工作规划并组织实施</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rPr>
        <w:t> </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val="0"/>
          <w:bCs w:val="0"/>
          <w:kern w:val="0"/>
          <w:sz w:val="32"/>
          <w:szCs w:val="32"/>
        </w:rPr>
        <w:t>2.征集、整理、编纂县委重要党史资料，收集整理重要口述历史资料、重要党史人物回忆录，搜集、整理和研究有关中共党史、中共地方党史的信息资料</w:t>
      </w:r>
      <w:r>
        <w:rPr>
          <w:rFonts w:hint="eastAsia" w:ascii="仿宋_GB2312" w:hAnsi="仿宋_GB2312" w:eastAsia="仿宋_GB2312" w:cs="仿宋_GB2312"/>
          <w:b w:val="0"/>
          <w:bCs w:val="0"/>
          <w:kern w:val="0"/>
          <w:sz w:val="32"/>
          <w:szCs w:val="32"/>
          <w:lang w:eastAsia="zh-CN"/>
        </w:rPr>
        <w:t>。</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3.研究、编纂地方党史专著，编辑出版重要党史书籍</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rPr>
        <w:t> </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4.对党的地方历史</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rPr>
        <w:t>县委党史重要人物等进行综合研究，</w:t>
      </w:r>
      <w:r>
        <w:rPr>
          <w:rFonts w:hint="eastAsia" w:ascii="仿宋_GB2312" w:hAnsi="仿宋_GB2312" w:eastAsia="仿宋_GB2312" w:cs="仿宋_GB2312"/>
          <w:b w:val="0"/>
          <w:bCs w:val="0"/>
          <w:kern w:val="0"/>
          <w:sz w:val="32"/>
          <w:szCs w:val="32"/>
        </w:rPr>
        <w:fldChar w:fldCharType="begin"/>
      </w:r>
      <w:r>
        <w:rPr>
          <w:rFonts w:hint="eastAsia" w:ascii="仿宋_GB2312" w:hAnsi="仿宋_GB2312" w:eastAsia="仿宋_GB2312" w:cs="仿宋_GB2312"/>
          <w:b w:val="0"/>
          <w:bCs w:val="0"/>
          <w:kern w:val="0"/>
          <w:sz w:val="32"/>
          <w:szCs w:val="32"/>
        </w:rPr>
        <w:instrText xml:space="preserve"> HYPERLINK "http://www.5ykj.com/Article/" \t "_blank" </w:instrText>
      </w:r>
      <w:r>
        <w:rPr>
          <w:rFonts w:hint="eastAsia" w:ascii="仿宋_GB2312" w:hAnsi="仿宋_GB2312" w:eastAsia="仿宋_GB2312" w:cs="仿宋_GB2312"/>
          <w:b w:val="0"/>
          <w:bCs w:val="0"/>
          <w:kern w:val="0"/>
          <w:sz w:val="32"/>
          <w:szCs w:val="32"/>
        </w:rPr>
        <w:fldChar w:fldCharType="separate"/>
      </w:r>
      <w:r>
        <w:rPr>
          <w:rFonts w:hint="eastAsia" w:ascii="仿宋_GB2312" w:hAnsi="仿宋_GB2312" w:eastAsia="仿宋_GB2312" w:cs="仿宋_GB2312"/>
          <w:b w:val="0"/>
          <w:bCs w:val="0"/>
          <w:kern w:val="0"/>
          <w:sz w:val="32"/>
          <w:szCs w:val="32"/>
        </w:rPr>
        <w:t>总结</w:t>
      </w:r>
      <w:r>
        <w:rPr>
          <w:rFonts w:hint="eastAsia" w:ascii="仿宋_GB2312" w:hAnsi="仿宋_GB2312" w:eastAsia="仿宋_GB2312" w:cs="仿宋_GB2312"/>
          <w:b w:val="0"/>
          <w:bCs w:val="0"/>
          <w:kern w:val="0"/>
          <w:sz w:val="32"/>
          <w:szCs w:val="32"/>
        </w:rPr>
        <w:fldChar w:fldCharType="end"/>
      </w:r>
      <w:r>
        <w:rPr>
          <w:rFonts w:hint="eastAsia" w:ascii="仿宋_GB2312" w:hAnsi="仿宋_GB2312" w:eastAsia="仿宋_GB2312" w:cs="仿宋_GB2312"/>
          <w:b w:val="0"/>
          <w:bCs w:val="0"/>
          <w:kern w:val="0"/>
          <w:sz w:val="32"/>
          <w:szCs w:val="32"/>
        </w:rPr>
        <w:t>历史经验，为党的建设和县委决策提供历史借鉴</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rPr>
        <w:t> </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rPr>
        <w:t>5.发挥“资政育人”职能</w:t>
      </w:r>
      <w:r>
        <w:rPr>
          <w:rFonts w:hint="eastAsia" w:ascii="仿宋_GB2312" w:hAnsi="仿宋_GB2312" w:eastAsia="仿宋_GB2312" w:cs="仿宋_GB2312"/>
          <w:b w:val="0"/>
          <w:bCs w:val="0"/>
          <w:kern w:val="0"/>
          <w:sz w:val="32"/>
          <w:szCs w:val="32"/>
          <w:lang w:eastAsia="zh-CN"/>
        </w:rPr>
        <w:t>，利</w:t>
      </w:r>
      <w:r>
        <w:rPr>
          <w:rFonts w:hint="eastAsia" w:ascii="仿宋_GB2312" w:hAnsi="仿宋_GB2312" w:eastAsia="仿宋_GB2312" w:cs="仿宋_GB2312"/>
          <w:b w:val="0"/>
          <w:bCs w:val="0"/>
          <w:kern w:val="0"/>
          <w:sz w:val="32"/>
          <w:szCs w:val="32"/>
        </w:rPr>
        <w:t>用党史研究成果开展爱国主义和革命传统宣传教育活动，围绕县委中心工作，进行专题调查研究，为茂县经济社会的更快发展服务。 </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val="0"/>
          <w:bCs w:val="0"/>
          <w:kern w:val="0"/>
          <w:sz w:val="32"/>
          <w:szCs w:val="32"/>
          <w:lang w:val="en-US" w:eastAsia="zh-CN"/>
        </w:rPr>
        <w:t>6</w:t>
      </w:r>
      <w:r>
        <w:rPr>
          <w:rFonts w:hint="eastAsia" w:ascii="仿宋_GB2312" w:hAnsi="仿宋_GB2312" w:eastAsia="仿宋_GB2312" w:cs="仿宋_GB2312"/>
          <w:b w:val="0"/>
          <w:bCs w:val="0"/>
          <w:kern w:val="0"/>
          <w:sz w:val="32"/>
          <w:szCs w:val="32"/>
        </w:rPr>
        <w:t>.执行有关地方志工作的</w:t>
      </w:r>
      <w:r>
        <w:rPr>
          <w:rFonts w:hint="eastAsia" w:ascii="仿宋_GB2312" w:hAnsi="仿宋_GB2312" w:eastAsia="仿宋_GB2312" w:cs="仿宋_GB2312"/>
          <w:b w:val="0"/>
          <w:bCs w:val="0"/>
          <w:kern w:val="0"/>
          <w:sz w:val="32"/>
          <w:szCs w:val="32"/>
          <w:lang w:eastAsia="zh-CN"/>
        </w:rPr>
        <w:t>法律法规</w:t>
      </w:r>
      <w:r>
        <w:rPr>
          <w:rFonts w:hint="eastAsia" w:ascii="仿宋_GB2312" w:hAnsi="仿宋_GB2312" w:eastAsia="仿宋_GB2312" w:cs="仿宋_GB2312"/>
          <w:b w:val="0"/>
          <w:bCs w:val="0"/>
          <w:kern w:val="0"/>
          <w:sz w:val="32"/>
          <w:szCs w:val="32"/>
        </w:rPr>
        <w:t>、规章并监督</w:t>
      </w:r>
      <w:r>
        <w:rPr>
          <w:rFonts w:hint="eastAsia" w:ascii="仿宋_GB2312" w:hAnsi="仿宋_GB2312" w:eastAsia="仿宋_GB2312" w:cs="仿宋_GB2312"/>
          <w:b w:val="0"/>
          <w:bCs w:val="0"/>
          <w:kern w:val="0"/>
          <w:sz w:val="32"/>
          <w:szCs w:val="32"/>
          <w:lang w:eastAsia="zh-CN"/>
        </w:rPr>
        <w:t>其</w:t>
      </w:r>
      <w:r>
        <w:rPr>
          <w:rFonts w:hint="eastAsia" w:ascii="仿宋_GB2312" w:hAnsi="仿宋_GB2312" w:eastAsia="仿宋_GB2312" w:cs="仿宋_GB2312"/>
          <w:b w:val="0"/>
          <w:bCs w:val="0"/>
          <w:kern w:val="0"/>
          <w:sz w:val="32"/>
          <w:szCs w:val="32"/>
        </w:rPr>
        <w:t>实施</w:t>
      </w:r>
      <w:r>
        <w:rPr>
          <w:rFonts w:hint="eastAsia" w:ascii="仿宋_GB2312" w:hAnsi="仿宋_GB2312" w:eastAsia="仿宋_GB2312" w:cs="仿宋_GB2312"/>
          <w:b w:val="0"/>
          <w:bCs w:val="0"/>
          <w:kern w:val="0"/>
          <w:sz w:val="32"/>
          <w:szCs w:val="32"/>
          <w:lang w:eastAsia="zh-CN"/>
        </w:rPr>
        <w:t>。</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val="0"/>
          <w:bCs w:val="0"/>
          <w:kern w:val="0"/>
          <w:sz w:val="32"/>
          <w:szCs w:val="32"/>
          <w:lang w:val="en-US" w:eastAsia="zh-CN"/>
        </w:rPr>
        <w:t>7</w:t>
      </w:r>
      <w:r>
        <w:rPr>
          <w:rFonts w:hint="eastAsia" w:ascii="仿宋_GB2312" w:hAnsi="仿宋_GB2312" w:eastAsia="仿宋_GB2312" w:cs="仿宋_GB2312"/>
          <w:b w:val="0"/>
          <w:bCs w:val="0"/>
          <w:kern w:val="0"/>
          <w:sz w:val="32"/>
          <w:szCs w:val="32"/>
        </w:rPr>
        <w:t>.组织、指导、督促和检查地方志工作</w:t>
      </w:r>
      <w:r>
        <w:rPr>
          <w:rFonts w:hint="eastAsia" w:ascii="仿宋_GB2312" w:hAnsi="仿宋_GB2312" w:eastAsia="仿宋_GB2312" w:cs="仿宋_GB2312"/>
          <w:b w:val="0"/>
          <w:bCs w:val="0"/>
          <w:kern w:val="0"/>
          <w:sz w:val="32"/>
          <w:szCs w:val="32"/>
          <w:lang w:eastAsia="zh-CN"/>
        </w:rPr>
        <w:t>。</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val="0"/>
          <w:bCs w:val="0"/>
          <w:kern w:val="0"/>
          <w:sz w:val="32"/>
          <w:szCs w:val="32"/>
          <w:lang w:val="en-US" w:eastAsia="zh-CN"/>
        </w:rPr>
        <w:t>8</w:t>
      </w:r>
      <w:r>
        <w:rPr>
          <w:rFonts w:hint="eastAsia" w:ascii="仿宋_GB2312" w:hAnsi="仿宋_GB2312" w:eastAsia="仿宋_GB2312" w:cs="仿宋_GB2312"/>
          <w:b w:val="0"/>
          <w:bCs w:val="0"/>
          <w:kern w:val="0"/>
          <w:sz w:val="32"/>
          <w:szCs w:val="32"/>
        </w:rPr>
        <w:t>.拟定地方志工作规划和编纂方案</w:t>
      </w:r>
      <w:r>
        <w:rPr>
          <w:rFonts w:hint="eastAsia" w:ascii="仿宋_GB2312" w:hAnsi="仿宋_GB2312" w:eastAsia="仿宋_GB2312" w:cs="仿宋_GB2312"/>
          <w:b w:val="0"/>
          <w:bCs w:val="0"/>
          <w:kern w:val="0"/>
          <w:sz w:val="32"/>
          <w:szCs w:val="32"/>
          <w:lang w:eastAsia="zh-CN"/>
        </w:rPr>
        <w:t>。</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lang w:val="en-US" w:eastAsia="zh-CN"/>
        </w:rPr>
        <w:t>9</w:t>
      </w:r>
      <w:r>
        <w:rPr>
          <w:rFonts w:hint="eastAsia" w:ascii="仿宋_GB2312" w:hAnsi="仿宋_GB2312" w:eastAsia="仿宋_GB2312" w:cs="仿宋_GB2312"/>
          <w:b w:val="0"/>
          <w:bCs w:val="0"/>
          <w:kern w:val="0"/>
          <w:sz w:val="32"/>
          <w:szCs w:val="32"/>
        </w:rPr>
        <w:t>.组织编纂地方志书、地方综合年鉴和其他相关地情文献；</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rPr>
      </w:pPr>
      <w:r>
        <w:rPr>
          <w:rFonts w:hint="eastAsia" w:ascii="仿宋_GB2312" w:hAnsi="仿宋_GB2312" w:eastAsia="仿宋_GB2312" w:cs="仿宋_GB2312"/>
          <w:b w:val="0"/>
          <w:bCs w:val="0"/>
          <w:kern w:val="0"/>
          <w:sz w:val="32"/>
          <w:szCs w:val="32"/>
          <w:lang w:val="en-US" w:eastAsia="zh-CN"/>
        </w:rPr>
        <w:t>10</w:t>
      </w:r>
      <w:r>
        <w:rPr>
          <w:rFonts w:hint="eastAsia" w:ascii="仿宋_GB2312" w:hAnsi="仿宋_GB2312" w:eastAsia="仿宋_GB2312" w:cs="仿宋_GB2312"/>
          <w:b w:val="0"/>
          <w:bCs w:val="0"/>
          <w:kern w:val="0"/>
          <w:sz w:val="32"/>
          <w:szCs w:val="32"/>
        </w:rPr>
        <w:t>.收集、整理、保存地方志文献及相关地情文献资料，组织整理旧志，推动方志理论研究；</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zh-CN"/>
        </w:rPr>
      </w:pPr>
      <w:r>
        <w:rPr>
          <w:rFonts w:hint="eastAsia" w:ascii="仿宋_GB2312" w:hAnsi="仿宋_GB2312" w:eastAsia="仿宋_GB2312" w:cs="仿宋_GB2312"/>
          <w:b w:val="0"/>
          <w:bCs w:val="0"/>
          <w:kern w:val="0"/>
          <w:sz w:val="32"/>
          <w:szCs w:val="32"/>
          <w:lang w:val="en-US" w:eastAsia="zh-CN"/>
        </w:rPr>
        <w:t>11</w:t>
      </w:r>
      <w:r>
        <w:rPr>
          <w:rFonts w:hint="eastAsia" w:ascii="仿宋_GB2312" w:hAnsi="仿宋_GB2312" w:eastAsia="仿宋_GB2312" w:cs="仿宋_GB2312"/>
          <w:b w:val="0"/>
          <w:bCs w:val="0"/>
          <w:kern w:val="0"/>
          <w:sz w:val="32"/>
          <w:szCs w:val="32"/>
        </w:rPr>
        <w:t>.组织开发利用地方志资源。</w:t>
      </w:r>
    </w:p>
    <w:p>
      <w:pPr>
        <w:pStyle w:val="4"/>
        <w:pageBreakBefore w:val="0"/>
        <w:kinsoku/>
        <w:wordWrap/>
        <w:overflowPunct/>
        <w:topLinePunct w:val="0"/>
        <w:autoSpaceDE/>
        <w:autoSpaceDN/>
        <w:bidi w:val="0"/>
        <w:spacing w:before="0" w:beforeAutospacing="0" w:after="0" w:afterAutospacing="0" w:line="576" w:lineRule="exact"/>
        <w:ind w:firstLine="640" w:firstLineChars="200"/>
        <w:textAlignment w:val="auto"/>
        <w:rPr>
          <w:rFonts w:hint="eastAsia" w:ascii="方正黑体_GBK" w:hAnsi="方正黑体_GBK" w:eastAsia="方正黑体_GBK" w:cs="方正黑体_GBK"/>
          <w:b w:val="0"/>
          <w:color w:val="000000"/>
          <w:lang w:eastAsia="zh-CN"/>
        </w:rPr>
      </w:pPr>
      <w:bookmarkStart w:id="23" w:name="_Toc13146"/>
      <w:bookmarkStart w:id="24" w:name="_Toc15377200"/>
      <w:bookmarkStart w:id="25" w:name="_Toc111208497"/>
      <w:bookmarkStart w:id="26" w:name="_Toc2743"/>
      <w:r>
        <w:rPr>
          <w:rFonts w:hint="eastAsia" w:ascii="方正黑体_GBK" w:hAnsi="方正黑体_GBK" w:eastAsia="方正黑体_GBK" w:cs="方正黑体_GBK"/>
          <w:b w:val="0"/>
          <w:color w:val="000000"/>
        </w:rPr>
        <w:t>二、机构设置</w:t>
      </w:r>
      <w:bookmarkEnd w:id="23"/>
      <w:bookmarkEnd w:id="24"/>
      <w:bookmarkEnd w:id="25"/>
    </w:p>
    <w:bookmarkEnd w:id="26"/>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rPr>
      </w:pPr>
      <w:bookmarkStart w:id="27" w:name="_Toc7820"/>
      <w:r>
        <w:rPr>
          <w:rFonts w:hint="eastAsia" w:ascii="仿宋_GB2312" w:hAnsi="仿宋_GB2312" w:eastAsia="仿宋_GB2312" w:cs="仿宋_GB2312"/>
          <w:b w:val="0"/>
          <w:bCs w:val="0"/>
          <w:kern w:val="0"/>
          <w:sz w:val="32"/>
          <w:szCs w:val="32"/>
        </w:rPr>
        <w:t>茂县党史研究和地方志编纂中心</w:t>
      </w:r>
      <w:r>
        <w:rPr>
          <w:rFonts w:hint="eastAsia" w:ascii="仿宋_GB2312" w:hAnsi="仿宋_GB2312" w:eastAsia="仿宋_GB2312" w:cs="仿宋_GB2312"/>
          <w:b w:val="0"/>
          <w:bCs w:val="0"/>
          <w:kern w:val="0"/>
          <w:sz w:val="32"/>
          <w:szCs w:val="32"/>
          <w:lang w:eastAsia="zh-CN"/>
        </w:rPr>
        <w:t>（本级）二级预算单位</w:t>
      </w:r>
      <w:r>
        <w:rPr>
          <w:rFonts w:hint="eastAsia" w:ascii="仿宋_GB2312" w:hAnsi="仿宋_GB2312" w:eastAsia="仿宋_GB2312" w:cs="仿宋_GB2312"/>
          <w:b w:val="0"/>
          <w:bCs w:val="0"/>
          <w:kern w:val="0"/>
          <w:sz w:val="32"/>
          <w:szCs w:val="32"/>
          <w:lang w:val="en-US" w:eastAsia="zh-CN"/>
        </w:rPr>
        <w:t>0个</w:t>
      </w:r>
      <w:r>
        <w:rPr>
          <w:rFonts w:hint="eastAsia" w:ascii="仿宋_GB2312" w:hAnsi="仿宋_GB2312" w:eastAsia="仿宋_GB2312" w:cs="仿宋_GB2312"/>
          <w:b w:val="0"/>
          <w:bCs w:val="0"/>
          <w:kern w:val="0"/>
          <w:sz w:val="32"/>
          <w:szCs w:val="32"/>
          <w:lang w:eastAsia="zh-CN"/>
        </w:rPr>
        <w:t>，</w:t>
      </w:r>
      <w:r>
        <w:rPr>
          <w:rFonts w:hint="eastAsia" w:ascii="仿宋_GB2312" w:hAnsi="仿宋_GB2312" w:eastAsia="仿宋_GB2312" w:cs="仿宋_GB2312"/>
          <w:b w:val="0"/>
          <w:bCs w:val="0"/>
          <w:kern w:val="0"/>
          <w:sz w:val="32"/>
          <w:szCs w:val="32"/>
        </w:rPr>
        <w:t>其中行政单位0个，参照公务员法管理的事业单位</w:t>
      </w:r>
      <w:r>
        <w:rPr>
          <w:rFonts w:hint="eastAsia" w:ascii="仿宋_GB2312" w:hAnsi="仿宋_GB2312" w:eastAsia="仿宋_GB2312" w:cs="仿宋_GB2312"/>
          <w:b w:val="0"/>
          <w:bCs w:val="0"/>
          <w:kern w:val="0"/>
          <w:sz w:val="32"/>
          <w:szCs w:val="32"/>
          <w:lang w:val="en-US" w:eastAsia="zh-CN"/>
        </w:rPr>
        <w:t>0</w:t>
      </w:r>
      <w:r>
        <w:rPr>
          <w:rFonts w:hint="eastAsia" w:ascii="仿宋_GB2312" w:hAnsi="仿宋_GB2312" w:eastAsia="仿宋_GB2312" w:cs="仿宋_GB2312"/>
          <w:b w:val="0"/>
          <w:bCs w:val="0"/>
          <w:kern w:val="0"/>
          <w:sz w:val="32"/>
          <w:szCs w:val="32"/>
        </w:rPr>
        <w:t>个，其他事业单位</w:t>
      </w:r>
      <w:r>
        <w:rPr>
          <w:rFonts w:hint="eastAsia" w:ascii="仿宋_GB2312" w:hAnsi="仿宋_GB2312" w:eastAsia="仿宋_GB2312" w:cs="仿宋_GB2312"/>
          <w:b w:val="0"/>
          <w:bCs w:val="0"/>
          <w:kern w:val="0"/>
          <w:sz w:val="32"/>
          <w:szCs w:val="32"/>
          <w:lang w:val="en-US" w:eastAsia="zh-CN"/>
        </w:rPr>
        <w:t>0</w:t>
      </w:r>
      <w:r>
        <w:rPr>
          <w:rFonts w:hint="eastAsia" w:ascii="仿宋_GB2312" w:hAnsi="仿宋_GB2312" w:eastAsia="仿宋_GB2312" w:cs="仿宋_GB2312"/>
          <w:b w:val="0"/>
          <w:bCs w:val="0"/>
          <w:kern w:val="0"/>
          <w:sz w:val="32"/>
          <w:szCs w:val="32"/>
        </w:rPr>
        <w:t>个。</w:t>
      </w:r>
      <w:bookmarkEnd w:id="27"/>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2" w:firstLineChars="200"/>
        <w:jc w:val="both"/>
        <w:textAlignment w:val="auto"/>
        <w:rPr>
          <w:rFonts w:hint="eastAsia" w:ascii="Nimbus Roman" w:hAnsi="Nimbus Roman" w:eastAsia="方正仿宋_GBK" w:cs="Nimbus Roman"/>
          <w:b/>
          <w:bCs/>
          <w:kern w:val="0"/>
          <w:sz w:val="32"/>
          <w:szCs w:val="32"/>
        </w:rPr>
      </w:pPr>
    </w:p>
    <w:p>
      <w:pPr>
        <w:pageBreakBefore w:val="0"/>
        <w:widowControl/>
        <w:kinsoku/>
        <w:wordWrap/>
        <w:overflowPunct/>
        <w:topLinePunct w:val="0"/>
        <w:autoSpaceDE/>
        <w:autoSpaceDN/>
        <w:bidi w:val="0"/>
        <w:spacing w:beforeAutospacing="0" w:afterAutospacing="0" w:line="576" w:lineRule="exact"/>
        <w:jc w:val="left"/>
        <w:textAlignment w:val="auto"/>
        <w:rPr>
          <w:rFonts w:ascii="仿宋_GB2312" w:eastAsia="仿宋_GB2312"/>
          <w:b/>
          <w:bCs/>
          <w:color w:val="000000"/>
          <w:kern w:val="44"/>
          <w:sz w:val="44"/>
          <w:szCs w:val="44"/>
        </w:rPr>
      </w:pPr>
      <w:r>
        <w:rPr>
          <w:rFonts w:ascii="仿宋_GB2312" w:eastAsia="仿宋_GB2312"/>
          <w:color w:val="000000"/>
        </w:rPr>
        <w:br w:type="page"/>
      </w:r>
    </w:p>
    <w:p>
      <w:pPr>
        <w:pStyle w:val="3"/>
        <w:pageBreakBefore w:val="0"/>
        <w:kinsoku/>
        <w:wordWrap/>
        <w:overflowPunct/>
        <w:topLinePunct w:val="0"/>
        <w:autoSpaceDE/>
        <w:autoSpaceDN/>
        <w:bidi w:val="0"/>
        <w:spacing w:before="0" w:beforeAutospacing="0" w:after="0" w:afterAutospacing="0" w:line="576" w:lineRule="exact"/>
        <w:jc w:val="center"/>
        <w:textAlignment w:val="auto"/>
        <w:rPr>
          <w:rFonts w:ascii="黑体" w:eastAsia="黑体" w:cs="黑体"/>
          <w:b w:val="0"/>
          <w:bCs w:val="0"/>
        </w:rPr>
      </w:pPr>
      <w:bookmarkStart w:id="28" w:name="_Toc4756"/>
      <w:bookmarkStart w:id="29" w:name="_Toc25032"/>
      <w:bookmarkStart w:id="30" w:name="_Toc111208498"/>
      <w:r>
        <w:rPr>
          <w:rFonts w:hint="eastAsia" w:ascii="方正小标宋简体" w:hAnsi="方正小标宋简体" w:eastAsia="方正小标宋简体" w:cs="方正小标宋简体"/>
          <w:b w:val="0"/>
          <w:bCs w:val="0"/>
        </w:rPr>
        <w:t>第二部分 202</w:t>
      </w:r>
      <w:r>
        <w:rPr>
          <w:rFonts w:hint="eastAsia" w:ascii="方正小标宋简体" w:hAnsi="方正小标宋简体" w:eastAsia="方正小标宋简体" w:cs="方正小标宋简体"/>
          <w:b w:val="0"/>
          <w:bCs w:val="0"/>
          <w:lang w:val="en-US" w:eastAsia="zh-CN"/>
        </w:rPr>
        <w:t>5</w:t>
      </w:r>
      <w:r>
        <w:rPr>
          <w:rFonts w:hint="eastAsia" w:ascii="方正小标宋简体" w:hAnsi="方正小标宋简体" w:eastAsia="方正小标宋简体" w:cs="方正小标宋简体"/>
          <w:b w:val="0"/>
          <w:bCs w:val="0"/>
        </w:rPr>
        <w:t>年度部门决算情况说明</w:t>
      </w:r>
      <w:bookmarkEnd w:id="22"/>
      <w:bookmarkEnd w:id="28"/>
      <w:bookmarkEnd w:id="29"/>
      <w:bookmarkEnd w:id="30"/>
    </w:p>
    <w:p>
      <w:pPr>
        <w:pStyle w:val="4"/>
        <w:pageBreakBefore w:val="0"/>
        <w:kinsoku/>
        <w:wordWrap/>
        <w:overflowPunct/>
        <w:topLinePunct w:val="0"/>
        <w:autoSpaceDE/>
        <w:autoSpaceDN/>
        <w:bidi w:val="0"/>
        <w:spacing w:before="0" w:beforeAutospacing="0" w:after="0" w:afterAutospacing="0" w:line="576" w:lineRule="exact"/>
        <w:ind w:firstLine="640" w:firstLineChars="200"/>
        <w:textAlignment w:val="auto"/>
        <w:rPr>
          <w:rFonts w:hint="eastAsia" w:ascii="黑体" w:eastAsia="黑体" w:cs="Times New Roman"/>
          <w:b w:val="0"/>
          <w:bCs/>
          <w:color w:val="000000"/>
        </w:rPr>
      </w:pPr>
      <w:bookmarkStart w:id="31" w:name="_Toc15377205"/>
      <w:bookmarkStart w:id="32" w:name="_Toc26705"/>
      <w:bookmarkStart w:id="33" w:name="_Toc111208499"/>
      <w:bookmarkStart w:id="34" w:name="_Toc4873"/>
    </w:p>
    <w:p>
      <w:pPr>
        <w:pStyle w:val="4"/>
        <w:pageBreakBefore w:val="0"/>
        <w:kinsoku/>
        <w:wordWrap/>
        <w:overflowPunct/>
        <w:topLinePunct w:val="0"/>
        <w:autoSpaceDE/>
        <w:autoSpaceDN/>
        <w:bidi w:val="0"/>
        <w:spacing w:before="0" w:beforeAutospacing="0" w:after="0" w:afterAutospacing="0" w:line="576" w:lineRule="exact"/>
        <w:ind w:firstLine="640" w:firstLineChars="200"/>
        <w:textAlignment w:val="auto"/>
        <w:rPr>
          <w:rFonts w:hint="eastAsia" w:ascii="方正黑体_GBK" w:hAnsi="方正黑体_GBK" w:eastAsia="方正黑体_GBK" w:cs="方正黑体_GBK"/>
          <w:b w:val="0"/>
          <w:color w:val="000000"/>
        </w:rPr>
      </w:pPr>
      <w:r>
        <w:rPr>
          <w:rFonts w:hint="eastAsia" w:ascii="方正黑体_GBK" w:hAnsi="方正黑体_GBK" w:eastAsia="方正黑体_GBK" w:cs="方正黑体_GBK"/>
          <w:b w:val="0"/>
          <w:color w:val="000000"/>
        </w:rPr>
        <w:t>一、收入支出决算总体情况说</w:t>
      </w:r>
      <w:bookmarkEnd w:id="31"/>
      <w:r>
        <w:rPr>
          <w:rFonts w:hint="eastAsia" w:ascii="方正黑体_GBK" w:hAnsi="方正黑体_GBK" w:eastAsia="方正黑体_GBK" w:cs="方正黑体_GBK"/>
          <w:b w:val="0"/>
          <w:color w:val="000000"/>
        </w:rPr>
        <w:t>明</w:t>
      </w:r>
      <w:bookmarkEnd w:id="32"/>
      <w:bookmarkEnd w:id="33"/>
      <w:bookmarkEnd w:id="34"/>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b w:val="0"/>
          <w:bCs w:val="0"/>
          <w:kern w:val="0"/>
          <w:sz w:val="32"/>
          <w:szCs w:val="32"/>
          <w:lang w:eastAsia="zh-CN"/>
        </w:rPr>
        <w:t>202</w:t>
      </w:r>
      <w:r>
        <w:rPr>
          <w:rFonts w:hint="eastAsia" w:ascii="仿宋_GB2312" w:hAnsi="仿宋_GB2312" w:eastAsia="仿宋_GB2312" w:cs="仿宋_GB2312"/>
          <w:b w:val="0"/>
          <w:bCs w:val="0"/>
          <w:kern w:val="0"/>
          <w:sz w:val="32"/>
          <w:szCs w:val="32"/>
          <w:lang w:val="en-US" w:eastAsia="zh-CN"/>
        </w:rPr>
        <w:t>5</w:t>
      </w:r>
      <w:r>
        <w:rPr>
          <w:rFonts w:hint="eastAsia" w:ascii="仿宋_GB2312" w:hAnsi="仿宋_GB2312" w:eastAsia="仿宋_GB2312" w:cs="仿宋_GB2312"/>
          <w:b w:val="0"/>
          <w:bCs w:val="0"/>
          <w:kern w:val="0"/>
          <w:sz w:val="32"/>
          <w:szCs w:val="32"/>
          <w:lang w:eastAsia="zh-CN"/>
        </w:rPr>
        <w:t>年</w:t>
      </w:r>
      <w:r>
        <w:rPr>
          <w:rFonts w:hint="eastAsia" w:ascii="仿宋_GB2312" w:hAnsi="仿宋_GB2312" w:eastAsia="仿宋_GB2312" w:cs="仿宋_GB2312"/>
          <w:b w:val="0"/>
          <w:bCs w:val="0"/>
          <w:kern w:val="0"/>
          <w:sz w:val="32"/>
          <w:szCs w:val="32"/>
        </w:rPr>
        <w:t>度收、支总计</w:t>
      </w:r>
      <w:r>
        <w:rPr>
          <w:rFonts w:hint="eastAsia" w:ascii="仿宋_GB2312" w:hAnsi="仿宋_GB2312" w:eastAsia="仿宋_GB2312" w:cs="仿宋_GB2312"/>
          <w:b w:val="0"/>
          <w:bCs w:val="0"/>
          <w:kern w:val="0"/>
          <w:sz w:val="32"/>
          <w:szCs w:val="32"/>
          <w:lang w:eastAsia="zh-CN"/>
        </w:rPr>
        <w:t>均为</w:t>
      </w:r>
      <w:r>
        <w:rPr>
          <w:rFonts w:hint="eastAsia" w:ascii="仿宋_GB2312" w:hAnsi="仿宋_GB2312" w:eastAsia="仿宋_GB2312" w:cs="仿宋_GB2312"/>
          <w:b w:val="0"/>
          <w:bCs w:val="0"/>
          <w:kern w:val="0"/>
          <w:sz w:val="32"/>
          <w:szCs w:val="32"/>
          <w:lang w:val="en-US" w:eastAsia="zh-CN"/>
        </w:rPr>
        <w:t>268.12</w:t>
      </w:r>
      <w:r>
        <w:rPr>
          <w:rFonts w:hint="eastAsia" w:ascii="仿宋_GB2312" w:hAnsi="仿宋_GB2312" w:eastAsia="仿宋_GB2312" w:cs="仿宋_GB2312"/>
          <w:b w:val="0"/>
          <w:bCs w:val="0"/>
          <w:kern w:val="0"/>
          <w:sz w:val="32"/>
          <w:szCs w:val="32"/>
        </w:rPr>
        <w:t>万元。与</w:t>
      </w:r>
      <w:r>
        <w:rPr>
          <w:rFonts w:hint="eastAsia" w:ascii="仿宋_GB2312" w:hAnsi="仿宋_GB2312" w:eastAsia="仿宋_GB2312" w:cs="仿宋_GB2312"/>
          <w:b w:val="0"/>
          <w:bCs w:val="0"/>
          <w:kern w:val="0"/>
          <w:sz w:val="32"/>
          <w:szCs w:val="32"/>
          <w:lang w:eastAsia="zh-CN"/>
        </w:rPr>
        <w:t>20</w:t>
      </w:r>
      <w:r>
        <w:rPr>
          <w:rFonts w:hint="eastAsia" w:ascii="仿宋_GB2312" w:hAnsi="仿宋_GB2312" w:eastAsia="仿宋_GB2312" w:cs="仿宋_GB2312"/>
          <w:b w:val="0"/>
          <w:bCs w:val="0"/>
          <w:kern w:val="0"/>
          <w:sz w:val="32"/>
          <w:szCs w:val="32"/>
          <w:lang w:val="en-US" w:eastAsia="zh-CN"/>
        </w:rPr>
        <w:t>24</w:t>
      </w:r>
      <w:r>
        <w:rPr>
          <w:rFonts w:hint="eastAsia" w:ascii="仿宋_GB2312" w:hAnsi="仿宋_GB2312" w:eastAsia="仿宋_GB2312" w:cs="仿宋_GB2312"/>
          <w:b w:val="0"/>
          <w:bCs w:val="0"/>
          <w:kern w:val="0"/>
          <w:sz w:val="32"/>
          <w:szCs w:val="32"/>
          <w:lang w:eastAsia="zh-CN"/>
        </w:rPr>
        <w:t>年度</w:t>
      </w:r>
      <w:r>
        <w:rPr>
          <w:rFonts w:hint="eastAsia" w:ascii="仿宋_GB2312" w:hAnsi="仿宋_GB2312" w:eastAsia="仿宋_GB2312" w:cs="仿宋_GB2312"/>
          <w:b w:val="0"/>
          <w:bCs w:val="0"/>
          <w:kern w:val="0"/>
          <w:sz w:val="32"/>
          <w:szCs w:val="32"/>
        </w:rPr>
        <w:t>相比，收、支总计各</w:t>
      </w:r>
      <w:r>
        <w:rPr>
          <w:rFonts w:hint="eastAsia" w:ascii="仿宋_GB2312" w:hAnsi="仿宋_GB2312" w:eastAsia="仿宋_GB2312" w:cs="仿宋_GB2312"/>
          <w:b w:val="0"/>
          <w:bCs w:val="0"/>
          <w:kern w:val="0"/>
          <w:sz w:val="32"/>
          <w:szCs w:val="32"/>
          <w:lang w:eastAsia="zh-CN"/>
        </w:rPr>
        <w:t>增加</w:t>
      </w:r>
      <w:r>
        <w:rPr>
          <w:rFonts w:hint="eastAsia" w:ascii="仿宋_GB2312" w:hAnsi="仿宋_GB2312" w:eastAsia="仿宋_GB2312" w:cs="仿宋_GB2312"/>
          <w:b w:val="0"/>
          <w:bCs w:val="0"/>
          <w:kern w:val="0"/>
          <w:sz w:val="32"/>
          <w:szCs w:val="32"/>
          <w:lang w:val="en-US" w:eastAsia="zh-CN"/>
        </w:rPr>
        <w:t>17.52</w:t>
      </w:r>
      <w:r>
        <w:rPr>
          <w:rFonts w:hint="eastAsia" w:ascii="仿宋_GB2312" w:hAnsi="仿宋_GB2312" w:eastAsia="仿宋_GB2312" w:cs="仿宋_GB2312"/>
          <w:b w:val="0"/>
          <w:bCs w:val="0"/>
          <w:kern w:val="0"/>
          <w:sz w:val="32"/>
          <w:szCs w:val="32"/>
        </w:rPr>
        <w:t>万元，</w:t>
      </w:r>
      <w:r>
        <w:rPr>
          <w:rFonts w:hint="eastAsia" w:ascii="仿宋_GB2312" w:hAnsi="仿宋_GB2312" w:eastAsia="仿宋_GB2312" w:cs="仿宋_GB2312"/>
          <w:b w:val="0"/>
          <w:bCs w:val="0"/>
          <w:kern w:val="0"/>
          <w:sz w:val="32"/>
          <w:szCs w:val="32"/>
          <w:lang w:eastAsia="zh-CN"/>
        </w:rPr>
        <w:t>增长7.0%</w:t>
      </w:r>
      <w:r>
        <w:rPr>
          <w:rFonts w:hint="eastAsia" w:ascii="仿宋_GB2312" w:hAnsi="仿宋_GB2312" w:eastAsia="仿宋_GB2312" w:cs="仿宋_GB2312"/>
          <w:b w:val="0"/>
          <w:bCs w:val="0"/>
          <w:kern w:val="0"/>
          <w:sz w:val="32"/>
          <w:szCs w:val="32"/>
        </w:rPr>
        <w:t>。主要</w:t>
      </w:r>
      <w:r>
        <w:rPr>
          <w:rFonts w:hint="eastAsia" w:ascii="仿宋_GB2312" w:hAnsi="仿宋_GB2312" w:eastAsia="仿宋_GB2312" w:cs="仿宋_GB2312"/>
          <w:b w:val="0"/>
          <w:bCs w:val="0"/>
          <w:kern w:val="0"/>
          <w:sz w:val="32"/>
          <w:szCs w:val="32"/>
          <w:lang w:eastAsia="zh-CN"/>
        </w:rPr>
        <w:t>变动</w:t>
      </w:r>
      <w:r>
        <w:rPr>
          <w:rFonts w:hint="eastAsia" w:ascii="仿宋_GB2312" w:hAnsi="仿宋_GB2312" w:eastAsia="仿宋_GB2312" w:cs="仿宋_GB2312"/>
          <w:b w:val="0"/>
          <w:bCs w:val="0"/>
          <w:kern w:val="0"/>
          <w:sz w:val="32"/>
          <w:szCs w:val="32"/>
        </w:rPr>
        <w:t>原因</w:t>
      </w:r>
      <w:r>
        <w:rPr>
          <w:rFonts w:hint="eastAsia" w:ascii="仿宋_GB2312" w:hAnsi="仿宋_GB2312" w:eastAsia="仿宋_GB2312" w:cs="仿宋_GB2312"/>
          <w:b w:val="0"/>
          <w:bCs w:val="0"/>
          <w:kern w:val="0"/>
          <w:sz w:val="32"/>
          <w:szCs w:val="32"/>
          <w:lang w:eastAsia="zh-CN"/>
        </w:rPr>
        <w:t>是：人员经费增加。</w:t>
      </w:r>
    </w:p>
    <w:p>
      <w:pPr>
        <w:pStyle w:val="4"/>
        <w:pageBreakBefore w:val="0"/>
        <w:kinsoku/>
        <w:wordWrap/>
        <w:overflowPunct/>
        <w:topLinePunct w:val="0"/>
        <w:autoSpaceDE/>
        <w:autoSpaceDN/>
        <w:bidi w:val="0"/>
        <w:spacing w:before="0" w:beforeAutospacing="0" w:after="0" w:afterAutospacing="0" w:line="576" w:lineRule="exact"/>
        <w:textAlignment w:val="auto"/>
        <w:rPr>
          <w:rFonts w:hint="eastAsia" w:ascii="方正黑体_GBK" w:hAnsi="方正黑体_GBK" w:eastAsia="方正黑体_GBK" w:cs="方正黑体_GBK"/>
          <w:b w:val="0"/>
          <w:color w:val="000000"/>
          <w:lang w:eastAsia="zh-CN"/>
        </w:rPr>
      </w:pPr>
      <w:r>
        <w:rPr>
          <w:rFonts w:hint="eastAsia" w:ascii="方正黑体_GBK" w:hAnsi="方正黑体_GBK" w:eastAsia="方正黑体_GBK" w:cs="方正黑体_GBK"/>
          <w:b w:val="0"/>
          <w:color w:val="000000"/>
        </w:rPr>
        <w:drawing>
          <wp:anchor distT="0" distB="0" distL="114300" distR="114300" simplePos="0" relativeHeight="251659264" behindDoc="0" locked="0" layoutInCell="1" allowOverlap="1">
            <wp:simplePos x="0" y="0"/>
            <wp:positionH relativeFrom="column">
              <wp:posOffset>245745</wp:posOffset>
            </wp:positionH>
            <wp:positionV relativeFrom="paragraph">
              <wp:posOffset>118110</wp:posOffset>
            </wp:positionV>
            <wp:extent cx="5362575" cy="1962150"/>
            <wp:effectExtent l="4445" t="4445" r="5080" b="14605"/>
            <wp:wrapSquare wrapText="bothSides"/>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pPr>
        <w:pStyle w:val="4"/>
        <w:pageBreakBefore w:val="0"/>
        <w:kinsoku/>
        <w:wordWrap/>
        <w:overflowPunct/>
        <w:topLinePunct w:val="0"/>
        <w:autoSpaceDE/>
        <w:autoSpaceDN/>
        <w:bidi w:val="0"/>
        <w:spacing w:before="0" w:beforeAutospacing="0" w:after="0" w:afterAutospacing="0" w:line="576" w:lineRule="exact"/>
        <w:ind w:firstLine="640" w:firstLineChars="200"/>
        <w:textAlignment w:val="auto"/>
        <w:rPr>
          <w:rFonts w:hint="eastAsia" w:ascii="方正黑体_GBK" w:hAnsi="方正黑体_GBK" w:eastAsia="方正黑体_GBK" w:cs="方正黑体_GBK"/>
          <w:b w:val="0"/>
          <w:color w:val="000000"/>
        </w:rPr>
      </w:pPr>
      <w:bookmarkStart w:id="35" w:name="_Toc25746"/>
      <w:bookmarkStart w:id="36" w:name="_Toc12822"/>
      <w:bookmarkStart w:id="37" w:name="_Toc111208500"/>
      <w:bookmarkStart w:id="38" w:name="_Toc15377206"/>
      <w:r>
        <w:rPr>
          <w:rFonts w:hint="eastAsia" w:ascii="方正黑体_GBK" w:hAnsi="方正黑体_GBK" w:eastAsia="方正黑体_GBK" w:cs="方正黑体_GBK"/>
          <w:b w:val="0"/>
          <w:color w:val="000000"/>
          <w:lang w:eastAsia="zh-CN"/>
        </w:rPr>
        <w:t>二、</w:t>
      </w:r>
      <w:r>
        <w:rPr>
          <w:rFonts w:hint="eastAsia" w:ascii="方正黑体_GBK" w:hAnsi="方正黑体_GBK" w:eastAsia="方正黑体_GBK" w:cs="方正黑体_GBK"/>
          <w:b w:val="0"/>
          <w:color w:val="000000"/>
        </w:rPr>
        <w:t>收入决算情况说明</w:t>
      </w:r>
      <w:bookmarkEnd w:id="35"/>
      <w:bookmarkEnd w:id="36"/>
      <w:bookmarkEnd w:id="37"/>
      <w:bookmarkEnd w:id="38"/>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eastAsia="zh-CN"/>
        </w:rPr>
        <w:t>202</w:t>
      </w:r>
      <w:r>
        <w:rPr>
          <w:rFonts w:hint="eastAsia" w:ascii="仿宋_GB2312" w:hAnsi="仿宋_GB2312" w:eastAsia="仿宋_GB2312" w:cs="仿宋_GB2312"/>
          <w:b w:val="0"/>
          <w:bCs w:val="0"/>
          <w:kern w:val="0"/>
          <w:sz w:val="32"/>
          <w:szCs w:val="32"/>
          <w:lang w:val="en-US" w:eastAsia="zh-CN"/>
        </w:rPr>
        <w:t>5</w:t>
      </w:r>
      <w:r>
        <w:rPr>
          <w:rFonts w:hint="eastAsia" w:ascii="仿宋_GB2312" w:hAnsi="仿宋_GB2312" w:eastAsia="仿宋_GB2312" w:cs="仿宋_GB2312"/>
          <w:b w:val="0"/>
          <w:bCs w:val="0"/>
          <w:kern w:val="0"/>
          <w:sz w:val="32"/>
          <w:szCs w:val="32"/>
          <w:lang w:eastAsia="zh-CN"/>
        </w:rPr>
        <w:t>年度本年收入合计</w:t>
      </w:r>
      <w:r>
        <w:rPr>
          <w:rFonts w:hint="eastAsia" w:ascii="仿宋_GB2312" w:hAnsi="仿宋_GB2312" w:eastAsia="仿宋_GB2312" w:cs="仿宋_GB2312"/>
          <w:b w:val="0"/>
          <w:bCs w:val="0"/>
          <w:kern w:val="0"/>
          <w:sz w:val="32"/>
          <w:szCs w:val="32"/>
          <w:lang w:val="en-US" w:eastAsia="zh-CN"/>
        </w:rPr>
        <w:t>268.12</w:t>
      </w:r>
      <w:r>
        <w:rPr>
          <w:rFonts w:hint="eastAsia" w:ascii="仿宋_GB2312" w:hAnsi="仿宋_GB2312" w:eastAsia="仿宋_GB2312" w:cs="仿宋_GB2312"/>
          <w:b w:val="0"/>
          <w:bCs w:val="0"/>
          <w:kern w:val="0"/>
          <w:sz w:val="32"/>
          <w:szCs w:val="32"/>
          <w:lang w:eastAsia="zh-CN"/>
        </w:rPr>
        <w:t>万元，其中：一般公共预算财政拨款收入</w:t>
      </w:r>
      <w:r>
        <w:rPr>
          <w:rFonts w:hint="eastAsia" w:ascii="仿宋_GB2312" w:hAnsi="仿宋_GB2312" w:eastAsia="仿宋_GB2312" w:cs="仿宋_GB2312"/>
          <w:b w:val="0"/>
          <w:bCs w:val="0"/>
          <w:kern w:val="0"/>
          <w:sz w:val="32"/>
          <w:szCs w:val="32"/>
          <w:lang w:val="en-US" w:eastAsia="zh-CN"/>
        </w:rPr>
        <w:t>268.12</w:t>
      </w:r>
      <w:r>
        <w:rPr>
          <w:rFonts w:hint="eastAsia" w:ascii="仿宋_GB2312" w:hAnsi="仿宋_GB2312" w:eastAsia="仿宋_GB2312" w:cs="仿宋_GB2312"/>
          <w:b w:val="0"/>
          <w:bCs w:val="0"/>
          <w:kern w:val="0"/>
          <w:sz w:val="32"/>
          <w:szCs w:val="32"/>
          <w:lang w:eastAsia="zh-CN"/>
        </w:rPr>
        <w:t>万元，占</w:t>
      </w:r>
      <w:r>
        <w:rPr>
          <w:rFonts w:hint="eastAsia" w:ascii="仿宋_GB2312" w:hAnsi="仿宋_GB2312" w:eastAsia="仿宋_GB2312" w:cs="仿宋_GB2312"/>
          <w:b w:val="0"/>
          <w:bCs w:val="0"/>
          <w:kern w:val="0"/>
          <w:sz w:val="32"/>
          <w:szCs w:val="32"/>
          <w:lang w:val="en-US" w:eastAsia="zh-CN"/>
        </w:rPr>
        <w:t>100</w:t>
      </w:r>
      <w:r>
        <w:rPr>
          <w:rFonts w:hint="eastAsia" w:ascii="仿宋_GB2312" w:hAnsi="仿宋_GB2312" w:eastAsia="仿宋_GB2312" w:cs="仿宋_GB2312"/>
          <w:b w:val="0"/>
          <w:bCs w:val="0"/>
          <w:kern w:val="0"/>
          <w:sz w:val="32"/>
          <w:szCs w:val="32"/>
          <w:lang w:eastAsia="zh-CN"/>
        </w:rPr>
        <w:t>%。</w:t>
      </w:r>
    </w:p>
    <w:p>
      <w:pPr>
        <w:pStyle w:val="16"/>
        <w:jc w:val="center"/>
      </w:pPr>
      <w:r>
        <w:rPr>
          <w:rFonts w:hint="eastAsia" w:ascii="仿宋_GB2312" w:eastAsia="仿宋_GB2312"/>
          <w:color w:val="FF0000"/>
          <w:sz w:val="32"/>
          <w:szCs w:val="32"/>
        </w:rPr>
        <w:drawing>
          <wp:inline distT="0" distB="0" distL="114300" distR="114300">
            <wp:extent cx="5515610" cy="1848485"/>
            <wp:effectExtent l="4445" t="4445" r="23495" b="1397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pStyle w:val="4"/>
        <w:pageBreakBefore w:val="0"/>
        <w:kinsoku/>
        <w:wordWrap/>
        <w:overflowPunct/>
        <w:topLinePunct w:val="0"/>
        <w:autoSpaceDE/>
        <w:autoSpaceDN/>
        <w:bidi w:val="0"/>
        <w:spacing w:before="0" w:beforeAutospacing="0" w:after="0" w:afterAutospacing="0" w:line="576" w:lineRule="exact"/>
        <w:ind w:firstLine="640" w:firstLineChars="200"/>
        <w:textAlignment w:val="auto"/>
        <w:rPr>
          <w:rFonts w:hint="eastAsia" w:ascii="方正黑体_GBK" w:hAnsi="方正黑体_GBK" w:eastAsia="方正黑体_GBK" w:cs="方正黑体_GBK"/>
          <w:b w:val="0"/>
          <w:color w:val="000000"/>
        </w:rPr>
      </w:pPr>
      <w:bookmarkStart w:id="39" w:name="_Toc15377207"/>
      <w:bookmarkStart w:id="40" w:name="_Toc4462"/>
      <w:bookmarkStart w:id="41" w:name="_Toc111208501"/>
      <w:bookmarkStart w:id="42" w:name="_Toc26388"/>
      <w:r>
        <w:rPr>
          <w:rFonts w:hint="eastAsia" w:ascii="方正黑体_GBK" w:hAnsi="方正黑体_GBK" w:eastAsia="方正黑体_GBK" w:cs="方正黑体_GBK"/>
          <w:b w:val="0"/>
          <w:color w:val="000000"/>
        </w:rPr>
        <w:t>三、支出决算情况说明</w:t>
      </w:r>
      <w:bookmarkEnd w:id="39"/>
      <w:bookmarkEnd w:id="40"/>
      <w:bookmarkEnd w:id="41"/>
      <w:bookmarkEnd w:id="42"/>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2025年度本年支出合计268.12万元，其中：基本支出210.33万元，占78.5%；项目支出57.79万元，占21.5%。</w:t>
      </w:r>
    </w:p>
    <w:p>
      <w:pPr>
        <w:jc w:val="center"/>
        <w:rPr>
          <w:rFonts w:hint="eastAsia" w:ascii="仿宋_GB2312" w:eastAsia="仿宋_GB2312"/>
          <w:color w:val="FF0000"/>
          <w:sz w:val="32"/>
          <w:szCs w:val="32"/>
          <w:lang w:eastAsia="zh-CN"/>
        </w:rPr>
      </w:pPr>
      <w:r>
        <w:rPr>
          <w:rFonts w:hint="eastAsia" w:ascii="仿宋_GB2312" w:eastAsia="仿宋_GB2312"/>
          <w:color w:val="FF0000"/>
          <w:sz w:val="32"/>
          <w:szCs w:val="32"/>
          <w:lang w:eastAsia="zh-CN"/>
        </w:rPr>
        <w:drawing>
          <wp:inline distT="0" distB="0" distL="114300" distR="114300">
            <wp:extent cx="5276850" cy="2096135"/>
            <wp:effectExtent l="4445" t="4445" r="14605" b="1397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7"/>
      </w:pPr>
    </w:p>
    <w:p>
      <w:pPr>
        <w:pStyle w:val="4"/>
        <w:pageBreakBefore w:val="0"/>
        <w:kinsoku/>
        <w:wordWrap/>
        <w:overflowPunct/>
        <w:topLinePunct w:val="0"/>
        <w:autoSpaceDE/>
        <w:autoSpaceDN/>
        <w:bidi w:val="0"/>
        <w:spacing w:before="0" w:beforeAutospacing="0" w:after="0" w:afterAutospacing="0" w:line="576" w:lineRule="exact"/>
        <w:ind w:firstLine="640" w:firstLineChars="200"/>
        <w:textAlignment w:val="auto"/>
        <w:rPr>
          <w:rFonts w:hint="eastAsia" w:ascii="方正黑体_GBK" w:hAnsi="方正黑体_GBK" w:eastAsia="方正黑体_GBK" w:cs="方正黑体_GBK"/>
          <w:b w:val="0"/>
          <w:color w:val="000000"/>
        </w:rPr>
      </w:pPr>
      <w:bookmarkStart w:id="43" w:name="_Toc15377208"/>
      <w:bookmarkStart w:id="44" w:name="_Toc111208502"/>
      <w:bookmarkStart w:id="45" w:name="_Toc32540"/>
      <w:bookmarkStart w:id="46" w:name="_Toc27304"/>
      <w:r>
        <w:rPr>
          <w:rFonts w:hint="eastAsia" w:ascii="方正黑体_GBK" w:hAnsi="方正黑体_GBK" w:eastAsia="方正黑体_GBK" w:cs="方正黑体_GBK"/>
          <w:b w:val="0"/>
          <w:color w:val="000000"/>
        </w:rPr>
        <w:t>四、财政拨款收入支出决算总体情况说明</w:t>
      </w:r>
      <w:bookmarkEnd w:id="43"/>
      <w:bookmarkEnd w:id="44"/>
      <w:bookmarkEnd w:id="45"/>
      <w:bookmarkEnd w:id="46"/>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2025年度财政拨款收、支总计268.12万元。与2024年度相比，财政拨款收、支总计各增加17.52万元，增长7%。主要变动原因是：人员经费增加。</w:t>
      </w:r>
    </w:p>
    <w:p>
      <w:pPr>
        <w:pStyle w:val="7"/>
        <w:ind w:firstLine="1673" w:firstLineChars="523"/>
        <w:rPr>
          <w:rFonts w:hint="eastAsia" w:ascii="仿宋_GB2312" w:eastAsia="仿宋_GB2312" w:cs="仿宋_GB2312"/>
          <w:color w:val="000000"/>
          <w:kern w:val="2"/>
          <w:sz w:val="32"/>
          <w:szCs w:val="32"/>
          <w:lang w:val="en-US" w:eastAsia="zh-CN" w:bidi="ar-SA"/>
        </w:rPr>
      </w:pPr>
      <w:r>
        <w:rPr>
          <w:rFonts w:hint="eastAsia" w:ascii="仿宋_GB2312" w:hAnsi="仿宋" w:eastAsia="仿宋_GB2312"/>
          <w:color w:val="000000"/>
          <w:sz w:val="32"/>
          <w:szCs w:val="32"/>
        </w:rPr>
        <w:drawing>
          <wp:anchor distT="0" distB="0" distL="114300" distR="114300" simplePos="0" relativeHeight="251660288" behindDoc="0" locked="0" layoutInCell="1" allowOverlap="1">
            <wp:simplePos x="0" y="0"/>
            <wp:positionH relativeFrom="column">
              <wp:posOffset>548640</wp:posOffset>
            </wp:positionH>
            <wp:positionV relativeFrom="paragraph">
              <wp:posOffset>219075</wp:posOffset>
            </wp:positionV>
            <wp:extent cx="4969510" cy="2675890"/>
            <wp:effectExtent l="4445" t="4445" r="17145" b="5715"/>
            <wp:wrapSquare wrapText="bothSides"/>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7"/>
        <w:jc w:val="left"/>
      </w:pPr>
    </w:p>
    <w:p>
      <w:pPr>
        <w:pStyle w:val="7"/>
        <w:jc w:val="left"/>
      </w:pPr>
    </w:p>
    <w:p>
      <w:pPr>
        <w:pStyle w:val="7"/>
        <w:jc w:val="left"/>
      </w:pPr>
    </w:p>
    <w:p>
      <w:pPr>
        <w:pStyle w:val="7"/>
        <w:jc w:val="left"/>
      </w:pPr>
    </w:p>
    <w:p>
      <w:pPr>
        <w:pStyle w:val="7"/>
        <w:jc w:val="left"/>
      </w:pPr>
    </w:p>
    <w:p>
      <w:pPr>
        <w:pStyle w:val="4"/>
        <w:pageBreakBefore w:val="0"/>
        <w:kinsoku/>
        <w:wordWrap/>
        <w:overflowPunct/>
        <w:topLinePunct w:val="0"/>
        <w:autoSpaceDE/>
        <w:autoSpaceDN/>
        <w:bidi w:val="0"/>
        <w:spacing w:before="0" w:beforeAutospacing="0" w:after="0" w:afterAutospacing="0" w:line="576" w:lineRule="exact"/>
        <w:ind w:firstLine="640" w:firstLineChars="200"/>
        <w:textAlignment w:val="auto"/>
        <w:rPr>
          <w:rFonts w:hint="eastAsia" w:ascii="方正黑体_GBK" w:hAnsi="方正黑体_GBK" w:eastAsia="方正黑体_GBK" w:cs="方正黑体_GBK"/>
          <w:b w:val="0"/>
          <w:color w:val="000000"/>
        </w:rPr>
      </w:pPr>
      <w:bookmarkStart w:id="47" w:name="_Toc15377209"/>
      <w:bookmarkStart w:id="48" w:name="_Toc3940"/>
      <w:bookmarkStart w:id="49" w:name="_Toc111208503"/>
      <w:bookmarkStart w:id="50" w:name="_Toc11217"/>
      <w:bookmarkStart w:id="51" w:name="_Toc15377211"/>
      <w:r>
        <w:rPr>
          <w:rFonts w:hint="eastAsia" w:ascii="方正黑体_GBK" w:hAnsi="方正黑体_GBK" w:eastAsia="方正黑体_GBK" w:cs="方正黑体_GBK"/>
          <w:b w:val="0"/>
          <w:color w:val="000000"/>
        </w:rPr>
        <w:t>五、一般公共预算财政拨款支出决算情况说</w:t>
      </w:r>
      <w:bookmarkEnd w:id="47"/>
      <w:r>
        <w:rPr>
          <w:rFonts w:hint="eastAsia" w:ascii="方正黑体_GBK" w:hAnsi="方正黑体_GBK" w:eastAsia="方正黑体_GBK" w:cs="方正黑体_GBK"/>
          <w:b w:val="0"/>
          <w:color w:val="000000"/>
        </w:rPr>
        <w:t>明</w:t>
      </w:r>
      <w:bookmarkEnd w:id="48"/>
      <w:bookmarkEnd w:id="49"/>
      <w:bookmarkEnd w:id="50"/>
    </w:p>
    <w:p>
      <w:pPr>
        <w:pageBreakBefore w:val="0"/>
        <w:widowControl w:val="0"/>
        <w:kinsoku/>
        <w:wordWrap/>
        <w:overflowPunct/>
        <w:topLinePunct w:val="0"/>
        <w:autoSpaceDE/>
        <w:autoSpaceDN/>
        <w:bidi w:val="0"/>
        <w:adjustRightInd/>
        <w:snapToGrid/>
        <w:spacing w:line="576" w:lineRule="exact"/>
        <w:ind w:firstLine="642" w:firstLineChars="200"/>
        <w:textAlignment w:val="auto"/>
        <w:outlineLvl w:val="2"/>
        <w:rPr>
          <w:rFonts w:hint="eastAsia" w:ascii="楷体_GB2312" w:hAnsi="楷体_GB2312" w:eastAsia="楷体_GB2312" w:cs="楷体_GB2312"/>
          <w:b/>
          <w:bCs w:val="0"/>
          <w:color w:val="000000"/>
          <w:sz w:val="32"/>
          <w:szCs w:val="32"/>
        </w:rPr>
      </w:pPr>
      <w:bookmarkStart w:id="52" w:name="_Toc7493"/>
      <w:bookmarkStart w:id="53" w:name="_Toc15377210"/>
      <w:r>
        <w:rPr>
          <w:rFonts w:hint="eastAsia" w:ascii="楷体_GB2312" w:hAnsi="楷体_GB2312" w:eastAsia="楷体_GB2312" w:cs="楷体_GB2312"/>
          <w:b/>
          <w:bCs w:val="0"/>
          <w:color w:val="000000"/>
          <w:sz w:val="32"/>
          <w:szCs w:val="32"/>
        </w:rPr>
        <w:t>（一）一般公共预算财政拨款支出决算总体情况</w:t>
      </w:r>
      <w:bookmarkEnd w:id="52"/>
      <w:bookmarkEnd w:id="53"/>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kern w:val="0"/>
          <w:sz w:val="32"/>
          <w:szCs w:val="32"/>
          <w:lang w:val="en-US" w:eastAsia="zh-CN"/>
        </w:rPr>
      </w:pPr>
      <w:r>
        <w:rPr>
          <w:rFonts w:hint="eastAsia" w:ascii="仿宋_GB2312" w:hAnsi="仿宋_GB2312" w:eastAsia="仿宋_GB2312" w:cs="仿宋_GB2312"/>
          <w:b w:val="0"/>
          <w:bCs/>
          <w:kern w:val="0"/>
          <w:sz w:val="32"/>
          <w:szCs w:val="32"/>
          <w:lang w:val="en-US" w:eastAsia="zh-CN"/>
        </w:rPr>
        <w:t>2025年度一般公共预算财政拨款支出268.12万元，占本年支出合计的100%。与2024年相比，一般公共预算财政拨款支出增加17.52万元，增长7%。主要变动原因是：人员经费的增加。</w:t>
      </w:r>
    </w:p>
    <w:p>
      <w:pPr>
        <w:pStyle w:val="7"/>
        <w:ind w:firstLine="0"/>
        <w:rPr>
          <w:rFonts w:ascii="仿宋_GB2312" w:eastAsia="仿宋_GB2312"/>
          <w:b/>
          <w:color w:val="000000"/>
          <w:sz w:val="32"/>
          <w:szCs w:val="32"/>
        </w:rPr>
      </w:pPr>
      <w:r>
        <w:rPr>
          <w:rFonts w:hint="eastAsia" w:ascii="仿宋_GB2312" w:hAnsi="仿宋" w:eastAsia="仿宋_GB2312"/>
          <w:color w:val="000000"/>
          <w:sz w:val="32"/>
          <w:szCs w:val="32"/>
        </w:rPr>
        <w:drawing>
          <wp:anchor distT="0" distB="0" distL="114300" distR="114300" simplePos="0" relativeHeight="251661312" behindDoc="0" locked="0" layoutInCell="1" allowOverlap="1">
            <wp:simplePos x="0" y="0"/>
            <wp:positionH relativeFrom="column">
              <wp:posOffset>434340</wp:posOffset>
            </wp:positionH>
            <wp:positionV relativeFrom="paragraph">
              <wp:posOffset>48895</wp:posOffset>
            </wp:positionV>
            <wp:extent cx="5081270" cy="1945005"/>
            <wp:effectExtent l="5080" t="4445" r="19050" b="12700"/>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7"/>
        <w:ind w:firstLine="0"/>
        <w:rPr>
          <w:rFonts w:ascii="仿宋_GB2312" w:eastAsia="仿宋_GB2312"/>
          <w:b/>
          <w:color w:val="000000"/>
          <w:sz w:val="32"/>
          <w:szCs w:val="32"/>
        </w:rPr>
      </w:pPr>
    </w:p>
    <w:p>
      <w:pPr>
        <w:pStyle w:val="7"/>
        <w:ind w:firstLine="0"/>
        <w:rPr>
          <w:rFonts w:ascii="仿宋_GB2312" w:eastAsia="仿宋_GB2312"/>
          <w:b/>
          <w:color w:val="000000"/>
          <w:sz w:val="32"/>
          <w:szCs w:val="32"/>
        </w:rPr>
      </w:pPr>
    </w:p>
    <w:p>
      <w:pPr>
        <w:pStyle w:val="7"/>
        <w:ind w:firstLine="0"/>
        <w:rPr>
          <w:rFonts w:ascii="仿宋_GB2312" w:eastAsia="仿宋_GB2312"/>
          <w:b/>
          <w:color w:val="000000"/>
          <w:sz w:val="32"/>
          <w:szCs w:val="32"/>
        </w:rPr>
      </w:pPr>
    </w:p>
    <w:p>
      <w:pPr>
        <w:pStyle w:val="7"/>
        <w:ind w:firstLine="0"/>
        <w:rPr>
          <w:rFonts w:ascii="仿宋_GB2312" w:eastAsia="仿宋_GB2312"/>
          <w:b/>
          <w:color w:val="000000"/>
          <w:sz w:val="32"/>
          <w:szCs w:val="32"/>
        </w:rPr>
      </w:pPr>
    </w:p>
    <w:p>
      <w:pPr>
        <w:pStyle w:val="7"/>
        <w:ind w:firstLine="0"/>
        <w:rPr>
          <w:rFonts w:ascii="仿宋_GB2312" w:eastAsia="仿宋_GB2312"/>
          <w:b/>
          <w:color w:val="000000"/>
          <w:sz w:val="32"/>
          <w:szCs w:val="32"/>
        </w:rPr>
      </w:pPr>
    </w:p>
    <w:bookmarkEnd w:id="51"/>
    <w:p>
      <w:pPr>
        <w:keepNext w:val="0"/>
        <w:keepLines w:val="0"/>
        <w:pageBreakBefore w:val="0"/>
        <w:kinsoku/>
        <w:wordWrap/>
        <w:overflowPunct/>
        <w:topLinePunct w:val="0"/>
        <w:autoSpaceDE/>
        <w:autoSpaceDN/>
        <w:bidi w:val="0"/>
        <w:adjustRightInd/>
        <w:snapToGrid/>
        <w:spacing w:beforeAutospacing="0" w:afterAutospacing="0" w:line="576" w:lineRule="exact"/>
        <w:ind w:firstLine="642" w:firstLineChars="200"/>
        <w:textAlignment w:val="auto"/>
        <w:outlineLvl w:val="2"/>
        <w:rPr>
          <w:rFonts w:hint="eastAsia" w:ascii="楷体_GB2312" w:hAnsi="楷体_GB2312" w:eastAsia="楷体_GB2312" w:cs="楷体_GB2312"/>
          <w:b/>
          <w:bCs w:val="0"/>
          <w:color w:val="000000"/>
          <w:sz w:val="32"/>
          <w:szCs w:val="32"/>
        </w:rPr>
      </w:pPr>
      <w:bookmarkStart w:id="54" w:name="_Toc5996"/>
      <w:r>
        <w:rPr>
          <w:rFonts w:hint="eastAsia" w:ascii="楷体_GB2312" w:hAnsi="楷体_GB2312" w:eastAsia="楷体_GB2312" w:cs="楷体_GB2312"/>
          <w:b/>
          <w:bCs w:val="0"/>
          <w:color w:val="000000"/>
          <w:sz w:val="32"/>
          <w:szCs w:val="32"/>
        </w:rPr>
        <w:t>（二）一般公共预算财政拨款支出决算结构情况</w:t>
      </w:r>
      <w:bookmarkEnd w:id="54"/>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2025年度一般公共预算财政拨款支出268.12万元，主要用于以下方面：科学技术支出212.12万元，占79.1%；社会保障和就业支出28.75万元，占10.7%；卫生健康支出11.55万元，占4.3%；住房保障支出15.70万元，占5.9%。</w:t>
      </w:r>
      <w:bookmarkStart w:id="55" w:name="_Toc15377212"/>
    </w:p>
    <w:p>
      <w:pPr>
        <w:pStyle w:val="7"/>
      </w:pPr>
      <w:r>
        <w:rPr>
          <w:rFonts w:hint="eastAsia" w:ascii="仿宋" w:hAnsi="仿宋" w:eastAsia="仿宋"/>
          <w:color w:val="000000"/>
          <w:sz w:val="32"/>
          <w:szCs w:val="32"/>
        </w:rPr>
        <w:drawing>
          <wp:anchor distT="0" distB="0" distL="114300" distR="114300" simplePos="0" relativeHeight="251662336" behindDoc="0" locked="0" layoutInCell="1" allowOverlap="1">
            <wp:simplePos x="0" y="0"/>
            <wp:positionH relativeFrom="column">
              <wp:posOffset>669290</wp:posOffset>
            </wp:positionH>
            <wp:positionV relativeFrom="paragraph">
              <wp:posOffset>18415</wp:posOffset>
            </wp:positionV>
            <wp:extent cx="4795520" cy="1736090"/>
            <wp:effectExtent l="4445" t="4445" r="19685" b="12065"/>
            <wp:wrapSquare wrapText="bothSides"/>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Style w:val="7"/>
      </w:pPr>
    </w:p>
    <w:p>
      <w:pPr>
        <w:spacing w:line="600" w:lineRule="exact"/>
        <w:ind w:firstLine="642" w:firstLineChars="200"/>
        <w:outlineLvl w:val="2"/>
        <w:rPr>
          <w:rFonts w:hint="eastAsia" w:ascii="楷体_GB2312" w:eastAsia="楷体_GB2312" w:cs="楷体_GB2312"/>
          <w:b/>
          <w:bCs w:val="0"/>
          <w:color w:val="000000"/>
          <w:sz w:val="32"/>
          <w:szCs w:val="32"/>
        </w:rPr>
      </w:pPr>
    </w:p>
    <w:p>
      <w:pPr>
        <w:spacing w:line="600" w:lineRule="exact"/>
        <w:ind w:firstLine="642" w:firstLineChars="200"/>
        <w:outlineLvl w:val="2"/>
        <w:rPr>
          <w:rFonts w:hint="eastAsia" w:ascii="楷体_GB2312" w:eastAsia="楷体_GB2312" w:cs="楷体_GB2312"/>
          <w:b/>
          <w:bCs w:val="0"/>
          <w:color w:val="000000"/>
          <w:sz w:val="32"/>
          <w:szCs w:val="32"/>
        </w:rPr>
      </w:pPr>
    </w:p>
    <w:p>
      <w:pPr>
        <w:spacing w:line="600" w:lineRule="exact"/>
        <w:ind w:firstLine="642" w:firstLineChars="200"/>
        <w:outlineLvl w:val="2"/>
        <w:rPr>
          <w:rFonts w:hint="eastAsia" w:ascii="楷体_GB2312" w:eastAsia="楷体_GB2312" w:cs="楷体_GB2312"/>
          <w:b/>
          <w:bCs w:val="0"/>
          <w:color w:val="000000"/>
          <w:sz w:val="32"/>
          <w:szCs w:val="32"/>
        </w:rPr>
      </w:pPr>
    </w:p>
    <w:p>
      <w:pPr>
        <w:pageBreakBefore w:val="0"/>
        <w:tabs>
          <w:tab w:val="left" w:pos="638"/>
        </w:tabs>
        <w:kinsoku/>
        <w:wordWrap/>
        <w:topLinePunct w:val="0"/>
        <w:bidi w:val="0"/>
        <w:spacing w:beforeAutospacing="0" w:afterAutospacing="0" w:line="576" w:lineRule="exact"/>
        <w:ind w:firstLine="642" w:firstLineChars="200"/>
        <w:textAlignment w:val="auto"/>
        <w:outlineLvl w:val="2"/>
        <w:rPr>
          <w:rFonts w:hint="eastAsia" w:ascii="楷体_GB2312" w:hAnsi="楷体_GB2312" w:eastAsia="楷体_GB2312" w:cs="楷体_GB2312"/>
          <w:b/>
          <w:bCs w:val="0"/>
          <w:color w:val="000000"/>
          <w:sz w:val="32"/>
          <w:szCs w:val="32"/>
        </w:rPr>
      </w:pPr>
      <w:bookmarkStart w:id="56" w:name="_Toc24007"/>
      <w:r>
        <w:rPr>
          <w:rFonts w:hint="eastAsia" w:ascii="楷体_GB2312" w:hAnsi="楷体_GB2312" w:eastAsia="楷体_GB2312" w:cs="楷体_GB2312"/>
          <w:b/>
          <w:bCs w:val="0"/>
          <w:color w:val="000000"/>
          <w:sz w:val="32"/>
          <w:szCs w:val="32"/>
        </w:rPr>
        <w:t>（</w:t>
      </w:r>
      <w:r>
        <w:rPr>
          <w:rFonts w:hint="eastAsia" w:ascii="楷体_GB2312" w:hAnsi="楷体_GB2312" w:eastAsia="楷体_GB2312" w:cs="楷体_GB2312"/>
          <w:b/>
          <w:bCs w:val="0"/>
          <w:color w:val="000000"/>
          <w:sz w:val="32"/>
          <w:szCs w:val="32"/>
          <w:lang w:val="en-US" w:eastAsia="zh-CN"/>
        </w:rPr>
        <w:t xml:space="preserve">    </w:t>
      </w:r>
      <w:r>
        <w:rPr>
          <w:rFonts w:hint="eastAsia" w:ascii="楷体_GB2312" w:hAnsi="楷体_GB2312" w:eastAsia="楷体_GB2312" w:cs="楷体_GB2312"/>
          <w:b/>
          <w:bCs w:val="0"/>
          <w:color w:val="000000"/>
          <w:sz w:val="32"/>
          <w:szCs w:val="32"/>
          <w:lang w:eastAsia="zh-CN"/>
        </w:rPr>
        <w:t>（</w:t>
      </w:r>
      <w:r>
        <w:rPr>
          <w:rFonts w:hint="eastAsia" w:ascii="楷体_GB2312" w:hAnsi="楷体_GB2312" w:eastAsia="楷体_GB2312" w:cs="楷体_GB2312"/>
          <w:b/>
          <w:bCs w:val="0"/>
          <w:color w:val="000000"/>
          <w:sz w:val="32"/>
          <w:szCs w:val="32"/>
        </w:rPr>
        <w:t>三）一般公共预算财政拨款支出决算具体情况</w:t>
      </w:r>
      <w:bookmarkEnd w:id="55"/>
      <w:bookmarkEnd w:id="56"/>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bookmarkStart w:id="57" w:name="_Toc15378460"/>
      <w:bookmarkStart w:id="58" w:name="_Toc15377444"/>
      <w:bookmarkStart w:id="59" w:name="_Toc15377213"/>
      <w:r>
        <w:rPr>
          <w:rFonts w:hint="eastAsia" w:ascii="仿宋_GB2312" w:hAnsi="仿宋_GB2312" w:eastAsia="仿宋_GB2312" w:cs="仿宋_GB2312"/>
          <w:b w:val="0"/>
          <w:bCs w:val="0"/>
          <w:kern w:val="0"/>
          <w:sz w:val="32"/>
          <w:szCs w:val="32"/>
          <w:lang w:val="en-US" w:eastAsia="zh-CN"/>
        </w:rPr>
        <w:t>2025年度一般公共预算支出决算数为268.12万元，完成预算100%。其中：</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2"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bCs/>
          <w:kern w:val="0"/>
          <w:sz w:val="32"/>
          <w:szCs w:val="32"/>
          <w:lang w:val="en-US" w:eastAsia="zh-CN"/>
        </w:rPr>
        <w:t>1.科学技术（类）科技条件与服务（款）其他科技条件与服务（项）</w:t>
      </w:r>
      <w:r>
        <w:rPr>
          <w:rFonts w:hint="eastAsia" w:ascii="仿宋_GB2312" w:hAnsi="仿宋_GB2312" w:eastAsia="仿宋_GB2312" w:cs="仿宋_GB2312"/>
          <w:b w:val="0"/>
          <w:bCs w:val="0"/>
          <w:kern w:val="0"/>
          <w:sz w:val="32"/>
          <w:szCs w:val="32"/>
          <w:lang w:val="en-US" w:eastAsia="zh-CN"/>
        </w:rPr>
        <w:t>：支出决算数212.12万元，完成预算100%，决算数等于预算数。</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2"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bCs/>
          <w:kern w:val="0"/>
          <w:sz w:val="32"/>
          <w:szCs w:val="32"/>
          <w:lang w:val="en-US" w:eastAsia="zh-CN"/>
        </w:rPr>
        <w:t>2.社会保障和就业（类）行政事业单位离退休（款）机关事业单位基本养老保险（项）</w:t>
      </w:r>
      <w:r>
        <w:rPr>
          <w:rFonts w:hint="eastAsia" w:ascii="仿宋_GB2312" w:hAnsi="仿宋_GB2312" w:eastAsia="仿宋_GB2312" w:cs="仿宋_GB2312"/>
          <w:b w:val="0"/>
          <w:bCs w:val="0"/>
          <w:kern w:val="0"/>
          <w:sz w:val="32"/>
          <w:szCs w:val="32"/>
          <w:lang w:val="en-US" w:eastAsia="zh-CN"/>
        </w:rPr>
        <w:t>：支出决算数19.17万元，完成预算100%，决算数等于预算数。</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2"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bCs/>
          <w:kern w:val="0"/>
          <w:sz w:val="32"/>
          <w:szCs w:val="32"/>
          <w:lang w:val="en-US" w:eastAsia="zh-CN"/>
        </w:rPr>
        <w:t>3.社会保障和就业（类）行政事业单位离退休（款）机关事业单位职业年金缴费（项）</w:t>
      </w:r>
      <w:r>
        <w:rPr>
          <w:rFonts w:hint="eastAsia" w:ascii="仿宋_GB2312" w:hAnsi="仿宋_GB2312" w:eastAsia="仿宋_GB2312" w:cs="仿宋_GB2312"/>
          <w:b w:val="0"/>
          <w:bCs w:val="0"/>
          <w:kern w:val="0"/>
          <w:sz w:val="32"/>
          <w:szCs w:val="32"/>
          <w:lang w:val="en-US" w:eastAsia="zh-CN"/>
        </w:rPr>
        <w:t>：支出决算数9.58万元，完成预算100%，决算数等于预算数。</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2"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bCs/>
          <w:kern w:val="0"/>
          <w:sz w:val="32"/>
          <w:szCs w:val="32"/>
          <w:lang w:val="en-US" w:eastAsia="zh-CN"/>
        </w:rPr>
        <w:t>4.医疗卫生与计划生育（类）行政事业单位医疗（款）行政单位医疗（项）</w:t>
      </w:r>
      <w:r>
        <w:rPr>
          <w:rFonts w:hint="eastAsia" w:ascii="仿宋_GB2312" w:hAnsi="仿宋_GB2312" w:eastAsia="仿宋_GB2312" w:cs="仿宋_GB2312"/>
          <w:b w:val="0"/>
          <w:bCs w:val="0"/>
          <w:kern w:val="0"/>
          <w:sz w:val="32"/>
          <w:szCs w:val="32"/>
          <w:lang w:val="en-US" w:eastAsia="zh-CN"/>
        </w:rPr>
        <w:t>：支出决算数11.55万元，完成预算100%，决算数等于预算数。</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2"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bCs/>
          <w:kern w:val="0"/>
          <w:sz w:val="32"/>
          <w:szCs w:val="32"/>
          <w:lang w:val="en-US" w:eastAsia="zh-CN"/>
        </w:rPr>
        <w:t>5.住房保障（类）住房改革（款）住房公积金（项）</w:t>
      </w:r>
      <w:r>
        <w:rPr>
          <w:rFonts w:hint="eastAsia" w:ascii="仿宋_GB2312" w:hAnsi="仿宋_GB2312" w:eastAsia="仿宋_GB2312" w:cs="仿宋_GB2312"/>
          <w:b w:val="0"/>
          <w:bCs w:val="0"/>
          <w:kern w:val="0"/>
          <w:sz w:val="32"/>
          <w:szCs w:val="32"/>
          <w:lang w:val="en-US" w:eastAsia="zh-CN"/>
        </w:rPr>
        <w:t>：支出决算数15.70万元，完成预算100%，决算数等于预算数。</w:t>
      </w:r>
    </w:p>
    <w:bookmarkEnd w:id="57"/>
    <w:bookmarkEnd w:id="58"/>
    <w:bookmarkEnd w:id="59"/>
    <w:p>
      <w:pPr>
        <w:pStyle w:val="4"/>
        <w:pageBreakBefore w:val="0"/>
        <w:kinsoku/>
        <w:wordWrap/>
        <w:topLinePunct w:val="0"/>
        <w:bidi w:val="0"/>
        <w:spacing w:before="0" w:beforeAutospacing="0" w:after="0" w:afterAutospacing="0" w:line="576" w:lineRule="exact"/>
        <w:ind w:firstLine="640" w:firstLineChars="200"/>
        <w:textAlignment w:val="auto"/>
        <w:rPr>
          <w:rFonts w:ascii="黑体" w:eastAsia="黑体" w:cs="Times New Roman"/>
          <w:b w:val="0"/>
          <w:bCs/>
          <w:color w:val="000000"/>
        </w:rPr>
      </w:pPr>
      <w:bookmarkStart w:id="60" w:name="_Toc15377214"/>
      <w:bookmarkStart w:id="61" w:name="_Toc19379"/>
      <w:bookmarkStart w:id="62" w:name="_Toc32028"/>
      <w:bookmarkStart w:id="63" w:name="_Toc111208504"/>
      <w:r>
        <w:rPr>
          <w:rFonts w:hint="eastAsia" w:ascii="黑体" w:eastAsia="黑体" w:cs="Times New Roman"/>
          <w:b w:val="0"/>
          <w:bCs/>
          <w:color w:val="000000"/>
        </w:rPr>
        <w:t>六、一般公共预算财政拨款基本支出决算情况说</w:t>
      </w:r>
      <w:bookmarkEnd w:id="60"/>
      <w:r>
        <w:rPr>
          <w:rFonts w:hint="eastAsia" w:ascii="黑体" w:eastAsia="黑体" w:cs="Times New Roman"/>
          <w:b w:val="0"/>
          <w:bCs/>
          <w:color w:val="000000"/>
        </w:rPr>
        <w:t>明</w:t>
      </w:r>
      <w:bookmarkEnd w:id="61"/>
      <w:bookmarkEnd w:id="62"/>
      <w:bookmarkEnd w:id="63"/>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2025年度一般公共预算财政拨款基本支出210.33万元，其中：</w:t>
      </w:r>
    </w:p>
    <w:p>
      <w:pPr>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人员经费201.2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pPr>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公用经费9.14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pStyle w:val="4"/>
        <w:pageBreakBefore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方正黑体_GBK" w:hAnsi="方正黑体_GBK" w:eastAsia="方正黑体_GBK" w:cs="方正黑体_GBK"/>
          <w:b w:val="0"/>
          <w:color w:val="000000"/>
        </w:rPr>
      </w:pPr>
      <w:bookmarkStart w:id="64" w:name="_Toc15377215"/>
      <w:bookmarkStart w:id="65" w:name="_Toc8600"/>
      <w:bookmarkStart w:id="66" w:name="_Toc111208505"/>
      <w:bookmarkStart w:id="67" w:name="_Toc24745"/>
      <w:r>
        <w:rPr>
          <w:rFonts w:hint="eastAsia" w:ascii="方正黑体_GBK" w:hAnsi="方正黑体_GBK" w:eastAsia="方正黑体_GBK" w:cs="方正黑体_GBK"/>
          <w:b w:val="0"/>
          <w:color w:val="000000"/>
        </w:rPr>
        <w:t>七、“三公”经费财政拨款支出决算情况说明</w:t>
      </w:r>
      <w:bookmarkEnd w:id="64"/>
      <w:bookmarkEnd w:id="65"/>
      <w:bookmarkEnd w:id="66"/>
      <w:bookmarkEnd w:id="67"/>
    </w:p>
    <w:p>
      <w:pPr>
        <w:pageBreakBefore w:val="0"/>
        <w:kinsoku/>
        <w:wordWrap/>
        <w:overflowPunct/>
        <w:topLinePunct w:val="0"/>
        <w:autoSpaceDE/>
        <w:autoSpaceDN/>
        <w:bidi w:val="0"/>
        <w:adjustRightInd/>
        <w:snapToGrid/>
        <w:spacing w:beforeAutospacing="0" w:afterAutospacing="0" w:line="560" w:lineRule="exact"/>
        <w:ind w:firstLine="642" w:firstLineChars="200"/>
        <w:textAlignment w:val="auto"/>
        <w:outlineLvl w:val="2"/>
        <w:rPr>
          <w:rFonts w:hint="eastAsia" w:ascii="楷体_GB2312" w:hAnsi="楷体_GB2312" w:eastAsia="楷体_GB2312" w:cs="楷体_GB2312"/>
          <w:b/>
          <w:bCs w:val="0"/>
          <w:color w:val="000000"/>
          <w:sz w:val="32"/>
          <w:szCs w:val="32"/>
        </w:rPr>
      </w:pPr>
      <w:bookmarkStart w:id="68" w:name="_Toc15377216"/>
      <w:bookmarkStart w:id="69" w:name="_Toc24713"/>
      <w:r>
        <w:rPr>
          <w:rFonts w:hint="eastAsia" w:ascii="楷体_GB2312" w:hAnsi="楷体_GB2312" w:eastAsia="楷体_GB2312" w:cs="楷体_GB2312"/>
          <w:b/>
          <w:bCs w:val="0"/>
          <w:color w:val="000000"/>
          <w:sz w:val="32"/>
          <w:szCs w:val="32"/>
        </w:rPr>
        <w:t>（一）“三公”经费财政拨款支出决算总体情况说明</w:t>
      </w:r>
      <w:bookmarkEnd w:id="68"/>
      <w:bookmarkEnd w:id="69"/>
    </w:p>
    <w:p>
      <w:pPr>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2025年度“三公”经费财政拨款支出决算为0.05万元，完成预算100%，与2024年度相比增加0.05万元，增长100%。主要原因是:接待州志办一行来我单位调研。</w:t>
      </w:r>
    </w:p>
    <w:p>
      <w:pPr>
        <w:pageBreakBefore w:val="0"/>
        <w:kinsoku/>
        <w:wordWrap/>
        <w:overflowPunct/>
        <w:topLinePunct w:val="0"/>
        <w:autoSpaceDE/>
        <w:autoSpaceDN/>
        <w:bidi w:val="0"/>
        <w:adjustRightInd/>
        <w:snapToGrid/>
        <w:spacing w:beforeAutospacing="0" w:afterAutospacing="0" w:line="560" w:lineRule="exact"/>
        <w:ind w:firstLine="642" w:firstLineChars="200"/>
        <w:textAlignment w:val="auto"/>
        <w:outlineLvl w:val="2"/>
        <w:rPr>
          <w:rFonts w:hint="eastAsia" w:ascii="楷体_GB2312" w:hAnsi="楷体_GB2312" w:eastAsia="楷体_GB2312" w:cs="楷体_GB2312"/>
          <w:b/>
          <w:bCs w:val="0"/>
          <w:color w:val="000000"/>
          <w:sz w:val="32"/>
          <w:szCs w:val="32"/>
        </w:rPr>
      </w:pPr>
      <w:bookmarkStart w:id="70" w:name="_Toc21457"/>
      <w:bookmarkStart w:id="71" w:name="_Toc15377217"/>
      <w:r>
        <w:rPr>
          <w:rFonts w:hint="eastAsia" w:ascii="楷体_GB2312" w:hAnsi="楷体_GB2312" w:eastAsia="楷体_GB2312" w:cs="楷体_GB2312"/>
          <w:b/>
          <w:bCs w:val="0"/>
          <w:color w:val="000000"/>
          <w:sz w:val="32"/>
          <w:szCs w:val="32"/>
        </w:rPr>
        <w:t>（二）“三公”经费财政拨款支出决算具体情况说明</w:t>
      </w:r>
      <w:bookmarkEnd w:id="70"/>
      <w:bookmarkEnd w:id="71"/>
    </w:p>
    <w:p>
      <w:pPr>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2025年度“三公”经费财政拨款支出决算中，因公出国（境）费支出决算0万元；公务用车购置及运行维护费支出决算0万元；公务接待费支出决算0.05万元，占100%。具体情况如下：</w:t>
      </w:r>
    </w:p>
    <w:p>
      <w:pPr>
        <w:pageBreakBefore w:val="0"/>
        <w:widowControl/>
        <w:shd w:val="clear" w:color="auto" w:fill="FFFFFF"/>
        <w:kinsoku/>
        <w:wordWrap/>
        <w:overflowPunct/>
        <w:topLinePunct w:val="0"/>
        <w:autoSpaceDE/>
        <w:autoSpaceDN/>
        <w:bidi w:val="0"/>
        <w:adjustRightInd/>
        <w:snapToGrid/>
        <w:spacing w:beforeAutospacing="0" w:afterAutospacing="0" w:line="240" w:lineRule="auto"/>
        <w:ind w:firstLine="642"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bCs/>
          <w:kern w:val="0"/>
          <w:sz w:val="32"/>
          <w:szCs w:val="32"/>
          <w:lang w:val="en-US" w:eastAsia="zh-CN"/>
        </w:rPr>
        <w:t>1.因公出国（境）经费支出</w:t>
      </w:r>
      <w:r>
        <w:rPr>
          <w:rFonts w:hint="eastAsia" w:ascii="仿宋_GB2312" w:hAnsi="仿宋_GB2312" w:eastAsia="仿宋_GB2312" w:cs="仿宋_GB2312"/>
          <w:b w:val="0"/>
          <w:bCs w:val="0"/>
          <w:kern w:val="0"/>
          <w:sz w:val="32"/>
          <w:szCs w:val="32"/>
          <w:lang w:val="en-US" w:eastAsia="zh-CN"/>
        </w:rPr>
        <w:t>0万元；全年安排因公出国（境）团组0次，出国（境）0人。与2024年度相比无变化。</w:t>
      </w:r>
    </w:p>
    <w:p>
      <w:pPr>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60" w:lineRule="exact"/>
        <w:ind w:firstLine="642"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bCs/>
          <w:kern w:val="0"/>
          <w:sz w:val="32"/>
          <w:szCs w:val="32"/>
          <w:lang w:val="en-US" w:eastAsia="zh-CN"/>
        </w:rPr>
        <w:t>2.公务用车购置及运行维护费支出</w:t>
      </w:r>
      <w:r>
        <w:rPr>
          <w:rFonts w:hint="eastAsia" w:ascii="仿宋_GB2312" w:hAnsi="仿宋_GB2312" w:eastAsia="仿宋_GB2312" w:cs="仿宋_GB2312"/>
          <w:b w:val="0"/>
          <w:bCs w:val="0"/>
          <w:kern w:val="0"/>
          <w:sz w:val="32"/>
          <w:szCs w:val="32"/>
          <w:lang w:val="en-US" w:eastAsia="zh-CN"/>
        </w:rPr>
        <w:t>0万元；公务用车购置及运行维护费与2024年度相比无变化。</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截至2025年12月31日，单位共有公务用车0辆，其中：轿车0辆、越野车0辆、载客汽车0辆。</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公务用车运行维护费支出0万元。</w:t>
      </w:r>
    </w:p>
    <w:p>
      <w:pPr>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76" w:lineRule="exact"/>
        <w:ind w:firstLine="642"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bCs/>
          <w:kern w:val="0"/>
          <w:sz w:val="32"/>
          <w:szCs w:val="32"/>
          <w:lang w:val="en-US" w:eastAsia="zh-CN"/>
        </w:rPr>
        <w:t>3.公务接待费支出</w:t>
      </w:r>
      <w:r>
        <w:rPr>
          <w:rFonts w:hint="eastAsia" w:ascii="仿宋_GB2312" w:hAnsi="仿宋_GB2312" w:eastAsia="仿宋_GB2312" w:cs="仿宋_GB2312"/>
          <w:b w:val="0"/>
          <w:bCs w:val="0"/>
          <w:kern w:val="0"/>
          <w:sz w:val="32"/>
          <w:szCs w:val="32"/>
          <w:lang w:val="en-US" w:eastAsia="zh-CN"/>
        </w:rPr>
        <w:t>0.05万元，占100%，完成预算100%。公务接待费支出决算与2024年度相比增加0.05万元，增长100%。主要原因是：接待州志办来我单位调研。</w:t>
      </w:r>
    </w:p>
    <w:p>
      <w:pPr>
        <w:pageBreakBefore w:val="0"/>
        <w:widowControl/>
        <w:numPr>
          <w:ilvl w:val="0"/>
          <w:numId w:val="0"/>
        </w:numPr>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其中：国内公务接待支出0.05万元，主要用于接待州地方志办公室来我单位调研的用餐费。国内公务接待1批次，4人次（不包括陪同人员），共计支出0.05万元。</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外事接待支出0万元。外事接待0批次，0人次。</w:t>
      </w:r>
    </w:p>
    <w:p>
      <w:pPr>
        <w:pageBreakBefore w:val="0"/>
        <w:kinsoku/>
        <w:wordWrap/>
        <w:overflowPunct/>
        <w:topLinePunct w:val="0"/>
        <w:bidi w:val="0"/>
        <w:spacing w:beforeAutospacing="0" w:afterAutospacing="0" w:line="576" w:lineRule="exact"/>
        <w:ind w:firstLine="640"/>
        <w:textAlignment w:val="auto"/>
        <w:rPr>
          <w:rFonts w:hint="eastAsia" w:ascii="仿宋_GB2312" w:hAnsi="仿宋_GB2312" w:eastAsia="仿宋_GB2312" w:cs="仿宋_GB2312"/>
          <w:color w:val="000000"/>
          <w:sz w:val="32"/>
          <w:szCs w:val="32"/>
        </w:rPr>
      </w:pPr>
      <w:r>
        <w:rPr>
          <w:rFonts w:hint="eastAsia" w:ascii="仿宋_GB2312" w:eastAsia="仿宋_GB2312"/>
          <w:color w:val="FF0000"/>
          <w:sz w:val="32"/>
          <w:szCs w:val="32"/>
        </w:rPr>
        <w:drawing>
          <wp:anchor distT="0" distB="0" distL="114300" distR="114300" simplePos="0" relativeHeight="251663360" behindDoc="0" locked="0" layoutInCell="1" allowOverlap="1">
            <wp:simplePos x="0" y="0"/>
            <wp:positionH relativeFrom="column">
              <wp:posOffset>386715</wp:posOffset>
            </wp:positionH>
            <wp:positionV relativeFrom="paragraph">
              <wp:posOffset>216535</wp:posOffset>
            </wp:positionV>
            <wp:extent cx="4965700" cy="2196465"/>
            <wp:effectExtent l="4445" t="4445" r="20955" b="8890"/>
            <wp:wrapSquare wrapText="bothSides"/>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pageBreakBefore w:val="0"/>
        <w:kinsoku/>
        <w:wordWrap/>
        <w:overflowPunct/>
        <w:topLinePunct w:val="0"/>
        <w:bidi w:val="0"/>
        <w:spacing w:beforeAutospacing="0" w:afterAutospacing="0" w:line="576" w:lineRule="exact"/>
        <w:ind w:firstLine="640"/>
        <w:textAlignment w:val="auto"/>
        <w:rPr>
          <w:rFonts w:hint="eastAsia" w:ascii="仿宋_GB2312" w:hAnsi="仿宋_GB2312" w:eastAsia="仿宋_GB2312" w:cs="仿宋_GB2312"/>
          <w:color w:val="000000"/>
          <w:sz w:val="32"/>
          <w:szCs w:val="32"/>
        </w:rPr>
      </w:pPr>
    </w:p>
    <w:p>
      <w:pPr>
        <w:pageBreakBefore w:val="0"/>
        <w:numPr>
          <w:ilvl w:val="0"/>
          <w:numId w:val="0"/>
        </w:numPr>
        <w:kinsoku/>
        <w:wordWrap/>
        <w:overflowPunct/>
        <w:topLinePunct w:val="0"/>
        <w:bidi w:val="0"/>
        <w:spacing w:beforeAutospacing="0" w:afterAutospacing="0" w:line="576" w:lineRule="exact"/>
        <w:ind w:firstLine="642" w:firstLineChars="200"/>
        <w:textAlignment w:val="auto"/>
        <w:rPr>
          <w:rFonts w:hint="eastAsia" w:ascii="仿宋_GB2312" w:hAnsi="仿宋_GB2312" w:eastAsia="仿宋_GB2312" w:cs="仿宋_GB2312"/>
          <w:b/>
          <w:bCs/>
          <w:color w:val="000000"/>
          <w:sz w:val="32"/>
          <w:szCs w:val="32"/>
          <w:lang w:val="en-US" w:eastAsia="zh-CN"/>
        </w:rPr>
      </w:pPr>
    </w:p>
    <w:p>
      <w:pPr>
        <w:pageBreakBefore w:val="0"/>
        <w:numPr>
          <w:ilvl w:val="0"/>
          <w:numId w:val="0"/>
        </w:numPr>
        <w:kinsoku/>
        <w:wordWrap/>
        <w:overflowPunct/>
        <w:topLinePunct w:val="0"/>
        <w:bidi w:val="0"/>
        <w:spacing w:beforeAutospacing="0" w:afterAutospacing="0" w:line="576" w:lineRule="exact"/>
        <w:ind w:firstLine="642" w:firstLineChars="200"/>
        <w:textAlignment w:val="auto"/>
        <w:rPr>
          <w:rFonts w:hint="eastAsia" w:ascii="仿宋_GB2312" w:hAnsi="仿宋_GB2312" w:eastAsia="仿宋_GB2312" w:cs="仿宋_GB2312"/>
          <w:b/>
          <w:bCs/>
          <w:color w:val="000000"/>
          <w:sz w:val="32"/>
          <w:szCs w:val="32"/>
          <w:lang w:val="en-US" w:eastAsia="zh-CN"/>
        </w:rPr>
      </w:pPr>
    </w:p>
    <w:p>
      <w:pPr>
        <w:pStyle w:val="4"/>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方正黑体_GBK" w:hAnsi="方正黑体_GBK" w:eastAsia="方正黑体_GBK" w:cs="方正黑体_GBK"/>
          <w:b w:val="0"/>
          <w:color w:val="000000"/>
        </w:rPr>
      </w:pPr>
      <w:bookmarkStart w:id="72" w:name="_Toc111208506"/>
      <w:bookmarkStart w:id="73" w:name="_Toc15377218"/>
      <w:bookmarkStart w:id="74" w:name="_Toc9979"/>
      <w:bookmarkStart w:id="75" w:name="_Toc21420"/>
      <w:r>
        <w:rPr>
          <w:rFonts w:hint="eastAsia" w:ascii="方正黑体_GBK" w:hAnsi="方正黑体_GBK" w:eastAsia="方正黑体_GBK" w:cs="方正黑体_GBK"/>
          <w:b w:val="0"/>
          <w:color w:val="000000"/>
        </w:rPr>
        <w:t>八、政府性基金预算支出决算情况说明</w:t>
      </w:r>
      <w:bookmarkEnd w:id="72"/>
      <w:bookmarkEnd w:id="73"/>
      <w:bookmarkEnd w:id="74"/>
      <w:bookmarkEnd w:id="75"/>
    </w:p>
    <w:p>
      <w:pPr>
        <w:pageBreakBefore w:val="0"/>
        <w:widowControl/>
        <w:shd w:val="clear" w:color="auto" w:fill="FFFFFF"/>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2025年度政府性基金预算拨款支出0万元。</w:t>
      </w:r>
      <w:bookmarkStart w:id="76" w:name="_Toc15377219"/>
    </w:p>
    <w:p>
      <w:pPr>
        <w:pStyle w:val="4"/>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方正黑体_GBK" w:hAnsi="方正黑体_GBK" w:eastAsia="方正黑体_GBK" w:cs="方正黑体_GBK"/>
          <w:b w:val="0"/>
          <w:color w:val="000000"/>
        </w:rPr>
      </w:pPr>
      <w:bookmarkStart w:id="77" w:name="_Toc28598"/>
      <w:bookmarkStart w:id="78" w:name="_Toc19072"/>
      <w:bookmarkStart w:id="79" w:name="_Toc111208507"/>
      <w:r>
        <w:rPr>
          <w:rFonts w:hint="eastAsia" w:ascii="方正黑体_GBK" w:hAnsi="方正黑体_GBK" w:eastAsia="方正黑体_GBK" w:cs="方正黑体_GBK"/>
          <w:b w:val="0"/>
          <w:color w:val="000000"/>
        </w:rPr>
        <w:t>九、国有资本经营预算支出决算情况说明</w:t>
      </w:r>
      <w:bookmarkEnd w:id="76"/>
      <w:bookmarkEnd w:id="77"/>
      <w:bookmarkEnd w:id="78"/>
      <w:bookmarkEnd w:id="79"/>
    </w:p>
    <w:p>
      <w:pPr>
        <w:pageBreakBefore w:val="0"/>
        <w:widowControl/>
        <w:shd w:val="clear" w:color="auto" w:fill="FFFFFF"/>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2025年度国有资本经营预算拨款支出0万元。</w:t>
      </w:r>
    </w:p>
    <w:p>
      <w:pPr>
        <w:pStyle w:val="4"/>
        <w:pageBreakBefore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eastAsia" w:ascii="方正黑体_GBK" w:hAnsi="方正黑体_GBK" w:eastAsia="方正黑体_GBK" w:cs="方正黑体_GBK"/>
          <w:b w:val="0"/>
          <w:color w:val="000000"/>
        </w:rPr>
      </w:pPr>
      <w:bookmarkStart w:id="80" w:name="_Toc3773"/>
      <w:bookmarkStart w:id="81" w:name="_Toc15377221"/>
      <w:bookmarkStart w:id="82" w:name="_Toc24656"/>
      <w:bookmarkStart w:id="83" w:name="_Toc111208508"/>
      <w:r>
        <w:rPr>
          <w:rFonts w:hint="eastAsia" w:ascii="方正黑体_GBK" w:hAnsi="方正黑体_GBK" w:eastAsia="方正黑体_GBK" w:cs="方正黑体_GBK"/>
          <w:b w:val="0"/>
          <w:color w:val="000000"/>
        </w:rPr>
        <w:t>十、其他重要事项的情况说明</w:t>
      </w:r>
      <w:bookmarkEnd w:id="80"/>
      <w:bookmarkEnd w:id="81"/>
      <w:bookmarkEnd w:id="82"/>
      <w:bookmarkEnd w:id="83"/>
    </w:p>
    <w:p>
      <w:pPr>
        <w:pageBreakBefore w:val="0"/>
        <w:kinsoku/>
        <w:wordWrap/>
        <w:overflowPunct/>
        <w:topLinePunct w:val="0"/>
        <w:autoSpaceDE/>
        <w:autoSpaceDN/>
        <w:bidi w:val="0"/>
        <w:adjustRightInd/>
        <w:snapToGrid/>
        <w:spacing w:beforeAutospacing="0" w:afterAutospacing="0" w:line="540" w:lineRule="exact"/>
        <w:ind w:firstLine="642" w:firstLineChars="200"/>
        <w:textAlignment w:val="auto"/>
        <w:outlineLvl w:val="2"/>
        <w:rPr>
          <w:rFonts w:hint="eastAsia" w:ascii="楷体_GB2312" w:hAnsi="楷体_GB2312" w:eastAsia="楷体_GB2312" w:cs="楷体_GB2312"/>
          <w:b/>
          <w:color w:val="000000"/>
          <w:sz w:val="32"/>
          <w:szCs w:val="32"/>
        </w:rPr>
      </w:pPr>
      <w:bookmarkStart w:id="84" w:name="_Toc15377222"/>
      <w:bookmarkStart w:id="85" w:name="_Toc18021"/>
      <w:r>
        <w:rPr>
          <w:rFonts w:hint="eastAsia" w:ascii="楷体_GB2312" w:hAnsi="楷体_GB2312" w:eastAsia="楷体_GB2312" w:cs="楷体_GB2312"/>
          <w:b/>
          <w:color w:val="000000"/>
          <w:sz w:val="32"/>
          <w:szCs w:val="32"/>
        </w:rPr>
        <w:t>（一）机关运行经费支出情况</w:t>
      </w:r>
      <w:bookmarkEnd w:id="84"/>
      <w:bookmarkEnd w:id="85"/>
    </w:p>
    <w:p>
      <w:pPr>
        <w:pageBreakBefore w:val="0"/>
        <w:widowControl/>
        <w:shd w:val="clear" w:color="auto" w:fill="FFFFFF"/>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2025年度，茂县党史研究和地方志编纂中心机关运行经费支出9.14万元，与2024年度相比增加3.08万元，增长51%。主要原因是：增加了项目支出。</w:t>
      </w:r>
    </w:p>
    <w:p>
      <w:pPr>
        <w:pageBreakBefore w:val="0"/>
        <w:kinsoku/>
        <w:wordWrap/>
        <w:overflowPunct/>
        <w:topLinePunct w:val="0"/>
        <w:autoSpaceDE/>
        <w:autoSpaceDN/>
        <w:bidi w:val="0"/>
        <w:adjustRightInd/>
        <w:snapToGrid/>
        <w:spacing w:beforeAutospacing="0" w:afterAutospacing="0" w:line="540" w:lineRule="exact"/>
        <w:ind w:firstLine="642" w:firstLineChars="200"/>
        <w:textAlignment w:val="auto"/>
        <w:outlineLvl w:val="2"/>
        <w:rPr>
          <w:rFonts w:hint="eastAsia" w:ascii="楷体_GB2312" w:hAnsi="楷体_GB2312" w:eastAsia="楷体_GB2312" w:cs="楷体_GB2312"/>
          <w:b/>
          <w:color w:val="000000"/>
          <w:sz w:val="32"/>
          <w:szCs w:val="32"/>
        </w:rPr>
      </w:pPr>
      <w:bookmarkStart w:id="86" w:name="_Toc22177"/>
      <w:bookmarkStart w:id="87" w:name="_Toc15377223"/>
      <w:r>
        <w:rPr>
          <w:rFonts w:hint="eastAsia" w:ascii="楷体_GB2312" w:hAnsi="楷体_GB2312" w:eastAsia="楷体_GB2312" w:cs="楷体_GB2312"/>
          <w:b/>
          <w:color w:val="000000"/>
          <w:sz w:val="32"/>
          <w:szCs w:val="32"/>
        </w:rPr>
        <w:t>（二）政府采购支出情况</w:t>
      </w:r>
      <w:bookmarkEnd w:id="86"/>
      <w:bookmarkEnd w:id="87"/>
    </w:p>
    <w:p>
      <w:pPr>
        <w:pageBreakBefore w:val="0"/>
        <w:widowControl/>
        <w:shd w:val="clear" w:color="auto" w:fill="FFFFFF"/>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2025年度，茂县党史研究和地方志编纂中心政府采购支出总额0万元。</w:t>
      </w:r>
    </w:p>
    <w:p>
      <w:pPr>
        <w:pageBreakBefore w:val="0"/>
        <w:numPr>
          <w:ilvl w:val="0"/>
          <w:numId w:val="0"/>
        </w:numPr>
        <w:kinsoku/>
        <w:wordWrap/>
        <w:overflowPunct/>
        <w:topLinePunct w:val="0"/>
        <w:autoSpaceDE/>
        <w:autoSpaceDN/>
        <w:bidi w:val="0"/>
        <w:adjustRightInd/>
        <w:snapToGrid/>
        <w:spacing w:beforeAutospacing="0" w:afterAutospacing="0" w:line="540" w:lineRule="exact"/>
        <w:ind w:firstLine="642" w:firstLineChars="200"/>
        <w:textAlignment w:val="auto"/>
        <w:outlineLvl w:val="2"/>
        <w:rPr>
          <w:rFonts w:hint="eastAsia" w:ascii="楷体_GB2312" w:hAnsi="楷体_GB2312" w:eastAsia="楷体_GB2312" w:cs="楷体_GB2312"/>
          <w:b/>
          <w:color w:val="000000"/>
          <w:sz w:val="32"/>
          <w:szCs w:val="32"/>
        </w:rPr>
      </w:pPr>
      <w:bookmarkStart w:id="88" w:name="_Toc24577"/>
      <w:bookmarkStart w:id="89" w:name="_Toc15377224"/>
      <w:r>
        <w:rPr>
          <w:rFonts w:hint="eastAsia" w:ascii="楷体_GB2312" w:hAnsi="楷体_GB2312" w:eastAsia="楷体_GB2312" w:cs="楷体_GB2312"/>
          <w:b/>
          <w:color w:val="000000"/>
          <w:sz w:val="32"/>
          <w:szCs w:val="32"/>
          <w:lang w:eastAsia="zh-CN"/>
        </w:rPr>
        <w:t>（三）</w:t>
      </w:r>
      <w:r>
        <w:rPr>
          <w:rFonts w:hint="eastAsia" w:ascii="楷体_GB2312" w:hAnsi="楷体_GB2312" w:eastAsia="楷体_GB2312" w:cs="楷体_GB2312"/>
          <w:b/>
          <w:color w:val="000000"/>
          <w:sz w:val="32"/>
          <w:szCs w:val="32"/>
        </w:rPr>
        <w:t>国有资产占有使用情况</w:t>
      </w:r>
      <w:bookmarkEnd w:id="88"/>
      <w:bookmarkEnd w:id="89"/>
    </w:p>
    <w:p>
      <w:pPr>
        <w:pageBreakBefore w:val="0"/>
        <w:widowControl/>
        <w:shd w:val="clear" w:color="auto" w:fill="FFFFFF"/>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截至2025年12月31日，茂县党史研究和地方志编纂中心共有车辆0辆。</w:t>
      </w:r>
    </w:p>
    <w:p>
      <w:pPr>
        <w:pageBreakBefore w:val="0"/>
        <w:kinsoku/>
        <w:wordWrap/>
        <w:overflowPunct/>
        <w:topLinePunct w:val="0"/>
        <w:autoSpaceDE/>
        <w:autoSpaceDN/>
        <w:bidi w:val="0"/>
        <w:adjustRightInd/>
        <w:snapToGrid/>
        <w:spacing w:beforeAutospacing="0" w:afterAutospacing="0" w:line="540" w:lineRule="exact"/>
        <w:ind w:firstLine="642" w:firstLineChars="200"/>
        <w:textAlignment w:val="auto"/>
        <w:outlineLvl w:val="2"/>
        <w:rPr>
          <w:rFonts w:hint="eastAsia" w:ascii="楷体_GB2312" w:hAnsi="楷体_GB2312" w:eastAsia="楷体_GB2312" w:cs="楷体_GB2312"/>
          <w:b/>
          <w:color w:val="000000"/>
          <w:sz w:val="32"/>
          <w:szCs w:val="32"/>
        </w:rPr>
      </w:pPr>
      <w:bookmarkStart w:id="90" w:name="_Toc14304"/>
      <w:r>
        <w:rPr>
          <w:rFonts w:hint="eastAsia" w:ascii="楷体_GB2312" w:hAnsi="楷体_GB2312" w:eastAsia="楷体_GB2312" w:cs="楷体_GB2312"/>
          <w:b/>
          <w:color w:val="000000"/>
          <w:sz w:val="32"/>
          <w:szCs w:val="32"/>
        </w:rPr>
        <w:t>（四）预算绩效管理情况</w:t>
      </w:r>
      <w:bookmarkEnd w:id="90"/>
    </w:p>
    <w:p>
      <w:pPr>
        <w:pageBreakBefore w:val="0"/>
        <w:kinsoku/>
        <w:wordWrap/>
        <w:overflowPunct/>
        <w:topLinePunct w:val="0"/>
        <w:autoSpaceDE/>
        <w:autoSpaceDN/>
        <w:bidi w:val="0"/>
        <w:adjustRightInd/>
        <w:snapToGrid/>
        <w:spacing w:beforeAutospacing="0" w:afterAutospacing="0" w:line="540" w:lineRule="exact"/>
        <w:ind w:firstLine="640" w:firstLineChars="200"/>
        <w:textAlignment w:val="auto"/>
        <w:rPr>
          <w:rFonts w:hint="eastAsia" w:ascii="仿宋_GB2312" w:hAnsi="仿宋_GB2312" w:eastAsia="仿宋_GB2312" w:cs="仿宋_GB2312"/>
          <w:b w:val="0"/>
          <w:bCs w:val="0"/>
        </w:rPr>
      </w:pPr>
      <w:bookmarkStart w:id="91" w:name="_Toc2930"/>
      <w:bookmarkStart w:id="92" w:name="_Toc19787"/>
      <w:r>
        <w:rPr>
          <w:rFonts w:hint="eastAsia" w:ascii="仿宋_GB2312" w:hAnsi="仿宋_GB2312" w:eastAsia="仿宋_GB2312" w:cs="仿宋_GB2312"/>
          <w:b w:val="0"/>
          <w:bCs w:val="0"/>
          <w:kern w:val="0"/>
          <w:sz w:val="32"/>
          <w:szCs w:val="32"/>
          <w:lang w:val="en-US" w:eastAsia="zh-CN"/>
        </w:rPr>
        <w:t>根据预算绩效管理要求，茂县党史研究和地方志编纂中心在2025年度预算编制阶段，组织对单位的1个大项目6个子项目开展了事前绩效评估，编制了项目绩效目标，在预算执行过程中，对6个子项目开展绩效监控，组织对6个子项目开展绩效自评，绩效自评表见第四部分附件。</w:t>
      </w:r>
    </w:p>
    <w:p>
      <w:pPr>
        <w:pageBreakBefore w:val="0"/>
        <w:numPr>
          <w:ilvl w:val="0"/>
          <w:numId w:val="0"/>
        </w:numPr>
        <w:kinsoku/>
        <w:wordWrap/>
        <w:topLinePunct w:val="0"/>
        <w:bidi w:val="0"/>
        <w:spacing w:beforeAutospacing="0" w:afterAutospacing="0" w:line="576" w:lineRule="exact"/>
        <w:ind w:firstLine="2200" w:firstLineChars="500"/>
        <w:jc w:val="both"/>
        <w:textAlignment w:val="auto"/>
        <w:rPr>
          <w:rFonts w:hint="eastAsia" w:ascii="方正小标宋简体" w:hAnsi="方正小标宋简体" w:eastAsia="方正小标宋简体" w:cs="方正小标宋简体"/>
          <w:b w:val="0"/>
          <w:bCs w:val="0"/>
          <w:sz w:val="44"/>
          <w:szCs w:val="44"/>
          <w:lang w:eastAsia="zh-CN"/>
        </w:rPr>
      </w:pPr>
    </w:p>
    <w:p>
      <w:pPr>
        <w:pageBreakBefore w:val="0"/>
        <w:numPr>
          <w:ilvl w:val="0"/>
          <w:numId w:val="0"/>
        </w:numPr>
        <w:kinsoku/>
        <w:wordWrap/>
        <w:topLinePunct w:val="0"/>
        <w:bidi w:val="0"/>
        <w:spacing w:beforeAutospacing="0" w:afterAutospacing="0" w:line="576" w:lineRule="exact"/>
        <w:ind w:firstLine="2200" w:firstLineChars="500"/>
        <w:jc w:val="both"/>
        <w:textAlignment w:val="auto"/>
        <w:rPr>
          <w:rFonts w:hint="eastAsia" w:ascii="方正小标宋简体" w:hAnsi="方正小标宋简体" w:eastAsia="方正小标宋简体" w:cs="方正小标宋简体"/>
          <w:b w:val="0"/>
          <w:bCs w:val="0"/>
          <w:sz w:val="44"/>
          <w:szCs w:val="44"/>
          <w:lang w:eastAsia="zh-CN"/>
        </w:rPr>
      </w:pPr>
    </w:p>
    <w:p>
      <w:pPr>
        <w:pageBreakBefore w:val="0"/>
        <w:numPr>
          <w:ilvl w:val="0"/>
          <w:numId w:val="0"/>
        </w:numPr>
        <w:kinsoku/>
        <w:wordWrap/>
        <w:topLinePunct w:val="0"/>
        <w:bidi w:val="0"/>
        <w:spacing w:beforeAutospacing="0" w:afterAutospacing="0" w:line="576" w:lineRule="exact"/>
        <w:ind w:firstLine="2200" w:firstLineChars="500"/>
        <w:jc w:val="both"/>
        <w:textAlignment w:val="auto"/>
        <w:rPr>
          <w:rFonts w:hint="eastAsia" w:ascii="方正小标宋简体" w:hAnsi="方正小标宋简体" w:eastAsia="方正小标宋简体" w:cs="方正小标宋简体"/>
          <w:b w:val="0"/>
          <w:bCs w:val="0"/>
          <w:sz w:val="44"/>
          <w:szCs w:val="44"/>
          <w:lang w:eastAsia="zh-CN"/>
        </w:rPr>
      </w:pPr>
    </w:p>
    <w:p>
      <w:pPr>
        <w:pageBreakBefore w:val="0"/>
        <w:numPr>
          <w:ilvl w:val="0"/>
          <w:numId w:val="0"/>
        </w:numPr>
        <w:kinsoku/>
        <w:wordWrap/>
        <w:topLinePunct w:val="0"/>
        <w:bidi w:val="0"/>
        <w:spacing w:beforeAutospacing="0" w:afterAutospacing="0" w:line="576" w:lineRule="exact"/>
        <w:ind w:firstLine="2200" w:firstLineChars="500"/>
        <w:jc w:val="both"/>
        <w:textAlignment w:val="auto"/>
        <w:rPr>
          <w:rFonts w:hint="eastAsia" w:ascii="方正小标宋简体" w:hAnsi="方正小标宋简体" w:eastAsia="方正小标宋简体" w:cs="方正小标宋简体"/>
          <w:b w:val="0"/>
          <w:bCs w:val="0"/>
          <w:sz w:val="44"/>
          <w:szCs w:val="44"/>
          <w:lang w:eastAsia="zh-CN"/>
        </w:rPr>
      </w:pPr>
    </w:p>
    <w:p>
      <w:pPr>
        <w:pageBreakBefore w:val="0"/>
        <w:numPr>
          <w:ilvl w:val="0"/>
          <w:numId w:val="0"/>
        </w:numPr>
        <w:kinsoku/>
        <w:wordWrap/>
        <w:topLinePunct w:val="0"/>
        <w:bidi w:val="0"/>
        <w:spacing w:beforeAutospacing="0" w:afterAutospacing="0" w:line="576" w:lineRule="exact"/>
        <w:ind w:firstLine="2200" w:firstLineChars="500"/>
        <w:jc w:val="both"/>
        <w:textAlignment w:val="auto"/>
        <w:rPr>
          <w:rFonts w:hint="eastAsia" w:ascii="方正小标宋简体" w:hAnsi="方正小标宋简体" w:eastAsia="方正小标宋简体" w:cs="方正小标宋简体"/>
          <w:b w:val="0"/>
          <w:bCs w:val="0"/>
          <w:sz w:val="44"/>
          <w:szCs w:val="44"/>
        </w:rPr>
      </w:pPr>
      <w:bookmarkStart w:id="127" w:name="_GoBack"/>
      <w:bookmarkEnd w:id="127"/>
      <w:r>
        <w:rPr>
          <w:rFonts w:hint="eastAsia" w:ascii="方正小标宋简体" w:hAnsi="方正小标宋简体" w:eastAsia="方正小标宋简体" w:cs="方正小标宋简体"/>
          <w:b w:val="0"/>
          <w:bCs w:val="0"/>
          <w:sz w:val="44"/>
          <w:szCs w:val="44"/>
          <w:lang w:eastAsia="zh-CN"/>
        </w:rPr>
        <w:t>第三部分</w:t>
      </w:r>
      <w:r>
        <w:rPr>
          <w:rFonts w:hint="eastAsia" w:ascii="方正小标宋简体" w:hAnsi="方正小标宋简体" w:eastAsia="方正小标宋简体" w:cs="方正小标宋简体"/>
          <w:b w:val="0"/>
          <w:bCs w:val="0"/>
          <w:sz w:val="44"/>
          <w:szCs w:val="44"/>
          <w:lang w:val="en-US" w:eastAsia="zh-CN"/>
        </w:rPr>
        <w:t xml:space="preserve">  </w:t>
      </w:r>
      <w:r>
        <w:rPr>
          <w:rFonts w:hint="eastAsia" w:ascii="方正小标宋简体" w:hAnsi="方正小标宋简体" w:eastAsia="方正小标宋简体" w:cs="方正小标宋简体"/>
          <w:b w:val="0"/>
          <w:bCs w:val="0"/>
          <w:sz w:val="44"/>
          <w:szCs w:val="44"/>
        </w:rPr>
        <w:t>名词解释</w:t>
      </w:r>
      <w:bookmarkEnd w:id="91"/>
      <w:bookmarkEnd w:id="92"/>
    </w:p>
    <w:p>
      <w:pPr>
        <w:pageBreakBefore w:val="0"/>
        <w:numPr>
          <w:ilvl w:val="0"/>
          <w:numId w:val="0"/>
        </w:numPr>
        <w:kinsoku/>
        <w:wordWrap/>
        <w:topLinePunct w:val="0"/>
        <w:bidi w:val="0"/>
        <w:spacing w:beforeAutospacing="0" w:afterAutospacing="0" w:line="576" w:lineRule="exact"/>
        <w:jc w:val="both"/>
        <w:textAlignment w:val="auto"/>
        <w:rPr>
          <w:rFonts w:hint="eastAsia" w:ascii="方正小标宋简体" w:hAnsi="方正小标宋简体" w:eastAsia="方正小标宋简体" w:cs="方正小标宋简体"/>
          <w:b w:val="0"/>
          <w:bCs w:val="0"/>
          <w:sz w:val="44"/>
          <w:szCs w:val="44"/>
        </w:rPr>
      </w:pP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1.财政拨款收入：指单位从同级财政部门取得的财政预算资金。</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2.事业收入：指事业单位开展专业业务活动及辅助活动取得的收入。</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3.经营收入：指事业单位在专业业务活动及其辅助活动之外开展非独立核算经营活动取得的收入。</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 xml:space="preserve">4.其他收入：指单位取得的除上述收入以外的各项收入。 </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 xml:space="preserve">5.使用非财政拨款结余：指事业单位使用以前年度积累的非财政拨款结余弥补当年收支差额的金额。 </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 xml:space="preserve">6.年初结转和结余：指以前年度尚未完成、结转到本年按有关规定继续使用的资金。 </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7.结余分配：指事业单位按照会计制度规定缴纳的所得税、提取的专用结余以及转入非财政拨款结余的金额等。</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8.年末结转和结余：指单位按有关规定结转到下年或以后年度继续使用的资金。</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9.科学技术（类）科技条件与服务（款）其他科技条件与服务（项）：指反映其他用于科技条件与服务方面的支出。</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10.社会保障和就业（类）行政事业单位离退休（款）机关事业单位基本养老保险缴费支出（项）：指反映机关事业单位实施养老保险制度由单位缴纳的基本养老保险费支出。</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11.社会保障和就业（类）行政事业单位离退休（款）机关事业单位职业年金缴费支出（项）：指反映机关事业单位实施养老保险制度由单位缴纳的职业年金支出。</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12.医疗卫生与计划生育（类）行政事业单位医疗（款）行政单位医疗（项）：指反映财政部门集中安排的行政单位基本医疗保险缴费经费。</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13.住房保障（类）住房改革（款）住房公积金（项）：指反映行政事业单位按人力资源和社会保障部、财政部规定的基本工资和津贴补贴以及规定比例为职工缴纳的住房公积金。</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14.住房保障（类）住房改革（款）购房补贴（项）：指反映行政事业单位按人力资源和社会保障部、财政部规定的基本工资和津贴补贴以及规定比例为职工支出的购房补贴。</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15.农林水支出（类）扶贫（款）社会发展（项）：指反映用于农村贫困地区中小学教育、文化、广播、电视、医疗、卫生等方面的项目支出。</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16.基本支出：指为保障机构正常运转、完成日常工作任务而发生的人员支出和公用支出。</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 xml:space="preserve">17.项目支出：指在基本支出之外为完成特定行政任务和事业发展目标所发生的支出。 </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18.经营支出：指事业单位在专业业务活动及其辅助活动之外开展非独立核算经营活动发生的支出。</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仿宋_GB2312" w:hAnsi="仿宋_GB2312" w:eastAsia="仿宋_GB2312" w:cs="仿宋_GB2312"/>
          <w:b w:val="0"/>
          <w:bCs w:val="0"/>
          <w:kern w:val="0"/>
          <w:sz w:val="32"/>
          <w:szCs w:val="32"/>
          <w:lang w:val="en-US" w:eastAsia="zh-CN"/>
        </w:rPr>
      </w:pPr>
      <w:r>
        <w:rPr>
          <w:rFonts w:hint="eastAsia" w:ascii="仿宋_GB2312" w:hAnsi="仿宋_GB2312" w:eastAsia="仿宋_GB2312" w:cs="仿宋_GB2312"/>
          <w:b w:val="0"/>
          <w:bCs w:val="0"/>
          <w:kern w:val="0"/>
          <w:sz w:val="32"/>
          <w:szCs w:val="32"/>
          <w:lang w:val="en-US" w:eastAsia="zh-CN"/>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ageBreakBefore w:val="0"/>
        <w:kinsoku/>
        <w:wordWrap/>
        <w:topLinePunct w:val="0"/>
        <w:bidi w:val="0"/>
        <w:spacing w:beforeAutospacing="0" w:afterAutospacing="0" w:line="576" w:lineRule="exact"/>
        <w:textAlignment w:val="auto"/>
        <w:rPr>
          <w:rFonts w:hint="eastAsia" w:ascii="仿宋_GB2312" w:hAnsi="仿宋_GB2312" w:eastAsia="仿宋_GB2312" w:cs="仿宋_GB2312"/>
          <w:b w:val="0"/>
          <w:bCs w:val="0"/>
          <w:lang w:val="en-US" w:eastAsia="zh-CN"/>
        </w:rPr>
      </w:pPr>
      <w:bookmarkStart w:id="93" w:name="_Toc19088"/>
      <w:bookmarkStart w:id="94" w:name="_Toc7978"/>
      <w:bookmarkStart w:id="95" w:name="_Toc15177"/>
      <w:bookmarkStart w:id="96" w:name="_Toc111208510"/>
    </w:p>
    <w:p>
      <w:pPr>
        <w:pageBreakBefore w:val="0"/>
        <w:kinsoku/>
        <w:wordWrap/>
        <w:topLinePunct w:val="0"/>
        <w:bidi w:val="0"/>
        <w:spacing w:beforeAutospacing="0" w:afterAutospacing="0" w:line="576" w:lineRule="exact"/>
        <w:textAlignment w:val="auto"/>
        <w:rPr>
          <w:rFonts w:hint="eastAsia" w:ascii="仿宋_GB2312" w:hAnsi="仿宋_GB2312" w:eastAsia="仿宋_GB2312" w:cs="仿宋_GB2312"/>
          <w:b w:val="0"/>
          <w:bCs w:val="0"/>
          <w:lang w:val="en-US" w:eastAsia="zh-CN"/>
        </w:rPr>
      </w:pPr>
    </w:p>
    <w:p>
      <w:pPr>
        <w:pageBreakBefore w:val="0"/>
        <w:kinsoku/>
        <w:wordWrap/>
        <w:topLinePunct w:val="0"/>
        <w:bidi w:val="0"/>
        <w:spacing w:beforeAutospacing="0" w:afterAutospacing="0" w:line="576" w:lineRule="exact"/>
        <w:textAlignment w:val="auto"/>
        <w:rPr>
          <w:rFonts w:hint="eastAsia" w:ascii="仿宋_GB2312" w:hAnsi="仿宋_GB2312" w:eastAsia="仿宋_GB2312" w:cs="仿宋_GB2312"/>
          <w:b w:val="0"/>
          <w:bCs w:val="0"/>
          <w:lang w:val="en-US" w:eastAsia="zh-CN"/>
        </w:rPr>
      </w:pPr>
    </w:p>
    <w:p>
      <w:pPr>
        <w:pStyle w:val="18"/>
        <w:keepNext w:val="0"/>
        <w:keepLines w:val="0"/>
        <w:pageBreakBefore w:val="0"/>
        <w:widowControl/>
        <w:suppressLineNumbers w:val="0"/>
        <w:kinsoku/>
        <w:wordWrap/>
        <w:overflowPunct/>
        <w:topLinePunct w:val="0"/>
        <w:bidi w:val="0"/>
        <w:spacing w:before="0" w:beforeAutospacing="0" w:after="0" w:afterAutospacing="0" w:line="576" w:lineRule="exact"/>
        <w:ind w:firstLine="2200" w:firstLineChars="500"/>
        <w:jc w:val="both"/>
        <w:textAlignment w:val="auto"/>
        <w:outlineLvl w:val="0"/>
        <w:rPr>
          <w:rFonts w:hint="eastAsia" w:ascii="仿宋_GB2312" w:hAnsi="仿宋_GB2312" w:eastAsia="仿宋_GB2312" w:cs="仿宋_GB2312"/>
          <w:b w:val="0"/>
          <w:bCs w:val="0"/>
          <w:color w:val="000000"/>
          <w:kern w:val="2"/>
          <w:sz w:val="44"/>
          <w:szCs w:val="44"/>
          <w:lang w:val="en-US" w:eastAsia="zh-CN" w:bidi="ar-SA"/>
        </w:rPr>
      </w:pPr>
      <w:bookmarkStart w:id="97" w:name="_Toc2037"/>
    </w:p>
    <w:p>
      <w:pPr>
        <w:pStyle w:val="18"/>
        <w:keepNext w:val="0"/>
        <w:keepLines w:val="0"/>
        <w:pageBreakBefore w:val="0"/>
        <w:widowControl/>
        <w:suppressLineNumbers w:val="0"/>
        <w:kinsoku/>
        <w:wordWrap/>
        <w:overflowPunct/>
        <w:topLinePunct w:val="0"/>
        <w:bidi w:val="0"/>
        <w:spacing w:line="576" w:lineRule="exact"/>
        <w:ind w:firstLine="2200" w:firstLineChars="500"/>
        <w:jc w:val="both"/>
        <w:textAlignment w:val="auto"/>
        <w:outlineLvl w:val="0"/>
        <w:rPr>
          <w:rFonts w:hint="eastAsia" w:ascii="仿宋_GB2312" w:hAnsi="仿宋_GB2312" w:eastAsia="仿宋_GB2312" w:cs="仿宋_GB2312"/>
          <w:b w:val="0"/>
          <w:bCs w:val="0"/>
          <w:color w:val="000000"/>
          <w:kern w:val="2"/>
          <w:sz w:val="44"/>
          <w:szCs w:val="44"/>
          <w:lang w:val="en-US" w:eastAsia="zh-CN" w:bidi="ar-SA"/>
        </w:rPr>
      </w:pPr>
    </w:p>
    <w:p>
      <w:pPr>
        <w:pStyle w:val="18"/>
        <w:keepNext w:val="0"/>
        <w:keepLines w:val="0"/>
        <w:pageBreakBefore w:val="0"/>
        <w:widowControl/>
        <w:suppressLineNumbers w:val="0"/>
        <w:kinsoku/>
        <w:wordWrap/>
        <w:overflowPunct/>
        <w:topLinePunct w:val="0"/>
        <w:bidi w:val="0"/>
        <w:spacing w:line="576" w:lineRule="exact"/>
        <w:ind w:firstLine="2640" w:firstLineChars="600"/>
        <w:jc w:val="both"/>
        <w:textAlignment w:val="auto"/>
        <w:outlineLvl w:val="0"/>
        <w:rPr>
          <w:rFonts w:hint="eastAsia" w:ascii="仿宋_GB2312" w:hAnsi="仿宋_GB2312" w:eastAsia="仿宋_GB2312" w:cs="仿宋_GB2312"/>
          <w:b w:val="0"/>
          <w:bCs w:val="0"/>
          <w:color w:val="000000"/>
          <w:kern w:val="2"/>
          <w:sz w:val="44"/>
          <w:szCs w:val="44"/>
          <w:lang w:val="en-US" w:eastAsia="zh-CN" w:bidi="ar-SA"/>
        </w:rPr>
      </w:pPr>
    </w:p>
    <w:p>
      <w:pPr>
        <w:pStyle w:val="18"/>
        <w:keepNext w:val="0"/>
        <w:keepLines w:val="0"/>
        <w:pageBreakBefore w:val="0"/>
        <w:widowControl/>
        <w:suppressLineNumbers w:val="0"/>
        <w:kinsoku/>
        <w:wordWrap/>
        <w:overflowPunct/>
        <w:topLinePunct w:val="0"/>
        <w:bidi w:val="0"/>
        <w:spacing w:line="576" w:lineRule="exact"/>
        <w:ind w:firstLine="2640" w:firstLineChars="600"/>
        <w:jc w:val="both"/>
        <w:textAlignment w:val="auto"/>
        <w:outlineLvl w:val="0"/>
        <w:rPr>
          <w:rFonts w:hint="eastAsia" w:ascii="仿宋_GB2312" w:hAnsi="仿宋_GB2312" w:eastAsia="仿宋_GB2312" w:cs="仿宋_GB2312"/>
          <w:b w:val="0"/>
          <w:bCs w:val="0"/>
          <w:color w:val="000000"/>
          <w:kern w:val="2"/>
          <w:sz w:val="44"/>
          <w:szCs w:val="44"/>
          <w:lang w:val="en-US" w:eastAsia="zh-CN" w:bidi="ar-SA"/>
        </w:rPr>
      </w:pPr>
    </w:p>
    <w:p>
      <w:pPr>
        <w:pStyle w:val="18"/>
        <w:keepNext w:val="0"/>
        <w:keepLines w:val="0"/>
        <w:pageBreakBefore w:val="0"/>
        <w:widowControl/>
        <w:suppressLineNumbers w:val="0"/>
        <w:kinsoku/>
        <w:wordWrap/>
        <w:overflowPunct/>
        <w:topLinePunct w:val="0"/>
        <w:bidi w:val="0"/>
        <w:spacing w:line="576" w:lineRule="exact"/>
        <w:jc w:val="both"/>
        <w:textAlignment w:val="auto"/>
        <w:outlineLvl w:val="0"/>
        <w:rPr>
          <w:rFonts w:hint="eastAsia" w:ascii="仿宋_GB2312" w:hAnsi="仿宋_GB2312" w:eastAsia="仿宋_GB2312" w:cs="仿宋_GB2312"/>
          <w:b w:val="0"/>
          <w:bCs w:val="0"/>
          <w:color w:val="000000"/>
          <w:kern w:val="2"/>
          <w:sz w:val="44"/>
          <w:szCs w:val="44"/>
          <w:lang w:val="en-US" w:eastAsia="zh-CN" w:bidi="ar-SA"/>
        </w:rPr>
      </w:pPr>
    </w:p>
    <w:bookmarkEnd w:id="93"/>
    <w:bookmarkEnd w:id="94"/>
    <w:bookmarkEnd w:id="97"/>
    <w:p>
      <w:pPr>
        <w:pStyle w:val="18"/>
        <w:keepNext w:val="0"/>
        <w:keepLines w:val="0"/>
        <w:pageBreakBefore w:val="0"/>
        <w:widowControl/>
        <w:suppressLineNumbers w:val="0"/>
        <w:kinsoku/>
        <w:wordWrap/>
        <w:overflowPunct/>
        <w:topLinePunct w:val="0"/>
        <w:bidi w:val="0"/>
        <w:spacing w:line="576" w:lineRule="exact"/>
        <w:ind w:firstLine="1440" w:firstLineChars="600"/>
        <w:jc w:val="both"/>
        <w:textAlignment w:val="auto"/>
        <w:outlineLvl w:val="0"/>
      </w:pPr>
    </w:p>
    <w:p>
      <w:pPr>
        <w:pStyle w:val="18"/>
        <w:keepNext w:val="0"/>
        <w:keepLines w:val="0"/>
        <w:pageBreakBefore w:val="0"/>
        <w:widowControl/>
        <w:suppressLineNumbers w:val="0"/>
        <w:kinsoku/>
        <w:wordWrap/>
        <w:overflowPunct/>
        <w:topLinePunct w:val="0"/>
        <w:bidi w:val="0"/>
        <w:spacing w:line="576" w:lineRule="exact"/>
        <w:ind w:firstLine="1440" w:firstLineChars="600"/>
        <w:jc w:val="both"/>
        <w:textAlignment w:val="auto"/>
        <w:outlineLvl w:val="0"/>
        <w:rPr>
          <w:rFonts w:ascii="方正小标宋简体" w:hAnsi="Times New Roman" w:eastAsia="方正小标宋简体" w:cs="黑体"/>
          <w:sz w:val="44"/>
          <w:szCs w:val="44"/>
        </w:rPr>
      </w:pPr>
      <w:r>
        <w:t> </w:t>
      </w:r>
    </w:p>
    <w:p>
      <w:pPr>
        <w:widowControl/>
        <w:spacing w:line="578" w:lineRule="exact"/>
        <w:contextualSpacing/>
        <w:jc w:val="both"/>
        <w:rPr>
          <w:rFonts w:hint="eastAsia" w:ascii="黑体" w:eastAsia="黑体" w:cs="Times New Roman"/>
          <w:color w:val="000000"/>
          <w:kern w:val="2"/>
          <w:sz w:val="32"/>
          <w:szCs w:val="32"/>
          <w:lang w:val="en-US" w:eastAsia="zh-CN" w:bidi="ar-SA"/>
        </w:rPr>
      </w:pPr>
      <w:bookmarkStart w:id="98" w:name="_Toc983"/>
    </w:p>
    <w:tbl>
      <w:tblPr>
        <w:tblStyle w:val="20"/>
        <w:tblW w:w="81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836"/>
        <w:gridCol w:w="991"/>
        <w:gridCol w:w="970"/>
        <w:gridCol w:w="488"/>
        <w:gridCol w:w="851"/>
        <w:gridCol w:w="756"/>
        <w:gridCol w:w="1026"/>
        <w:gridCol w:w="500"/>
        <w:gridCol w:w="440"/>
        <w:gridCol w:w="7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trPr>
        <w:tc>
          <w:tcPr>
            <w:tcW w:w="81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0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51322324T000010444369-《中国共产党茂县执政实录</w:t>
            </w:r>
            <w:r>
              <w:rPr>
                <w:rFonts w:hint="eastAsia" w:ascii="黑体" w:hAnsi="黑体" w:eastAsia="黑体" w:cs="黑体"/>
                <w:i w:val="0"/>
                <w:iCs w:val="0"/>
                <w:color w:val="000000"/>
                <w:kern w:val="0"/>
                <w:sz w:val="18"/>
                <w:szCs w:val="18"/>
                <w:u w:val="none"/>
                <w:lang w:val="en-US" w:eastAsia="zh-CN" w:bidi="ar"/>
              </w:rPr>
              <w:t>（2024）</w:t>
            </w:r>
            <w:r>
              <w:rPr>
                <w:rFonts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4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茂县党史研究和地方志编纂中心</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16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茂县党史研究和地方志编纂中心（行政）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4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14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2025年完成整理、编纂及</w:t>
            </w:r>
            <w:r>
              <w:rPr>
                <w:rFonts w:hint="eastAsia" w:ascii="宋体" w:hAnsi="宋体" w:cs="宋体"/>
                <w:i w:val="0"/>
                <w:iCs w:val="0"/>
                <w:color w:val="000000"/>
                <w:kern w:val="0"/>
                <w:sz w:val="18"/>
                <w:szCs w:val="18"/>
                <w:u w:val="none"/>
                <w:lang w:val="en-US" w:eastAsia="zh-CN" w:bidi="ar"/>
              </w:rPr>
              <w:t>400本</w:t>
            </w:r>
            <w:r>
              <w:rPr>
                <w:rFonts w:ascii="宋体" w:hAnsi="宋体" w:eastAsia="宋体" w:cs="宋体"/>
                <w:i w:val="0"/>
                <w:iCs w:val="0"/>
                <w:color w:val="000000"/>
                <w:kern w:val="0"/>
                <w:sz w:val="18"/>
                <w:szCs w:val="18"/>
                <w:u w:val="none"/>
                <w:lang w:val="en-US" w:eastAsia="zh-CN" w:bidi="ar"/>
              </w:rPr>
              <w:t>该书的印刷出版工作。</w:t>
            </w:r>
          </w:p>
        </w:tc>
        <w:tc>
          <w:tcPr>
            <w:tcW w:w="27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2025年已完成《中国共产党茂县执政实录</w:t>
            </w:r>
            <w:r>
              <w:rPr>
                <w:rFonts w:hint="eastAsia" w:ascii="黑体" w:hAnsi="黑体" w:eastAsia="黑体" w:cs="黑体"/>
                <w:i w:val="0"/>
                <w:iCs w:val="0"/>
                <w:color w:val="000000"/>
                <w:kern w:val="0"/>
                <w:sz w:val="18"/>
                <w:szCs w:val="18"/>
                <w:u w:val="none"/>
                <w:lang w:val="en-US" w:eastAsia="zh-CN" w:bidi="ar"/>
              </w:rPr>
              <w:t>（2024）</w:t>
            </w:r>
            <w:r>
              <w:rPr>
                <w:rFonts w:hint="default" w:ascii="黑体" w:hAnsi="黑体" w:eastAsia="黑体" w:cs="黑体"/>
                <w:i w:val="0"/>
                <w:iCs w:val="0"/>
                <w:color w:val="000000"/>
                <w:kern w:val="0"/>
                <w:sz w:val="18"/>
                <w:szCs w:val="18"/>
                <w:u w:val="none"/>
                <w:lang w:val="en-US" w:eastAsia="zh-CN" w:bidi="ar"/>
              </w:rPr>
              <w:t>》资料收集、整理、编纂和</w:t>
            </w:r>
            <w:r>
              <w:rPr>
                <w:rFonts w:hint="eastAsia" w:ascii="黑体" w:hAnsi="黑体" w:eastAsia="黑体" w:cs="黑体"/>
                <w:i w:val="0"/>
                <w:iCs w:val="0"/>
                <w:color w:val="000000"/>
                <w:kern w:val="0"/>
                <w:sz w:val="18"/>
                <w:szCs w:val="18"/>
                <w:u w:val="none"/>
                <w:lang w:val="en-US" w:eastAsia="zh-CN" w:bidi="ar"/>
              </w:rPr>
              <w:t>4</w:t>
            </w:r>
            <w:r>
              <w:rPr>
                <w:rFonts w:hint="default" w:ascii="黑体" w:hAnsi="黑体" w:eastAsia="黑体" w:cs="黑体"/>
                <w:i w:val="0"/>
                <w:iCs w:val="0"/>
                <w:color w:val="000000"/>
                <w:kern w:val="0"/>
                <w:sz w:val="18"/>
                <w:szCs w:val="18"/>
                <w:u w:val="none"/>
                <w:lang w:val="en-US" w:eastAsia="zh-CN" w:bidi="ar"/>
              </w:rPr>
              <w:t>00本该书的印刷出版。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0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2025年12月底前完成《中国共产党茂县执政实录</w:t>
            </w:r>
            <w:r>
              <w:rPr>
                <w:rFonts w:hint="eastAsia" w:ascii="宋体" w:hAnsi="宋体" w:cs="宋体"/>
                <w:i w:val="0"/>
                <w:iCs w:val="0"/>
                <w:color w:val="000000"/>
                <w:kern w:val="0"/>
                <w:sz w:val="18"/>
                <w:szCs w:val="18"/>
                <w:u w:val="none"/>
                <w:lang w:val="en-US" w:eastAsia="zh-CN" w:bidi="ar"/>
              </w:rPr>
              <w:t>（2024）</w:t>
            </w:r>
            <w:r>
              <w:rPr>
                <w:rFonts w:ascii="宋体" w:hAnsi="宋体" w:eastAsia="宋体" w:cs="宋体"/>
                <w:i w:val="0"/>
                <w:iCs w:val="0"/>
                <w:color w:val="000000"/>
                <w:kern w:val="0"/>
                <w:sz w:val="18"/>
                <w:szCs w:val="18"/>
                <w:u w:val="none"/>
                <w:lang w:val="en-US" w:eastAsia="zh-CN" w:bidi="ar"/>
              </w:rPr>
              <w:t>》资料收集、整理、编纂和400本该书的印刷出版。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8.36</w:t>
            </w: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资金全部是财政拨款的预算资金，无单位或其他资金，预算执行率为100%。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8.36</w:t>
            </w: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8.36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项目的完成数量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图文资料的收集和编纂质量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项目完成时限</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为提高执政水平和执政能力的采用量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党带领广大干部群众富民兴县实践的报道次数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参考价值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读者满意度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低成本，高产出</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富民兴县的年度工作特点、地区特点和行业特点的使用次数。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83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项目自评良好。起到“存史、资政、育人”的作用。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83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资料征集过程中，各部门和乡镇报送资料协调难度大，资料参差不齐，专业编辑力量不足。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83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加大统筹力度，培训和补充编写人员。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40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项目负责人：杨喜林</w:t>
            </w:r>
          </w:p>
        </w:tc>
        <w:tc>
          <w:tcPr>
            <w:tcW w:w="416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财务负责人：王术德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trPr>
        <w:tc>
          <w:tcPr>
            <w:tcW w:w="81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0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51322325T000012922456-《茂县年鉴2025》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4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茂县党史研究和地方志编纂中心</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16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茂县党史研究和地方志编纂中心（行政）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4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14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2025年完成该项目资料收集、整理、编纂和印刷出版。</w:t>
            </w:r>
          </w:p>
        </w:tc>
        <w:tc>
          <w:tcPr>
            <w:tcW w:w="27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2025年已完成《茂县年鉴</w:t>
            </w:r>
            <w:r>
              <w:rPr>
                <w:rFonts w:hint="eastAsia" w:ascii="黑体" w:hAnsi="黑体" w:eastAsia="黑体" w:cs="黑体"/>
                <w:i w:val="0"/>
                <w:iCs w:val="0"/>
                <w:color w:val="000000"/>
                <w:kern w:val="0"/>
                <w:sz w:val="18"/>
                <w:szCs w:val="18"/>
                <w:u w:val="none"/>
                <w:lang w:val="en-US" w:eastAsia="zh-CN" w:bidi="ar"/>
              </w:rPr>
              <w:t>（2025）</w:t>
            </w:r>
            <w:r>
              <w:rPr>
                <w:rFonts w:hint="default" w:ascii="黑体" w:hAnsi="黑体" w:eastAsia="黑体" w:cs="黑体"/>
                <w:i w:val="0"/>
                <w:iCs w:val="0"/>
                <w:color w:val="000000"/>
                <w:kern w:val="0"/>
                <w:sz w:val="18"/>
                <w:szCs w:val="18"/>
                <w:u w:val="none"/>
                <w:lang w:val="en-US" w:eastAsia="zh-CN" w:bidi="ar"/>
              </w:rPr>
              <w:t>》资料收集、整理、编纂和500本该书的印刷出版。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0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2025年12月底前完成《茂县年鉴（</w:t>
            </w:r>
            <w:r>
              <w:rPr>
                <w:rFonts w:hint="eastAsia" w:ascii="宋体" w:hAnsi="宋体" w:cs="宋体"/>
                <w:i w:val="0"/>
                <w:iCs w:val="0"/>
                <w:color w:val="000000"/>
                <w:kern w:val="0"/>
                <w:sz w:val="18"/>
                <w:szCs w:val="18"/>
                <w:u w:val="none"/>
                <w:lang w:val="en-US" w:eastAsia="zh-CN" w:bidi="ar"/>
              </w:rPr>
              <w:t>2025</w:t>
            </w:r>
            <w:r>
              <w:rPr>
                <w:rFonts w:ascii="宋体" w:hAnsi="宋体" w:eastAsia="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w:t>
            </w:r>
            <w:r>
              <w:rPr>
                <w:rFonts w:ascii="宋体" w:hAnsi="宋体" w:eastAsia="宋体" w:cs="宋体"/>
                <w:i w:val="0"/>
                <w:iCs w:val="0"/>
                <w:color w:val="000000"/>
                <w:kern w:val="0"/>
                <w:sz w:val="18"/>
                <w:szCs w:val="18"/>
                <w:u w:val="none"/>
                <w:lang w:val="en-US" w:eastAsia="zh-CN" w:bidi="ar"/>
              </w:rPr>
              <w:t>资料收集、整理、编纂和400本该书的印刷出版。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11.07</w:t>
            </w: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11.07</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资金全部是财政拨款的预算资金，无单位或其他资金，预算执行率为100%。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11.07</w:t>
            </w: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11.07</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完成的数量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图文资料的收集和出版印刷质量</w:t>
            </w:r>
            <w:r>
              <w:rPr>
                <w:rFonts w:hint="eastAsia" w:ascii="宋体" w:hAnsi="宋体" w:cs="宋体"/>
                <w:i w:val="0"/>
                <w:iCs w:val="0"/>
                <w:color w:val="000000"/>
                <w:kern w:val="0"/>
                <w:sz w:val="18"/>
                <w:szCs w:val="18"/>
                <w:u w:val="none"/>
                <w:lang w:val="en-US" w:eastAsia="zh-CN" w:bidi="ar"/>
              </w:rPr>
              <w:t>达到</w:t>
            </w:r>
            <w:r>
              <w:rPr>
                <w:rFonts w:ascii="宋体" w:hAnsi="宋体" w:eastAsia="宋体" w:cs="宋体"/>
                <w:i w:val="0"/>
                <w:iCs w:val="0"/>
                <w:color w:val="000000"/>
                <w:kern w:val="0"/>
                <w:sz w:val="18"/>
                <w:szCs w:val="18"/>
                <w:u w:val="none"/>
                <w:lang w:val="en-US" w:eastAsia="zh-CN" w:bidi="ar"/>
              </w:rPr>
              <w:t>99%</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提升中华文化影响力、留存地方历史文化记忆的引用量。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服务于乡村振兴战略采用量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为各单位提供执政历史参考价值。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低成本高产出</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112000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地方性、资料性和实用性的使用次数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83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项目自评良好。起到“存史、资政、育人”的作用。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83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资料征集过程中，各部门和乡镇报送资料协调难度大，资料参差不齐，专业编辑力量不足。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83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加大统筹力度，培训和补充编写人员。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40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项目负责人：杨喜林</w:t>
            </w:r>
          </w:p>
        </w:tc>
        <w:tc>
          <w:tcPr>
            <w:tcW w:w="416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财务负责人：王术德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81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0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51322325T000012922525-《远古的呼唤》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4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茂县党史研究和地方志编纂中心</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16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茂县党史研究和地方志编纂中心（行政）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4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14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2025年完成该片的拍摄和制作，并进入初审阶段。</w:t>
            </w:r>
          </w:p>
        </w:tc>
        <w:tc>
          <w:tcPr>
            <w:tcW w:w="27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2025年已完成该口述历史纪录片的拍摄、制作和初审工作。</w:t>
            </w:r>
            <w:r>
              <w:rPr>
                <w:rFonts w:ascii="Arial" w:hAnsi="Arial" w:eastAsia="黑体" w:cs="Arial"/>
                <w:i w:val="0"/>
                <w:iCs w:val="0"/>
                <w:color w:val="000000"/>
                <w:kern w:val="0"/>
                <w:sz w:val="18"/>
                <w:szCs w:val="18"/>
                <w:u w:val="none"/>
                <w:lang w:val="en-US" w:eastAsia="zh-CN" w:bidi="ar"/>
              </w:rPr>
              <w:t xml:space="preserve">       </w:t>
            </w:r>
            <w:r>
              <w:rPr>
                <w:rFonts w:hint="default" w:ascii="黑体" w:hAnsi="黑体" w:eastAsia="黑体" w:cs="黑体"/>
                <w:i w:val="0"/>
                <w:iCs w:val="0"/>
                <w:color w:val="000000"/>
                <w:kern w:val="0"/>
                <w:sz w:val="18"/>
                <w:szCs w:val="18"/>
                <w:u w:val="none"/>
                <w:lang w:val="en-US" w:eastAsia="zh-CN" w:bidi="ar"/>
              </w:rPr>
              <w:br w:type="textWrapping"/>
            </w:r>
            <w:r>
              <w:rPr>
                <w:rFonts w:ascii="Arial" w:hAnsi="Arial" w:eastAsia="黑体" w:cs="Arial"/>
                <w:i w:val="0"/>
                <w:iCs w:val="0"/>
                <w:color w:val="000000"/>
                <w:kern w:val="0"/>
                <w:sz w:val="18"/>
                <w:szCs w:val="18"/>
                <w:u w:val="none"/>
                <w:lang w:val="en-US" w:eastAsia="zh-CN" w:bidi="ar"/>
              </w:rPr>
              <w:t xml:space="preserve">       </w:t>
            </w:r>
            <w:r>
              <w:rPr>
                <w:rFonts w:hint="default" w:ascii="黑体" w:hAnsi="黑体" w:eastAsia="黑体" w:cs="黑体"/>
                <w:i w:val="0"/>
                <w:iCs w:val="0"/>
                <w:color w:val="000000"/>
                <w:kern w:val="0"/>
                <w:sz w:val="18"/>
                <w:szCs w:val="18"/>
                <w:u w:val="none"/>
                <w:lang w:val="en-US" w:eastAsia="zh-CN" w:bidi="ar"/>
              </w:rPr>
              <w:br w:type="textWrapping"/>
            </w:r>
            <w:r>
              <w:rPr>
                <w:rFonts w:ascii="Arial" w:hAnsi="Arial" w:eastAsia="黑体" w:cs="Arial"/>
                <w:i w:val="0"/>
                <w:iCs w:val="0"/>
                <w:color w:val="000000"/>
                <w:kern w:val="0"/>
                <w:sz w:val="18"/>
                <w:szCs w:val="18"/>
                <w:u w:val="none"/>
                <w:lang w:val="en-US" w:eastAsia="zh-CN" w:bidi="ar"/>
              </w:rPr>
              <w:t xml:space="preserve">       </w:t>
            </w:r>
            <w:r>
              <w:rPr>
                <w:rFonts w:hint="default" w:ascii="黑体" w:hAnsi="黑体" w:eastAsia="黑体" w:cs="黑体"/>
                <w:i w:val="0"/>
                <w:iCs w:val="0"/>
                <w:color w:val="000000"/>
                <w:kern w:val="0"/>
                <w:sz w:val="18"/>
                <w:szCs w:val="18"/>
                <w:u w:val="none"/>
                <w:lang w:val="en-US" w:eastAsia="zh-CN" w:bidi="ar"/>
              </w:rPr>
              <w:br w:type="textWrapping"/>
            </w:r>
            <w:r>
              <w:rPr>
                <w:rFonts w:ascii="Arial" w:hAnsi="Arial" w:eastAsia="黑体" w:cs="Arial"/>
                <w:i w:val="0"/>
                <w:iCs w:val="0"/>
                <w:color w:val="000000"/>
                <w:kern w:val="0"/>
                <w:sz w:val="18"/>
                <w:szCs w:val="18"/>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0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Style w:val="47"/>
                <w:lang w:val="en-US" w:eastAsia="zh-CN" w:bidi="ar"/>
              </w:rPr>
              <w:t>2025年已完成该口述历史纪录片的拍摄、制作和初审工作。</w:t>
            </w:r>
            <w:r>
              <w:rPr>
                <w:rStyle w:val="47"/>
                <w:lang w:val="en-US" w:eastAsia="zh-CN" w:bidi="ar"/>
              </w:rPr>
              <w:br w:type="textWrapping"/>
            </w:r>
            <w:r>
              <w:rPr>
                <w:rFonts w:ascii="Arial" w:hAnsi="Arial" w:eastAsia="宋体" w:cs="Arial"/>
                <w:i w:val="0"/>
                <w:iCs w:val="0"/>
                <w:color w:val="000000"/>
                <w:kern w:val="0"/>
                <w:sz w:val="18"/>
                <w:szCs w:val="18"/>
                <w:u w:val="none"/>
                <w:lang w:val="en-US" w:eastAsia="zh-CN" w:bidi="ar"/>
              </w:rPr>
              <w:t xml:space="preserve">    </w:t>
            </w:r>
            <w:r>
              <w:rPr>
                <w:rFonts w:hint="default" w:ascii="黑体" w:hAnsi="黑体" w:eastAsia="黑体" w:cs="黑体"/>
                <w:i w:val="0"/>
                <w:iCs w:val="0"/>
                <w:color w:val="000000"/>
                <w:kern w:val="0"/>
                <w:sz w:val="18"/>
                <w:szCs w:val="18"/>
                <w:u w:val="none"/>
                <w:lang w:val="en-US" w:eastAsia="zh-CN" w:bidi="ar"/>
              </w:rPr>
              <w:br w:type="textWrapping"/>
            </w:r>
            <w:r>
              <w:rPr>
                <w:rFonts w:ascii="Arial" w:hAnsi="Arial" w:eastAsia="宋体" w:cs="Arial"/>
                <w:i w:val="0"/>
                <w:iCs w:val="0"/>
                <w:color w:val="000000"/>
                <w:kern w:val="0"/>
                <w:sz w:val="18"/>
                <w:szCs w:val="18"/>
                <w:u w:val="none"/>
                <w:lang w:val="en-US" w:eastAsia="zh-CN" w:bidi="ar"/>
              </w:rPr>
              <w:t xml:space="preserve">       </w:t>
            </w:r>
            <w:r>
              <w:rPr>
                <w:rFonts w:hint="default" w:ascii="黑体" w:hAnsi="黑体" w:eastAsia="黑体" w:cs="黑体"/>
                <w:i w:val="0"/>
                <w:iCs w:val="0"/>
                <w:color w:val="000000"/>
                <w:kern w:val="0"/>
                <w:sz w:val="18"/>
                <w:szCs w:val="18"/>
                <w:u w:val="none"/>
                <w:lang w:val="en-US" w:eastAsia="zh-CN" w:bidi="ar"/>
              </w:rPr>
              <w:br w:type="textWrapping"/>
            </w:r>
            <w:r>
              <w:rPr>
                <w:rFonts w:ascii="Arial" w:hAnsi="Arial" w:eastAsia="宋体" w:cs="Arial"/>
                <w:i w:val="0"/>
                <w:iCs w:val="0"/>
                <w:color w:val="000000"/>
                <w:kern w:val="0"/>
                <w:sz w:val="18"/>
                <w:szCs w:val="18"/>
                <w:u w:val="none"/>
                <w:lang w:val="en-US" w:eastAsia="zh-CN" w:bidi="ar"/>
              </w:rPr>
              <w:t xml:space="preserve">       </w:t>
            </w:r>
            <w:r>
              <w:rPr>
                <w:rFonts w:hint="default" w:ascii="黑体" w:hAnsi="黑体" w:eastAsia="黑体" w:cs="黑体"/>
                <w:i w:val="0"/>
                <w:iCs w:val="0"/>
                <w:color w:val="000000"/>
                <w:kern w:val="0"/>
                <w:sz w:val="18"/>
                <w:szCs w:val="18"/>
                <w:u w:val="none"/>
                <w:lang w:val="en-US" w:eastAsia="zh-CN" w:bidi="ar"/>
              </w:rPr>
              <w:br w:type="textWrapping"/>
            </w:r>
            <w:r>
              <w:rPr>
                <w:rFonts w:ascii="Arial" w:hAnsi="Arial" w:eastAsia="宋体" w:cs="Arial"/>
                <w:i w:val="0"/>
                <w:iCs w:val="0"/>
                <w:color w:val="000000"/>
                <w:kern w:val="0"/>
                <w:sz w:val="18"/>
                <w:szCs w:val="18"/>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9.50</w:t>
            </w: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预算</w:t>
            </w:r>
            <w:r>
              <w:rPr>
                <w:rFonts w:hint="default" w:ascii="黑体" w:hAnsi="黑体" w:eastAsia="黑体" w:cs="黑体"/>
                <w:i/>
                <w:iCs/>
                <w:color w:val="000000"/>
                <w:kern w:val="0"/>
                <w:sz w:val="18"/>
                <w:szCs w:val="18"/>
                <w:u w:val="none"/>
                <w:lang w:val="en-US" w:eastAsia="zh-CN" w:bidi="ar"/>
              </w:rPr>
              <w:t>资金全部</w:t>
            </w:r>
            <w:r>
              <w:rPr>
                <w:rFonts w:hint="eastAsia" w:ascii="黑体" w:hAnsi="黑体" w:eastAsia="黑体" w:cs="黑体"/>
                <w:i/>
                <w:iCs/>
                <w:color w:val="000000"/>
                <w:kern w:val="0"/>
                <w:sz w:val="18"/>
                <w:szCs w:val="18"/>
                <w:u w:val="none"/>
                <w:lang w:val="en-US" w:eastAsia="zh-CN" w:bidi="ar"/>
              </w:rPr>
              <w:t>为财政拨款</w:t>
            </w:r>
            <w:r>
              <w:rPr>
                <w:rFonts w:hint="default" w:ascii="黑体" w:hAnsi="黑体" w:eastAsia="黑体" w:cs="黑体"/>
                <w:i/>
                <w:iCs/>
                <w:color w:val="000000"/>
                <w:kern w:val="0"/>
                <w:sz w:val="18"/>
                <w:szCs w:val="18"/>
                <w:u w:val="none"/>
                <w:lang w:val="en-US" w:eastAsia="zh-CN" w:bidi="ar"/>
              </w:rPr>
              <w:t>，无单位或其他资金，预算执行率为100%</w:t>
            </w:r>
            <w:r>
              <w:rPr>
                <w:rFonts w:hint="eastAsia" w:ascii="黑体" w:hAnsi="黑体" w:eastAsia="黑体" w:cs="黑体"/>
                <w:i/>
                <w:iCs/>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9.50</w:t>
            </w: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1部口述历史</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篇（部）</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图文资料的真实性和拍摄质量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提升中华文化影响力、留存地方历史文化记忆的引用量。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服务于乡村振兴战略采用量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场次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读者满意程度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低成本高产出</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96000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地方性和资料性的使用次数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83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项目自评良好。起到“存史、资政、育人”的作用。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83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资料征集过程中，各部门和乡镇报送资料协调难度大，资料参差不齐，专业编辑力量不足。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83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加大统筹力度，培训和补充编写人员。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40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项目负责人：杨喜林</w:t>
            </w:r>
          </w:p>
        </w:tc>
        <w:tc>
          <w:tcPr>
            <w:tcW w:w="416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财务负责人：王术德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 w:hRule="atLeast"/>
        </w:trPr>
        <w:tc>
          <w:tcPr>
            <w:tcW w:w="3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4" w:hRule="atLeast"/>
        </w:trPr>
        <w:tc>
          <w:tcPr>
            <w:tcW w:w="81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0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51322325T000012922544-《茂县扶贫志》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4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茂县党史研究和地方志编纂中心</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16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茂县党史研究和地方志编纂中心（行政）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4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14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2025年完成《茂县扶贫志》图文</w:t>
            </w:r>
            <w:r>
              <w:rPr>
                <w:rFonts w:hint="eastAsia" w:ascii="宋体" w:hAnsi="宋体" w:cs="宋体"/>
                <w:i w:val="0"/>
                <w:iCs w:val="0"/>
                <w:color w:val="000000"/>
                <w:kern w:val="0"/>
                <w:sz w:val="18"/>
                <w:szCs w:val="18"/>
                <w:u w:val="none"/>
                <w:lang w:val="en-US" w:eastAsia="zh-CN" w:bidi="ar"/>
              </w:rPr>
              <w:t>资料</w:t>
            </w:r>
            <w:r>
              <w:rPr>
                <w:rFonts w:ascii="宋体" w:hAnsi="宋体" w:eastAsia="宋体" w:cs="宋体"/>
                <w:i w:val="0"/>
                <w:iCs w:val="0"/>
                <w:color w:val="000000"/>
                <w:kern w:val="0"/>
                <w:sz w:val="18"/>
                <w:szCs w:val="18"/>
                <w:u w:val="none"/>
                <w:lang w:val="en-US" w:eastAsia="zh-CN" w:bidi="ar"/>
              </w:rPr>
              <w:t>收集、整理和编纂工作。</w:t>
            </w:r>
          </w:p>
        </w:tc>
        <w:tc>
          <w:tcPr>
            <w:tcW w:w="27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2025年底已完成该志书的整理、编纂和印刷工作。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0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2025年12月底前完成该项目的整理、编纂和印刷工作。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36.03</w:t>
            </w: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36.03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预算</w:t>
            </w:r>
            <w:r>
              <w:rPr>
                <w:rFonts w:hint="default" w:ascii="黑体" w:hAnsi="黑体" w:eastAsia="黑体" w:cs="黑体"/>
                <w:i/>
                <w:iCs/>
                <w:color w:val="000000"/>
                <w:kern w:val="0"/>
                <w:sz w:val="18"/>
                <w:szCs w:val="18"/>
                <w:u w:val="none"/>
                <w:lang w:val="en-US" w:eastAsia="zh-CN" w:bidi="ar"/>
              </w:rPr>
              <w:t>资金全部</w:t>
            </w:r>
            <w:r>
              <w:rPr>
                <w:rFonts w:hint="eastAsia" w:ascii="黑体" w:hAnsi="黑体" w:eastAsia="黑体" w:cs="黑体"/>
                <w:i/>
                <w:iCs/>
                <w:color w:val="000000"/>
                <w:kern w:val="0"/>
                <w:sz w:val="18"/>
                <w:szCs w:val="18"/>
                <w:u w:val="none"/>
                <w:lang w:val="en-US" w:eastAsia="zh-CN" w:bidi="ar"/>
              </w:rPr>
              <w:t>为财政拨款</w:t>
            </w:r>
            <w:r>
              <w:rPr>
                <w:rFonts w:hint="default" w:ascii="黑体" w:hAnsi="黑体" w:eastAsia="黑体" w:cs="黑体"/>
                <w:i/>
                <w:iCs/>
                <w:color w:val="000000"/>
                <w:kern w:val="0"/>
                <w:sz w:val="18"/>
                <w:szCs w:val="18"/>
                <w:u w:val="none"/>
                <w:lang w:val="en-US" w:eastAsia="zh-CN" w:bidi="ar"/>
              </w:rPr>
              <w:t>，无单位或其他资金，预算执行率为100%</w:t>
            </w:r>
            <w:r>
              <w:rPr>
                <w:rFonts w:hint="eastAsia" w:ascii="黑体" w:hAnsi="黑体" w:eastAsia="黑体" w:cs="黑体"/>
                <w:i/>
                <w:iCs/>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36.03</w:t>
            </w: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36.03</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图文资料书稿的编纂字数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万字</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图文资料的正确率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项目完成时限</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提升中华文化影响力、留存地方历史文化记忆的引用量。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受益对象满意度指标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总体成本控制</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23.25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核心史料完整率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83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项目自评良好。起到“存史、资政、育人”的作用。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83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资料征集过程中，各部门和乡镇报送资料协调难度大，资料参差不齐，专业编辑力量不足。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83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加大统筹力度，培训和补充编写人员。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40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项目负责人：杨喜林</w:t>
            </w:r>
          </w:p>
        </w:tc>
        <w:tc>
          <w:tcPr>
            <w:tcW w:w="416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财务负责人：王术德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7" w:hRule="atLeast"/>
        </w:trPr>
        <w:tc>
          <w:tcPr>
            <w:tcW w:w="3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9" w:hRule="atLeast"/>
        </w:trPr>
        <w:tc>
          <w:tcPr>
            <w:tcW w:w="81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0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51322325T000012922619-《茂县南新镇安乡村村志》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4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茂县党史研究和地方志编纂中心</w:t>
            </w:r>
          </w:p>
        </w:tc>
        <w:tc>
          <w:tcPr>
            <w:tcW w:w="109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16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茂县党史研究和地方志编纂中心（行政）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4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14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"2025年完成该项目图片、文字资料的收集、编纂和200套样书的出版工作。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 xml:space="preserve">"       </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 xml:space="preserve">       </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 xml:space="preserve">       </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 xml:space="preserve">       </w:t>
            </w:r>
          </w:p>
        </w:tc>
        <w:tc>
          <w:tcPr>
            <w:tcW w:w="27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2025年底完成了该志书的整理、编纂及样书的印刷。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0"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0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2025年完成该项目图片、文字资料的收集、编纂和200套样书的出版工作。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 xml:space="preserve">     </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 xml:space="preserve">       </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 xml:space="preserve">       </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7.98</w:t>
            </w: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7.98</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资金全部</w:t>
            </w:r>
            <w:r>
              <w:rPr>
                <w:rFonts w:hint="eastAsia" w:ascii="黑体" w:hAnsi="黑体" w:eastAsia="黑体" w:cs="黑体"/>
                <w:i/>
                <w:iCs/>
                <w:color w:val="000000"/>
                <w:kern w:val="0"/>
                <w:sz w:val="18"/>
                <w:szCs w:val="18"/>
                <w:u w:val="none"/>
                <w:lang w:val="en-US" w:eastAsia="zh-CN" w:bidi="ar"/>
              </w:rPr>
              <w:t>为财政拨款</w:t>
            </w:r>
            <w:r>
              <w:rPr>
                <w:rFonts w:hint="default" w:ascii="黑体" w:hAnsi="黑体" w:eastAsia="黑体" w:cs="黑体"/>
                <w:i/>
                <w:iCs/>
                <w:color w:val="000000"/>
                <w:kern w:val="0"/>
                <w:sz w:val="18"/>
                <w:szCs w:val="18"/>
                <w:u w:val="none"/>
                <w:lang w:val="en-US" w:eastAsia="zh-CN" w:bidi="ar"/>
              </w:rPr>
              <w:t>，无单位或其他资金，预算执行率为100%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7.98</w:t>
            </w: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7.98</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200套样书的出版</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图文资料和印刷的质量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提升中华文化影响力、留存地方历史文化记忆的引用量。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服务于乡村振兴战略采用量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读者满意程度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低成本高产出</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81000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地方性、资料性和实用性的使用次数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83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项目自评良好。起到“存史、资政、育人”的作用。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83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资料征集过程中，各部门和乡镇报送资料协调难度大，资料参差不齐，专业编辑力量不足。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83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加大统筹力度，培训和补充编写人员。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40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项目负责人：杨喜林</w:t>
            </w:r>
          </w:p>
        </w:tc>
        <w:tc>
          <w:tcPr>
            <w:tcW w:w="416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财务负责人：王术德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6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14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80"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88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2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1091"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5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45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trPr>
        <w:tc>
          <w:tcPr>
            <w:tcW w:w="8194"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690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51322325T000012922629-《茂县沙坝镇纳呼村村志》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12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4147" w:type="dxa"/>
            <w:gridSpan w:val="5"/>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茂县党史研究和地方志编纂中心</w:t>
            </w:r>
          </w:p>
        </w:tc>
        <w:tc>
          <w:tcPr>
            <w:tcW w:w="109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实施单位 （盖章）</w:t>
            </w:r>
          </w:p>
        </w:tc>
        <w:tc>
          <w:tcPr>
            <w:tcW w:w="1666"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茂县党史研究和地方志编纂中心（行政）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4147" w:type="dxa"/>
            <w:gridSpan w:val="5"/>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2757"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414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2025年完成该书资料收集、整理、编纂和200本样书的出版。</w:t>
            </w:r>
          </w:p>
        </w:tc>
        <w:tc>
          <w:tcPr>
            <w:tcW w:w="2757" w:type="dxa"/>
            <w:gridSpan w:val="4"/>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2025年底完成了该志书的整理、编纂及样书的印刷。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690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2025年完成该书资料收集、整理、编纂和200本样书的出版。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7.98</w:t>
            </w: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7.98</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iCs/>
                <w:color w:val="000000"/>
                <w:sz w:val="18"/>
                <w:szCs w:val="18"/>
                <w:u w:val="none"/>
              </w:rPr>
            </w:pPr>
            <w:r>
              <w:rPr>
                <w:rFonts w:hint="default" w:ascii="黑体" w:hAnsi="黑体" w:eastAsia="黑体" w:cs="黑体"/>
                <w:i/>
                <w:iCs/>
                <w:color w:val="000000"/>
                <w:kern w:val="0"/>
                <w:sz w:val="18"/>
                <w:szCs w:val="18"/>
                <w:u w:val="none"/>
                <w:lang w:val="en-US" w:eastAsia="zh-CN" w:bidi="ar"/>
              </w:rPr>
              <w:t>资金全部是财政拨款的预算资金，无单位或其他资金，预算执行率为100%。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7.98</w:t>
            </w: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7.98</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1"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92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黑体" w:hAnsi="黑体" w:eastAsia="黑体" w:cs="黑体"/>
                <w:i/>
                <w:iCs/>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样书出版数量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图文资料和印刷质量高于99%</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提升中华文化影响力、留存地方历史文化记忆的引用量。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服务于乡村振兴战略采用量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为该镇提供较为全面的参考价值。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低成本高产出</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8.1</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9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地方性、资料性和实用性的使用次数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iCs/>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52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783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项目自评良好。起到“存史、资政、育人”的作用。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783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资料征集过程中，各部门和乡镇报送资料协调难度大，资料参差不齐，专业编辑力量不足。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783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加大统筹力度，培训和补充编写人员。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40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项目负责人：杨喜林</w:t>
            </w:r>
          </w:p>
        </w:tc>
        <w:tc>
          <w:tcPr>
            <w:tcW w:w="416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黑体" w:hAnsi="黑体" w:eastAsia="黑体" w:cs="黑体"/>
                <w:i w:val="0"/>
                <w:iCs w:val="0"/>
                <w:color w:val="000000"/>
                <w:sz w:val="18"/>
                <w:szCs w:val="18"/>
                <w:u w:val="none"/>
              </w:rPr>
            </w:pPr>
            <w:r>
              <w:rPr>
                <w:rFonts w:hint="default" w:ascii="黑体" w:hAnsi="黑体" w:eastAsia="黑体" w:cs="黑体"/>
                <w:i w:val="0"/>
                <w:iCs w:val="0"/>
                <w:color w:val="000000"/>
                <w:kern w:val="0"/>
                <w:sz w:val="18"/>
                <w:szCs w:val="18"/>
                <w:u w:val="none"/>
                <w:lang w:val="en-US" w:eastAsia="zh-CN" w:bidi="ar"/>
              </w:rPr>
              <w:t>财务负责人：王术德</w:t>
            </w:r>
          </w:p>
        </w:tc>
      </w:tr>
    </w:tbl>
    <w:p>
      <w:pPr>
        <w:pStyle w:val="18"/>
        <w:keepNext w:val="0"/>
        <w:keepLines w:val="0"/>
        <w:pageBreakBefore w:val="0"/>
        <w:widowControl/>
        <w:suppressLineNumbers w:val="0"/>
        <w:kinsoku/>
        <w:wordWrap/>
        <w:overflowPunct/>
        <w:topLinePunct w:val="0"/>
        <w:autoSpaceDE/>
        <w:autoSpaceDN/>
        <w:bidi w:val="0"/>
        <w:spacing w:before="0" w:beforeAutospacing="0" w:after="0" w:afterAutospacing="0" w:line="576" w:lineRule="exact"/>
        <w:jc w:val="both"/>
        <w:textAlignment w:val="auto"/>
        <w:outlineLvl w:val="0"/>
        <w:rPr>
          <w:rFonts w:hint="eastAsia" w:ascii="黑体" w:eastAsia="黑体" w:cs="Times New Roman"/>
          <w:color w:val="000000"/>
          <w:kern w:val="2"/>
          <w:sz w:val="32"/>
          <w:szCs w:val="32"/>
          <w:lang w:val="en-US" w:eastAsia="zh-CN" w:bidi="ar-SA"/>
        </w:rPr>
      </w:pPr>
    </w:p>
    <w:p>
      <w:pPr>
        <w:pStyle w:val="18"/>
        <w:keepNext w:val="0"/>
        <w:keepLines w:val="0"/>
        <w:pageBreakBefore w:val="0"/>
        <w:widowControl/>
        <w:suppressLineNumbers w:val="0"/>
        <w:kinsoku/>
        <w:wordWrap/>
        <w:overflowPunct/>
        <w:topLinePunct w:val="0"/>
        <w:autoSpaceDE/>
        <w:autoSpaceDN/>
        <w:bidi w:val="0"/>
        <w:spacing w:before="0" w:beforeAutospacing="0" w:after="0" w:afterAutospacing="0" w:line="576" w:lineRule="exact"/>
        <w:jc w:val="both"/>
        <w:textAlignment w:val="auto"/>
        <w:outlineLvl w:val="0"/>
        <w:rPr>
          <w:rFonts w:hint="eastAsia" w:ascii="黑体" w:eastAsia="黑体" w:cs="Times New Roman"/>
          <w:color w:val="000000"/>
          <w:kern w:val="2"/>
          <w:sz w:val="32"/>
          <w:szCs w:val="32"/>
          <w:lang w:val="en-US" w:eastAsia="zh-CN" w:bidi="ar-SA"/>
        </w:rPr>
      </w:pPr>
    </w:p>
    <w:bookmarkEnd w:id="95"/>
    <w:bookmarkEnd w:id="96"/>
    <w:bookmarkEnd w:id="98"/>
    <w:p>
      <w:pPr>
        <w:pStyle w:val="3"/>
        <w:pageBreakBefore w:val="0"/>
        <w:widowControl w:val="0"/>
        <w:numPr>
          <w:ilvl w:val="0"/>
          <w:numId w:val="0"/>
        </w:numPr>
        <w:kinsoku/>
        <w:wordWrap/>
        <w:overflowPunct/>
        <w:topLinePunct w:val="0"/>
        <w:autoSpaceDE/>
        <w:autoSpaceDN/>
        <w:bidi w:val="0"/>
        <w:spacing w:before="0" w:after="0" w:line="576" w:lineRule="exact"/>
        <w:jc w:val="center"/>
        <w:textAlignment w:val="auto"/>
        <w:rPr>
          <w:rFonts w:hint="eastAsia"/>
        </w:rPr>
      </w:pPr>
      <w:bookmarkStart w:id="99" w:name="_Toc29502"/>
      <w:bookmarkStart w:id="100" w:name="_Toc21289"/>
      <w:r>
        <w:rPr>
          <w:rFonts w:hint="eastAsia" w:ascii="方正小标宋简体" w:hAnsi="方正小标宋简体" w:eastAsia="方正小标宋简体" w:cs="方正小标宋简体"/>
          <w:b w:val="0"/>
          <w:bCs w:val="0"/>
          <w:sz w:val="44"/>
          <w:szCs w:val="44"/>
          <w:lang w:eastAsia="zh-CN"/>
        </w:rPr>
        <w:t>第五部分</w:t>
      </w:r>
      <w:r>
        <w:rPr>
          <w:rFonts w:hint="eastAsia" w:ascii="方正小标宋简体" w:hAnsi="方正小标宋简体" w:eastAsia="方正小标宋简体" w:cs="方正小标宋简体"/>
          <w:b w:val="0"/>
          <w:bCs w:val="0"/>
          <w:sz w:val="44"/>
          <w:szCs w:val="44"/>
          <w:lang w:val="en-US" w:eastAsia="zh-CN"/>
        </w:rPr>
        <w:t xml:space="preserve">  </w:t>
      </w:r>
      <w:r>
        <w:rPr>
          <w:rFonts w:hint="eastAsia" w:ascii="方正小标宋简体" w:hAnsi="方正小标宋简体" w:eastAsia="方正小标宋简体" w:cs="方正小标宋简体"/>
          <w:b w:val="0"/>
          <w:bCs w:val="0"/>
          <w:sz w:val="44"/>
          <w:szCs w:val="44"/>
        </w:rPr>
        <w:t>附表</w:t>
      </w:r>
      <w:bookmarkEnd w:id="99"/>
      <w:bookmarkEnd w:id="100"/>
    </w:p>
    <w:p>
      <w:pPr>
        <w:pStyle w:val="4"/>
        <w:keepNext/>
        <w:keepLines/>
        <w:pageBreakBefore w:val="0"/>
        <w:widowControl w:val="0"/>
        <w:kinsoku/>
        <w:wordWrap/>
        <w:overflowPunct/>
        <w:topLinePunct w:val="0"/>
        <w:autoSpaceDE/>
        <w:autoSpaceDN/>
        <w:bidi w:val="0"/>
        <w:adjustRightInd/>
        <w:snapToGrid/>
        <w:spacing w:before="0" w:after="0" w:line="576" w:lineRule="exact"/>
        <w:ind w:left="0" w:leftChars="0" w:firstLine="640" w:firstLineChars="200"/>
        <w:textAlignment w:val="auto"/>
        <w:rPr>
          <w:rFonts w:hint="eastAsia" w:ascii="仿宋_GB2312" w:hAnsi="仿宋_GB2312" w:eastAsia="仿宋_GB2312" w:cs="仿宋_GB2312"/>
          <w:b w:val="0"/>
          <w:bCs/>
          <w:color w:val="000000"/>
          <w:sz w:val="32"/>
          <w:szCs w:val="32"/>
        </w:rPr>
      </w:pPr>
      <w:bookmarkStart w:id="101" w:name="_Toc9059"/>
      <w:bookmarkStart w:id="102" w:name="_Toc31784"/>
    </w:p>
    <w:p>
      <w:pPr>
        <w:pStyle w:val="4"/>
        <w:pageBreakBefore w:val="0"/>
        <w:kinsoku/>
        <w:wordWrap/>
        <w:overflowPunct/>
        <w:topLinePunct w:val="0"/>
        <w:autoSpaceDE/>
        <w:autoSpaceDN/>
        <w:bidi w:val="0"/>
        <w:spacing w:before="0" w:beforeAutospacing="0" w:after="0" w:afterAutospacing="0" w:line="576" w:lineRule="exact"/>
        <w:ind w:firstLine="640" w:firstLineChars="200"/>
        <w:textAlignment w:val="auto"/>
        <w:rPr>
          <w:rFonts w:hint="eastAsia" w:ascii="仿宋_GB2312" w:hAnsi="仿宋_GB2312" w:eastAsia="仿宋_GB2312" w:cs="仿宋_GB2312"/>
          <w:b w:val="0"/>
          <w:bCs/>
          <w:color w:val="000000"/>
          <w:lang w:val="en-US" w:eastAsia="zh-CN"/>
        </w:rPr>
      </w:pPr>
      <w:r>
        <w:rPr>
          <w:rFonts w:hint="eastAsia" w:ascii="仿宋_GB2312" w:hAnsi="仿宋_GB2312" w:eastAsia="仿宋_GB2312" w:cs="仿宋_GB2312"/>
          <w:b w:val="0"/>
          <w:bCs/>
          <w:color w:val="000000"/>
          <w:lang w:val="en-US" w:eastAsia="zh-CN"/>
        </w:rPr>
        <w:t>一、收入支出决算总表</w:t>
      </w:r>
      <w:bookmarkEnd w:id="101"/>
      <w:bookmarkEnd w:id="102"/>
    </w:p>
    <w:p>
      <w:pPr>
        <w:pStyle w:val="4"/>
        <w:pageBreakBefore w:val="0"/>
        <w:kinsoku/>
        <w:wordWrap/>
        <w:overflowPunct/>
        <w:topLinePunct w:val="0"/>
        <w:autoSpaceDE/>
        <w:autoSpaceDN/>
        <w:bidi w:val="0"/>
        <w:spacing w:before="0" w:beforeAutospacing="0" w:after="0" w:afterAutospacing="0" w:line="576" w:lineRule="exact"/>
        <w:ind w:firstLine="640" w:firstLineChars="200"/>
        <w:textAlignment w:val="auto"/>
        <w:rPr>
          <w:rFonts w:hint="eastAsia" w:ascii="仿宋_GB2312" w:hAnsi="仿宋_GB2312" w:eastAsia="仿宋_GB2312" w:cs="仿宋_GB2312"/>
          <w:b w:val="0"/>
          <w:bCs/>
          <w:color w:val="000000"/>
          <w:lang w:val="en-US" w:eastAsia="zh-CN"/>
        </w:rPr>
      </w:pPr>
      <w:bookmarkStart w:id="103" w:name="_Toc11463"/>
      <w:bookmarkStart w:id="104" w:name="_Toc16276"/>
      <w:r>
        <w:rPr>
          <w:rFonts w:hint="eastAsia" w:ascii="仿宋_GB2312" w:hAnsi="仿宋_GB2312" w:eastAsia="仿宋_GB2312" w:cs="仿宋_GB2312"/>
          <w:b w:val="0"/>
          <w:bCs/>
          <w:color w:val="000000"/>
          <w:lang w:val="en-US" w:eastAsia="zh-CN"/>
        </w:rPr>
        <w:t>二、收入决算表</w:t>
      </w:r>
      <w:bookmarkEnd w:id="103"/>
      <w:bookmarkEnd w:id="104"/>
    </w:p>
    <w:p>
      <w:pPr>
        <w:pStyle w:val="4"/>
        <w:pageBreakBefore w:val="0"/>
        <w:kinsoku/>
        <w:wordWrap/>
        <w:overflowPunct/>
        <w:topLinePunct w:val="0"/>
        <w:autoSpaceDE/>
        <w:autoSpaceDN/>
        <w:bidi w:val="0"/>
        <w:spacing w:before="0" w:beforeAutospacing="0" w:after="0" w:afterAutospacing="0" w:line="576" w:lineRule="exact"/>
        <w:ind w:firstLine="640" w:firstLineChars="200"/>
        <w:textAlignment w:val="auto"/>
        <w:rPr>
          <w:rFonts w:hint="eastAsia" w:ascii="仿宋_GB2312" w:hAnsi="仿宋_GB2312" w:eastAsia="仿宋_GB2312" w:cs="仿宋_GB2312"/>
          <w:b w:val="0"/>
          <w:bCs/>
          <w:color w:val="000000"/>
          <w:lang w:val="en-US" w:eastAsia="zh-CN"/>
        </w:rPr>
      </w:pPr>
      <w:bookmarkStart w:id="105" w:name="_Toc1809"/>
      <w:bookmarkStart w:id="106" w:name="_Toc30151"/>
      <w:r>
        <w:rPr>
          <w:rFonts w:hint="eastAsia" w:ascii="仿宋_GB2312" w:hAnsi="仿宋_GB2312" w:eastAsia="仿宋_GB2312" w:cs="仿宋_GB2312"/>
          <w:b w:val="0"/>
          <w:bCs/>
          <w:color w:val="000000"/>
          <w:lang w:val="en-US" w:eastAsia="zh-CN"/>
        </w:rPr>
        <w:t>三、支出决算表</w:t>
      </w:r>
      <w:bookmarkEnd w:id="105"/>
      <w:bookmarkEnd w:id="106"/>
    </w:p>
    <w:p>
      <w:pPr>
        <w:pStyle w:val="4"/>
        <w:pageBreakBefore w:val="0"/>
        <w:kinsoku/>
        <w:wordWrap/>
        <w:overflowPunct/>
        <w:topLinePunct w:val="0"/>
        <w:autoSpaceDE/>
        <w:autoSpaceDN/>
        <w:bidi w:val="0"/>
        <w:spacing w:before="0" w:beforeAutospacing="0" w:after="0" w:afterAutospacing="0" w:line="576" w:lineRule="exact"/>
        <w:ind w:firstLine="640" w:firstLineChars="200"/>
        <w:textAlignment w:val="auto"/>
        <w:rPr>
          <w:rFonts w:hint="eastAsia" w:ascii="仿宋_GB2312" w:hAnsi="仿宋_GB2312" w:eastAsia="仿宋_GB2312" w:cs="仿宋_GB2312"/>
          <w:b w:val="0"/>
          <w:bCs/>
          <w:color w:val="000000"/>
          <w:lang w:val="en-US" w:eastAsia="zh-CN"/>
        </w:rPr>
      </w:pPr>
      <w:bookmarkStart w:id="107" w:name="_Toc13976"/>
      <w:bookmarkStart w:id="108" w:name="_Toc12574"/>
      <w:r>
        <w:rPr>
          <w:rFonts w:hint="eastAsia" w:ascii="仿宋_GB2312" w:hAnsi="仿宋_GB2312" w:eastAsia="仿宋_GB2312" w:cs="仿宋_GB2312"/>
          <w:b w:val="0"/>
          <w:bCs/>
          <w:color w:val="000000"/>
          <w:lang w:val="en-US" w:eastAsia="zh-CN"/>
        </w:rPr>
        <w:t>四、财政拨款收入支出决算总表</w:t>
      </w:r>
      <w:bookmarkEnd w:id="107"/>
      <w:bookmarkEnd w:id="108"/>
    </w:p>
    <w:p>
      <w:pPr>
        <w:pStyle w:val="4"/>
        <w:pageBreakBefore w:val="0"/>
        <w:kinsoku/>
        <w:wordWrap/>
        <w:overflowPunct/>
        <w:topLinePunct w:val="0"/>
        <w:autoSpaceDE/>
        <w:autoSpaceDN/>
        <w:bidi w:val="0"/>
        <w:spacing w:before="0" w:beforeAutospacing="0" w:after="0" w:afterAutospacing="0" w:line="576" w:lineRule="exact"/>
        <w:ind w:firstLine="640" w:firstLineChars="200"/>
        <w:textAlignment w:val="auto"/>
        <w:rPr>
          <w:rFonts w:hint="eastAsia" w:ascii="仿宋_GB2312" w:hAnsi="仿宋_GB2312" w:eastAsia="仿宋_GB2312" w:cs="仿宋_GB2312"/>
          <w:b w:val="0"/>
          <w:bCs/>
          <w:color w:val="000000"/>
          <w:lang w:val="en-US" w:eastAsia="zh-CN"/>
        </w:rPr>
      </w:pPr>
      <w:bookmarkStart w:id="109" w:name="_Toc18298"/>
      <w:bookmarkStart w:id="110" w:name="_Toc1855"/>
      <w:r>
        <w:rPr>
          <w:rFonts w:hint="eastAsia" w:ascii="仿宋_GB2312" w:hAnsi="仿宋_GB2312" w:eastAsia="仿宋_GB2312" w:cs="仿宋_GB2312"/>
          <w:b w:val="0"/>
          <w:bCs/>
          <w:color w:val="000000"/>
          <w:lang w:val="en-US" w:eastAsia="zh-CN"/>
        </w:rPr>
        <w:t>五、财政拨款支出决算明细表</w:t>
      </w:r>
      <w:bookmarkEnd w:id="109"/>
      <w:bookmarkEnd w:id="110"/>
    </w:p>
    <w:p>
      <w:pPr>
        <w:pStyle w:val="4"/>
        <w:pageBreakBefore w:val="0"/>
        <w:kinsoku/>
        <w:wordWrap/>
        <w:overflowPunct/>
        <w:topLinePunct w:val="0"/>
        <w:autoSpaceDE/>
        <w:autoSpaceDN/>
        <w:bidi w:val="0"/>
        <w:spacing w:before="0" w:beforeAutospacing="0" w:after="0" w:afterAutospacing="0" w:line="576" w:lineRule="exact"/>
        <w:ind w:firstLine="640" w:firstLineChars="200"/>
        <w:textAlignment w:val="auto"/>
        <w:rPr>
          <w:rFonts w:hint="eastAsia" w:ascii="仿宋_GB2312" w:hAnsi="仿宋_GB2312" w:eastAsia="仿宋_GB2312" w:cs="仿宋_GB2312"/>
          <w:b w:val="0"/>
          <w:bCs/>
          <w:color w:val="000000"/>
          <w:lang w:val="en-US" w:eastAsia="zh-CN"/>
        </w:rPr>
      </w:pPr>
      <w:bookmarkStart w:id="111" w:name="_Toc19166"/>
      <w:bookmarkStart w:id="112" w:name="_Toc25120"/>
      <w:r>
        <w:rPr>
          <w:rFonts w:hint="eastAsia" w:ascii="仿宋_GB2312" w:hAnsi="仿宋_GB2312" w:eastAsia="仿宋_GB2312" w:cs="仿宋_GB2312"/>
          <w:b w:val="0"/>
          <w:bCs/>
          <w:color w:val="000000"/>
          <w:lang w:val="en-US" w:eastAsia="zh-CN"/>
        </w:rPr>
        <w:t>六、一般公共预算财政拨款支出决算表</w:t>
      </w:r>
      <w:bookmarkEnd w:id="111"/>
      <w:bookmarkEnd w:id="112"/>
    </w:p>
    <w:p>
      <w:pPr>
        <w:pStyle w:val="4"/>
        <w:pageBreakBefore w:val="0"/>
        <w:kinsoku/>
        <w:wordWrap/>
        <w:overflowPunct/>
        <w:topLinePunct w:val="0"/>
        <w:autoSpaceDE/>
        <w:autoSpaceDN/>
        <w:bidi w:val="0"/>
        <w:spacing w:before="0" w:beforeAutospacing="0" w:after="0" w:afterAutospacing="0" w:line="576" w:lineRule="exact"/>
        <w:ind w:firstLine="640" w:firstLineChars="200"/>
        <w:textAlignment w:val="auto"/>
        <w:rPr>
          <w:rFonts w:hint="eastAsia" w:ascii="仿宋_GB2312" w:hAnsi="仿宋_GB2312" w:eastAsia="仿宋_GB2312" w:cs="仿宋_GB2312"/>
          <w:b w:val="0"/>
          <w:bCs/>
          <w:color w:val="000000"/>
          <w:lang w:val="en-US" w:eastAsia="zh-CN"/>
        </w:rPr>
      </w:pPr>
      <w:bookmarkStart w:id="113" w:name="_Toc26430"/>
      <w:bookmarkStart w:id="114" w:name="_Toc21165"/>
      <w:r>
        <w:rPr>
          <w:rFonts w:hint="eastAsia" w:ascii="仿宋_GB2312" w:hAnsi="仿宋_GB2312" w:eastAsia="仿宋_GB2312" w:cs="仿宋_GB2312"/>
          <w:b w:val="0"/>
          <w:bCs/>
          <w:color w:val="000000"/>
          <w:lang w:val="en-US" w:eastAsia="zh-CN"/>
        </w:rPr>
        <w:t>七、一般公共预算财政拨款支出决算明细表</w:t>
      </w:r>
      <w:bookmarkEnd w:id="113"/>
      <w:bookmarkEnd w:id="114"/>
    </w:p>
    <w:p>
      <w:pPr>
        <w:pStyle w:val="4"/>
        <w:pageBreakBefore w:val="0"/>
        <w:kinsoku/>
        <w:wordWrap/>
        <w:overflowPunct/>
        <w:topLinePunct w:val="0"/>
        <w:autoSpaceDE/>
        <w:autoSpaceDN/>
        <w:bidi w:val="0"/>
        <w:spacing w:before="0" w:beforeAutospacing="0" w:after="0" w:afterAutospacing="0" w:line="576" w:lineRule="exact"/>
        <w:ind w:firstLine="640" w:firstLineChars="200"/>
        <w:textAlignment w:val="auto"/>
        <w:rPr>
          <w:rFonts w:hint="eastAsia" w:ascii="仿宋_GB2312" w:hAnsi="仿宋_GB2312" w:eastAsia="仿宋_GB2312" w:cs="仿宋_GB2312"/>
          <w:b w:val="0"/>
          <w:bCs/>
          <w:color w:val="000000"/>
          <w:lang w:val="en-US" w:eastAsia="zh-CN"/>
        </w:rPr>
      </w:pPr>
      <w:bookmarkStart w:id="115" w:name="_Toc25058"/>
      <w:bookmarkStart w:id="116" w:name="_Toc5420"/>
      <w:r>
        <w:rPr>
          <w:rFonts w:hint="eastAsia" w:ascii="仿宋_GB2312" w:hAnsi="仿宋_GB2312" w:eastAsia="仿宋_GB2312" w:cs="仿宋_GB2312"/>
          <w:b w:val="0"/>
          <w:bCs/>
          <w:color w:val="000000"/>
          <w:lang w:val="en-US" w:eastAsia="zh-CN"/>
        </w:rPr>
        <w:t>八、一般公共预算财政拨款基本支出决算表</w:t>
      </w:r>
      <w:bookmarkEnd w:id="115"/>
      <w:bookmarkEnd w:id="116"/>
    </w:p>
    <w:p>
      <w:pPr>
        <w:pStyle w:val="4"/>
        <w:pageBreakBefore w:val="0"/>
        <w:kinsoku/>
        <w:wordWrap/>
        <w:overflowPunct/>
        <w:topLinePunct w:val="0"/>
        <w:autoSpaceDE/>
        <w:autoSpaceDN/>
        <w:bidi w:val="0"/>
        <w:spacing w:before="0" w:beforeAutospacing="0" w:after="0" w:afterAutospacing="0" w:line="576" w:lineRule="exact"/>
        <w:ind w:firstLine="640" w:firstLineChars="200"/>
        <w:textAlignment w:val="auto"/>
        <w:rPr>
          <w:rFonts w:hint="eastAsia" w:ascii="仿宋_GB2312" w:hAnsi="仿宋_GB2312" w:eastAsia="仿宋_GB2312" w:cs="仿宋_GB2312"/>
          <w:b w:val="0"/>
          <w:bCs/>
          <w:color w:val="000000"/>
          <w:lang w:val="en-US" w:eastAsia="zh-CN"/>
        </w:rPr>
      </w:pPr>
      <w:bookmarkStart w:id="117" w:name="_Toc2584"/>
      <w:bookmarkStart w:id="118" w:name="_Toc30828"/>
      <w:r>
        <w:rPr>
          <w:rFonts w:hint="eastAsia" w:ascii="仿宋_GB2312" w:hAnsi="仿宋_GB2312" w:eastAsia="仿宋_GB2312" w:cs="仿宋_GB2312"/>
          <w:b w:val="0"/>
          <w:bCs/>
          <w:color w:val="000000"/>
          <w:lang w:val="en-US" w:eastAsia="zh-CN"/>
        </w:rPr>
        <w:t>九、一般公共预算财政拨款项目支出决算表</w:t>
      </w:r>
      <w:bookmarkEnd w:id="117"/>
      <w:bookmarkEnd w:id="118"/>
    </w:p>
    <w:p>
      <w:pPr>
        <w:pStyle w:val="4"/>
        <w:pageBreakBefore w:val="0"/>
        <w:kinsoku/>
        <w:wordWrap/>
        <w:overflowPunct/>
        <w:topLinePunct w:val="0"/>
        <w:autoSpaceDE/>
        <w:autoSpaceDN/>
        <w:bidi w:val="0"/>
        <w:spacing w:before="0" w:beforeAutospacing="0" w:after="0" w:afterAutospacing="0" w:line="576" w:lineRule="exact"/>
        <w:ind w:firstLine="640" w:firstLineChars="200"/>
        <w:textAlignment w:val="auto"/>
        <w:rPr>
          <w:rFonts w:hint="eastAsia" w:ascii="仿宋_GB2312" w:hAnsi="仿宋_GB2312" w:eastAsia="仿宋_GB2312" w:cs="仿宋_GB2312"/>
          <w:b w:val="0"/>
          <w:bCs/>
          <w:color w:val="000000"/>
          <w:lang w:val="en-US" w:eastAsia="zh-CN"/>
        </w:rPr>
      </w:pPr>
      <w:bookmarkStart w:id="119" w:name="_Toc29725"/>
      <w:bookmarkStart w:id="120" w:name="_Toc22409"/>
      <w:r>
        <w:rPr>
          <w:rFonts w:hint="eastAsia" w:ascii="仿宋_GB2312" w:hAnsi="仿宋_GB2312" w:eastAsia="仿宋_GB2312" w:cs="仿宋_GB2312"/>
          <w:b w:val="0"/>
          <w:bCs/>
          <w:color w:val="000000"/>
          <w:lang w:val="en-US" w:eastAsia="zh-CN"/>
        </w:rPr>
        <w:t>十、政府性基金预算财政拨款收入支出决算表</w:t>
      </w:r>
      <w:bookmarkEnd w:id="119"/>
      <w:bookmarkEnd w:id="120"/>
    </w:p>
    <w:p>
      <w:pPr>
        <w:pStyle w:val="4"/>
        <w:pageBreakBefore w:val="0"/>
        <w:kinsoku/>
        <w:wordWrap/>
        <w:overflowPunct/>
        <w:topLinePunct w:val="0"/>
        <w:autoSpaceDE/>
        <w:autoSpaceDN/>
        <w:bidi w:val="0"/>
        <w:spacing w:before="0" w:beforeAutospacing="0" w:after="0" w:afterAutospacing="0" w:line="576" w:lineRule="exact"/>
        <w:ind w:firstLine="640" w:firstLineChars="200"/>
        <w:textAlignment w:val="auto"/>
        <w:rPr>
          <w:rFonts w:hint="eastAsia" w:ascii="仿宋_GB2312" w:hAnsi="仿宋_GB2312" w:eastAsia="仿宋_GB2312" w:cs="仿宋_GB2312"/>
          <w:b w:val="0"/>
          <w:bCs/>
          <w:color w:val="000000"/>
          <w:lang w:val="en-US" w:eastAsia="zh-CN"/>
        </w:rPr>
      </w:pPr>
      <w:bookmarkStart w:id="121" w:name="_Toc2823"/>
      <w:bookmarkStart w:id="122" w:name="_Toc1611"/>
      <w:r>
        <w:rPr>
          <w:rFonts w:hint="eastAsia" w:ascii="仿宋_GB2312" w:hAnsi="仿宋_GB2312" w:eastAsia="仿宋_GB2312" w:cs="仿宋_GB2312"/>
          <w:b w:val="0"/>
          <w:bCs/>
          <w:color w:val="000000"/>
          <w:lang w:val="en-US" w:eastAsia="zh-CN"/>
        </w:rPr>
        <w:t>十一、国有资本经营预算财政拨款收入支出决算表</w:t>
      </w:r>
      <w:bookmarkEnd w:id="121"/>
      <w:bookmarkEnd w:id="122"/>
    </w:p>
    <w:p>
      <w:pPr>
        <w:pStyle w:val="4"/>
        <w:pageBreakBefore w:val="0"/>
        <w:kinsoku/>
        <w:wordWrap/>
        <w:overflowPunct/>
        <w:topLinePunct w:val="0"/>
        <w:autoSpaceDE/>
        <w:autoSpaceDN/>
        <w:bidi w:val="0"/>
        <w:spacing w:before="0" w:beforeAutospacing="0" w:after="0" w:afterAutospacing="0" w:line="576" w:lineRule="exact"/>
        <w:ind w:firstLine="640" w:firstLineChars="200"/>
        <w:textAlignment w:val="auto"/>
        <w:rPr>
          <w:rFonts w:hint="eastAsia" w:ascii="仿宋_GB2312" w:hAnsi="仿宋_GB2312" w:eastAsia="仿宋_GB2312" w:cs="仿宋_GB2312"/>
          <w:b w:val="0"/>
          <w:bCs/>
          <w:color w:val="000000"/>
          <w:lang w:val="en-US" w:eastAsia="zh-CN"/>
        </w:rPr>
      </w:pPr>
      <w:bookmarkStart w:id="123" w:name="_Toc4229"/>
      <w:bookmarkStart w:id="124" w:name="_Toc8626"/>
      <w:r>
        <w:rPr>
          <w:rFonts w:hint="eastAsia" w:ascii="仿宋_GB2312" w:hAnsi="仿宋_GB2312" w:eastAsia="仿宋_GB2312" w:cs="仿宋_GB2312"/>
          <w:b w:val="0"/>
          <w:bCs/>
          <w:color w:val="000000"/>
          <w:lang w:val="en-US" w:eastAsia="zh-CN"/>
        </w:rPr>
        <w:t>十二、</w:t>
      </w:r>
      <w:bookmarkEnd w:id="123"/>
      <w:bookmarkStart w:id="125" w:name="_Toc10442"/>
      <w:r>
        <w:rPr>
          <w:rFonts w:hint="eastAsia" w:ascii="仿宋_GB2312" w:hAnsi="仿宋_GB2312" w:eastAsia="仿宋_GB2312" w:cs="仿宋_GB2312"/>
          <w:b w:val="0"/>
          <w:bCs/>
          <w:color w:val="000000"/>
          <w:lang w:val="en-US" w:eastAsia="zh-CN"/>
        </w:rPr>
        <w:t>国有资本经营预算财政拨款支出决算表</w:t>
      </w:r>
      <w:bookmarkEnd w:id="124"/>
    </w:p>
    <w:p>
      <w:pPr>
        <w:pStyle w:val="4"/>
        <w:pageBreakBefore w:val="0"/>
        <w:kinsoku/>
        <w:wordWrap/>
        <w:overflowPunct/>
        <w:topLinePunct w:val="0"/>
        <w:autoSpaceDE/>
        <w:autoSpaceDN/>
        <w:bidi w:val="0"/>
        <w:spacing w:before="0" w:beforeAutospacing="0" w:after="0" w:afterAutospacing="0" w:line="576" w:lineRule="exact"/>
        <w:ind w:firstLine="640" w:firstLineChars="200"/>
        <w:textAlignment w:val="auto"/>
        <w:rPr>
          <w:rFonts w:hint="eastAsia" w:ascii="仿宋_GB2312" w:hAnsi="仿宋_GB2312" w:eastAsia="仿宋_GB2312" w:cs="仿宋_GB2312"/>
          <w:b w:val="0"/>
          <w:bCs/>
          <w:color w:val="000000"/>
          <w:lang w:val="en-US" w:eastAsia="zh-CN"/>
        </w:rPr>
      </w:pPr>
      <w:bookmarkStart w:id="126" w:name="_Toc20905"/>
      <w:r>
        <w:rPr>
          <w:rFonts w:hint="eastAsia" w:ascii="仿宋_GB2312" w:hAnsi="仿宋_GB2312" w:eastAsia="仿宋_GB2312" w:cs="仿宋_GB2312"/>
          <w:b w:val="0"/>
          <w:bCs/>
          <w:color w:val="000000"/>
          <w:lang w:val="en-US" w:eastAsia="zh-CN"/>
        </w:rPr>
        <w:t>十三、财政拨款“三公”经费支出决算表</w:t>
      </w:r>
      <w:bookmarkEnd w:id="125"/>
      <w:bookmarkEnd w:id="126"/>
    </w:p>
    <w:p>
      <w:pPr>
        <w:pStyle w:val="4"/>
        <w:pageBreakBefore w:val="0"/>
        <w:kinsoku/>
        <w:wordWrap/>
        <w:overflowPunct/>
        <w:topLinePunct w:val="0"/>
        <w:autoSpaceDE/>
        <w:autoSpaceDN/>
        <w:bidi w:val="0"/>
        <w:spacing w:before="0" w:beforeAutospacing="0" w:after="0" w:afterAutospacing="0" w:line="576" w:lineRule="exact"/>
        <w:ind w:firstLine="640" w:firstLineChars="200"/>
        <w:textAlignment w:val="auto"/>
        <w:rPr>
          <w:rFonts w:hint="eastAsia" w:ascii="方正黑体_GBK" w:hAnsi="方正黑体_GBK" w:eastAsia="方正黑体_GBK" w:cs="方正黑体_GBK"/>
          <w:b w:val="0"/>
          <w:color w:val="000000"/>
          <w:lang w:val="en-US" w:eastAsia="zh-CN"/>
        </w:rPr>
      </w:pPr>
    </w:p>
    <w:p>
      <w:pPr>
        <w:pageBreakBefore w:val="0"/>
        <w:widowControl/>
        <w:shd w:val="clear" w:color="auto" w:fill="FFFFFF"/>
        <w:kinsoku/>
        <w:wordWrap/>
        <w:overflowPunct/>
        <w:topLinePunct w:val="0"/>
        <w:autoSpaceDE/>
        <w:autoSpaceDN/>
        <w:bidi w:val="0"/>
        <w:adjustRightInd/>
        <w:snapToGrid/>
        <w:spacing w:beforeAutospacing="0" w:afterAutospacing="0" w:line="576" w:lineRule="exact"/>
        <w:ind w:firstLine="642" w:firstLineChars="200"/>
        <w:jc w:val="both"/>
        <w:textAlignment w:val="auto"/>
        <w:rPr>
          <w:rFonts w:hint="eastAsia" w:ascii="Nimbus Roman" w:hAnsi="Nimbus Roman" w:eastAsia="方正仿宋_GBK" w:cs="Nimbus Roman"/>
          <w:b/>
          <w:bCs/>
          <w:kern w:val="0"/>
          <w:sz w:val="32"/>
          <w:szCs w:val="32"/>
          <w:lang w:val="en-US" w:eastAsia="zh-CN"/>
        </w:rPr>
      </w:pPr>
    </w:p>
    <w:sectPr>
      <w:headerReference r:id="rId3" w:type="default"/>
      <w:footerReference r:id="rId4" w:type="default"/>
      <w:pgSz w:w="11906" w:h="16838"/>
      <w:pgMar w:top="2098" w:right="1474" w:bottom="1984" w:left="1587"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宋体"/>
    <w:panose1 w:val="00000000000000000000"/>
    <w:charset w:val="00"/>
    <w:family w:val="roman"/>
    <w:pitch w:val="default"/>
    <w:sig w:usb0="00000000" w:usb1="00000000" w:usb2="00000000" w:usb3="00000000" w:csb0="00040001" w:csb1="00000000"/>
  </w:font>
  <w:font w:name="DejaVu Sans">
    <w:panose1 w:val="020B0603030804020204"/>
    <w:charset w:val="00"/>
    <w:family w:val="auto"/>
    <w:pitch w:val="default"/>
    <w:sig w:usb0="E7006EFF" w:usb1="D200FDFF" w:usb2="0A246029" w:usb3="0400200C" w:csb0="600001FF" w:csb1="DFFF0000"/>
  </w:font>
  <w:font w:name="Nimbus Roman">
    <w:panose1 w:val="00000500000000000000"/>
    <w:charset w:val="00"/>
    <w:family w:val="auto"/>
    <w:pitch w:val="default"/>
    <w:sig w:usb0="00000287" w:usb1="00000800" w:usb2="00000000" w:usb3="00000000" w:csb0="6000009F"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AR PL UKai CN">
    <w:altName w:val="C059"/>
    <w:panose1 w:val="00000000000000000000"/>
    <w:charset w:val="01"/>
    <w:family w:val="auto"/>
    <w:pitch w:val="default"/>
    <w:sig w:usb0="00000000" w:usb1="00000000" w:usb2="00000000" w:usb3="00000000" w:csb0="00000000" w:csb1="00000000"/>
  </w:font>
  <w:font w:name="Lucida Sans">
    <w:altName w:val="Lucida Sans Unicode"/>
    <w:panose1 w:val="020B0602030504020204"/>
    <w:charset w:val="01"/>
    <w:family w:val="auto"/>
    <w:pitch w:val="default"/>
    <w:sig w:usb0="00000000" w:usb1="00000000" w:usb2="00000000" w:usb3="00000000" w:csb0="0000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思源黑体 CN Medium">
    <w:panose1 w:val="020B0600000000000000"/>
    <w:charset w:val="86"/>
    <w:family w:val="auto"/>
    <w:pitch w:val="default"/>
    <w:sig w:usb0="20000003" w:usb1="2ADF3C10" w:usb2="00000016" w:usb3="00000000" w:csb0="60060107" w:csb1="00000000"/>
  </w:font>
  <w:font w:name="C059">
    <w:panose1 w:val="00000500000000000000"/>
    <w:charset w:val="00"/>
    <w:family w:val="auto"/>
    <w:pitch w:val="default"/>
    <w:sig w:usb0="00000287" w:usb1="00000800" w:usb2="00000000" w:usb3="00000000" w:csb0="6000009F" w:csb1="00000000"/>
  </w:font>
  <w:font w:name="Lucida Sans Unicode">
    <w:panose1 w:val="020B0602030504020204"/>
    <w:charset w:val="00"/>
    <w:family w:val="auto"/>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13"/>
          <w:jc w:val="center"/>
        </w:pPr>
        <w:r>
          <w:fldChar w:fldCharType="begin"/>
        </w:r>
        <w:r>
          <w:instrText xml:space="preserve">PAGE   \* MERGEFORMAT</w:instrText>
        </w:r>
        <w:r>
          <w:fldChar w:fldCharType="separate"/>
        </w:r>
        <w:r>
          <w:rPr>
            <w:lang w:val="zh-CN"/>
          </w:rPr>
          <w:t>4</w:t>
        </w:r>
        <w:r>
          <w:fldChar w:fldCharType="end"/>
        </w:r>
      </w:p>
    </w:sdtContent>
  </w:sdt>
  <w:p>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trackedChanges"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DVhZTdlMGIzODJkYmQ1ODc3YjgyNGVmZWNiMjhmZjEifQ=="/>
  </w:docVars>
  <w:rsids>
    <w:rsidRoot w:val="00172A27"/>
    <w:rsid w:val="00973FB8"/>
    <w:rsid w:val="01236E55"/>
    <w:rsid w:val="036E42B8"/>
    <w:rsid w:val="05045825"/>
    <w:rsid w:val="051B50E2"/>
    <w:rsid w:val="05351CA6"/>
    <w:rsid w:val="056F1805"/>
    <w:rsid w:val="060D7C05"/>
    <w:rsid w:val="06E15EA6"/>
    <w:rsid w:val="078829D0"/>
    <w:rsid w:val="07BD094A"/>
    <w:rsid w:val="07C06B02"/>
    <w:rsid w:val="07EB491C"/>
    <w:rsid w:val="07F12200"/>
    <w:rsid w:val="07FFC962"/>
    <w:rsid w:val="085D44C0"/>
    <w:rsid w:val="086C5D2B"/>
    <w:rsid w:val="09D78550"/>
    <w:rsid w:val="09F608F2"/>
    <w:rsid w:val="0A3C44D7"/>
    <w:rsid w:val="0B524203"/>
    <w:rsid w:val="0B5F7D2E"/>
    <w:rsid w:val="0BAF5DC0"/>
    <w:rsid w:val="0BF30819"/>
    <w:rsid w:val="0C14470F"/>
    <w:rsid w:val="0CF4371C"/>
    <w:rsid w:val="0D4A474A"/>
    <w:rsid w:val="0DAE46EF"/>
    <w:rsid w:val="0DD3B938"/>
    <w:rsid w:val="0DF7BA7E"/>
    <w:rsid w:val="0F023294"/>
    <w:rsid w:val="0FD94C74"/>
    <w:rsid w:val="11243637"/>
    <w:rsid w:val="11D949A5"/>
    <w:rsid w:val="120C5400"/>
    <w:rsid w:val="12B06CAB"/>
    <w:rsid w:val="12FF266A"/>
    <w:rsid w:val="1312127D"/>
    <w:rsid w:val="135D1952"/>
    <w:rsid w:val="13CA7517"/>
    <w:rsid w:val="1424395D"/>
    <w:rsid w:val="144237A3"/>
    <w:rsid w:val="1598064A"/>
    <w:rsid w:val="15BF778C"/>
    <w:rsid w:val="15E307B6"/>
    <w:rsid w:val="15ED1529"/>
    <w:rsid w:val="16302089"/>
    <w:rsid w:val="164D4662"/>
    <w:rsid w:val="167938B5"/>
    <w:rsid w:val="16B75A2E"/>
    <w:rsid w:val="173C36E3"/>
    <w:rsid w:val="17BA38ED"/>
    <w:rsid w:val="17FD2A7E"/>
    <w:rsid w:val="18167A15"/>
    <w:rsid w:val="18311C18"/>
    <w:rsid w:val="18335F1D"/>
    <w:rsid w:val="185C440F"/>
    <w:rsid w:val="18C8276D"/>
    <w:rsid w:val="18F460C2"/>
    <w:rsid w:val="197E0F5E"/>
    <w:rsid w:val="19B008D4"/>
    <w:rsid w:val="19C54D1A"/>
    <w:rsid w:val="19D73B5C"/>
    <w:rsid w:val="1A895230"/>
    <w:rsid w:val="1AC5672F"/>
    <w:rsid w:val="1BBC1670"/>
    <w:rsid w:val="1BC83FED"/>
    <w:rsid w:val="1BD11D54"/>
    <w:rsid w:val="1BFFE386"/>
    <w:rsid w:val="1C6E02BF"/>
    <w:rsid w:val="1D1E11D5"/>
    <w:rsid w:val="1E557715"/>
    <w:rsid w:val="1ED52033"/>
    <w:rsid w:val="1EEFC96E"/>
    <w:rsid w:val="1EF7EE50"/>
    <w:rsid w:val="1F462959"/>
    <w:rsid w:val="1FDCC245"/>
    <w:rsid w:val="1FDE0674"/>
    <w:rsid w:val="1FEB1FA4"/>
    <w:rsid w:val="1FF7319B"/>
    <w:rsid w:val="1FFF193E"/>
    <w:rsid w:val="20304DD9"/>
    <w:rsid w:val="235E0644"/>
    <w:rsid w:val="237A324C"/>
    <w:rsid w:val="23E23CB1"/>
    <w:rsid w:val="25283D1B"/>
    <w:rsid w:val="254C533E"/>
    <w:rsid w:val="2639381F"/>
    <w:rsid w:val="268003A6"/>
    <w:rsid w:val="26B3AD75"/>
    <w:rsid w:val="26B61EB8"/>
    <w:rsid w:val="272A21AD"/>
    <w:rsid w:val="27963939"/>
    <w:rsid w:val="279732AB"/>
    <w:rsid w:val="27AB8B01"/>
    <w:rsid w:val="27B46451"/>
    <w:rsid w:val="27D324DA"/>
    <w:rsid w:val="28895264"/>
    <w:rsid w:val="28D97A3D"/>
    <w:rsid w:val="292E1C3A"/>
    <w:rsid w:val="2A2B739C"/>
    <w:rsid w:val="2AF713E7"/>
    <w:rsid w:val="2B376D5B"/>
    <w:rsid w:val="2B591D85"/>
    <w:rsid w:val="2B5B058E"/>
    <w:rsid w:val="2B624A81"/>
    <w:rsid w:val="2C792640"/>
    <w:rsid w:val="2E3329B8"/>
    <w:rsid w:val="2E9B464F"/>
    <w:rsid w:val="2EED10C4"/>
    <w:rsid w:val="2EEF00C7"/>
    <w:rsid w:val="2F9F4A06"/>
    <w:rsid w:val="2FA83F6C"/>
    <w:rsid w:val="2FDD4B84"/>
    <w:rsid w:val="2FF2C5B2"/>
    <w:rsid w:val="30795ABC"/>
    <w:rsid w:val="308166B1"/>
    <w:rsid w:val="31496359"/>
    <w:rsid w:val="32B0196B"/>
    <w:rsid w:val="32D549D9"/>
    <w:rsid w:val="32DE4292"/>
    <w:rsid w:val="32EF3201"/>
    <w:rsid w:val="32F66DD2"/>
    <w:rsid w:val="332A0A88"/>
    <w:rsid w:val="33746B9D"/>
    <w:rsid w:val="33815F6A"/>
    <w:rsid w:val="34467259"/>
    <w:rsid w:val="34DF2440"/>
    <w:rsid w:val="35154772"/>
    <w:rsid w:val="35380AC0"/>
    <w:rsid w:val="353E4B23"/>
    <w:rsid w:val="35DC08D6"/>
    <w:rsid w:val="35FE1B45"/>
    <w:rsid w:val="3604485A"/>
    <w:rsid w:val="36141BBC"/>
    <w:rsid w:val="36413AA3"/>
    <w:rsid w:val="36BE56CC"/>
    <w:rsid w:val="36D515A6"/>
    <w:rsid w:val="36F705B7"/>
    <w:rsid w:val="36FFE915"/>
    <w:rsid w:val="38536BC2"/>
    <w:rsid w:val="38963D47"/>
    <w:rsid w:val="39440BD7"/>
    <w:rsid w:val="395324E9"/>
    <w:rsid w:val="39C62C3D"/>
    <w:rsid w:val="39E4652A"/>
    <w:rsid w:val="39EA3743"/>
    <w:rsid w:val="3A3B6253"/>
    <w:rsid w:val="3AC62666"/>
    <w:rsid w:val="3BB4617C"/>
    <w:rsid w:val="3BFD0857"/>
    <w:rsid w:val="3BFFB4B1"/>
    <w:rsid w:val="3C027068"/>
    <w:rsid w:val="3C7FC0FF"/>
    <w:rsid w:val="3CE6D2ED"/>
    <w:rsid w:val="3CF94902"/>
    <w:rsid w:val="3D463A20"/>
    <w:rsid w:val="3DBF874E"/>
    <w:rsid w:val="3DC11E6E"/>
    <w:rsid w:val="3DDFC73E"/>
    <w:rsid w:val="3DFA8848"/>
    <w:rsid w:val="3DFE952B"/>
    <w:rsid w:val="3E0DA479"/>
    <w:rsid w:val="3E1854D9"/>
    <w:rsid w:val="3E3F79B4"/>
    <w:rsid w:val="3E4C2876"/>
    <w:rsid w:val="3E753FE3"/>
    <w:rsid w:val="3E7DA3CF"/>
    <w:rsid w:val="3E81278D"/>
    <w:rsid w:val="3E8FA484"/>
    <w:rsid w:val="3EEF46B4"/>
    <w:rsid w:val="3EEF74EA"/>
    <w:rsid w:val="3EFB5F50"/>
    <w:rsid w:val="3FBF7624"/>
    <w:rsid w:val="3FF844E2"/>
    <w:rsid w:val="3FFC49CB"/>
    <w:rsid w:val="40063610"/>
    <w:rsid w:val="40494752"/>
    <w:rsid w:val="40574CF3"/>
    <w:rsid w:val="40F40121"/>
    <w:rsid w:val="40FA31CC"/>
    <w:rsid w:val="41326E0A"/>
    <w:rsid w:val="41887348"/>
    <w:rsid w:val="41DC1EE7"/>
    <w:rsid w:val="423C4F1D"/>
    <w:rsid w:val="43A51B15"/>
    <w:rsid w:val="440D0271"/>
    <w:rsid w:val="44232761"/>
    <w:rsid w:val="442A29B6"/>
    <w:rsid w:val="448E4357"/>
    <w:rsid w:val="456F7138"/>
    <w:rsid w:val="457052A1"/>
    <w:rsid w:val="45AE2B91"/>
    <w:rsid w:val="479A3013"/>
    <w:rsid w:val="490B0E09"/>
    <w:rsid w:val="492F21D3"/>
    <w:rsid w:val="497A4393"/>
    <w:rsid w:val="499E6DEB"/>
    <w:rsid w:val="4A2C7E8B"/>
    <w:rsid w:val="4A7B0FDD"/>
    <w:rsid w:val="4A8D0DD3"/>
    <w:rsid w:val="4BF8C4D0"/>
    <w:rsid w:val="4C355B17"/>
    <w:rsid w:val="4C4A325A"/>
    <w:rsid w:val="4CB66B41"/>
    <w:rsid w:val="4DBA61BD"/>
    <w:rsid w:val="4DBF1DD7"/>
    <w:rsid w:val="4DC95336"/>
    <w:rsid w:val="4DE2964A"/>
    <w:rsid w:val="4DF7D3E7"/>
    <w:rsid w:val="4E5C5488"/>
    <w:rsid w:val="4E827D78"/>
    <w:rsid w:val="4ED7E55B"/>
    <w:rsid w:val="4EEF03FC"/>
    <w:rsid w:val="4F9C5B5F"/>
    <w:rsid w:val="4FBDBD6F"/>
    <w:rsid w:val="4FD60673"/>
    <w:rsid w:val="4FE65048"/>
    <w:rsid w:val="4FF79871"/>
    <w:rsid w:val="507D61EB"/>
    <w:rsid w:val="51EC28F9"/>
    <w:rsid w:val="520819D0"/>
    <w:rsid w:val="521E31BF"/>
    <w:rsid w:val="525070F0"/>
    <w:rsid w:val="53830AA2"/>
    <w:rsid w:val="54425158"/>
    <w:rsid w:val="54576514"/>
    <w:rsid w:val="552A7D90"/>
    <w:rsid w:val="553714FE"/>
    <w:rsid w:val="557D744F"/>
    <w:rsid w:val="55E3E0C5"/>
    <w:rsid w:val="55FEF96C"/>
    <w:rsid w:val="561C110A"/>
    <w:rsid w:val="56813D1C"/>
    <w:rsid w:val="56971B04"/>
    <w:rsid w:val="56B52866"/>
    <w:rsid w:val="56F7E0B1"/>
    <w:rsid w:val="571E0092"/>
    <w:rsid w:val="572F9BFA"/>
    <w:rsid w:val="5777E110"/>
    <w:rsid w:val="57A6131A"/>
    <w:rsid w:val="57AF20B4"/>
    <w:rsid w:val="57ECE4A8"/>
    <w:rsid w:val="5821512A"/>
    <w:rsid w:val="58B54151"/>
    <w:rsid w:val="58C81BCB"/>
    <w:rsid w:val="59B85CA7"/>
    <w:rsid w:val="59D052F2"/>
    <w:rsid w:val="59EE2F1B"/>
    <w:rsid w:val="59F1CD0B"/>
    <w:rsid w:val="59F4923B"/>
    <w:rsid w:val="5A312129"/>
    <w:rsid w:val="5A9409E7"/>
    <w:rsid w:val="5ADE7790"/>
    <w:rsid w:val="5BA04C44"/>
    <w:rsid w:val="5BBEE862"/>
    <w:rsid w:val="5BBF0F50"/>
    <w:rsid w:val="5BCE7A03"/>
    <w:rsid w:val="5C1F66ED"/>
    <w:rsid w:val="5CE90D2D"/>
    <w:rsid w:val="5DB5289E"/>
    <w:rsid w:val="5DB70D3F"/>
    <w:rsid w:val="5DFA2677"/>
    <w:rsid w:val="5E3A3703"/>
    <w:rsid w:val="5E3F7726"/>
    <w:rsid w:val="5E8D0FF1"/>
    <w:rsid w:val="5EC94AC0"/>
    <w:rsid w:val="5EF24A4E"/>
    <w:rsid w:val="5F0D60F4"/>
    <w:rsid w:val="5F706E19"/>
    <w:rsid w:val="5F7DC547"/>
    <w:rsid w:val="5F7F7C04"/>
    <w:rsid w:val="5FA212F5"/>
    <w:rsid w:val="5FA77375"/>
    <w:rsid w:val="5FBEFC8E"/>
    <w:rsid w:val="5FCE9E40"/>
    <w:rsid w:val="5FDD30B9"/>
    <w:rsid w:val="5FEA0375"/>
    <w:rsid w:val="609B1DAE"/>
    <w:rsid w:val="60AA0859"/>
    <w:rsid w:val="614B53DA"/>
    <w:rsid w:val="617A7CE6"/>
    <w:rsid w:val="61E41603"/>
    <w:rsid w:val="620C2A5E"/>
    <w:rsid w:val="6226022A"/>
    <w:rsid w:val="624F3D2A"/>
    <w:rsid w:val="62A41F1F"/>
    <w:rsid w:val="62EC4C63"/>
    <w:rsid w:val="631D899F"/>
    <w:rsid w:val="634B193A"/>
    <w:rsid w:val="635307EE"/>
    <w:rsid w:val="63BF76DE"/>
    <w:rsid w:val="64153CF6"/>
    <w:rsid w:val="65B60F80"/>
    <w:rsid w:val="65E9543A"/>
    <w:rsid w:val="66A01F9C"/>
    <w:rsid w:val="671A5DC0"/>
    <w:rsid w:val="67750F3C"/>
    <w:rsid w:val="67BFE9E0"/>
    <w:rsid w:val="67EEF652"/>
    <w:rsid w:val="693B74AD"/>
    <w:rsid w:val="694A0EF8"/>
    <w:rsid w:val="694B5520"/>
    <w:rsid w:val="69FF2D44"/>
    <w:rsid w:val="6A35156D"/>
    <w:rsid w:val="6ADFAA38"/>
    <w:rsid w:val="6AFE9A34"/>
    <w:rsid w:val="6AFFBDCE"/>
    <w:rsid w:val="6B265B50"/>
    <w:rsid w:val="6BBF1117"/>
    <w:rsid w:val="6BDF2DCF"/>
    <w:rsid w:val="6BFD7960"/>
    <w:rsid w:val="6C103720"/>
    <w:rsid w:val="6CF510B8"/>
    <w:rsid w:val="6D526B82"/>
    <w:rsid w:val="6D6D6028"/>
    <w:rsid w:val="6DFB0637"/>
    <w:rsid w:val="6DFB1549"/>
    <w:rsid w:val="6DFE5E30"/>
    <w:rsid w:val="6E6ED070"/>
    <w:rsid w:val="6E99EDBC"/>
    <w:rsid w:val="6EDD6EB8"/>
    <w:rsid w:val="6F6E6A20"/>
    <w:rsid w:val="6F963F3C"/>
    <w:rsid w:val="6F9B2194"/>
    <w:rsid w:val="6FE42E77"/>
    <w:rsid w:val="6FEB2E9D"/>
    <w:rsid w:val="6FFF4639"/>
    <w:rsid w:val="6FFF7592"/>
    <w:rsid w:val="6FFFA64C"/>
    <w:rsid w:val="6FFFBEEB"/>
    <w:rsid w:val="7006532B"/>
    <w:rsid w:val="71EBC073"/>
    <w:rsid w:val="71FBC029"/>
    <w:rsid w:val="72471B57"/>
    <w:rsid w:val="724C745A"/>
    <w:rsid w:val="735302B6"/>
    <w:rsid w:val="73AF7956"/>
    <w:rsid w:val="73B9A30E"/>
    <w:rsid w:val="73BF4C00"/>
    <w:rsid w:val="73C54E28"/>
    <w:rsid w:val="74D6446A"/>
    <w:rsid w:val="74E220C3"/>
    <w:rsid w:val="7522622B"/>
    <w:rsid w:val="759FD6B6"/>
    <w:rsid w:val="75DDA9F3"/>
    <w:rsid w:val="76206EFF"/>
    <w:rsid w:val="76B3074D"/>
    <w:rsid w:val="76BFAAFF"/>
    <w:rsid w:val="76C69882"/>
    <w:rsid w:val="76DF728B"/>
    <w:rsid w:val="76E47C83"/>
    <w:rsid w:val="76FECBF0"/>
    <w:rsid w:val="771234C0"/>
    <w:rsid w:val="778D0A0C"/>
    <w:rsid w:val="77AD26C2"/>
    <w:rsid w:val="77BB94E4"/>
    <w:rsid w:val="77E91BF5"/>
    <w:rsid w:val="77FB1D1F"/>
    <w:rsid w:val="77FDD656"/>
    <w:rsid w:val="77FDEEC3"/>
    <w:rsid w:val="781C0953"/>
    <w:rsid w:val="781D021E"/>
    <w:rsid w:val="78603A1D"/>
    <w:rsid w:val="78BFBDCA"/>
    <w:rsid w:val="78FA1E5E"/>
    <w:rsid w:val="79156E0F"/>
    <w:rsid w:val="79747688"/>
    <w:rsid w:val="79774F98"/>
    <w:rsid w:val="798358C4"/>
    <w:rsid w:val="79E6C594"/>
    <w:rsid w:val="79EB5F75"/>
    <w:rsid w:val="7B130D4E"/>
    <w:rsid w:val="7B82077D"/>
    <w:rsid w:val="7B876D98"/>
    <w:rsid w:val="7B976103"/>
    <w:rsid w:val="7BAF9D96"/>
    <w:rsid w:val="7BDBBDC4"/>
    <w:rsid w:val="7BE71D3F"/>
    <w:rsid w:val="7BEFA42A"/>
    <w:rsid w:val="7BEFFE41"/>
    <w:rsid w:val="7BFB722E"/>
    <w:rsid w:val="7BFBCFBB"/>
    <w:rsid w:val="7BFC1245"/>
    <w:rsid w:val="7BFC2595"/>
    <w:rsid w:val="7BFFF264"/>
    <w:rsid w:val="7C9B489C"/>
    <w:rsid w:val="7CEEE840"/>
    <w:rsid w:val="7CFDDFF3"/>
    <w:rsid w:val="7D3C07F3"/>
    <w:rsid w:val="7D7FF382"/>
    <w:rsid w:val="7DB59630"/>
    <w:rsid w:val="7DD3A882"/>
    <w:rsid w:val="7DDD097B"/>
    <w:rsid w:val="7DF2CD2C"/>
    <w:rsid w:val="7DF73554"/>
    <w:rsid w:val="7E0ED673"/>
    <w:rsid w:val="7E730E61"/>
    <w:rsid w:val="7E7FBFE3"/>
    <w:rsid w:val="7E8F3F87"/>
    <w:rsid w:val="7EDBD195"/>
    <w:rsid w:val="7EE78512"/>
    <w:rsid w:val="7EED03B5"/>
    <w:rsid w:val="7EF2AC94"/>
    <w:rsid w:val="7EFD0163"/>
    <w:rsid w:val="7EFD0D36"/>
    <w:rsid w:val="7EFF147D"/>
    <w:rsid w:val="7F1F50AE"/>
    <w:rsid w:val="7F3665A5"/>
    <w:rsid w:val="7F4E1DF8"/>
    <w:rsid w:val="7F7E305C"/>
    <w:rsid w:val="7F7F492F"/>
    <w:rsid w:val="7F7FEA8F"/>
    <w:rsid w:val="7FAF74DA"/>
    <w:rsid w:val="7FB6A0E4"/>
    <w:rsid w:val="7FB91D70"/>
    <w:rsid w:val="7FBA645A"/>
    <w:rsid w:val="7FBBE602"/>
    <w:rsid w:val="7FBE7664"/>
    <w:rsid w:val="7FBF0F7F"/>
    <w:rsid w:val="7FBFFD89"/>
    <w:rsid w:val="7FC006E6"/>
    <w:rsid w:val="7FCB0AAA"/>
    <w:rsid w:val="7FD0EFCA"/>
    <w:rsid w:val="7FDF7CD5"/>
    <w:rsid w:val="7FE50050"/>
    <w:rsid w:val="7FEA60CB"/>
    <w:rsid w:val="7FEF1649"/>
    <w:rsid w:val="7FF19EFF"/>
    <w:rsid w:val="7FF3FE34"/>
    <w:rsid w:val="7FF71EFF"/>
    <w:rsid w:val="7FFA2494"/>
    <w:rsid w:val="7FFB64A1"/>
    <w:rsid w:val="7FFD8E58"/>
    <w:rsid w:val="7FFDC0D6"/>
    <w:rsid w:val="7FFF5D12"/>
    <w:rsid w:val="7FFF7DAB"/>
    <w:rsid w:val="7FFFD658"/>
    <w:rsid w:val="87DFB045"/>
    <w:rsid w:val="8AEF880C"/>
    <w:rsid w:val="8CBCC24C"/>
    <w:rsid w:val="8D9F7307"/>
    <w:rsid w:val="8FB94D8B"/>
    <w:rsid w:val="8FF8F218"/>
    <w:rsid w:val="99DF2F0D"/>
    <w:rsid w:val="9AB8B8FB"/>
    <w:rsid w:val="9B3BC347"/>
    <w:rsid w:val="9BFEEB79"/>
    <w:rsid w:val="9BFFB2E0"/>
    <w:rsid w:val="9F7A95F5"/>
    <w:rsid w:val="9F7B8CD5"/>
    <w:rsid w:val="9FED8828"/>
    <w:rsid w:val="9FFF94DE"/>
    <w:rsid w:val="A5F6940B"/>
    <w:rsid w:val="A5F70EE4"/>
    <w:rsid w:val="A77F397B"/>
    <w:rsid w:val="A8E7EA3F"/>
    <w:rsid w:val="A9EF0930"/>
    <w:rsid w:val="AB5FB73D"/>
    <w:rsid w:val="AB69809E"/>
    <w:rsid w:val="ADBBC021"/>
    <w:rsid w:val="AE5DD795"/>
    <w:rsid w:val="AF739156"/>
    <w:rsid w:val="AF73C5C6"/>
    <w:rsid w:val="AFC2045B"/>
    <w:rsid w:val="AFF7475A"/>
    <w:rsid w:val="B3D61021"/>
    <w:rsid w:val="B5949F5A"/>
    <w:rsid w:val="B75EDAB5"/>
    <w:rsid w:val="B77B30C3"/>
    <w:rsid w:val="B7B76F32"/>
    <w:rsid w:val="B97FFD42"/>
    <w:rsid w:val="B9EBE695"/>
    <w:rsid w:val="BAADF95E"/>
    <w:rsid w:val="BAFF55FC"/>
    <w:rsid w:val="BB079F27"/>
    <w:rsid w:val="BB9FEC3B"/>
    <w:rsid w:val="BBE556E6"/>
    <w:rsid w:val="BD3FBC5C"/>
    <w:rsid w:val="BDDFAD8D"/>
    <w:rsid w:val="BDEDE4CB"/>
    <w:rsid w:val="BEEE2821"/>
    <w:rsid w:val="BEFD3C7B"/>
    <w:rsid w:val="BF1FB0DC"/>
    <w:rsid w:val="BF3D7E6F"/>
    <w:rsid w:val="BFB913E8"/>
    <w:rsid w:val="BFCE7659"/>
    <w:rsid w:val="BFF95BD9"/>
    <w:rsid w:val="BFFABB00"/>
    <w:rsid w:val="BFFE6DE5"/>
    <w:rsid w:val="BFFFC594"/>
    <w:rsid w:val="C77E6F3F"/>
    <w:rsid w:val="C7D31761"/>
    <w:rsid w:val="C8BC565E"/>
    <w:rsid w:val="CBEF5637"/>
    <w:rsid w:val="CBFE9EF5"/>
    <w:rsid w:val="CD9E6514"/>
    <w:rsid w:val="CE72C498"/>
    <w:rsid w:val="CFB32B06"/>
    <w:rsid w:val="CFEFEB49"/>
    <w:rsid w:val="CFFF4CB5"/>
    <w:rsid w:val="D2875F6B"/>
    <w:rsid w:val="D43769E7"/>
    <w:rsid w:val="D50F245F"/>
    <w:rsid w:val="D6F245E4"/>
    <w:rsid w:val="D6FD4261"/>
    <w:rsid w:val="D7DBEF1D"/>
    <w:rsid w:val="D7F7BB70"/>
    <w:rsid w:val="D7FADAB7"/>
    <w:rsid w:val="D7FF3723"/>
    <w:rsid w:val="D7FFD964"/>
    <w:rsid w:val="D9BDE291"/>
    <w:rsid w:val="D9BFD3AE"/>
    <w:rsid w:val="DAFECF28"/>
    <w:rsid w:val="DBFF39ED"/>
    <w:rsid w:val="DBFFEA73"/>
    <w:rsid w:val="DC7D1EEE"/>
    <w:rsid w:val="DD553CB4"/>
    <w:rsid w:val="DD8B6B4B"/>
    <w:rsid w:val="DD8F5F96"/>
    <w:rsid w:val="DDCBF580"/>
    <w:rsid w:val="DE1B025C"/>
    <w:rsid w:val="DE27E10F"/>
    <w:rsid w:val="DE3B345D"/>
    <w:rsid w:val="DEBFF857"/>
    <w:rsid w:val="DECC5391"/>
    <w:rsid w:val="DEE5203D"/>
    <w:rsid w:val="DEFF6C49"/>
    <w:rsid w:val="DF1B8606"/>
    <w:rsid w:val="DF77B8E6"/>
    <w:rsid w:val="DF9E2471"/>
    <w:rsid w:val="DFDF6C95"/>
    <w:rsid w:val="DFE7BBBB"/>
    <w:rsid w:val="DFF3377D"/>
    <w:rsid w:val="DFFC39DF"/>
    <w:rsid w:val="E3FF2699"/>
    <w:rsid w:val="E77779CF"/>
    <w:rsid w:val="E7F7083E"/>
    <w:rsid w:val="E7FFBC32"/>
    <w:rsid w:val="E93E027D"/>
    <w:rsid w:val="E9BF7F9B"/>
    <w:rsid w:val="EBEF8575"/>
    <w:rsid w:val="EBFDAF18"/>
    <w:rsid w:val="EBFDDBBE"/>
    <w:rsid w:val="EBFE5243"/>
    <w:rsid w:val="ED3FF79D"/>
    <w:rsid w:val="ED772F2A"/>
    <w:rsid w:val="EDBC8551"/>
    <w:rsid w:val="EDBF4BB2"/>
    <w:rsid w:val="EDE74720"/>
    <w:rsid w:val="EE37E539"/>
    <w:rsid w:val="EEBB211B"/>
    <w:rsid w:val="EF6ED194"/>
    <w:rsid w:val="EF7B440B"/>
    <w:rsid w:val="EF9112B0"/>
    <w:rsid w:val="EFCE2F3B"/>
    <w:rsid w:val="EFF69637"/>
    <w:rsid w:val="EFFEB786"/>
    <w:rsid w:val="F1FF5529"/>
    <w:rsid w:val="F3F7DDC9"/>
    <w:rsid w:val="F4FD0E1A"/>
    <w:rsid w:val="F57F97BA"/>
    <w:rsid w:val="F5DBAFAD"/>
    <w:rsid w:val="F5FFD339"/>
    <w:rsid w:val="F63F1697"/>
    <w:rsid w:val="F6A61C6E"/>
    <w:rsid w:val="F6BF8268"/>
    <w:rsid w:val="F6DD3E7B"/>
    <w:rsid w:val="F6FF1BBE"/>
    <w:rsid w:val="F6FF65D1"/>
    <w:rsid w:val="F6FF7E89"/>
    <w:rsid w:val="F7393239"/>
    <w:rsid w:val="F762A1E5"/>
    <w:rsid w:val="F777EF50"/>
    <w:rsid w:val="F79EB5F2"/>
    <w:rsid w:val="F7ED3846"/>
    <w:rsid w:val="F7EF8C15"/>
    <w:rsid w:val="F7EFB0E0"/>
    <w:rsid w:val="F7F73A5F"/>
    <w:rsid w:val="F7F76B11"/>
    <w:rsid w:val="F7FB15B5"/>
    <w:rsid w:val="F7FFB835"/>
    <w:rsid w:val="F7FFDE42"/>
    <w:rsid w:val="F8BF9F79"/>
    <w:rsid w:val="F8FB0417"/>
    <w:rsid w:val="F96C816F"/>
    <w:rsid w:val="FACFA876"/>
    <w:rsid w:val="FB7C2F79"/>
    <w:rsid w:val="FBB652AE"/>
    <w:rsid w:val="FBC3FC93"/>
    <w:rsid w:val="FBF31BC0"/>
    <w:rsid w:val="FBF5DBC2"/>
    <w:rsid w:val="FC467A33"/>
    <w:rsid w:val="FCEBB5C3"/>
    <w:rsid w:val="FCFD4CB1"/>
    <w:rsid w:val="FD7E0EBA"/>
    <w:rsid w:val="FDB1AC61"/>
    <w:rsid w:val="FDBF0528"/>
    <w:rsid w:val="FDBFFB3D"/>
    <w:rsid w:val="FDDE184F"/>
    <w:rsid w:val="FDDFFC22"/>
    <w:rsid w:val="FDEA977B"/>
    <w:rsid w:val="FDED2EC1"/>
    <w:rsid w:val="FDFB261C"/>
    <w:rsid w:val="FED05E43"/>
    <w:rsid w:val="FED721D6"/>
    <w:rsid w:val="FED8B3CD"/>
    <w:rsid w:val="FEE79B13"/>
    <w:rsid w:val="FEEFF1A0"/>
    <w:rsid w:val="FEF63B05"/>
    <w:rsid w:val="FEFB3736"/>
    <w:rsid w:val="FF0FF0AD"/>
    <w:rsid w:val="FF1CE956"/>
    <w:rsid w:val="FF2B5A11"/>
    <w:rsid w:val="FF47E15E"/>
    <w:rsid w:val="FF7F6EC4"/>
    <w:rsid w:val="FFA26804"/>
    <w:rsid w:val="FFA38763"/>
    <w:rsid w:val="FFB6E39C"/>
    <w:rsid w:val="FFB78ADB"/>
    <w:rsid w:val="FFBDC4F6"/>
    <w:rsid w:val="FFBF0033"/>
    <w:rsid w:val="FFD6638C"/>
    <w:rsid w:val="FFDE123F"/>
    <w:rsid w:val="FFE750DB"/>
    <w:rsid w:val="FFF5EF7E"/>
    <w:rsid w:val="FFF768C1"/>
    <w:rsid w:val="FFF778C7"/>
    <w:rsid w:val="FFF840BF"/>
    <w:rsid w:val="FFF9FFC5"/>
    <w:rsid w:val="FFFB932A"/>
    <w:rsid w:val="FFFE62E3"/>
    <w:rsid w:val="FFFE9FA5"/>
    <w:rsid w:val="FFFFBD2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5"/>
    <w:qFormat/>
    <w:uiPriority w:val="0"/>
    <w:pPr>
      <w:keepNext/>
      <w:keepLines/>
      <w:widowControl w:val="0"/>
      <w:spacing w:before="340" w:after="330" w:line="578" w:lineRule="auto"/>
      <w:outlineLvl w:val="0"/>
    </w:pPr>
    <w:rPr>
      <w:b/>
      <w:bCs/>
      <w:kern w:val="44"/>
      <w:sz w:val="44"/>
      <w:szCs w:val="44"/>
    </w:rPr>
  </w:style>
  <w:style w:type="paragraph" w:styleId="4">
    <w:name w:val="heading 2"/>
    <w:basedOn w:val="1"/>
    <w:next w:val="1"/>
    <w:link w:val="26"/>
    <w:qFormat/>
    <w:uiPriority w:val="0"/>
    <w:pPr>
      <w:keepNext/>
      <w:keepLines/>
      <w:widowControl w:val="0"/>
      <w:spacing w:before="260" w:after="260" w:line="415" w:lineRule="auto"/>
      <w:outlineLvl w:val="1"/>
    </w:pPr>
    <w:rPr>
      <w:rFonts w:ascii="Cambria" w:hAnsi="Cambria" w:eastAsia="宋体" w:cs="Times New Roman"/>
      <w:b/>
      <w:bCs/>
      <w:sz w:val="32"/>
      <w:szCs w:val="32"/>
    </w:rPr>
  </w:style>
  <w:style w:type="paragraph" w:styleId="5">
    <w:name w:val="heading 3"/>
    <w:basedOn w:val="1"/>
    <w:next w:val="1"/>
    <w:qFormat/>
    <w:uiPriority w:val="0"/>
    <w:pPr>
      <w:keepNext/>
      <w:keepLines/>
      <w:widowControl w:val="0"/>
      <w:spacing w:before="260" w:after="260" w:line="415" w:lineRule="auto"/>
      <w:outlineLvl w:val="2"/>
    </w:pPr>
    <w:rPr>
      <w:b/>
      <w:bCs/>
      <w:sz w:val="32"/>
      <w:szCs w:val="32"/>
    </w:rPr>
  </w:style>
  <w:style w:type="paragraph" w:styleId="6">
    <w:name w:val="heading 4"/>
    <w:basedOn w:val="1"/>
    <w:next w:val="1"/>
    <w:unhideWhenUsed/>
    <w:qFormat/>
    <w:uiPriority w:val="9"/>
    <w:pPr>
      <w:keepNext/>
      <w:keepLines/>
      <w:jc w:val="left"/>
      <w:outlineLvl w:val="3"/>
    </w:pPr>
    <w:rPr>
      <w:rFonts w:ascii="Cambria" w:hAnsi="Cambria" w:cs="Times New Roman"/>
      <w:bCs/>
      <w:szCs w:val="28"/>
    </w:rPr>
  </w:style>
  <w:style w:type="character" w:default="1" w:styleId="21">
    <w:name w:val="Default Paragraph Font"/>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7">
    <w:name w:val="Normal Indent"/>
    <w:basedOn w:val="1"/>
    <w:qFormat/>
    <w:uiPriority w:val="0"/>
    <w:pPr>
      <w:ind w:firstLine="680"/>
    </w:pPr>
  </w:style>
  <w:style w:type="paragraph" w:styleId="8">
    <w:name w:val="annotation text"/>
    <w:basedOn w:val="1"/>
    <w:qFormat/>
    <w:uiPriority w:val="0"/>
    <w:pPr>
      <w:jc w:val="left"/>
    </w:pPr>
  </w:style>
  <w:style w:type="paragraph" w:styleId="9">
    <w:name w:val="Body Text"/>
    <w:basedOn w:val="1"/>
    <w:qFormat/>
    <w:uiPriority w:val="0"/>
    <w:pPr>
      <w:spacing w:before="30" w:beforeLines="30"/>
    </w:pPr>
    <w:rPr>
      <w:rFonts w:ascii="仿宋_GB2312" w:eastAsia="仿宋_GB2312"/>
      <w:kern w:val="0"/>
      <w:sz w:val="30"/>
    </w:rPr>
  </w:style>
  <w:style w:type="paragraph" w:styleId="10">
    <w:name w:val="Body Text Indent"/>
    <w:basedOn w:val="1"/>
    <w:qFormat/>
    <w:uiPriority w:val="0"/>
    <w:pPr>
      <w:spacing w:after="120"/>
      <w:ind w:left="200" w:leftChars="200"/>
    </w:pPr>
    <w:rPr>
      <w:rFonts w:ascii="仿宋_GB2312"/>
      <w:szCs w:val="32"/>
    </w:rPr>
  </w:style>
  <w:style w:type="paragraph" w:styleId="11">
    <w:name w:val="toc 3"/>
    <w:basedOn w:val="1"/>
    <w:next w:val="1"/>
    <w:qFormat/>
    <w:uiPriority w:val="0"/>
    <w:pPr>
      <w:tabs>
        <w:tab w:val="right" w:leader="dot" w:pos="8296"/>
      </w:tabs>
      <w:ind w:left="400" w:leftChars="400"/>
    </w:pPr>
  </w:style>
  <w:style w:type="paragraph" w:styleId="12">
    <w:name w:val="Balloon Text"/>
    <w:basedOn w:val="1"/>
    <w:qFormat/>
    <w:uiPriority w:val="0"/>
    <w:rPr>
      <w:sz w:val="18"/>
      <w:szCs w:val="18"/>
    </w:rPr>
  </w:style>
  <w:style w:type="paragraph" w:styleId="13">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4">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qFormat/>
    <w:uiPriority w:val="0"/>
    <w:pPr>
      <w:tabs>
        <w:tab w:val="right" w:leader="dot" w:pos="8296"/>
      </w:tabs>
      <w:spacing w:before="93"/>
      <w:jc w:val="center"/>
    </w:pPr>
    <w:rPr>
      <w:rFonts w:ascii="仿宋" w:eastAsia="仿宋"/>
      <w:sz w:val="28"/>
      <w:szCs w:val="28"/>
    </w:rPr>
  </w:style>
  <w:style w:type="paragraph" w:styleId="16">
    <w:name w:val="table of figures"/>
    <w:basedOn w:val="1"/>
    <w:next w:val="1"/>
    <w:qFormat/>
    <w:uiPriority w:val="0"/>
    <w:pPr>
      <w:ind w:left="400" w:leftChars="200" w:hanging="200" w:hangingChars="200"/>
    </w:pPr>
  </w:style>
  <w:style w:type="paragraph" w:styleId="17">
    <w:name w:val="toc 2"/>
    <w:basedOn w:val="1"/>
    <w:next w:val="1"/>
    <w:qFormat/>
    <w:uiPriority w:val="0"/>
    <w:pPr>
      <w:tabs>
        <w:tab w:val="right" w:leader="dot" w:pos="8296"/>
      </w:tabs>
      <w:ind w:left="200" w:leftChars="200"/>
    </w:pPr>
  </w:style>
  <w:style w:type="paragraph" w:styleId="18">
    <w:name w:val="Normal (Web)"/>
    <w:basedOn w:val="1"/>
    <w:next w:val="13"/>
    <w:qFormat/>
    <w:uiPriority w:val="0"/>
    <w:pPr>
      <w:spacing w:before="100" w:beforeAutospacing="1" w:after="100" w:afterAutospacing="1"/>
      <w:ind w:left="0" w:right="0"/>
      <w:jc w:val="left"/>
    </w:pPr>
    <w:rPr>
      <w:kern w:val="0"/>
      <w:sz w:val="24"/>
      <w:lang w:val="en-US" w:eastAsia="zh-CN" w:bidi="ar"/>
    </w:rPr>
  </w:style>
  <w:style w:type="paragraph" w:styleId="19">
    <w:name w:val="Body Text First Indent 2"/>
    <w:basedOn w:val="10"/>
    <w:qFormat/>
    <w:uiPriority w:val="0"/>
    <w:pPr>
      <w:ind w:firstLine="200" w:firstLineChars="200"/>
    </w:pPr>
  </w:style>
  <w:style w:type="character" w:styleId="22">
    <w:name w:val="Strong"/>
    <w:basedOn w:val="21"/>
    <w:qFormat/>
    <w:uiPriority w:val="0"/>
    <w:rPr>
      <w:b/>
    </w:rPr>
  </w:style>
  <w:style w:type="character" w:styleId="23">
    <w:name w:val="Hyperlink"/>
    <w:basedOn w:val="21"/>
    <w:qFormat/>
    <w:uiPriority w:val="0"/>
    <w:rPr>
      <w:color w:val="0000FF"/>
      <w:u w:val="single"/>
    </w:rPr>
  </w:style>
  <w:style w:type="character" w:styleId="24">
    <w:name w:val="annotation reference"/>
    <w:basedOn w:val="21"/>
    <w:qFormat/>
    <w:uiPriority w:val="0"/>
    <w:rPr>
      <w:sz w:val="21"/>
      <w:szCs w:val="21"/>
    </w:rPr>
  </w:style>
  <w:style w:type="character" w:customStyle="1" w:styleId="25">
    <w:name w:val="heading 1 Char"/>
    <w:basedOn w:val="21"/>
    <w:link w:val="3"/>
    <w:qFormat/>
    <w:uiPriority w:val="0"/>
    <w:rPr>
      <w:rFonts w:ascii="Times New Roman" w:hAnsi="Times New Roman" w:eastAsia="宋体" w:cs="Times New Roman"/>
      <w:b/>
      <w:bCs/>
      <w:kern w:val="44"/>
      <w:sz w:val="44"/>
      <w:szCs w:val="44"/>
      <w:lang w:val="en-US" w:eastAsia="zh-CN" w:bidi="ar-SA"/>
    </w:rPr>
  </w:style>
  <w:style w:type="character" w:customStyle="1" w:styleId="26">
    <w:name w:val="heading 2 Char"/>
    <w:basedOn w:val="21"/>
    <w:link w:val="4"/>
    <w:qFormat/>
    <w:uiPriority w:val="0"/>
    <w:rPr>
      <w:rFonts w:ascii="Cambria" w:hAnsi="Cambria" w:eastAsia="宋体" w:cs="Times New Roman"/>
      <w:b/>
      <w:bCs/>
      <w:kern w:val="2"/>
      <w:sz w:val="32"/>
      <w:szCs w:val="32"/>
      <w:lang w:val="en-US" w:eastAsia="zh-CN" w:bidi="ar-SA"/>
    </w:rPr>
  </w:style>
  <w:style w:type="paragraph" w:customStyle="1" w:styleId="27">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character" w:customStyle="1" w:styleId="28">
    <w:name w:val="Header Char"/>
    <w:basedOn w:val="21"/>
    <w:qFormat/>
    <w:uiPriority w:val="0"/>
    <w:rPr>
      <w:rFonts w:ascii="Times New Roman" w:hAnsi="Times New Roman"/>
      <w:sz w:val="18"/>
      <w:szCs w:val="18"/>
    </w:rPr>
  </w:style>
  <w:style w:type="character" w:customStyle="1" w:styleId="29">
    <w:name w:val="Footer Char"/>
    <w:basedOn w:val="21"/>
    <w:qFormat/>
    <w:uiPriority w:val="0"/>
    <w:rPr>
      <w:rFonts w:ascii="Times New Roman" w:hAnsi="Times New Roman"/>
      <w:sz w:val="18"/>
      <w:szCs w:val="18"/>
    </w:rPr>
  </w:style>
  <w:style w:type="character" w:customStyle="1" w:styleId="30">
    <w:name w:val="Body Text Char"/>
    <w:basedOn w:val="21"/>
    <w:qFormat/>
    <w:uiPriority w:val="0"/>
    <w:rPr>
      <w:rFonts w:ascii="Times New Roman" w:hAnsi="Times New Roman"/>
      <w:szCs w:val="24"/>
    </w:rPr>
  </w:style>
  <w:style w:type="paragraph" w:styleId="31">
    <w:name w:val="List Paragraph"/>
    <w:basedOn w:val="1"/>
    <w:qFormat/>
    <w:uiPriority w:val="0"/>
    <w:pPr>
      <w:ind w:firstLine="200" w:firstLineChars="200"/>
    </w:pPr>
  </w:style>
  <w:style w:type="paragraph" w:customStyle="1" w:styleId="32">
    <w:name w:val="TOC 标题1"/>
    <w:basedOn w:val="3"/>
    <w:next w:val="1"/>
    <w:qFormat/>
    <w:uiPriority w:val="0"/>
    <w:pPr>
      <w:keepNext/>
      <w:keepLines/>
      <w:widowControl/>
      <w:spacing w:before="480" w:after="0" w:line="276" w:lineRule="auto"/>
      <w:jc w:val="left"/>
      <w:outlineLvl w:val="9"/>
    </w:pPr>
    <w:rPr>
      <w:rFonts w:ascii="Cambria" w:hAnsi="Cambria" w:eastAsia="宋体" w:cs="Times New Roman"/>
      <w:color w:val="366091"/>
      <w:kern w:val="0"/>
      <w:sz w:val="28"/>
      <w:szCs w:val="28"/>
    </w:rPr>
  </w:style>
  <w:style w:type="paragraph" w:customStyle="1" w:styleId="33">
    <w:name w:val="Normal363950e4"/>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4">
    <w:name w:val="Default Paragraph Font830522c6"/>
    <w:qFormat/>
    <w:uiPriority w:val="0"/>
  </w:style>
  <w:style w:type="paragraph" w:customStyle="1" w:styleId="35">
    <w:name w:val="Normal31da962d"/>
    <w:qFormat/>
    <w:uiPriority w:val="0"/>
    <w:pPr>
      <w:widowControl w:val="0"/>
      <w:jc w:val="both"/>
    </w:pPr>
    <w:rPr>
      <w:rFonts w:ascii="Times New Roman" w:hAnsi="Times New Roman" w:eastAsia="宋体" w:cs="Times New Roman"/>
      <w:kern w:val="2"/>
      <w:sz w:val="21"/>
      <w:szCs w:val="21"/>
      <w:lang w:val="en-US" w:eastAsia="zh-CN" w:bidi="ar-SA"/>
    </w:rPr>
  </w:style>
  <w:style w:type="character" w:customStyle="1" w:styleId="36">
    <w:name w:val="Default Paragraph Font5"/>
    <w:qFormat/>
    <w:uiPriority w:val="0"/>
  </w:style>
  <w:style w:type="paragraph" w:customStyle="1" w:styleId="37">
    <w:name w:val="footerce85b5ec"/>
    <w:basedOn w:val="35"/>
    <w:qFormat/>
    <w:uiPriority w:val="0"/>
    <w:pPr>
      <w:tabs>
        <w:tab w:val="center" w:pos="4153"/>
        <w:tab w:val="right" w:pos="8306"/>
      </w:tabs>
      <w:snapToGrid w:val="0"/>
      <w:jc w:val="left"/>
    </w:pPr>
    <w:rPr>
      <w:kern w:val="0"/>
      <w:sz w:val="18"/>
      <w:szCs w:val="20"/>
    </w:rPr>
  </w:style>
  <w:style w:type="paragraph" w:customStyle="1" w:styleId="38">
    <w:name w:val="headerf7e0821f"/>
    <w:basedOn w:val="35"/>
    <w:qFormat/>
    <w:uiPriority w:val="0"/>
    <w:pPr>
      <w:pBdr>
        <w:bottom w:val="single" w:color="auto" w:sz="6" w:space="1"/>
      </w:pBdr>
      <w:tabs>
        <w:tab w:val="center" w:pos="4153"/>
        <w:tab w:val="right" w:pos="8306"/>
      </w:tabs>
      <w:snapToGrid w:val="0"/>
      <w:jc w:val="center"/>
    </w:pPr>
    <w:rPr>
      <w:kern w:val="0"/>
      <w:sz w:val="18"/>
      <w:szCs w:val="20"/>
    </w:rPr>
  </w:style>
  <w:style w:type="paragraph" w:customStyle="1" w:styleId="39">
    <w:name w:val="四号正文"/>
    <w:basedOn w:val="1"/>
    <w:qFormat/>
    <w:uiPriority w:val="0"/>
    <w:pPr>
      <w:spacing w:line="360" w:lineRule="auto"/>
    </w:pPr>
    <w:rPr>
      <w:rFonts w:ascii="??" w:hAnsi="??" w:eastAsia="宋体"/>
      <w:color w:val="000000"/>
      <w:kern w:val="0"/>
      <w:sz w:val="28"/>
      <w:szCs w:val="21"/>
      <w:lang w:val="zh-CN"/>
    </w:rPr>
  </w:style>
  <w:style w:type="paragraph" w:customStyle="1" w:styleId="40">
    <w:name w:val="WPSOffice手动目录 2"/>
    <w:qFormat/>
    <w:uiPriority w:val="0"/>
    <w:pPr>
      <w:ind w:leftChars="200"/>
    </w:pPr>
    <w:rPr>
      <w:rFonts w:ascii="Times New Roman" w:hAnsi="Times New Roman" w:eastAsia="宋体" w:cs="Times New Roman"/>
      <w:sz w:val="20"/>
      <w:szCs w:val="20"/>
    </w:rPr>
  </w:style>
  <w:style w:type="paragraph" w:customStyle="1" w:styleId="41">
    <w:name w:val="WPSOffice手动目录 3"/>
    <w:qFormat/>
    <w:uiPriority w:val="0"/>
    <w:pPr>
      <w:ind w:leftChars="400"/>
    </w:pPr>
    <w:rPr>
      <w:rFonts w:ascii="Times New Roman" w:hAnsi="Times New Roman" w:eastAsia="宋体" w:cs="Times New Roman"/>
      <w:sz w:val="20"/>
      <w:szCs w:val="20"/>
    </w:rPr>
  </w:style>
  <w:style w:type="character" w:customStyle="1" w:styleId="42">
    <w:name w:val="font01"/>
    <w:basedOn w:val="21"/>
    <w:qFormat/>
    <w:uiPriority w:val="0"/>
    <w:rPr>
      <w:rFonts w:ascii="DejaVu Sans" w:hAnsi="DejaVu Sans" w:eastAsia="DejaVu Sans" w:cs="DejaVu Sans"/>
      <w:color w:val="000000"/>
      <w:sz w:val="16"/>
      <w:szCs w:val="16"/>
      <w:u w:val="none"/>
    </w:rPr>
  </w:style>
  <w:style w:type="character" w:customStyle="1" w:styleId="43">
    <w:name w:val="font11"/>
    <w:basedOn w:val="21"/>
    <w:qFormat/>
    <w:uiPriority w:val="0"/>
    <w:rPr>
      <w:rFonts w:ascii="宋体" w:hAnsi="宋体" w:eastAsia="宋体" w:cs="宋体"/>
      <w:color w:val="000000"/>
      <w:sz w:val="16"/>
      <w:szCs w:val="16"/>
      <w:u w:val="none"/>
    </w:rPr>
  </w:style>
  <w:style w:type="character" w:customStyle="1" w:styleId="44">
    <w:name w:val="font31"/>
    <w:basedOn w:val="21"/>
    <w:qFormat/>
    <w:uiPriority w:val="0"/>
    <w:rPr>
      <w:rFonts w:ascii="宋体" w:hAnsi="宋体" w:eastAsia="宋体" w:cs="宋体"/>
      <w:color w:val="000000"/>
      <w:sz w:val="18"/>
      <w:szCs w:val="18"/>
      <w:u w:val="none"/>
    </w:rPr>
  </w:style>
  <w:style w:type="character" w:customStyle="1" w:styleId="45">
    <w:name w:val="font71"/>
    <w:basedOn w:val="21"/>
    <w:qFormat/>
    <w:uiPriority w:val="0"/>
    <w:rPr>
      <w:rFonts w:ascii="Arial" w:hAnsi="Arial" w:cs="Arial"/>
      <w:color w:val="000000"/>
      <w:sz w:val="18"/>
      <w:szCs w:val="18"/>
      <w:u w:val="none"/>
    </w:rPr>
  </w:style>
  <w:style w:type="character" w:customStyle="1" w:styleId="46">
    <w:name w:val="font21"/>
    <w:basedOn w:val="21"/>
    <w:qFormat/>
    <w:uiPriority w:val="0"/>
    <w:rPr>
      <w:rFonts w:ascii="Arial" w:hAnsi="Arial" w:cs="Arial"/>
      <w:color w:val="000000"/>
      <w:sz w:val="18"/>
      <w:szCs w:val="18"/>
      <w:u w:val="none"/>
    </w:rPr>
  </w:style>
  <w:style w:type="character" w:customStyle="1" w:styleId="47">
    <w:name w:val="font41"/>
    <w:basedOn w:val="21"/>
    <w:qFormat/>
    <w:uiPriority w:val="0"/>
    <w:rPr>
      <w:rFonts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embeddings/oleObject3.bin"/></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embeddings/oleObject2.bin"/></Relationships>
</file>

<file path=word/charts/_rels/chart5.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6.xml.rels><?xml version="1.0" encoding="UTF-8" standalone="yes"?>
<Relationships xmlns="http://schemas.openxmlformats.org/package/2006/relationships"><Relationship Id="rId1" Type="http://schemas.openxmlformats.org/officeDocument/2006/relationships/oleObject" Target="../embeddings/oleObject4.bin"/></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723196881092"/>
          <c:y val="0.0088963963963964"/>
          <c:w val="0.862378167641326"/>
          <c:h val="0.826013513513513"/>
        </c:manualLayout>
      </c:layout>
      <c:barChart>
        <c:barDir val="col"/>
        <c:grouping val="clustered"/>
        <c:varyColors val="0"/>
        <c:ser>
          <c:idx val="0"/>
          <c:order val="0"/>
          <c:tx>
            <c:strRef>
              <c:f>Sheet1!$B$1</c:f>
              <c:strCache>
                <c:ptCount val="1"/>
                <c:pt idx="0">
                  <c:v>金额</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a:solidFill>
                        <a:schemeClr val="dk1">
                          <a:lumMod val="50000"/>
                          <a:lumOff val="50000"/>
                        </a:schemeClr>
                      </a:solidFill>
                    </a:ln>
                    <a:effectLst/>
                  </c:spPr>
                </c15:leaderLines>
              </c:ext>
            </c:extLst>
          </c:dLbls>
          <c:cat>
            <c:strRef>
              <c:f>Sheet1!$A$2:$A$5</c:f>
              <c:strCache>
                <c:ptCount val="4"/>
                <c:pt idx="0">
                  <c:v>2024年收入</c:v>
                </c:pt>
                <c:pt idx="1">
                  <c:v>2024年支出</c:v>
                </c:pt>
                <c:pt idx="2">
                  <c:v>2025年收入</c:v>
                </c:pt>
                <c:pt idx="3">
                  <c:v>2025年支出</c:v>
                </c:pt>
              </c:strCache>
            </c:strRef>
          </c:cat>
          <c:val>
            <c:numRef>
              <c:f>Sheet1!$B$2:$B$5</c:f>
              <c:numCache>
                <c:formatCode>0.00_ </c:formatCode>
                <c:ptCount val="4"/>
                <c:pt idx="0">
                  <c:v>250.6</c:v>
                </c:pt>
                <c:pt idx="1">
                  <c:v>250.6</c:v>
                </c:pt>
                <c:pt idx="2">
                  <c:v>268.12</c:v>
                </c:pt>
                <c:pt idx="3">
                  <c:v>268.12</c:v>
                </c:pt>
              </c:numCache>
            </c:numRef>
          </c:val>
        </c:ser>
        <c:dLbls>
          <c:showLegendKey val="0"/>
          <c:showVal val="1"/>
          <c:showCatName val="0"/>
          <c:showSerName val="0"/>
          <c:showPercent val="0"/>
          <c:showBubbleSize val="0"/>
        </c:dLbls>
        <c:gapWidth val="41"/>
        <c:overlap val="0"/>
        <c:axId val="60139776"/>
        <c:axId val="60160256"/>
      </c:barChart>
      <c:catAx>
        <c:axId val="60139776"/>
        <c:scaling>
          <c:orientation val="minMax"/>
        </c:scaling>
        <c:delete val="0"/>
        <c:axPos val="b"/>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effectLst/>
                <a:latin typeface="+mn-lt"/>
                <a:ea typeface="+mn-ea"/>
                <a:cs typeface="+mn-cs"/>
              </a:defRPr>
            </a:pPr>
          </a:p>
        </c:txPr>
        <c:crossAx val="60160256"/>
        <c:crosses val="autoZero"/>
        <c:auto val="1"/>
        <c:lblAlgn val="ctr"/>
        <c:lblOffset val="100"/>
        <c:noMultiLvlLbl val="0"/>
      </c:catAx>
      <c:valAx>
        <c:axId val="60160256"/>
        <c:scaling>
          <c:orientation val="minMax"/>
        </c:scaling>
        <c:delete val="1"/>
        <c:axPos val="l"/>
        <c:numFmt formatCode="0.00_ "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60139776"/>
        <c:crosses val="autoZero"/>
        <c:crossBetween val="between"/>
      </c:valAx>
      <c:spPr>
        <a:noFill/>
        <a:ln>
          <a:noFill/>
        </a:ln>
        <a:effectLst/>
      </c:spPr>
    </c:plotArea>
    <c:plotVisOnly val="1"/>
    <c:dispBlanksAs val="gap"/>
    <c:showDLblsOverMax val="0"/>
  </c:chart>
  <c:spPr>
    <a:gradFill flip="none" rotWithShape="1">
      <a:gsLst>
        <a:gs pos="0">
          <a:schemeClr val="lt1"/>
        </a:gs>
        <a:gs pos="68000">
          <a:schemeClr val="lt1">
            <a:lumMod val="85000"/>
          </a:schemeClr>
        </a:gs>
        <a:gs pos="100000">
          <a:schemeClr val="lt1"/>
        </a:gs>
      </a:gsLst>
      <a:lin ang="5400000" scaled="1"/>
    </a:gradFill>
    <a:ln w="9525" cap="flat" cmpd="sng" algn="ctr">
      <a:solidFill>
        <a:schemeClr val="dk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t" anchorCtr="0"/>
          <a:lstStyle/>
          <a:p>
            <a:pPr>
              <a:defRPr lang="zh-CN" sz="1800" b="1" i="0" u="none" strike="noStrike" kern="1200" baseline="0">
                <a:solidFill>
                  <a:srgbClr val="000000"/>
                </a:solidFill>
                <a:latin typeface="AR PL UKai CN"/>
                <a:ea typeface="AR PL UKai CN"/>
                <a:cs typeface="Lucida Sans" panose="020B0602030504020204"/>
              </a:defRPr>
            </a:pPr>
            <a:r>
              <a:rPr lang="zh-CN"/>
              <a:t>收入决算结构图</a:t>
            </a:r>
            <a:endParaRPr lang="zh-CN"/>
          </a:p>
        </c:rich>
      </c:tx>
      <c:layout/>
      <c:overlay val="0"/>
      <c:spPr>
        <a:ln>
          <a:noFill/>
        </a:ln>
      </c:spPr>
    </c:title>
    <c:autoTitleDeleted val="0"/>
    <c:plotArea>
      <c:layout/>
      <c:pieChart>
        <c:varyColors val="1"/>
        <c:ser>
          <c:idx val="1"/>
          <c:order val="0"/>
          <c:spPr>
            <a:ln>
              <a:noFill/>
            </a:ln>
          </c:spPr>
          <c:explosion val="0"/>
          <c:dPt>
            <c:idx val="0"/>
            <c:bubble3D val="0"/>
            <c:spPr>
              <a:solidFill>
                <a:srgbClr val="4572A7"/>
              </a:solidFill>
            </c:spPr>
          </c:dPt>
          <c:dPt>
            <c:idx val="1"/>
            <c:bubble3D val="0"/>
            <c:spPr>
              <a:solidFill>
                <a:srgbClr val="AA4643"/>
              </a:solidFill>
            </c:spPr>
          </c:dPt>
          <c:dPt>
            <c:idx val="2"/>
            <c:bubble3D val="0"/>
            <c:spPr>
              <a:solidFill>
                <a:srgbClr val="89A54E"/>
              </a:solidFill>
            </c:spPr>
          </c:dPt>
          <c:dPt>
            <c:idx val="3"/>
            <c:bubble3D val="0"/>
            <c:spPr>
              <a:solidFill>
                <a:srgbClr val="71588F"/>
              </a:solidFill>
            </c:spPr>
          </c:dPt>
          <c:dPt>
            <c:idx val="4"/>
            <c:bubble3D val="0"/>
            <c:spPr>
              <a:solidFill>
                <a:srgbClr val="4198AF"/>
              </a:solidFill>
            </c:spPr>
          </c:dPt>
          <c:dPt>
            <c:idx val="5"/>
            <c:bubble3D val="0"/>
            <c:spPr>
              <a:solidFill>
                <a:srgbClr val="DB843D"/>
              </a:solidFill>
            </c:spPr>
          </c:dPt>
          <c:dPt>
            <c:idx val="6"/>
            <c:bubble3D val="0"/>
            <c:spPr>
              <a:solidFill>
                <a:srgbClr val="93A9CF"/>
              </a:solidFill>
            </c:spPr>
          </c:dPt>
          <c:dPt>
            <c:idx val="7"/>
            <c:bubble3D val="0"/>
            <c:spPr>
              <a:solidFill>
                <a:srgbClr val="D19392"/>
              </a:solidFill>
            </c:spPr>
          </c:dPt>
          <c:dLbls>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AR PL UKai CN"/>
                    <a:ea typeface="AR PL UKai CN"/>
                    <a:cs typeface="Lucida Sans" panose="020B0602030504020204"/>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{"一般公共预算财政拨款收入","政府性基金预算财政拨款收入","国有资本经营预算财政拨款收入","上级补助收入","事业收入","经营收入","附属单位上缴收入","其他收入"}</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{12537102.67,0,0,0,0,0,0,0}</c:f>
              <c:numCache>
                <c:formatCode>General</c:formatCode>
                <c:ptCount val="8"/>
                <c:pt idx="0">
                  <c:v>12537102.67</c:v>
                </c:pt>
                <c:pt idx="1">
                  <c:v>0</c:v>
                </c:pt>
                <c:pt idx="2">
                  <c:v>0</c:v>
                </c:pt>
                <c:pt idx="3">
                  <c:v>0</c:v>
                </c:pt>
                <c:pt idx="4">
                  <c:v>0</c:v>
                </c:pt>
                <c:pt idx="5">
                  <c:v>0</c:v>
                </c:pt>
                <c:pt idx="6">
                  <c:v>0</c:v>
                </c:pt>
                <c:pt idx="7">
                  <c:v>0</c:v>
                </c:pt>
              </c:numCache>
            </c:numRef>
          </c:val>
        </c:ser>
        <c:dLbls>
          <c:showLegendKey val="0"/>
          <c:showVal val="0"/>
          <c:showCatName val="0"/>
          <c:showSerName val="0"/>
          <c:showPercent val="1"/>
          <c:showBubbleSize val="0"/>
          <c:showLeaderLines val="1"/>
        </c:dLbls>
        <c:firstSliceAng val="0"/>
      </c:pieChart>
      <c:spPr>
        <a:noFill/>
        <a:ln>
          <a:noFill/>
        </a:ln>
      </c:spPr>
    </c:plotArea>
    <c:legend>
      <c:legendPos val="r"/>
      <c:layout/>
      <c:overlay val="0"/>
      <c:spPr>
        <a:solidFill>
          <a:srgbClr val="F2F2F2">
            <a:alpha val="39000"/>
          </a:srgbClr>
        </a:solidFill>
        <a:ln>
          <a:noFill/>
        </a:ln>
      </c:spPr>
      <c:txPr>
        <a:bodyPr rot="0" spcFirstLastPara="0" vertOverflow="ellipsis" vert="horz" wrap="square" anchor="ctr" anchorCtr="1"/>
        <a:lstStyle/>
        <a:p>
          <a:pPr>
            <a:defRPr lang="zh-CN" sz="900" b="0" i="0" u="none" strike="noStrike" kern="1200" baseline="0">
              <a:solidFill>
                <a:srgbClr val="404040"/>
              </a:solidFill>
              <a:latin typeface="AR PL UKai CN"/>
              <a:ea typeface="AR PL UKai CN"/>
              <a:cs typeface="Lucida Sans" panose="020B0602030504020204"/>
            </a:defRPr>
          </a:pPr>
        </a:p>
      </c:txPr>
    </c:legend>
    <c:plotVisOnly val="1"/>
    <c:dispBlanksAs val="zero"/>
    <c:showDLblsOverMax val="0"/>
  </c:chart>
  <c:spPr>
    <a:gradFill rotWithShape="1">
      <a:gsLst>
        <a:gs pos="0">
          <a:srgbClr val="FFFFFF">
            <a:alpha val="100000"/>
          </a:srgbClr>
        </a:gs>
        <a:gs pos="39000">
          <a:srgbClr val="FFFFFF">
            <a:alpha val="100000"/>
          </a:srgbClr>
        </a:gs>
        <a:gs pos="100000">
          <a:srgbClr val="BFBFBF">
            <a:alpha val="100000"/>
          </a:srgbClr>
        </a:gs>
      </a:gsLst>
      <a:path path="circle">
        <a:fillToRect l="100000" t="100000"/>
      </a:path>
      <a:tileRect r="-100000" b="-100000"/>
    </a:gradFill>
    <a:ln w="6350" cap="flat" cmpd="sng" algn="ctr">
      <a:solidFill>
        <a:srgbClr val="BFBFBF"/>
      </a:solidFill>
      <a:prstDash val="solid"/>
      <a:round/>
    </a:ln>
  </c:spPr>
  <c:txPr>
    <a:bodyPr/>
    <a:lstStyle/>
    <a:p>
      <a:pPr>
        <a:defRPr lang="zh-CN" sz="1000" b="0" i="0" u="none" strike="noStrike" baseline="0">
          <a:solidFill>
            <a:srgbClr val="000000"/>
          </a:solidFill>
          <a:latin typeface="AR PL UKai CN"/>
          <a:ea typeface="AR PL UKai CN"/>
          <a:cs typeface="Lucida Sans" panose="020B0602030504020204"/>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Sheet1!$A$2:$A$3</c:f>
              <c:strCache>
                <c:ptCount val="2"/>
                <c:pt idx="0">
                  <c:v>基本支出78.5%</c:v>
                </c:pt>
                <c:pt idx="1">
                  <c:v>项目支出21.5%</c:v>
                </c:pt>
              </c:strCache>
            </c:strRef>
          </c:cat>
          <c:val>
            <c:numRef>
              <c:f>Sheet1!$B$2:$B$3</c:f>
              <c:numCache>
                <c:formatCode>General</c:formatCode>
                <c:ptCount val="2"/>
                <c:pt idx="0">
                  <c:v>210.33</c:v>
                </c:pt>
                <c:pt idx="1">
                  <c:v>57.79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102494021182098"/>
          <c:y val="0.0122599100939926"/>
          <c:w val="0.862378167641326"/>
          <c:h val="0.826013513513513"/>
        </c:manualLayout>
      </c:layout>
      <c:barChart>
        <c:barDir val="col"/>
        <c:grouping val="clustered"/>
        <c:varyColors val="0"/>
        <c:ser>
          <c:idx val="0"/>
          <c:order val="0"/>
          <c:tx>
            <c:strRef>
              <c:f>Sheet1!$B$1</c:f>
              <c:strCache>
                <c:ptCount val="1"/>
                <c:pt idx="0">
                  <c:v>金额</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Sheet1!$A$2:$A$5</c:f>
              <c:strCache>
                <c:ptCount val="4"/>
                <c:pt idx="0">
                  <c:v>2024年收入</c:v>
                </c:pt>
                <c:pt idx="1">
                  <c:v>2024年支出</c:v>
                </c:pt>
                <c:pt idx="2">
                  <c:v>2025年收入</c:v>
                </c:pt>
                <c:pt idx="3">
                  <c:v>2025年支出</c:v>
                </c:pt>
              </c:strCache>
            </c:strRef>
          </c:cat>
          <c:val>
            <c:numRef>
              <c:f>Sheet1!$B$2:$B$5</c:f>
              <c:numCache>
                <c:formatCode>0.00_ </c:formatCode>
                <c:ptCount val="4"/>
                <c:pt idx="0">
                  <c:v>250.6</c:v>
                </c:pt>
                <c:pt idx="1">
                  <c:v>250.6</c:v>
                </c:pt>
                <c:pt idx="2">
                  <c:v>268.12</c:v>
                </c:pt>
                <c:pt idx="3">
                  <c:v>268.12</c:v>
                </c:pt>
              </c:numCache>
            </c:numRef>
          </c:val>
        </c:ser>
        <c:dLbls>
          <c:showLegendKey val="0"/>
          <c:showVal val="1"/>
          <c:showCatName val="0"/>
          <c:showSerName val="0"/>
          <c:showPercent val="0"/>
          <c:showBubbleSize val="0"/>
        </c:dLbls>
        <c:gapWidth val="219"/>
        <c:overlap val="-27"/>
        <c:axId val="60139776"/>
        <c:axId val="60160256"/>
      </c:barChart>
      <c:catAx>
        <c:axId val="6013977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160256"/>
        <c:crosses val="autoZero"/>
        <c:auto val="1"/>
        <c:lblAlgn val="ctr"/>
        <c:lblOffset val="100"/>
        <c:noMultiLvlLbl val="0"/>
      </c:catAx>
      <c:valAx>
        <c:axId val="60160256"/>
        <c:scaling>
          <c:orientation val="minMax"/>
        </c:scaling>
        <c:delete val="0"/>
        <c:axPos val="l"/>
        <c:majorGridlines>
          <c:spPr>
            <a:ln w="9525" cap="flat" cmpd="sng" algn="ctr">
              <a:solidFill>
                <a:schemeClr val="tx1">
                  <a:lumMod val="15000"/>
                  <a:lumOff val="85000"/>
                </a:schemeClr>
              </a:solidFill>
              <a:round/>
            </a:ln>
            <a:effectLst/>
          </c:spPr>
        </c:majorGridlines>
        <c:numFmt formatCode="0.00_ "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1397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044014827368"/>
          <c:y val="0.0402424242424242"/>
          <c:w val="0.862378167641326"/>
          <c:h val="0.826013513513513"/>
        </c:manualLayout>
      </c:layout>
      <c:barChart>
        <c:barDir val="col"/>
        <c:grouping val="clustered"/>
        <c:varyColors val="0"/>
        <c:ser>
          <c:idx val="0"/>
          <c:order val="0"/>
          <c:tx>
            <c:strRef>
              <c:f>Sheet1!$B$1</c:f>
              <c:strCache>
                <c:ptCount val="1"/>
                <c:pt idx="0">
                  <c:v>金额</c:v>
                </c:pt>
              </c:strCache>
            </c:strRef>
          </c:tx>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2024年</c:v>
                </c:pt>
                <c:pt idx="1">
                  <c:v>2025年</c:v>
                </c:pt>
              </c:strCache>
            </c:strRef>
          </c:cat>
          <c:val>
            <c:numRef>
              <c:f>Sheet1!$B$2:$B$3</c:f>
              <c:numCache>
                <c:formatCode>0.00_ </c:formatCode>
                <c:ptCount val="2"/>
                <c:pt idx="0">
                  <c:v>250.6</c:v>
                </c:pt>
                <c:pt idx="1">
                  <c:v>268.12</c:v>
                </c:pt>
              </c:numCache>
            </c:numRef>
          </c:val>
        </c:ser>
        <c:dLbls>
          <c:showLegendKey val="0"/>
          <c:showVal val="1"/>
          <c:showCatName val="0"/>
          <c:showSerName val="0"/>
          <c:showPercent val="0"/>
          <c:showBubbleSize val="0"/>
        </c:dLbls>
        <c:gapWidth val="75"/>
        <c:axId val="60139776"/>
        <c:axId val="60160256"/>
      </c:barChart>
      <c:catAx>
        <c:axId val="60139776"/>
        <c:scaling>
          <c:orientation val="minMax"/>
        </c:scaling>
        <c:delete val="0"/>
        <c:axPos val="b"/>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60160256"/>
        <c:crosses val="autoZero"/>
        <c:auto val="1"/>
        <c:lblAlgn val="ctr"/>
        <c:lblOffset val="100"/>
        <c:noMultiLvlLbl val="0"/>
      </c:catAx>
      <c:valAx>
        <c:axId val="60160256"/>
        <c:scaling>
          <c:orientation val="minMax"/>
        </c:scaling>
        <c:delete val="0"/>
        <c:axPos val="l"/>
        <c:numFmt formatCode="0.00_ "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60139776"/>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310947993128"/>
          <c:y val="0.0576811594202899"/>
          <c:w val="0.470092144307356"/>
          <c:h val="0.872463768115942"/>
        </c:manualLayout>
      </c:layout>
      <c:pieChart>
        <c:varyColors val="1"/>
        <c:ser>
          <c:idx val="0"/>
          <c:order val="0"/>
          <c:tx>
            <c:strRef>
              <c:f>Sheet1!$B$1</c:f>
              <c:strCache>
                <c:ptCount val="1"/>
                <c:pt idx="0">
                  <c:v>金额</c:v>
                </c:pt>
              </c:strCache>
            </c:strRef>
          </c:tx>
          <c:explosion val="0"/>
          <c:dPt>
            <c:idx val="0"/>
            <c:bubble3D val="0"/>
          </c:dPt>
          <c:dPt>
            <c:idx val="1"/>
            <c:bubble3D val="0"/>
          </c:dPt>
          <c:dPt>
            <c:idx val="2"/>
            <c:bubble3D val="0"/>
          </c:dPt>
          <c:dPt>
            <c:idx val="3"/>
            <c:bubble3D val="0"/>
          </c:dPt>
          <c:dLbls>
            <c:delete val="1"/>
          </c:dLbls>
          <c:cat>
            <c:strRef>
              <c:f>Sheet1!$A$2:$A$5</c:f>
              <c:strCache>
                <c:ptCount val="4"/>
                <c:pt idx="0">
                  <c:v>其他科学技术支出79.1%</c:v>
                </c:pt>
                <c:pt idx="1">
                  <c:v>社会保障和就业支出10.7%</c:v>
                </c:pt>
                <c:pt idx="2">
                  <c:v>卫生健康支出4.3%</c:v>
                </c:pt>
                <c:pt idx="3">
                  <c:v>住房保障支出5.9%</c:v>
                </c:pt>
              </c:strCache>
            </c:strRef>
          </c:cat>
          <c:val>
            <c:numRef>
              <c:f>Sheet1!$B$2:$B$5</c:f>
              <c:numCache>
                <c:formatCode>0.00_ </c:formatCode>
                <c:ptCount val="4"/>
                <c:pt idx="0">
                  <c:v>212.12</c:v>
                </c:pt>
                <c:pt idx="1">
                  <c:v>28.75</c:v>
                </c:pt>
                <c:pt idx="2">
                  <c:v>11.55</c:v>
                </c:pt>
                <c:pt idx="3">
                  <c:v>15.7</c:v>
                </c:pt>
              </c:numCache>
            </c:numRef>
          </c:val>
        </c:ser>
        <c:ser>
          <c:idx val="1"/>
          <c:order val="1"/>
          <c:tx>
            <c:strRef>
              <c:f>Sheet1!#REF!</c:f>
              <c:strCache>
                <c:ptCount val="1"/>
                <c:pt idx="0">
                  <c:v/>
                </c:pt>
              </c:strCache>
            </c:strRef>
          </c:tx>
          <c:explosion val="0"/>
          <c:dPt>
            <c:idx val="0"/>
            <c:bubble3D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Sheet1!$A$2:$A$5</c:f>
              <c:strCache>
                <c:ptCount val="4"/>
                <c:pt idx="0">
                  <c:v>其他科学技术支出79.1%</c:v>
                </c:pt>
                <c:pt idx="1">
                  <c:v>社会保障和就业支出10.7%</c:v>
                </c:pt>
                <c:pt idx="2">
                  <c:v>卫生健康支出4.3%</c:v>
                </c:pt>
                <c:pt idx="3">
                  <c:v>住房保障支出5.9%</c:v>
                </c:pt>
              </c:strCache>
            </c:strRef>
          </c:cat>
          <c:val>
            <c:numRef>
              <c:f>Sheet1!#REF!</c:f>
              <c:numCache>
                <c:formatCode>General</c:formatCode>
                <c:ptCount val="1"/>
                <c:pt idx="0">
                  <c:v>1</c:v>
                </c:pt>
              </c:numCache>
            </c:numRef>
          </c:val>
        </c:ser>
        <c:dLbls>
          <c:showLegendKey val="0"/>
          <c:showVal val="0"/>
          <c:showCatName val="0"/>
          <c:showSerName val="0"/>
          <c:showPercent val="1"/>
          <c:showBubbleSize val="0"/>
          <c:showLeaderLines val="1"/>
        </c:dLbls>
        <c:firstSliceAng val="0"/>
      </c:pieChart>
    </c:plotArea>
    <c:legend>
      <c:legendPos val="r"/>
      <c:layout>
        <c:manualLayout>
          <c:xMode val="edge"/>
          <c:yMode val="edge"/>
          <c:x val="0.677238456312652"/>
          <c:y val="0.0841256735616201"/>
          <c:w val="0.318076239923487"/>
          <c:h val="0.861615678776291"/>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1"/>
          <c:order val="0"/>
          <c:spPr>
            <a:ln>
              <a:noFill/>
            </a:ln>
          </c:spPr>
          <c:explosion val="0"/>
          <c:dPt>
            <c:idx val="0"/>
            <c:bubble3D val="0"/>
            <c:spPr>
              <a:solidFill>
                <a:srgbClr val="4572A7"/>
              </a:solidFill>
            </c:spPr>
          </c:dPt>
          <c:dPt>
            <c:idx val="1"/>
            <c:bubble3D val="0"/>
            <c:spPr>
              <a:solidFill>
                <a:srgbClr val="AA4643"/>
              </a:solidFill>
            </c:spPr>
          </c:dPt>
          <c:dPt>
            <c:idx val="2"/>
            <c:bubble3D val="0"/>
            <c:spPr>
              <a:solidFill>
                <a:srgbClr val="89A54E"/>
              </a:solidFill>
            </c:spPr>
          </c:dPt>
          <c:dPt>
            <c:idx val="3"/>
            <c:bubble3D val="0"/>
            <c:spPr>
              <a:solidFill>
                <a:srgbClr val="71588F"/>
              </a:solidFill>
            </c:spPr>
          </c:dPt>
          <c:dPt>
            <c:idx val="4"/>
            <c:bubble3D val="0"/>
            <c:spPr>
              <a:solidFill>
                <a:srgbClr val="4198AF"/>
              </a:solidFill>
            </c:spPr>
          </c:dPt>
          <c:dPt>
            <c:idx val="5"/>
            <c:bubble3D val="0"/>
            <c:spPr>
              <a:solidFill>
                <a:srgbClr val="DB843D"/>
              </a:solidFill>
            </c:spPr>
          </c:dPt>
          <c:dPt>
            <c:idx val="6"/>
            <c:bubble3D val="0"/>
            <c:spPr>
              <a:solidFill>
                <a:srgbClr val="93A9CF"/>
              </a:solidFill>
            </c:spPr>
          </c:dPt>
          <c:dPt>
            <c:idx val="7"/>
            <c:bubble3D val="0"/>
            <c:spPr>
              <a:solidFill>
                <a:srgbClr val="D19392"/>
              </a:solidFill>
            </c:spPr>
          </c:dPt>
          <c:dLbls>
            <c:numFmt formatCode="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AR PL UKai CN"/>
                    <a:ea typeface="AR PL UKai CN"/>
                    <a:cs typeface="Lucida Sans" panose="020B0602030504020204"/>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{"公务接待费"}</c:f>
              <c:strCache>
                <c:ptCount val="1"/>
                <c:pt idx="0">
                  <c:v>公务接待费</c:v>
                </c:pt>
              </c:strCache>
            </c:strRef>
          </c:cat>
          <c:val>
            <c:numRef>
              <c:f>{12537102.67,0,0,0,0,0,0,0}</c:f>
              <c:numCache>
                <c:formatCode>General</c:formatCode>
                <c:ptCount val="8"/>
                <c:pt idx="0">
                  <c:v>12537102.67</c:v>
                </c:pt>
                <c:pt idx="1">
                  <c:v>0</c:v>
                </c:pt>
                <c:pt idx="2">
                  <c:v>0</c:v>
                </c:pt>
                <c:pt idx="3">
                  <c:v>0</c:v>
                </c:pt>
                <c:pt idx="4">
                  <c:v>0</c:v>
                </c:pt>
                <c:pt idx="5">
                  <c:v>0</c:v>
                </c:pt>
                <c:pt idx="6">
                  <c:v>0</c:v>
                </c:pt>
                <c:pt idx="7">
                  <c:v>0</c:v>
                </c:pt>
              </c:numCache>
            </c:numRef>
          </c:val>
        </c:ser>
        <c:ser>
          <c:idx val="0"/>
          <c:order val="1"/>
          <c:tx>
            <c:strRef>
              <c:f>"公务用车运行维护费"</c:f>
              <c:strCache>
                <c:ptCount val="1"/>
                <c:pt idx="0">
                  <c:v>公务用车运行维护费</c:v>
                </c:pt>
              </c:strCache>
            </c:strRef>
          </c:tx>
          <c:explosion val="0"/>
          <c:dPt>
            <c:idx val="0"/>
            <c:bubble3D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AR PL UKai CN"/>
                    <a:ea typeface="AR PL UKai CN"/>
                    <a:cs typeface="Lucida Sans" panose="020B0602030504020204"/>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{"公务接待费"}</c:f>
              <c:strCache>
                <c:ptCount val="1"/>
                <c:pt idx="0">
                  <c:v>公务接待费</c:v>
                </c:pt>
              </c:strCache>
            </c:strRef>
          </c:cat>
          <c:val>
            <c:numRef>
              <c:f>{1}</c:f>
              <c:numCache>
                <c:formatCode>General</c:formatCode>
                <c:ptCount val="1"/>
                <c:pt idx="0">
                  <c:v>1</c:v>
                </c:pt>
              </c:numCache>
            </c:numRef>
          </c:val>
        </c:ser>
        <c:ser>
          <c:idx val="2"/>
          <c:order val="2"/>
          <c:tx>
            <c:strRef>
              <c:f>"因公出国境费"</c:f>
              <c:strCache>
                <c:ptCount val="1"/>
                <c:pt idx="0">
                  <c:v>因公出国境费</c:v>
                </c:pt>
              </c:strCache>
            </c:strRef>
          </c:tx>
          <c:explosion val="0"/>
          <c:dPt>
            <c:idx val="0"/>
            <c:bubble3D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AR PL UKai CN"/>
                    <a:ea typeface="AR PL UKai CN"/>
                    <a:cs typeface="Lucida Sans" panose="020B0602030504020204"/>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{"公务接待费"}</c:f>
              <c:strCache>
                <c:ptCount val="1"/>
                <c:pt idx="0">
                  <c:v>公务接待费</c:v>
                </c:pt>
              </c:strCache>
            </c:strRef>
          </c:cat>
          <c:val>
            <c:numRef>
              <c:f>{1}</c:f>
              <c:numCache>
                <c:formatCode>General</c:formatCode>
                <c:ptCount val="1"/>
                <c:pt idx="0">
                  <c:v>1</c:v>
                </c:pt>
              </c:numCache>
            </c:numRef>
          </c:val>
        </c:ser>
        <c:dLbls>
          <c:showLegendKey val="0"/>
          <c:showVal val="0"/>
          <c:showCatName val="0"/>
          <c:showSerName val="0"/>
          <c:showPercent val="1"/>
          <c:showBubbleSize val="0"/>
          <c:showLeaderLines val="1"/>
        </c:dLbls>
        <c:firstSliceAng val="0"/>
      </c:pieChart>
      <c:spPr>
        <a:noFill/>
        <a:ln>
          <a:noFill/>
        </a:ln>
      </c:spPr>
    </c:plotArea>
    <c:legend>
      <c:legendPos val="r"/>
      <c:layout/>
      <c:overlay val="0"/>
      <c:spPr>
        <a:solidFill>
          <a:srgbClr val="F2F2F2">
            <a:alpha val="39000"/>
          </a:srgbClr>
        </a:solidFill>
        <a:ln>
          <a:noFill/>
        </a:ln>
      </c:spPr>
      <c:txPr>
        <a:bodyPr rot="0" spcFirstLastPara="0" vertOverflow="ellipsis" vert="horz" wrap="square" anchor="ctr" anchorCtr="1"/>
        <a:lstStyle/>
        <a:p>
          <a:pPr>
            <a:defRPr lang="zh-CN" sz="900" b="0" i="0" u="none" strike="noStrike" kern="1200" baseline="0">
              <a:solidFill>
                <a:srgbClr val="404040"/>
              </a:solidFill>
              <a:latin typeface="AR PL UKai CN"/>
              <a:ea typeface="AR PL UKai CN"/>
              <a:cs typeface="Lucida Sans" panose="020B0602030504020204"/>
            </a:defRPr>
          </a:pPr>
        </a:p>
      </c:txPr>
    </c:legend>
    <c:plotVisOnly val="1"/>
    <c:dispBlanksAs val="zero"/>
    <c:showDLblsOverMax val="0"/>
  </c:chart>
  <c:spPr>
    <a:gradFill rotWithShape="1">
      <a:gsLst>
        <a:gs pos="0">
          <a:srgbClr val="FFFFFF">
            <a:alpha val="100000"/>
          </a:srgbClr>
        </a:gs>
        <a:gs pos="39000">
          <a:srgbClr val="FFFFFF">
            <a:alpha val="100000"/>
          </a:srgbClr>
        </a:gs>
        <a:gs pos="100000">
          <a:srgbClr val="BFBFBF">
            <a:alpha val="100000"/>
          </a:srgbClr>
        </a:gs>
      </a:gsLst>
      <a:path path="circle">
        <a:fillToRect l="100000" t="100000"/>
      </a:path>
      <a:tileRect r="-100000" b="-100000"/>
    </a:gradFill>
    <a:ln w="6350" cap="flat" cmpd="sng" algn="ctr">
      <a:solidFill>
        <a:srgbClr val="BFBFBF"/>
      </a:solidFill>
      <a:prstDash val="solid"/>
      <a:round/>
    </a:ln>
  </c:spPr>
  <c:txPr>
    <a:bodyPr/>
    <a:lstStyle/>
    <a:p>
      <a:pPr>
        <a:defRPr lang="zh-CN" sz="1000" b="0" i="0" u="none" strike="noStrike" baseline="0">
          <a:solidFill>
            <a:srgbClr val="000000"/>
          </a:solidFill>
          <a:latin typeface="AR PL UKai CN"/>
          <a:ea typeface="AR PL UKai CN"/>
          <a:cs typeface="Lucida Sans" panose="020B0602030504020204"/>
        </a:defRPr>
      </a:pPr>
    </a:p>
  </c:txPr>
  <c:externalData r:id="rId1">
    <c:autoUpdate val="0"/>
  </c:externalData>
</c:chartSpace>
</file>

<file path=word/charts/colors1.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2.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Company>四川省财政厅</Company>
  <Pages>28</Pages>
  <Words>4603</Words>
  <Characters>5112</Characters>
  <Lines>441</Lines>
  <Paragraphs>193</Paragraphs>
  <TotalTime>51</TotalTime>
  <ScaleCrop>false</ScaleCrop>
  <LinksUpToDate>false</LinksUpToDate>
  <CharactersWithSpaces>5241</CharactersWithSpaces>
  <Application>WPS Office_11.8.2.12128_F1E327BC-269C-435d-A152-05C5408002CA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2022-09-08T09:31:00Z</dcterms:created>
  <dc:creator>lgk</dc:creator>
  <cp:lastModifiedBy>user</cp:lastModifiedBy>
  <cp:lastPrinted>2026-09-02T00:32:00Z</cp:lastPrinted>
  <dcterms:modified xsi:type="dcterms:W3CDTF">2026-09-01T16:44:27Z</dcterms:modified>
  <dc:title>四川省决算编制说明</dc:title>
  <cp:revision>303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B93CA6F4BEAD4F359769D1203595D585</vt:lpwstr>
  </property>
  <property fmtid="{D5CDD505-2E9C-101B-9397-08002B2CF9AE}" pid="4" name="KSOTemplateDocerSaveRecord">
    <vt:lpwstr>eyJoZGlkIjoiNWM4OTcyNjZiNjMwYmNhZjVlZTVhMTE3YWMyNGZhNDkiLCJ1c2VySWQiOiI1MDcwMjE3NzkifQ==</vt:lpwstr>
  </property>
</Properties>
</file>