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jc w:val="center"/>
        <w:rPr>
          <w:rFonts w:hint="eastAsia" w:ascii="方正小标宋简体" w:hAnsi="宋体" w:eastAsia="方正小标宋简体" w:cs="Times New Roman"/>
          <w:color w:val="auto"/>
          <w:kern w:val="2"/>
          <w:sz w:val="44"/>
          <w:szCs w:val="44"/>
          <w:highlight w:val="none"/>
          <w:lang w:val="en-US" w:eastAsia="zh-CN" w:bidi="ar-SA"/>
        </w:rPr>
      </w:pPr>
      <w:bookmarkStart w:id="121" w:name="_GoBack"/>
      <w:bookmarkEnd w:id="121"/>
    </w:p>
    <w:p>
      <w:pPr>
        <w:pStyle w:val="6"/>
        <w:jc w:val="center"/>
        <w:rPr>
          <w:rFonts w:hint="eastAsia" w:ascii="方正小标宋简体" w:hAnsi="宋体" w:eastAsia="方正小标宋简体" w:cs="Times New Roman"/>
          <w:color w:val="auto"/>
          <w:kern w:val="2"/>
          <w:sz w:val="44"/>
          <w:szCs w:val="44"/>
          <w:highlight w:val="none"/>
          <w:lang w:val="en-US" w:eastAsia="zh-CN" w:bidi="ar-SA"/>
        </w:rPr>
      </w:pPr>
    </w:p>
    <w:p>
      <w:pPr>
        <w:pStyle w:val="6"/>
        <w:jc w:val="center"/>
        <w:rPr>
          <w:rFonts w:hint="eastAsia" w:ascii="方正小标宋简体" w:hAnsi="宋体" w:eastAsia="方正小标宋简体"/>
          <w:sz w:val="44"/>
          <w:szCs w:val="44"/>
        </w:rPr>
      </w:pPr>
    </w:p>
    <w:p>
      <w:pPr>
        <w:pStyle w:val="6"/>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2025年度四川省阿坝州茂县残疾人联合会（汇总）部门决算公开编制说明</w:t>
      </w:r>
    </w:p>
    <w:p>
      <w:pPr>
        <w:widowControl/>
        <w:jc w:val="center"/>
        <w:rPr>
          <w:rFonts w:hint="eastAsia" w:ascii="思源黑体 CN Normal" w:hAnsi="思源黑体 CN Normal" w:eastAsia="思源黑体 CN Normal" w:cs="思源黑体 CN Normal"/>
          <w:b w:val="0"/>
          <w:bCs w:val="0"/>
          <w:color w:val="000000"/>
          <w:sz w:val="48"/>
          <w:szCs w:val="48"/>
        </w:rPr>
      </w:pPr>
    </w:p>
    <w:p>
      <w:pPr>
        <w:widowControl/>
        <w:jc w:val="center"/>
        <w:rPr>
          <w:rFonts w:hint="eastAsia" w:ascii="思源黑体 CN Normal" w:hAnsi="思源黑体 CN Normal" w:eastAsia="思源黑体 CN Normal" w:cs="思源黑体 CN Normal"/>
          <w:b w:val="0"/>
          <w:bCs w:val="0"/>
          <w:color w:val="000000"/>
          <w:sz w:val="48"/>
          <w:szCs w:val="48"/>
        </w:rPr>
      </w:pPr>
    </w:p>
    <w:p>
      <w:pPr>
        <w:widowControl/>
        <w:jc w:val="center"/>
        <w:rPr>
          <w:rFonts w:hint="eastAsia" w:ascii="思源黑体 CN Normal" w:hAnsi="思源黑体 CN Normal" w:eastAsia="思源黑体 CN Normal" w:cs="思源黑体 CN Normal"/>
          <w:b w:val="0"/>
          <w:bCs w:val="0"/>
          <w:color w:val="000000"/>
          <w:sz w:val="48"/>
          <w:szCs w:val="48"/>
        </w:rPr>
      </w:pPr>
    </w:p>
    <w:p>
      <w:pPr>
        <w:widowControl/>
        <w:jc w:val="center"/>
        <w:rPr>
          <w:rFonts w:hint="eastAsia" w:ascii="思源黑体 CN Normal" w:hAnsi="思源黑体 CN Normal" w:eastAsia="思源黑体 CN Normal" w:cs="思源黑体 CN Normal"/>
          <w:b w:val="0"/>
          <w:bCs w:val="0"/>
          <w:color w:val="000000"/>
          <w:sz w:val="48"/>
          <w:szCs w:val="48"/>
        </w:rPr>
      </w:pPr>
    </w:p>
    <w:p>
      <w:pPr>
        <w:widowControl/>
        <w:jc w:val="center"/>
        <w:rPr>
          <w:rFonts w:hint="eastAsia" w:ascii="思源黑体 CN Normal" w:hAnsi="思源黑体 CN Normal" w:eastAsia="思源黑体 CN Normal" w:cs="思源黑体 CN Normal"/>
          <w:b w:val="0"/>
          <w:bCs w:val="0"/>
          <w:color w:val="000000"/>
          <w:sz w:val="48"/>
          <w:szCs w:val="48"/>
        </w:rPr>
      </w:pPr>
    </w:p>
    <w:p>
      <w:pPr>
        <w:widowControl/>
        <w:jc w:val="center"/>
        <w:rPr>
          <w:rFonts w:hint="eastAsia" w:ascii="思源黑体 CN Normal" w:hAnsi="思源黑体 CN Normal" w:eastAsia="思源黑体 CN Normal" w:cs="思源黑体 CN Normal"/>
          <w:b w:val="0"/>
          <w:bCs w:val="0"/>
          <w:color w:val="000000"/>
          <w:sz w:val="48"/>
          <w:szCs w:val="48"/>
        </w:rPr>
      </w:pPr>
    </w:p>
    <w:p>
      <w:pPr>
        <w:widowControl/>
        <w:jc w:val="center"/>
        <w:rPr>
          <w:rFonts w:hint="eastAsia" w:ascii="思源黑体 CN Normal" w:hAnsi="思源黑体 CN Normal" w:eastAsia="思源黑体 CN Normal" w:cs="思源黑体 CN Normal"/>
          <w:b w:val="0"/>
          <w:bCs w:val="0"/>
          <w:color w:val="000000"/>
          <w:sz w:val="48"/>
          <w:szCs w:val="48"/>
        </w:rPr>
      </w:pPr>
    </w:p>
    <w:p>
      <w:pPr>
        <w:widowControl/>
        <w:jc w:val="center"/>
        <w:rPr>
          <w:rFonts w:hint="eastAsia" w:ascii="思源黑体 CN Normal" w:hAnsi="思源黑体 CN Normal" w:eastAsia="思源黑体 CN Normal" w:cs="思源黑体 CN Normal"/>
          <w:b w:val="0"/>
          <w:bCs w:val="0"/>
          <w:color w:val="000000"/>
          <w:sz w:val="48"/>
          <w:szCs w:val="48"/>
        </w:rPr>
      </w:pPr>
    </w:p>
    <w:p>
      <w:pPr>
        <w:widowControl/>
        <w:jc w:val="center"/>
        <w:rPr>
          <w:rFonts w:hint="eastAsia" w:ascii="思源黑体 CN Normal" w:hAnsi="思源黑体 CN Normal" w:eastAsia="思源黑体 CN Normal" w:cs="思源黑体 CN Normal"/>
          <w:b w:val="0"/>
          <w:bCs w:val="0"/>
          <w:color w:val="000000"/>
          <w:sz w:val="48"/>
          <w:szCs w:val="48"/>
        </w:rPr>
      </w:pPr>
    </w:p>
    <w:p>
      <w:pPr>
        <w:widowControl/>
        <w:jc w:val="center"/>
        <w:rPr>
          <w:rFonts w:hint="eastAsia" w:ascii="思源黑体 CN Normal" w:hAnsi="思源黑体 CN Normal" w:eastAsia="思源黑体 CN Normal" w:cs="思源黑体 CN Normal"/>
          <w:b w:val="0"/>
          <w:bCs w:val="0"/>
          <w:color w:val="000000"/>
          <w:sz w:val="48"/>
          <w:szCs w:val="48"/>
        </w:rPr>
      </w:pPr>
    </w:p>
    <w:p>
      <w:pPr>
        <w:widowControl/>
        <w:jc w:val="center"/>
        <w:rPr>
          <w:rFonts w:hint="eastAsia" w:ascii="思源黑体 CN Normal" w:hAnsi="思源黑体 CN Normal" w:eastAsia="思源黑体 CN Normal" w:cs="思源黑体 CN Normal"/>
          <w:b w:val="0"/>
          <w:bCs w:val="0"/>
          <w:color w:val="000000"/>
          <w:sz w:val="48"/>
          <w:szCs w:val="48"/>
        </w:rPr>
      </w:pPr>
    </w:p>
    <w:p>
      <w:pPr>
        <w:widowControl/>
        <w:jc w:val="center"/>
        <w:rPr>
          <w:rFonts w:hint="eastAsia" w:ascii="思源黑体 CN Normal" w:hAnsi="思源黑体 CN Normal" w:eastAsia="思源黑体 CN Normal" w:cs="思源黑体 CN Normal"/>
          <w:b w:val="0"/>
          <w:bCs w:val="0"/>
          <w:color w:val="000000"/>
          <w:sz w:val="48"/>
          <w:szCs w:val="48"/>
        </w:rPr>
      </w:pPr>
    </w:p>
    <w:p>
      <w:pPr>
        <w:widowControl/>
        <w:jc w:val="center"/>
        <w:rPr>
          <w:rFonts w:hint="eastAsia" w:ascii="思源黑体 CN Normal" w:hAnsi="思源黑体 CN Normal" w:eastAsia="思源黑体 CN Normal" w:cs="思源黑体 CN Normal"/>
          <w:b w:val="0"/>
          <w:bCs w:val="0"/>
          <w:color w:val="000000"/>
          <w:sz w:val="48"/>
          <w:szCs w:val="48"/>
        </w:rPr>
      </w:pPr>
    </w:p>
    <w:p>
      <w:pPr>
        <w:widowControl/>
        <w:jc w:val="center"/>
        <w:rPr>
          <w:rFonts w:hint="eastAsia" w:ascii="思源黑体 CN Normal" w:hAnsi="思源黑体 CN Normal" w:eastAsia="思源黑体 CN Normal" w:cs="思源黑体 CN Normal"/>
          <w:b w:val="0"/>
          <w:bCs w:val="0"/>
          <w:color w:val="000000"/>
          <w:sz w:val="36"/>
          <w:szCs w:val="36"/>
        </w:rPr>
      </w:pPr>
      <w:r>
        <w:rPr>
          <w:rFonts w:hint="eastAsia" w:ascii="思源黑体 CN Normal" w:hAnsi="思源黑体 CN Normal" w:eastAsia="思源黑体 CN Normal" w:cs="思源黑体 CN Normal"/>
          <w:b w:val="0"/>
          <w:bCs w:val="0"/>
          <w:color w:val="000000"/>
          <w:sz w:val="48"/>
          <w:szCs w:val="48"/>
        </w:rPr>
        <w:t>目录</w:t>
      </w:r>
    </w:p>
    <w:p>
      <w:pPr>
        <w:pStyle w:val="11"/>
        <w:rPr>
          <w:color w:val="000000"/>
          <w:highlight w:val="none"/>
        </w:rPr>
      </w:pPr>
      <w:r>
        <w:rPr>
          <w:rFonts w:hint="eastAsia"/>
          <w:color w:val="000000"/>
          <w:highlight w:val="none"/>
        </w:rPr>
        <w:t>公开时间：20</w:t>
      </w:r>
      <w:r>
        <w:rPr>
          <w:rFonts w:hint="eastAsia"/>
          <w:color w:val="000000"/>
          <w:highlight w:val="none"/>
          <w:lang w:val="en-US" w:eastAsia="zh-CN"/>
        </w:rPr>
        <w:t>25</w:t>
      </w:r>
      <w:r>
        <w:rPr>
          <w:rFonts w:hint="eastAsia"/>
          <w:color w:val="000000"/>
          <w:highlight w:val="none"/>
        </w:rPr>
        <w:t>年</w:t>
      </w:r>
      <w:r>
        <w:rPr>
          <w:rFonts w:hint="eastAsia"/>
          <w:color w:val="000000"/>
          <w:highlight w:val="none"/>
          <w:lang w:val="en-US" w:eastAsia="zh-CN"/>
        </w:rPr>
        <w:t>9</w:t>
      </w:r>
      <w:r>
        <w:rPr>
          <w:rFonts w:hint="eastAsia"/>
          <w:color w:val="000000"/>
          <w:highlight w:val="none"/>
        </w:rPr>
        <w:t>月</w:t>
      </w:r>
      <w:r>
        <w:rPr>
          <w:rFonts w:hint="eastAsia"/>
          <w:color w:val="000000"/>
          <w:highlight w:val="none"/>
          <w:lang w:val="en-US" w:eastAsia="zh-CN"/>
        </w:rPr>
        <w:t>4</w:t>
      </w:r>
      <w:r>
        <w:rPr>
          <w:rFonts w:hint="eastAsia"/>
          <w:color w:val="000000"/>
          <w:highlight w:val="none"/>
        </w:rPr>
        <w:t>日</w:t>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TOC \o "1-2" \h \z \u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_Toc6656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第一部分部门概况</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_Toc6656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_Toc7497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部门职责</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_Toc7497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_Toc11376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二、机构设置</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_Toc11376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_Toc20558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第二部分</w:t>
      </w:r>
      <w:r>
        <w:rPr>
          <w:rFonts w:hint="eastAsia" w:ascii="Times New Roman" w:hAnsi="Times New Roman" w:eastAsia="仿宋_GB2312" w:cs="Times New Roman"/>
          <w:sz w:val="32"/>
          <w:szCs w:val="32"/>
          <w:lang w:val="en-US" w:eastAsia="zh-CN"/>
        </w:rPr>
        <w:t>2025年度</w:t>
      </w:r>
      <w:r>
        <w:rPr>
          <w:rFonts w:hint="eastAsia" w:ascii="Times New Roman" w:hAnsi="Times New Roman" w:eastAsia="仿宋_GB2312" w:cs="Times New Roman"/>
          <w:sz w:val="32"/>
          <w:szCs w:val="32"/>
        </w:rPr>
        <w:t>部门决算情况说明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_Toc20558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_Toc13431 </w:instrText>
      </w:r>
      <w:r>
        <w:rPr>
          <w:rFonts w:hint="eastAsia"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 xml:space="preserve">一、 </w:t>
      </w:r>
      <w:r>
        <w:rPr>
          <w:rFonts w:hint="eastAsia" w:ascii="Times New Roman" w:hAnsi="Times New Roman" w:eastAsia="仿宋_GB2312" w:cs="Times New Roman"/>
          <w:sz w:val="32"/>
          <w:szCs w:val="32"/>
        </w:rPr>
        <w:t>收入决算情况说明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_Toc13431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_Toc9758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lang w:eastAsia="zh-CN"/>
        </w:rPr>
        <w:t>三、</w:t>
      </w:r>
      <w:r>
        <w:rPr>
          <w:rFonts w:hint="eastAsia" w:ascii="Times New Roman" w:hAnsi="Times New Roman" w:eastAsia="仿宋_GB2312" w:cs="Times New Roman"/>
          <w:sz w:val="32"/>
          <w:szCs w:val="32"/>
        </w:rPr>
        <w:t>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_Toc9758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_Toc3698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四、财政拨款收入支出决算总体情况说明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_Toc3698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_Toc5772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五、一般公共预算财政拨款支出决算情况说明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_Toc5772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_Toc4147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六、一般公共预算财政拨款基本支出决算情况说明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_Toc4147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_Toc11724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七、财政拨款</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三公”经费支出决算情况说明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_Toc11724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_Toc13314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第三部分 名词解释</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_Toc13314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9</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_Toc10415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第四部分附件</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_Toc10415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12</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_Toc13511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第五部分附表</w:t>
      </w:r>
      <w:r>
        <w:rPr>
          <w:rFonts w:hint="default" w:ascii="Times New Roman" w:hAnsi="Times New Roman" w:eastAsia="仿宋_GB2312" w:cs="Times New Roman"/>
          <w:sz w:val="32"/>
          <w:szCs w:val="32"/>
        </w:rPr>
        <w:tab/>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lang w:val="en-US" w:eastAsia="zh-CN"/>
        </w:rPr>
        <w:t>5</w:t>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_Toc24054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一、收入支出决算总表</w:t>
      </w:r>
      <w:r>
        <w:rPr>
          <w:rFonts w:hint="default" w:ascii="Times New Roman" w:hAnsi="Times New Roman" w:eastAsia="仿宋_GB2312" w:cs="Times New Roman"/>
          <w:sz w:val="32"/>
          <w:szCs w:val="32"/>
        </w:rPr>
        <w:tab/>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lang w:val="en-US" w:eastAsia="zh-CN"/>
        </w:rPr>
        <w:t>5</w:t>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_Toc15668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二、收入决算表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_Toc15668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_Toc1418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三、支出决算表</w:t>
      </w:r>
      <w:r>
        <w:rPr>
          <w:rFonts w:hint="default" w:ascii="Times New Roman" w:hAnsi="Times New Roman" w:eastAsia="仿宋_GB2312" w:cs="Times New Roman"/>
          <w:sz w:val="32"/>
          <w:szCs w:val="32"/>
        </w:rPr>
        <w:tab/>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lang w:val="en-US" w:eastAsia="zh-CN"/>
        </w:rPr>
        <w:t>5</w:t>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_Toc22280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四、财政拨款收入支出决算总表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_Toc22280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_Toc3323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五、财政拨款支出决算明细表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_Toc3323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_Toc11793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六、一般公共预算财政拨款支出决算表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_Toc11793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_Toc31601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七、一般公共预算财政拨款支出决算明细表</w:t>
      </w:r>
      <w:r>
        <w:rPr>
          <w:rFonts w:hint="default" w:ascii="Times New Roman" w:hAnsi="Times New Roman" w:eastAsia="仿宋_GB2312" w:cs="Times New Roman"/>
          <w:sz w:val="32"/>
          <w:szCs w:val="32"/>
        </w:rPr>
        <w:tab/>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lang w:val="en-US" w:eastAsia="zh-CN"/>
        </w:rPr>
        <w:t>5</w:t>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_Toc21788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八、一般公共预算财政拨款基本支出决算表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_Toc21788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_Toc18343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九、一般公共预算财政拨款项目支出决算表</w:t>
      </w:r>
      <w:r>
        <w:rPr>
          <w:rFonts w:hint="default" w:ascii="Times New Roman" w:hAnsi="Times New Roman" w:eastAsia="仿宋_GB2312" w:cs="Times New Roman"/>
          <w:sz w:val="32"/>
          <w:szCs w:val="32"/>
        </w:rPr>
        <w:tab/>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lang w:val="en-US" w:eastAsia="zh-CN"/>
        </w:rPr>
        <w:t>5</w:t>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_Toc25237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十、政府性基金预算财政拨款收入支出决算表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_Toc25237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_Toc9865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十一、国有资本经营预算</w:t>
      </w:r>
      <w:r>
        <w:rPr>
          <w:rFonts w:hint="eastAsia" w:ascii="Times New Roman" w:hAnsi="Times New Roman" w:eastAsia="仿宋_GB2312" w:cs="Times New Roman"/>
          <w:sz w:val="32"/>
          <w:szCs w:val="32"/>
          <w:lang w:eastAsia="zh-CN"/>
        </w:rPr>
        <w:t>财政拨款收入</w:t>
      </w:r>
      <w:r>
        <w:rPr>
          <w:rFonts w:hint="eastAsia" w:ascii="Times New Roman" w:hAnsi="Times New Roman" w:eastAsia="仿宋_GB2312" w:cs="Times New Roman"/>
          <w:sz w:val="32"/>
          <w:szCs w:val="32"/>
        </w:rPr>
        <w:t>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_Toc9865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rPr>
        <w:fldChar w:fldCharType="end"/>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_Toc5921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十二、</w:t>
      </w:r>
      <w:r>
        <w:rPr>
          <w:rFonts w:hint="eastAsia" w:ascii="Times New Roman" w:hAnsi="Times New Roman" w:eastAsia="仿宋_GB2312" w:cs="Times New Roman"/>
          <w:sz w:val="32"/>
          <w:szCs w:val="32"/>
          <w:lang w:eastAsia="zh-CN"/>
        </w:rPr>
        <w:t>国有资本经营预算财政拨款支出决算表</w:t>
      </w:r>
      <w:r>
        <w:rPr>
          <w:rFonts w:hint="default" w:ascii="Times New Roman" w:hAnsi="Times New Roman" w:eastAsia="仿宋_GB2312" w:cs="Times New Roman"/>
          <w:sz w:val="32"/>
          <w:szCs w:val="32"/>
        </w:rPr>
        <w:tab/>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lang w:val="en-US" w:eastAsia="zh-CN"/>
        </w:rPr>
        <w:t>5</w:t>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fldChar w:fldCharType="begin"/>
      </w:r>
      <w:r>
        <w:rPr>
          <w:rFonts w:hint="eastAsia" w:ascii="Times New Roman" w:hAnsi="Times New Roman" w:eastAsia="仿宋_GB2312" w:cs="Times New Roman"/>
          <w:sz w:val="32"/>
          <w:szCs w:val="32"/>
        </w:rPr>
        <w:instrText xml:space="preserve"> HYPERLINK \l _Toc24559 </w:instrText>
      </w:r>
      <w:r>
        <w:rPr>
          <w:rFonts w:hint="eastAsia" w:ascii="Times New Roman" w:hAnsi="Times New Roman" w:eastAsia="仿宋_GB2312" w:cs="Times New Roman"/>
          <w:sz w:val="32"/>
          <w:szCs w:val="32"/>
        </w:rPr>
        <w:fldChar w:fldCharType="separate"/>
      </w:r>
      <w:r>
        <w:rPr>
          <w:rFonts w:hint="eastAsia" w:ascii="Times New Roman" w:hAnsi="Times New Roman" w:eastAsia="仿宋_GB2312" w:cs="Times New Roman"/>
          <w:sz w:val="32"/>
          <w:szCs w:val="32"/>
        </w:rPr>
        <w:t>十三、</w:t>
      </w:r>
      <w:r>
        <w:rPr>
          <w:rFonts w:hint="eastAsia" w:ascii="Times New Roman" w:hAnsi="Times New Roman" w:eastAsia="仿宋_GB2312" w:cs="Times New Roman"/>
          <w:sz w:val="32"/>
          <w:szCs w:val="32"/>
          <w:lang w:eastAsia="zh-CN"/>
        </w:rPr>
        <w:t>财政拨款“三公”经费支出决算表</w:t>
      </w:r>
      <w:r>
        <w:rPr>
          <w:rFonts w:hint="default" w:ascii="Times New Roman" w:hAnsi="Times New Roman" w:eastAsia="仿宋_GB2312" w:cs="Times New Roman"/>
          <w:sz w:val="32"/>
          <w:szCs w:val="32"/>
        </w:rPr>
        <w:tab/>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lang w:val="en-US" w:eastAsia="zh-CN"/>
        </w:rPr>
        <w:t>5</w:t>
      </w:r>
    </w:p>
    <w:p>
      <w:pPr>
        <w:pStyle w:val="11"/>
        <w:keepNext w:val="0"/>
        <w:keepLines w:val="0"/>
        <w:pageBreakBefore w:val="0"/>
        <w:tabs>
          <w:tab w:val="right" w:leader="dot" w:pos="8306"/>
          <w:tab w:val="clear" w:pos="8296"/>
        </w:tabs>
        <w:suppressAutoHyphen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sectPr>
          <w:headerReference r:id="rId3" w:type="default"/>
          <w:footerReference r:id="rId4" w:type="default"/>
          <w:pgSz w:w="11906" w:h="16838"/>
          <w:pgMar w:top="1440" w:right="1800" w:bottom="1440" w:left="1800" w:header="851" w:footer="992" w:gutter="0"/>
          <w:cols w:space="720" w:num="1"/>
          <w:docGrid w:type="lines" w:linePitch="312" w:charSpace="-6553"/>
        </w:sectPr>
      </w:pPr>
      <w:r>
        <w:rPr>
          <w:rFonts w:hint="eastAsia" w:ascii="Times New Roman" w:hAnsi="Times New Roman" w:eastAsia="仿宋_GB2312" w:cs="Times New Roman"/>
          <w:sz w:val="32"/>
          <w:szCs w:val="32"/>
        </w:rPr>
        <w:fldChar w:fldCharType="end"/>
      </w:r>
    </w:p>
    <w:p>
      <w:pPr>
        <w:pageBreakBefore w:val="0"/>
        <w:widowControl/>
        <w:kinsoku/>
        <w:wordWrap/>
        <w:overflowPunct/>
        <w:topLinePunct w:val="0"/>
        <w:autoSpaceDE/>
        <w:autoSpaceDN/>
        <w:bidi w:val="0"/>
        <w:spacing w:line="576" w:lineRule="exact"/>
        <w:jc w:val="center"/>
        <w:textAlignment w:val="auto"/>
        <w:rPr>
          <w:rStyle w:val="20"/>
          <w:rFonts w:hint="eastAsia" w:ascii="黑体" w:hAnsi="黑体" w:eastAsia="黑体"/>
          <w:b w:val="0"/>
          <w:bCs w:val="0"/>
          <w:color w:val="auto"/>
          <w:highlight w:val="none"/>
        </w:rPr>
      </w:pPr>
      <w:bookmarkStart w:id="0" w:name="_Toc15396599"/>
      <w:bookmarkStart w:id="1" w:name="_Toc15377196"/>
      <w:bookmarkStart w:id="2" w:name="_Toc32003"/>
      <w:bookmarkStart w:id="3" w:name="_Toc6656"/>
      <w:r>
        <w:rPr>
          <w:rStyle w:val="20"/>
          <w:rFonts w:hint="eastAsia" w:ascii="黑体" w:hAnsi="黑体" w:eastAsia="黑体" w:cs="Times New Roman"/>
          <w:b w:val="0"/>
          <w:bCs w:val="0"/>
          <w:color w:val="auto"/>
          <w:highlight w:val="none"/>
        </w:rPr>
        <w:t>第一部分</w:t>
      </w:r>
      <w:r>
        <w:rPr>
          <w:rStyle w:val="20"/>
          <w:rFonts w:hint="eastAsia" w:ascii="黑体" w:hAnsi="黑体" w:eastAsia="黑体"/>
          <w:b w:val="0"/>
          <w:bCs w:val="0"/>
          <w:color w:val="auto"/>
          <w:highlight w:val="none"/>
        </w:rPr>
        <w:t>部门概况</w:t>
      </w:r>
      <w:bookmarkEnd w:id="0"/>
      <w:bookmarkEnd w:id="1"/>
      <w:bookmarkEnd w:id="2"/>
    </w:p>
    <w:bookmarkEnd w:id="3"/>
    <w:p>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黑体" w:hAnsi="黑体" w:eastAsia="黑体"/>
          <w:b w:val="0"/>
          <w:color w:val="auto"/>
          <w:highlight w:val="none"/>
          <w:lang w:eastAsia="zh-CN"/>
        </w:rPr>
      </w:pPr>
      <w:bookmarkStart w:id="4" w:name="_Toc15396600"/>
      <w:bookmarkStart w:id="5" w:name="_Toc15377197"/>
      <w:bookmarkStart w:id="6" w:name="_Toc7497"/>
      <w:bookmarkStart w:id="7" w:name="_Toc26651"/>
      <w:r>
        <w:rPr>
          <w:rFonts w:hint="eastAsia" w:ascii="黑体" w:hAnsi="黑体" w:eastAsia="黑体"/>
          <w:b w:val="0"/>
          <w:color w:val="auto"/>
          <w:highlight w:val="none"/>
        </w:rPr>
        <w:t>一、</w:t>
      </w:r>
      <w:bookmarkEnd w:id="4"/>
      <w:bookmarkEnd w:id="5"/>
      <w:r>
        <w:rPr>
          <w:rFonts w:hint="eastAsia" w:ascii="黑体" w:hAnsi="黑体" w:eastAsia="黑体"/>
          <w:b w:val="0"/>
          <w:color w:val="auto"/>
          <w:highlight w:val="none"/>
          <w:lang w:eastAsia="zh-CN"/>
        </w:rPr>
        <w:t>部门职责</w:t>
      </w:r>
      <w:bookmarkEnd w:id="6"/>
      <w:bookmarkEnd w:id="7"/>
    </w:p>
    <w:p>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lang w:eastAsia="zh-CN"/>
        </w:rPr>
      </w:pPr>
      <w:bookmarkStart w:id="8" w:name="_Toc17364"/>
      <w:bookmarkStart w:id="9" w:name="_Toc10158"/>
      <w:bookmarkStart w:id="10" w:name="_Toc144394402"/>
      <w:bookmarkStart w:id="11" w:name="_Toc12086"/>
      <w:r>
        <w:rPr>
          <w:rFonts w:hint="eastAsia" w:ascii="仿宋_GB2312" w:eastAsia="仿宋_GB2312" w:cs="仿宋_GB2312"/>
          <w:b w:val="0"/>
          <w:bCs w:val="0"/>
          <w:color w:val="000000"/>
        </w:rPr>
        <w:t>听取残疾人意见，反映残疾人需求，维护残疾人权益，为残疾人服务；调查掌握残疾人状况，向县政府提出决策建议；团结、教育残疾人遵守</w:t>
      </w:r>
      <w:r>
        <w:rPr>
          <w:rFonts w:hint="eastAsia" w:ascii="仿宋_GB2312" w:eastAsia="仿宋_GB2312" w:cs="仿宋_GB2312"/>
          <w:b w:val="0"/>
          <w:bCs w:val="0"/>
          <w:color w:val="000000"/>
        </w:rPr>
        <w:fldChar w:fldCharType="begin"/>
      </w:r>
      <w:r>
        <w:instrText xml:space="preserve">HYPERLINK "http://www.110.com/fagui/"</w:instrText>
      </w:r>
      <w:r>
        <w:rPr>
          <w:rFonts w:hint="eastAsia" w:ascii="仿宋_GB2312" w:eastAsia="仿宋_GB2312" w:cs="仿宋_GB2312"/>
          <w:b w:val="0"/>
          <w:bCs w:val="0"/>
          <w:color w:val="000000"/>
        </w:rPr>
        <w:fldChar w:fldCharType="separate"/>
      </w:r>
      <w:r>
        <w:rPr>
          <w:rFonts w:hint="eastAsia" w:ascii="仿宋_GB2312" w:eastAsia="仿宋_GB2312" w:cs="仿宋_GB2312"/>
          <w:b w:val="0"/>
          <w:bCs w:val="0"/>
          <w:color w:val="000000"/>
        </w:rPr>
        <w:t>法律</w:t>
      </w:r>
      <w:r>
        <w:rPr>
          <w:rFonts w:hint="eastAsia" w:ascii="仿宋_GB2312" w:eastAsia="仿宋_GB2312" w:cs="仿宋_GB2312"/>
          <w:b w:val="0"/>
          <w:bCs w:val="0"/>
          <w:color w:val="000000"/>
        </w:rPr>
        <w:fldChar w:fldCharType="end"/>
      </w:r>
      <w:r>
        <w:rPr>
          <w:rFonts w:hint="eastAsia" w:ascii="仿宋_GB2312" w:eastAsia="仿宋_GB2312" w:cs="仿宋_GB2312"/>
          <w:b w:val="0"/>
          <w:bCs w:val="0"/>
          <w:color w:val="000000"/>
        </w:rPr>
        <w:t>、履行应尽的义务；弘扬人道主义，宣传残疾人事业；开展残疾人康复、教育、就业、职业培训、扶贫、文化、体育等工作；承担县政府残疾人工作协调委员会的日常工作；对各类残疾人社会团体组织和</w:t>
      </w:r>
      <w:r>
        <w:rPr>
          <w:rFonts w:hint="eastAsia" w:ascii="仿宋_GB2312" w:eastAsia="仿宋_GB2312" w:cs="仿宋_GB2312"/>
          <w:b w:val="0"/>
          <w:bCs w:val="0"/>
          <w:color w:val="000000"/>
        </w:rPr>
        <w:fldChar w:fldCharType="begin"/>
      </w:r>
      <w:r>
        <w:instrText xml:space="preserve">HYPERLINK "http://www.110.com/ask/browse-c72.html"</w:instrText>
      </w:r>
      <w:r>
        <w:rPr>
          <w:rFonts w:hint="eastAsia" w:ascii="仿宋_GB2312" w:eastAsia="仿宋_GB2312" w:cs="仿宋_GB2312"/>
          <w:b w:val="0"/>
          <w:bCs w:val="0"/>
          <w:color w:val="000000"/>
        </w:rPr>
        <w:fldChar w:fldCharType="separate"/>
      </w:r>
      <w:r>
        <w:rPr>
          <w:rFonts w:hint="eastAsia" w:ascii="仿宋_GB2312" w:eastAsia="仿宋_GB2312" w:cs="仿宋_GB2312"/>
          <w:b w:val="0"/>
          <w:bCs w:val="0"/>
          <w:color w:val="000000"/>
        </w:rPr>
        <w:t>经济</w:t>
      </w:r>
      <w:r>
        <w:rPr>
          <w:rFonts w:hint="eastAsia" w:ascii="仿宋_GB2312" w:eastAsia="仿宋_GB2312" w:cs="仿宋_GB2312"/>
          <w:b w:val="0"/>
          <w:bCs w:val="0"/>
          <w:color w:val="000000"/>
        </w:rPr>
        <w:fldChar w:fldCharType="end"/>
      </w:r>
      <w:r>
        <w:rPr>
          <w:rFonts w:hint="eastAsia" w:ascii="仿宋_GB2312" w:eastAsia="仿宋_GB2312" w:cs="仿宋_GB2312"/>
          <w:b w:val="0"/>
          <w:bCs w:val="0"/>
          <w:color w:val="000000"/>
        </w:rPr>
        <w:t>组织进行监督管理；统筹开展为残疾人事业募捐活动，加强对残疾人事业经费和残疾人福利基金的管理；开展残疾人事业的对外交流与合作；承办县政府和州残联交办的其他工作。</w:t>
      </w:r>
      <w:bookmarkEnd w:id="8"/>
      <w:bookmarkEnd w:id="9"/>
      <w:bookmarkEnd w:id="10"/>
      <w:bookmarkEnd w:id="11"/>
    </w:p>
    <w:p>
      <w:pPr>
        <w:pStyle w:val="4"/>
        <w:pageBreakBefore w:val="0"/>
        <w:kinsoku/>
        <w:wordWrap/>
        <w:overflowPunct/>
        <w:topLinePunct w:val="0"/>
        <w:autoSpaceDE/>
        <w:autoSpaceDN/>
        <w:bidi w:val="0"/>
        <w:spacing w:before="0" w:after="0" w:line="576" w:lineRule="exact"/>
        <w:ind w:firstLine="640" w:firstLineChars="200"/>
        <w:textAlignment w:val="auto"/>
        <w:rPr>
          <w:rStyle w:val="21"/>
          <w:b w:val="0"/>
          <w:bCs w:val="0"/>
          <w:color w:val="auto"/>
          <w:highlight w:val="none"/>
        </w:rPr>
      </w:pPr>
      <w:bookmarkStart w:id="12" w:name="_Toc15396601"/>
      <w:bookmarkStart w:id="13" w:name="_Toc15377200"/>
      <w:bookmarkStart w:id="14" w:name="_Toc11376"/>
      <w:bookmarkStart w:id="15" w:name="_Toc21295"/>
      <w:r>
        <w:rPr>
          <w:rFonts w:hint="eastAsia" w:ascii="黑体" w:eastAsia="黑体"/>
          <w:b w:val="0"/>
          <w:color w:val="auto"/>
          <w:highlight w:val="none"/>
        </w:rPr>
        <w:t>二、</w:t>
      </w:r>
      <w:r>
        <w:rPr>
          <w:rFonts w:hint="eastAsia" w:ascii="黑体" w:hAnsi="黑体" w:eastAsia="黑体"/>
          <w:b w:val="0"/>
          <w:color w:val="auto"/>
          <w:highlight w:val="none"/>
        </w:rPr>
        <w:t>机</w:t>
      </w:r>
      <w:r>
        <w:rPr>
          <w:rStyle w:val="21"/>
          <w:rFonts w:hint="eastAsia" w:ascii="黑体" w:hAnsi="黑体" w:eastAsia="黑体"/>
          <w:b w:val="0"/>
          <w:bCs w:val="0"/>
          <w:color w:val="auto"/>
          <w:highlight w:val="none"/>
        </w:rPr>
        <w:t>构设置</w:t>
      </w:r>
      <w:bookmarkEnd w:id="12"/>
      <w:bookmarkEnd w:id="13"/>
      <w:bookmarkEnd w:id="14"/>
      <w:bookmarkEnd w:id="15"/>
    </w:p>
    <w:p>
      <w:pPr>
        <w:pageBreakBefore w:val="0"/>
        <w:widowControl/>
        <w:kinsoku/>
        <w:wordWrap/>
        <w:overflowPunct/>
        <w:topLinePunct w:val="0"/>
        <w:autoSpaceDE/>
        <w:autoSpaceDN/>
        <w:bidi w:val="0"/>
        <w:adjustRightInd w:val="0"/>
        <w:snapToGrid w:val="0"/>
        <w:spacing w:line="576" w:lineRule="exact"/>
        <w:ind w:left="0" w:leftChars="0" w:right="0" w:firstLine="640" w:firstLineChars="200"/>
        <w:jc w:val="both"/>
        <w:textAlignment w:val="auto"/>
        <w:rPr>
          <w:rFonts w:hint="eastAsia" w:ascii="仿宋_GB2312" w:eastAsia="仿宋_GB2312" w:cs="宋体"/>
          <w:color w:val="000000"/>
          <w:kern w:val="0"/>
          <w:sz w:val="32"/>
          <w:szCs w:val="32"/>
          <w:shd w:val="clear" w:color="auto" w:fill="FFFFFF"/>
          <w:lang w:val="zh-CN"/>
        </w:rPr>
      </w:pPr>
      <w:bookmarkStart w:id="16" w:name="_Toc15396602"/>
      <w:bookmarkStart w:id="17" w:name="_Toc15377204"/>
      <w:r>
        <w:rPr>
          <w:rFonts w:hint="eastAsia" w:ascii="仿宋_GB2312" w:eastAsia="仿宋_GB2312"/>
          <w:sz w:val="32"/>
          <w:szCs w:val="32"/>
        </w:rPr>
        <w:t>茂县残疾人联合会</w:t>
      </w:r>
      <w:bookmarkStart w:id="18" w:name="_Toc1045"/>
      <w:r>
        <w:rPr>
          <w:rFonts w:hint="eastAsia" w:ascii="仿宋_GB2312" w:eastAsia="仿宋_GB2312" w:cs="宋体"/>
          <w:color w:val="000000"/>
          <w:kern w:val="0"/>
          <w:sz w:val="32"/>
          <w:szCs w:val="32"/>
          <w:shd w:val="clear" w:color="auto" w:fill="FFFFFF"/>
          <w:lang w:val="zh-CN"/>
        </w:rPr>
        <w:t>下属二级</w:t>
      </w:r>
      <w:r>
        <w:rPr>
          <w:rFonts w:hint="eastAsia" w:ascii="仿宋_GB2312" w:eastAsia="仿宋_GB2312" w:cs="宋体"/>
          <w:color w:val="000000"/>
          <w:kern w:val="0"/>
          <w:sz w:val="32"/>
          <w:szCs w:val="32"/>
          <w:shd w:val="clear" w:color="auto" w:fill="FFFFFF"/>
          <w:lang w:val="zh-CN" w:eastAsia="zh-CN"/>
        </w:rPr>
        <w:t>预算</w:t>
      </w:r>
      <w:r>
        <w:rPr>
          <w:rFonts w:hint="eastAsia" w:ascii="仿宋_GB2312" w:eastAsia="仿宋_GB2312" w:cs="宋体"/>
          <w:color w:val="000000"/>
          <w:kern w:val="0"/>
          <w:sz w:val="32"/>
          <w:szCs w:val="32"/>
          <w:shd w:val="clear" w:color="auto" w:fill="FFFFFF"/>
          <w:lang w:val="zh-CN"/>
        </w:rPr>
        <w:t>单位</w:t>
      </w:r>
      <w:r>
        <w:rPr>
          <w:rFonts w:hint="eastAsia" w:ascii="仿宋_GB2312" w:eastAsia="仿宋_GB2312" w:cs="宋体"/>
          <w:color w:val="000000"/>
          <w:kern w:val="0"/>
          <w:sz w:val="32"/>
          <w:szCs w:val="32"/>
          <w:shd w:val="clear" w:color="auto" w:fill="FFFFFF"/>
          <w:lang w:val="en-US" w:eastAsia="zh-CN"/>
        </w:rPr>
        <w:t>1</w:t>
      </w:r>
      <w:r>
        <w:rPr>
          <w:rFonts w:hint="eastAsia" w:ascii="仿宋_GB2312" w:eastAsia="仿宋_GB2312" w:cs="宋体"/>
          <w:color w:val="000000"/>
          <w:kern w:val="0"/>
          <w:sz w:val="32"/>
          <w:szCs w:val="32"/>
          <w:shd w:val="clear" w:color="auto" w:fill="FFFFFF"/>
          <w:lang w:val="zh-CN"/>
        </w:rPr>
        <w:t>个，其中行政单位</w:t>
      </w:r>
      <w:r>
        <w:rPr>
          <w:rFonts w:hint="eastAsia" w:ascii="仿宋_GB2312" w:eastAsia="仿宋_GB2312" w:cs="宋体"/>
          <w:color w:val="000000"/>
          <w:kern w:val="0"/>
          <w:sz w:val="32"/>
          <w:szCs w:val="32"/>
          <w:shd w:val="clear" w:color="auto" w:fill="FFFFFF"/>
          <w:lang w:val="en-US" w:eastAsia="zh-CN"/>
        </w:rPr>
        <w:t>1</w:t>
      </w:r>
      <w:r>
        <w:rPr>
          <w:rFonts w:hint="eastAsia" w:ascii="仿宋_GB2312" w:eastAsia="仿宋_GB2312" w:cs="宋体"/>
          <w:color w:val="000000"/>
          <w:kern w:val="0"/>
          <w:sz w:val="32"/>
          <w:szCs w:val="32"/>
          <w:shd w:val="clear" w:color="auto" w:fill="FFFFFF"/>
          <w:lang w:val="zh-CN"/>
        </w:rPr>
        <w:t>个，参照公务员法管理的事业单位</w:t>
      </w:r>
      <w:r>
        <w:rPr>
          <w:rFonts w:hint="eastAsia" w:ascii="仿宋_GB2312" w:eastAsia="仿宋_GB2312" w:cs="宋体"/>
          <w:color w:val="000000"/>
          <w:kern w:val="0"/>
          <w:sz w:val="32"/>
          <w:szCs w:val="32"/>
          <w:shd w:val="clear" w:color="auto" w:fill="FFFFFF"/>
          <w:lang w:val="en-US" w:eastAsia="zh-CN"/>
        </w:rPr>
        <w:t>0</w:t>
      </w:r>
      <w:r>
        <w:rPr>
          <w:rFonts w:hint="eastAsia" w:ascii="仿宋_GB2312" w:eastAsia="仿宋_GB2312" w:cs="宋体"/>
          <w:color w:val="000000"/>
          <w:kern w:val="0"/>
          <w:sz w:val="32"/>
          <w:szCs w:val="32"/>
          <w:shd w:val="clear" w:color="auto" w:fill="FFFFFF"/>
          <w:lang w:val="zh-CN"/>
        </w:rPr>
        <w:t>个，其他事业单位</w:t>
      </w:r>
      <w:r>
        <w:rPr>
          <w:rFonts w:hint="eastAsia" w:ascii="仿宋_GB2312" w:eastAsia="仿宋_GB2312" w:cs="宋体"/>
          <w:color w:val="000000"/>
          <w:kern w:val="0"/>
          <w:sz w:val="32"/>
          <w:szCs w:val="32"/>
          <w:shd w:val="clear" w:color="auto" w:fill="FFFFFF"/>
          <w:lang w:val="en-US" w:eastAsia="zh-CN"/>
        </w:rPr>
        <w:t>1</w:t>
      </w:r>
      <w:r>
        <w:rPr>
          <w:rFonts w:hint="eastAsia" w:ascii="仿宋_GB2312" w:eastAsia="仿宋_GB2312" w:cs="宋体"/>
          <w:color w:val="000000"/>
          <w:kern w:val="0"/>
          <w:sz w:val="32"/>
          <w:szCs w:val="32"/>
          <w:shd w:val="clear" w:color="auto" w:fill="FFFFFF"/>
          <w:lang w:val="zh-CN"/>
        </w:rPr>
        <w:t>个。</w:t>
      </w:r>
    </w:p>
    <w:p>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hint="eastAsia" w:ascii="仿宋_GB2312" w:eastAsia="仿宋_GB2312" w:cs="宋体"/>
          <w:color w:val="000000"/>
          <w:kern w:val="0"/>
          <w:sz w:val="32"/>
          <w:szCs w:val="32"/>
          <w:shd w:val="clear" w:color="auto" w:fill="FFFFFF"/>
          <w:lang w:val="en-US" w:eastAsia="zh-CN"/>
        </w:rPr>
      </w:pPr>
      <w:r>
        <w:rPr>
          <w:rFonts w:hint="eastAsia" w:ascii="仿宋_GB2312" w:eastAsia="仿宋_GB2312" w:cs="宋体"/>
          <w:color w:val="000000"/>
          <w:kern w:val="0"/>
          <w:sz w:val="32"/>
          <w:szCs w:val="32"/>
          <w:shd w:val="clear" w:color="auto" w:fill="FFFFFF"/>
          <w:lang w:val="zh-CN"/>
        </w:rPr>
        <w:t>纳入</w:t>
      </w:r>
      <w:r>
        <w:rPr>
          <w:rFonts w:hint="eastAsia" w:ascii="仿宋_GB2312" w:eastAsia="仿宋_GB2312"/>
          <w:sz w:val="32"/>
          <w:szCs w:val="32"/>
        </w:rPr>
        <w:t>茂县残疾人联合会</w:t>
      </w:r>
      <w:r>
        <w:rPr>
          <w:rFonts w:hint="eastAsia" w:ascii="仿宋_GB2312" w:eastAsia="仿宋_GB2312" w:cs="宋体"/>
          <w:color w:val="000000"/>
          <w:kern w:val="0"/>
          <w:sz w:val="32"/>
          <w:szCs w:val="32"/>
          <w:shd w:val="clear" w:color="auto" w:fill="FFFFFF"/>
          <w:lang w:val="zh-CN" w:eastAsia="zh-CN"/>
        </w:rPr>
        <w:t>202</w:t>
      </w:r>
      <w:r>
        <w:rPr>
          <w:rFonts w:hint="eastAsia" w:ascii="仿宋_GB2312" w:eastAsia="仿宋_GB2312" w:cs="宋体"/>
          <w:color w:val="000000"/>
          <w:kern w:val="0"/>
          <w:sz w:val="32"/>
          <w:szCs w:val="32"/>
          <w:shd w:val="clear" w:color="auto" w:fill="FFFFFF"/>
          <w:lang w:val="en-US" w:eastAsia="zh-CN"/>
        </w:rPr>
        <w:t>5</w:t>
      </w:r>
      <w:r>
        <w:rPr>
          <w:rFonts w:hint="eastAsia" w:ascii="仿宋_GB2312" w:eastAsia="仿宋_GB2312" w:cs="宋体"/>
          <w:color w:val="000000"/>
          <w:kern w:val="0"/>
          <w:sz w:val="32"/>
          <w:szCs w:val="32"/>
          <w:shd w:val="clear" w:color="auto" w:fill="FFFFFF"/>
          <w:lang w:val="zh-CN" w:eastAsia="zh-CN"/>
        </w:rPr>
        <w:t>年度</w:t>
      </w:r>
      <w:r>
        <w:rPr>
          <w:rFonts w:hint="eastAsia" w:ascii="仿宋_GB2312" w:eastAsia="仿宋_GB2312" w:cs="宋体"/>
          <w:color w:val="000000"/>
          <w:kern w:val="0"/>
          <w:sz w:val="32"/>
          <w:szCs w:val="32"/>
          <w:shd w:val="clear" w:color="auto" w:fill="FFFFFF"/>
          <w:lang w:val="zh-CN"/>
        </w:rPr>
        <w:t>部门决算编制范围的二级预算单位包括：</w:t>
      </w:r>
      <w:r>
        <w:rPr>
          <w:rFonts w:hint="eastAsia" w:ascii="仿宋_GB2312" w:eastAsia="仿宋_GB2312" w:cs="宋体"/>
          <w:color w:val="000000"/>
          <w:kern w:val="0"/>
          <w:sz w:val="32"/>
          <w:szCs w:val="32"/>
          <w:shd w:val="clear" w:color="auto" w:fill="FFFFFF"/>
          <w:lang w:val="en-US" w:eastAsia="zh-CN"/>
        </w:rPr>
        <w:t>茂县残疾人康复中心。</w:t>
      </w:r>
    </w:p>
    <w:p>
      <w:pPr>
        <w:pageBreakBefore w:val="0"/>
        <w:widowControl/>
        <w:kinsoku/>
        <w:wordWrap/>
        <w:overflowPunct/>
        <w:topLinePunct w:val="0"/>
        <w:autoSpaceDE/>
        <w:autoSpaceDN/>
        <w:bidi w:val="0"/>
        <w:spacing w:line="576" w:lineRule="exact"/>
        <w:jc w:val="center"/>
        <w:textAlignment w:val="auto"/>
        <w:rPr>
          <w:rStyle w:val="20"/>
          <w:rFonts w:hint="eastAsia" w:ascii="黑体" w:hAnsi="黑体" w:eastAsia="黑体" w:cs="Times New Roman"/>
          <w:b w:val="0"/>
          <w:bCs w:val="0"/>
          <w:color w:val="auto"/>
          <w:highlight w:val="none"/>
        </w:rPr>
      </w:pPr>
      <w:bookmarkStart w:id="19" w:name="_Toc20558"/>
    </w:p>
    <w:p>
      <w:pPr>
        <w:pageBreakBefore w:val="0"/>
        <w:widowControl/>
        <w:kinsoku/>
        <w:wordWrap/>
        <w:overflowPunct/>
        <w:topLinePunct w:val="0"/>
        <w:autoSpaceDE/>
        <w:autoSpaceDN/>
        <w:bidi w:val="0"/>
        <w:spacing w:line="576" w:lineRule="exact"/>
        <w:jc w:val="center"/>
        <w:textAlignment w:val="auto"/>
        <w:rPr>
          <w:rStyle w:val="20"/>
          <w:rFonts w:hint="eastAsia" w:ascii="黑体" w:hAnsi="黑体" w:eastAsia="黑体" w:cs="Times New Roman"/>
          <w:b w:val="0"/>
          <w:bCs w:val="0"/>
          <w:color w:val="auto"/>
          <w:highlight w:val="none"/>
        </w:rPr>
      </w:pPr>
    </w:p>
    <w:p>
      <w:pPr>
        <w:pageBreakBefore w:val="0"/>
        <w:widowControl/>
        <w:kinsoku/>
        <w:wordWrap/>
        <w:overflowPunct/>
        <w:topLinePunct w:val="0"/>
        <w:autoSpaceDE/>
        <w:autoSpaceDN/>
        <w:bidi w:val="0"/>
        <w:spacing w:line="576" w:lineRule="exact"/>
        <w:jc w:val="center"/>
        <w:textAlignment w:val="auto"/>
        <w:rPr>
          <w:rStyle w:val="20"/>
          <w:rFonts w:hint="eastAsia" w:ascii="黑体" w:hAnsi="黑体" w:eastAsia="黑体" w:cs="Times New Roman"/>
          <w:b w:val="0"/>
          <w:bCs w:val="0"/>
          <w:color w:val="auto"/>
          <w:highlight w:val="none"/>
        </w:rPr>
      </w:pPr>
    </w:p>
    <w:p>
      <w:pPr>
        <w:pageBreakBefore w:val="0"/>
        <w:widowControl/>
        <w:kinsoku/>
        <w:wordWrap/>
        <w:overflowPunct/>
        <w:topLinePunct w:val="0"/>
        <w:autoSpaceDE/>
        <w:autoSpaceDN/>
        <w:bidi w:val="0"/>
        <w:spacing w:line="576" w:lineRule="exact"/>
        <w:jc w:val="center"/>
        <w:textAlignment w:val="auto"/>
        <w:rPr>
          <w:rStyle w:val="20"/>
          <w:rFonts w:hint="eastAsia" w:ascii="黑体" w:hAnsi="黑体" w:eastAsia="黑体" w:cs="Times New Roman"/>
          <w:b w:val="0"/>
          <w:bCs w:val="0"/>
          <w:color w:val="auto"/>
          <w:highlight w:val="none"/>
        </w:rPr>
      </w:pPr>
    </w:p>
    <w:p>
      <w:pPr>
        <w:pageBreakBefore w:val="0"/>
        <w:widowControl/>
        <w:kinsoku/>
        <w:wordWrap/>
        <w:overflowPunct/>
        <w:topLinePunct w:val="0"/>
        <w:autoSpaceDE/>
        <w:autoSpaceDN/>
        <w:bidi w:val="0"/>
        <w:spacing w:line="576" w:lineRule="exact"/>
        <w:jc w:val="center"/>
        <w:textAlignment w:val="auto"/>
        <w:rPr>
          <w:rStyle w:val="20"/>
          <w:rFonts w:hint="eastAsia" w:ascii="黑体" w:hAnsi="黑体" w:eastAsia="黑体" w:cs="Times New Roman"/>
          <w:b w:val="0"/>
          <w:bCs w:val="0"/>
          <w:color w:val="auto"/>
          <w:highlight w:val="none"/>
        </w:rPr>
      </w:pPr>
    </w:p>
    <w:p>
      <w:pPr>
        <w:pageBreakBefore w:val="0"/>
        <w:widowControl/>
        <w:kinsoku/>
        <w:wordWrap/>
        <w:overflowPunct/>
        <w:topLinePunct w:val="0"/>
        <w:autoSpaceDE/>
        <w:autoSpaceDN/>
        <w:bidi w:val="0"/>
        <w:spacing w:line="576" w:lineRule="exact"/>
        <w:jc w:val="center"/>
        <w:textAlignment w:val="auto"/>
        <w:rPr>
          <w:rStyle w:val="20"/>
          <w:rFonts w:hint="eastAsia" w:ascii="黑体" w:hAnsi="黑体" w:eastAsia="黑体" w:cs="Times New Roman"/>
          <w:b w:val="0"/>
          <w:bCs w:val="0"/>
          <w:color w:val="auto"/>
          <w:highlight w:val="none"/>
        </w:rPr>
      </w:pPr>
    </w:p>
    <w:p>
      <w:pPr>
        <w:pageBreakBefore w:val="0"/>
        <w:widowControl/>
        <w:kinsoku/>
        <w:wordWrap/>
        <w:overflowPunct/>
        <w:topLinePunct w:val="0"/>
        <w:autoSpaceDE/>
        <w:autoSpaceDN/>
        <w:bidi w:val="0"/>
        <w:spacing w:line="576" w:lineRule="exact"/>
        <w:jc w:val="center"/>
        <w:textAlignment w:val="auto"/>
        <w:rPr>
          <w:rStyle w:val="20"/>
          <w:rFonts w:hint="eastAsia" w:ascii="黑体" w:hAnsi="黑体" w:eastAsia="黑体" w:cs="Times New Roman"/>
          <w:b w:val="0"/>
          <w:bCs w:val="0"/>
          <w:color w:val="auto"/>
          <w:highlight w:val="none"/>
        </w:rPr>
      </w:pPr>
      <w:r>
        <w:rPr>
          <w:rStyle w:val="20"/>
          <w:rFonts w:hint="eastAsia" w:ascii="黑体" w:hAnsi="黑体" w:eastAsia="黑体" w:cs="Times New Roman"/>
          <w:b w:val="0"/>
          <w:bCs w:val="0"/>
          <w:color w:val="auto"/>
          <w:highlight w:val="none"/>
        </w:rPr>
        <w:t>第二部分</w:t>
      </w:r>
      <w:r>
        <w:rPr>
          <w:rStyle w:val="20"/>
          <w:rFonts w:hint="eastAsia" w:ascii="黑体" w:hAnsi="黑体" w:eastAsia="黑体" w:cs="Times New Roman"/>
          <w:b w:val="0"/>
          <w:bCs w:val="0"/>
          <w:color w:val="auto"/>
          <w:highlight w:val="none"/>
          <w:lang w:val="en-US" w:eastAsia="zh-CN"/>
        </w:rPr>
        <w:t>2025年度</w:t>
      </w:r>
      <w:r>
        <w:rPr>
          <w:rStyle w:val="20"/>
          <w:rFonts w:hint="eastAsia" w:ascii="黑体" w:hAnsi="黑体" w:eastAsia="黑体" w:cs="Times New Roman"/>
          <w:b w:val="0"/>
          <w:bCs w:val="0"/>
          <w:color w:val="auto"/>
          <w:highlight w:val="none"/>
        </w:rPr>
        <w:t>部门决算情况说明</w:t>
      </w:r>
      <w:bookmarkEnd w:id="16"/>
      <w:bookmarkEnd w:id="17"/>
      <w:bookmarkEnd w:id="18"/>
      <w:bookmarkStart w:id="20" w:name="_Toc16610"/>
      <w:bookmarkStart w:id="21" w:name="_Toc15396603"/>
      <w:bookmarkStart w:id="22" w:name="_Toc15377205"/>
    </w:p>
    <w:bookmarkEnd w:id="19"/>
    <w:p>
      <w:pPr>
        <w:pageBreakBefore w:val="0"/>
        <w:widowControl/>
        <w:kinsoku/>
        <w:wordWrap/>
        <w:overflowPunct/>
        <w:topLinePunct w:val="0"/>
        <w:autoSpaceDE/>
        <w:autoSpaceDN/>
        <w:bidi w:val="0"/>
        <w:spacing w:line="576" w:lineRule="exact"/>
        <w:ind w:firstLine="640" w:firstLineChars="200"/>
        <w:jc w:val="both"/>
        <w:textAlignment w:val="auto"/>
        <w:rPr>
          <w:rFonts w:hint="eastAsia" w:ascii="黑体" w:hAnsi="黑体" w:eastAsia="黑体" w:cs="Times New Roman"/>
          <w:b w:val="0"/>
          <w:bCs/>
          <w:color w:val="auto"/>
          <w:kern w:val="2"/>
          <w:sz w:val="32"/>
          <w:szCs w:val="32"/>
          <w:highlight w:val="none"/>
          <w:lang w:val="en-US" w:eastAsia="zh-CN" w:bidi="ar-SA"/>
        </w:rPr>
      </w:pPr>
      <w:r>
        <w:rPr>
          <w:rFonts w:hint="eastAsia" w:ascii="黑体" w:hAnsi="黑体" w:eastAsia="黑体" w:cs="Times New Roman"/>
          <w:b w:val="0"/>
          <w:bCs/>
          <w:color w:val="auto"/>
          <w:kern w:val="2"/>
          <w:sz w:val="32"/>
          <w:szCs w:val="32"/>
          <w:highlight w:val="none"/>
          <w:lang w:val="en-US" w:eastAsia="zh-CN" w:bidi="ar-SA"/>
        </w:rPr>
        <w:t>一、收入支出决算总体情况说明</w:t>
      </w:r>
      <w:bookmarkEnd w:id="20"/>
      <w:bookmarkEnd w:id="21"/>
      <w:bookmarkEnd w:id="22"/>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年度收入、支出总计均为3</w:t>
      </w:r>
      <w:r>
        <w:rPr>
          <w:rFonts w:hint="eastAsia" w:ascii="仿宋_GB2312" w:hAnsi="仿宋_GB2312" w:eastAsia="仿宋_GB2312" w:cs="仿宋_GB2312"/>
          <w:sz w:val="32"/>
          <w:szCs w:val="32"/>
          <w:lang w:val="en-US" w:eastAsia="zh-CN"/>
        </w:rPr>
        <w:t>67.89</w:t>
      </w:r>
      <w:r>
        <w:rPr>
          <w:rFonts w:hint="eastAsia" w:ascii="仿宋_GB2312" w:hAnsi="仿宋_GB2312" w:eastAsia="仿宋_GB2312" w:cs="仿宋_GB2312"/>
          <w:sz w:val="32"/>
          <w:szCs w:val="32"/>
        </w:rPr>
        <w:t>万元。与202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年度相比，收入、支出总计各增加</w:t>
      </w:r>
      <w:r>
        <w:rPr>
          <w:rFonts w:hint="eastAsia" w:ascii="仿宋_GB2312" w:hAnsi="仿宋_GB2312" w:eastAsia="仿宋_GB2312" w:cs="仿宋_GB2312"/>
          <w:sz w:val="32"/>
          <w:szCs w:val="32"/>
          <w:lang w:val="en-US" w:eastAsia="zh-CN"/>
        </w:rPr>
        <w:t>25.37</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人员工资保险变动。</w:t>
      </w:r>
    </w:p>
    <w:p>
      <w:pPr>
        <w:spacing w:line="600" w:lineRule="exact"/>
        <w:ind w:firstLine="640" w:firstLineChars="200"/>
        <w:rPr>
          <w:rFonts w:hint="eastAsia" w:ascii="仿宋" w:hAnsi="仿宋" w:eastAsia="仿宋"/>
          <w:color w:val="auto"/>
          <w:sz w:val="32"/>
          <w:szCs w:val="32"/>
          <w:highlight w:val="none"/>
        </w:rPr>
      </w:pPr>
    </w:p>
    <w:p>
      <w:pPr>
        <w:pStyle w:val="13"/>
        <w:rPr>
          <w:rFonts w:hint="eastAsia" w:ascii="仿宋" w:hAnsi="仿宋" w:eastAsia="仿宋"/>
          <w:color w:val="auto"/>
          <w:sz w:val="32"/>
          <w:szCs w:val="32"/>
          <w:highlight w:val="none"/>
        </w:rPr>
      </w:pPr>
      <w:r>
        <w:rPr>
          <w:rFonts w:hint="eastAsia" w:ascii="仿宋" w:hAnsi="Times New Roman" w:eastAsia="仿宋"/>
          <w:color w:val="FF0000"/>
          <w:sz w:val="32"/>
          <w:szCs w:val="32"/>
        </w:rPr>
        <w:pict>
          <v:shape id="Object 5" o:spid="_x0000_s1026" o:spt="75" type="#_x0000_t75" style="position:absolute;left:0pt;margin-left:60.45pt;margin-top:-40.65pt;height:181.9pt;width:267.55pt;z-index:-251657216;mso-width-relative:page;mso-height-relative:page;" o:ole="t" filled="f" o:preferrelative="t" stroked="f" coordsize="21600,21600">
            <v:path/>
            <v:fill on="f" focussize="0,0"/>
            <v:stroke on="f"/>
            <v:imagedata r:id="rId8" o:title=""/>
            <o:lock v:ext="edit" aspectratio="t"/>
          </v:shape>
          <o:OLEObject Type="Embed" ProgID="Excel.Chart.8" ShapeID="Object 5" DrawAspect="Content" ObjectID="_1468075725" r:id="rId7">
            <o:LockedField>false</o:LockedField>
          </o:OLEObject>
        </w:pict>
      </w:r>
    </w:p>
    <w:p>
      <w:pPr>
        <w:rPr>
          <w:rFonts w:hint="eastAsia" w:ascii="仿宋" w:hAnsi="仿宋" w:eastAsia="仿宋"/>
          <w:color w:val="auto"/>
          <w:sz w:val="32"/>
          <w:szCs w:val="32"/>
          <w:highlight w:val="none"/>
        </w:rPr>
      </w:pPr>
    </w:p>
    <w:p>
      <w:pPr>
        <w:pStyle w:val="13"/>
        <w:rPr>
          <w:rFonts w:hint="eastAsia"/>
        </w:rPr>
      </w:pPr>
    </w:p>
    <w:p>
      <w:pPr>
        <w:spacing w:line="600" w:lineRule="exact"/>
        <w:ind w:firstLine="640" w:firstLineChars="200"/>
        <w:rPr>
          <w:rFonts w:hint="eastAsia" w:ascii="仿宋" w:hAnsi="仿宋" w:eastAsia="仿宋"/>
          <w:color w:val="auto"/>
          <w:sz w:val="32"/>
          <w:szCs w:val="32"/>
          <w:highlight w:val="none"/>
        </w:rPr>
      </w:pPr>
    </w:p>
    <w:p>
      <w:pPr>
        <w:pStyle w:val="8"/>
        <w:ind w:left="0" w:leftChars="0" w:firstLine="0" w:firstLineChars="0"/>
        <w:rPr>
          <w:rFonts w:hint="eastAsia" w:ascii="仿宋" w:hAnsi="仿宋" w:eastAsia="仿宋"/>
          <w:color w:val="auto"/>
          <w:sz w:val="32"/>
          <w:szCs w:val="32"/>
          <w:highlight w:val="none"/>
        </w:rPr>
      </w:pPr>
    </w:p>
    <w:p>
      <w:pPr>
        <w:pStyle w:val="22"/>
        <w:numPr>
          <w:ilvl w:val="0"/>
          <w:numId w:val="1"/>
        </w:numPr>
        <w:spacing w:line="600" w:lineRule="exact"/>
        <w:ind w:firstLineChars="0"/>
        <w:outlineLvl w:val="1"/>
        <w:rPr>
          <w:rStyle w:val="21"/>
          <w:rFonts w:ascii="黑体" w:hAnsi="黑体" w:eastAsia="黑体"/>
          <w:b w:val="0"/>
          <w:color w:val="auto"/>
          <w:highlight w:val="none"/>
        </w:rPr>
      </w:pPr>
      <w:bookmarkStart w:id="23" w:name="_Toc15396604"/>
      <w:bookmarkStart w:id="24" w:name="_Toc27183"/>
      <w:bookmarkStart w:id="25" w:name="_Toc15377206"/>
      <w:bookmarkStart w:id="26" w:name="_Toc13431"/>
      <w:r>
        <w:rPr>
          <w:rFonts w:hint="eastAsia" w:ascii="黑体" w:hAnsi="黑体" w:eastAsia="黑体"/>
          <w:color w:val="auto"/>
          <w:sz w:val="32"/>
          <w:szCs w:val="32"/>
          <w:highlight w:val="none"/>
        </w:rPr>
        <w:t>收</w:t>
      </w:r>
      <w:r>
        <w:rPr>
          <w:rStyle w:val="21"/>
          <w:rFonts w:hint="eastAsia" w:ascii="黑体" w:hAnsi="黑体" w:eastAsia="黑体"/>
          <w:b w:val="0"/>
          <w:color w:val="auto"/>
          <w:highlight w:val="none"/>
        </w:rPr>
        <w:t>入决算情况说明</w:t>
      </w:r>
      <w:bookmarkEnd w:id="23"/>
      <w:bookmarkEnd w:id="24"/>
      <w:bookmarkEnd w:id="25"/>
      <w:bookmarkEnd w:id="26"/>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olor w:val="auto"/>
          <w:sz w:val="32"/>
          <w:szCs w:val="32"/>
          <w:highlight w:val="none"/>
        </w:rPr>
      </w:pPr>
      <w:bookmarkStart w:id="27" w:name="_Toc9365"/>
      <w:r>
        <w:rPr>
          <w:rFonts w:ascii="仿宋" w:hAnsi="Times New Roman" w:eastAsia="仿宋"/>
          <w:color w:val="000000"/>
          <w:kern w:val="2"/>
          <w:sz w:val="32"/>
          <w:szCs w:val="32"/>
        </w:rPr>
        <w:pict>
          <v:shape id="Object 8" o:spid="_x0000_s1027" o:spt="75" type="#_x0000_t75" style="position:absolute;left:0pt;margin-left:104.55pt;margin-top:83.6pt;height:157.75pt;width:192.65pt;z-index:-251656192;mso-width-relative:page;mso-height-relative:page;" o:ole="t" filled="f" o:preferrelative="t" stroked="f" coordsize="21600,21600">
            <v:path/>
            <v:fill on="f" focussize="0,0"/>
            <v:stroke on="f"/>
            <v:imagedata r:id="rId10" o:title=""/>
            <o:lock v:ext="edit" aspectratio="t"/>
          </v:shape>
          <o:OLEObject Type="Embed" ProgID="Excel.Chart.8" ShapeID="Object 8" DrawAspect="Content" ObjectID="_1468075726" r:id="rId9">
            <o:LockedField>false</o:LockedField>
          </o:OLEObject>
        </w:pic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年度本年收入合计3</w:t>
      </w:r>
      <w:r>
        <w:rPr>
          <w:rFonts w:hint="eastAsia" w:ascii="仿宋_GB2312" w:hAnsi="仿宋_GB2312" w:eastAsia="仿宋_GB2312" w:cs="仿宋_GB2312"/>
          <w:sz w:val="32"/>
          <w:szCs w:val="32"/>
          <w:lang w:val="en-US" w:eastAsia="zh-CN"/>
        </w:rPr>
        <w:t>67.89</w:t>
      </w:r>
      <w:r>
        <w:rPr>
          <w:rFonts w:hint="eastAsia" w:ascii="仿宋_GB2312" w:hAnsi="仿宋_GB2312" w:eastAsia="仿宋_GB2312" w:cs="仿宋_GB2312"/>
          <w:sz w:val="32"/>
          <w:szCs w:val="32"/>
        </w:rPr>
        <w:t>万元，其中:一般公共预算财政拨款收入3</w:t>
      </w:r>
      <w:r>
        <w:rPr>
          <w:rFonts w:hint="eastAsia" w:ascii="仿宋_GB2312" w:hAnsi="仿宋_GB2312" w:eastAsia="仿宋_GB2312" w:cs="仿宋_GB2312"/>
          <w:sz w:val="32"/>
          <w:szCs w:val="32"/>
          <w:lang w:val="en-US" w:eastAsia="zh-CN"/>
        </w:rPr>
        <w:t>53.69</w:t>
      </w:r>
      <w:r>
        <w:rPr>
          <w:rFonts w:hint="eastAsia" w:ascii="仿宋_GB2312" w:hAnsi="仿宋_GB2312" w:eastAsia="仿宋_GB2312" w:cs="仿宋_GB2312"/>
          <w:sz w:val="32"/>
          <w:szCs w:val="32"/>
        </w:rPr>
        <w:t>万元，占9</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%;政府性基金预算财政拨款收入</w:t>
      </w:r>
      <w:r>
        <w:rPr>
          <w:rFonts w:hint="eastAsia" w:ascii="仿宋_GB2312" w:hAnsi="仿宋_GB2312" w:eastAsia="仿宋_GB2312" w:cs="仿宋_GB2312"/>
          <w:sz w:val="32"/>
          <w:szCs w:val="32"/>
          <w:lang w:val="en-US" w:eastAsia="zh-CN"/>
        </w:rPr>
        <w:t>14.2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 w:hAnsi="仿宋" w:eastAsia="仿宋"/>
          <w:color w:val="auto"/>
          <w:sz w:val="32"/>
          <w:szCs w:val="32"/>
          <w:highlight w:val="none"/>
        </w:rPr>
        <w:t>。</w:t>
      </w:r>
      <w:bookmarkEnd w:id="27"/>
    </w:p>
    <w:p>
      <w:pPr>
        <w:spacing w:line="600" w:lineRule="exact"/>
        <w:ind w:firstLine="640" w:firstLineChars="200"/>
        <w:outlineLvl w:val="1"/>
        <w:rPr>
          <w:rFonts w:hint="eastAsia" w:ascii="仿宋" w:hAnsi="仿宋" w:eastAsia="仿宋"/>
          <w:color w:val="auto"/>
          <w:sz w:val="32"/>
          <w:szCs w:val="32"/>
          <w:highlight w:val="none"/>
        </w:rPr>
      </w:pPr>
    </w:p>
    <w:p>
      <w:pPr>
        <w:spacing w:line="600" w:lineRule="exact"/>
        <w:ind w:firstLine="640" w:firstLineChars="200"/>
        <w:outlineLvl w:val="1"/>
        <w:rPr>
          <w:rFonts w:hint="eastAsia" w:ascii="仿宋" w:hAnsi="仿宋" w:eastAsia="仿宋"/>
          <w:color w:val="auto"/>
          <w:sz w:val="32"/>
          <w:szCs w:val="32"/>
          <w:highlight w:val="none"/>
        </w:rPr>
      </w:pPr>
    </w:p>
    <w:p>
      <w:pPr>
        <w:spacing w:line="600" w:lineRule="exact"/>
        <w:ind w:firstLine="640" w:firstLineChars="200"/>
        <w:outlineLvl w:val="1"/>
        <w:rPr>
          <w:rFonts w:hint="eastAsia" w:ascii="仿宋" w:hAnsi="仿宋" w:eastAsia="仿宋"/>
          <w:color w:val="auto"/>
          <w:sz w:val="32"/>
          <w:szCs w:val="32"/>
          <w:highlight w:val="none"/>
        </w:rPr>
      </w:pPr>
    </w:p>
    <w:p>
      <w:pPr>
        <w:spacing w:line="600" w:lineRule="exact"/>
        <w:ind w:firstLine="640" w:firstLineChars="200"/>
        <w:outlineLvl w:val="1"/>
        <w:rPr>
          <w:rFonts w:hint="eastAsia" w:ascii="仿宋" w:hAnsi="仿宋" w:eastAsia="仿宋"/>
          <w:color w:val="auto"/>
          <w:sz w:val="32"/>
          <w:szCs w:val="32"/>
          <w:highlight w:val="none"/>
        </w:rPr>
      </w:pPr>
    </w:p>
    <w:p>
      <w:pPr>
        <w:spacing w:line="600" w:lineRule="exact"/>
        <w:jc w:val="both"/>
        <w:rPr>
          <w:rFonts w:ascii="仿宋_GB2312" w:eastAsia="仿宋_GB2312"/>
          <w:color w:val="auto"/>
          <w:sz w:val="32"/>
          <w:szCs w:val="32"/>
          <w:highlight w:val="none"/>
        </w:rPr>
      </w:pPr>
    </w:p>
    <w:p>
      <w:pPr>
        <w:pStyle w:val="22"/>
        <w:numPr>
          <w:ilvl w:val="0"/>
          <w:numId w:val="0"/>
        </w:numPr>
        <w:spacing w:line="600" w:lineRule="exact"/>
        <w:ind w:firstLine="640" w:firstLineChars="200"/>
        <w:outlineLvl w:val="1"/>
        <w:rPr>
          <w:rStyle w:val="21"/>
          <w:rFonts w:ascii="黑体" w:hAnsi="黑体" w:eastAsia="黑体"/>
          <w:b w:val="0"/>
          <w:color w:val="auto"/>
          <w:highlight w:val="none"/>
        </w:rPr>
      </w:pPr>
      <w:bookmarkStart w:id="28" w:name="_Toc15377207"/>
      <w:bookmarkStart w:id="29" w:name="_Toc15396605"/>
      <w:bookmarkStart w:id="30" w:name="_Toc9758"/>
      <w:bookmarkStart w:id="31" w:name="_Toc4656"/>
      <w:r>
        <w:rPr>
          <w:rFonts w:hint="eastAsia" w:ascii="黑体" w:hAnsi="黑体" w:eastAsia="黑体"/>
          <w:color w:val="auto"/>
          <w:sz w:val="32"/>
          <w:szCs w:val="32"/>
          <w:highlight w:val="none"/>
          <w:lang w:eastAsia="zh-CN"/>
        </w:rPr>
        <w:t>三、</w:t>
      </w:r>
      <w:r>
        <w:rPr>
          <w:rFonts w:hint="eastAsia" w:ascii="黑体" w:hAnsi="黑体" w:eastAsia="黑体"/>
          <w:color w:val="auto"/>
          <w:sz w:val="32"/>
          <w:szCs w:val="32"/>
          <w:highlight w:val="none"/>
        </w:rPr>
        <w:t>支</w:t>
      </w:r>
      <w:r>
        <w:rPr>
          <w:rStyle w:val="21"/>
          <w:rFonts w:hint="eastAsia" w:ascii="黑体" w:hAnsi="黑体" w:eastAsia="黑体"/>
          <w:b w:val="0"/>
          <w:color w:val="auto"/>
          <w:highlight w:val="none"/>
        </w:rPr>
        <w:t>出决算情况说明</w:t>
      </w:r>
      <w:bookmarkEnd w:id="28"/>
      <w:bookmarkEnd w:id="29"/>
      <w:bookmarkEnd w:id="30"/>
      <w:bookmarkEnd w:id="31"/>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仿宋" w:hAnsi="仿宋" w:eastAsia="仿宋"/>
          <w:color w:val="auto"/>
          <w:sz w:val="32"/>
          <w:szCs w:val="32"/>
          <w:highlight w:val="none"/>
        </w:rPr>
      </w:pPr>
      <w:bookmarkStart w:id="32" w:name="_Toc29676"/>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年度本年支出合计</w:t>
      </w:r>
      <w:r>
        <w:rPr>
          <w:rFonts w:hint="eastAsia" w:ascii="仿宋_GB2312" w:hAnsi="仿宋_GB2312" w:eastAsia="仿宋_GB2312" w:cs="仿宋_GB2312"/>
          <w:sz w:val="32"/>
          <w:szCs w:val="32"/>
          <w:lang w:val="en-US" w:eastAsia="zh-CN"/>
        </w:rPr>
        <w:t>367.89</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183.88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49</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184.01</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51</w:t>
      </w:r>
      <w:r>
        <w:rPr>
          <w:rFonts w:hint="eastAsia" w:ascii="仿宋_GB2312" w:hAnsi="仿宋_GB2312" w:eastAsia="仿宋_GB2312" w:cs="仿宋_GB2312"/>
          <w:sz w:val="32"/>
          <w:szCs w:val="32"/>
        </w:rPr>
        <w:t>%</w:t>
      </w:r>
      <w:bookmarkEnd w:id="32"/>
      <w:r>
        <w:rPr>
          <w:rFonts w:hint="default" w:ascii="仿宋_GB2312" w:hAnsi="仿宋_GB2312" w:eastAsia="仿宋_GB2312" w:cs="仿宋_GB2312"/>
          <w:sz w:val="32"/>
          <w:szCs w:val="32"/>
        </w:rPr>
        <w:t>。</w:t>
      </w:r>
    </w:p>
    <w:p>
      <w:pPr>
        <w:spacing w:line="600" w:lineRule="exact"/>
        <w:ind w:firstLine="640" w:firstLineChars="200"/>
        <w:outlineLvl w:val="9"/>
        <w:rPr>
          <w:rFonts w:ascii="仿宋" w:hAnsi="仿宋" w:eastAsia="仿宋"/>
          <w:b/>
          <w:color w:val="auto"/>
          <w:sz w:val="32"/>
          <w:szCs w:val="32"/>
          <w:highlight w:val="none"/>
        </w:rPr>
      </w:pPr>
      <w:r>
        <w:rPr>
          <w:rFonts w:ascii="仿宋" w:hAnsi="Times New Roman" w:eastAsia="仿宋"/>
          <w:color w:val="000000"/>
          <w:kern w:val="2"/>
          <w:sz w:val="32"/>
          <w:szCs w:val="32"/>
        </w:rPr>
        <w:pict>
          <v:shape id="Object 9" o:spid="_x0000_s1028" o:spt="75" type="#_x0000_t75" style="position:absolute;left:0pt;margin-left:73.85pt;margin-top:1.95pt;height:182.65pt;width:245.15pt;z-index:-251655168;mso-width-relative:page;mso-height-relative:page;" o:ole="t" filled="f" o:preferrelative="t" stroked="f" coordsize="21600,21600">
            <v:path/>
            <v:fill on="f" focussize="0,0"/>
            <v:stroke on="f"/>
            <v:imagedata r:id="rId12" o:title=""/>
            <o:lock v:ext="edit" aspectratio="t"/>
          </v:shape>
          <o:OLEObject Type="Embed" ProgID="Excel.Chart.8" ShapeID="Object 9" DrawAspect="Content" ObjectID="_1468075727" r:id="rId11">
            <o:LockedField>false</o:LockedField>
          </o:OLEObject>
        </w:pict>
      </w:r>
    </w:p>
    <w:p>
      <w:pPr>
        <w:spacing w:line="600" w:lineRule="exact"/>
        <w:ind w:firstLine="640"/>
        <w:rPr>
          <w:rFonts w:ascii="仿宋" w:hAnsi="仿宋" w:eastAsia="仿宋"/>
          <w:color w:val="auto"/>
          <w:sz w:val="32"/>
          <w:szCs w:val="32"/>
          <w:highlight w:val="none"/>
          <w:shd w:val="pct10" w:color="auto" w:fill="FFFFFF"/>
        </w:rPr>
      </w:pPr>
    </w:p>
    <w:p>
      <w:pPr>
        <w:spacing w:line="600" w:lineRule="exact"/>
        <w:jc w:val="both"/>
        <w:rPr>
          <w:rFonts w:ascii="仿宋_GB2312" w:eastAsia="仿宋_GB2312"/>
          <w:color w:val="auto"/>
          <w:sz w:val="32"/>
          <w:szCs w:val="32"/>
          <w:highlight w:val="none"/>
        </w:rPr>
      </w:pPr>
    </w:p>
    <w:p>
      <w:pPr>
        <w:spacing w:line="600" w:lineRule="exact"/>
        <w:ind w:firstLine="640" w:firstLineChars="200"/>
        <w:outlineLvl w:val="1"/>
        <w:rPr>
          <w:rFonts w:hint="eastAsia" w:ascii="黑体" w:hAnsi="黑体" w:eastAsia="黑体"/>
          <w:color w:val="auto"/>
          <w:sz w:val="32"/>
          <w:szCs w:val="32"/>
          <w:highlight w:val="none"/>
        </w:rPr>
      </w:pPr>
      <w:bookmarkStart w:id="33" w:name="_Toc3136"/>
      <w:bookmarkStart w:id="34" w:name="_Toc15396606"/>
      <w:bookmarkStart w:id="35" w:name="_Toc15377208"/>
    </w:p>
    <w:p>
      <w:pPr>
        <w:spacing w:line="600" w:lineRule="exact"/>
        <w:ind w:firstLine="640" w:firstLineChars="200"/>
        <w:outlineLvl w:val="1"/>
        <w:rPr>
          <w:rFonts w:hint="eastAsia" w:ascii="黑体" w:hAnsi="黑体" w:eastAsia="黑体"/>
          <w:color w:val="auto"/>
          <w:sz w:val="32"/>
          <w:szCs w:val="32"/>
          <w:highlight w:val="none"/>
        </w:rPr>
      </w:pPr>
    </w:p>
    <w:p>
      <w:pPr>
        <w:spacing w:line="600" w:lineRule="exact"/>
        <w:ind w:firstLine="640" w:firstLineChars="200"/>
        <w:outlineLvl w:val="1"/>
        <w:rPr>
          <w:rFonts w:hint="eastAsia" w:ascii="黑体" w:hAnsi="黑体" w:eastAsia="黑体"/>
          <w:color w:val="auto"/>
          <w:sz w:val="32"/>
          <w:szCs w:val="32"/>
          <w:highlight w:val="none"/>
        </w:rPr>
      </w:pPr>
    </w:p>
    <w:p>
      <w:pPr>
        <w:spacing w:line="600" w:lineRule="exact"/>
        <w:ind w:firstLine="640" w:firstLineChars="200"/>
        <w:outlineLvl w:val="1"/>
        <w:rPr>
          <w:rStyle w:val="21"/>
          <w:rFonts w:ascii="黑体" w:hAnsi="黑体" w:eastAsia="黑体"/>
          <w:b w:val="0"/>
          <w:color w:val="auto"/>
          <w:highlight w:val="none"/>
        </w:rPr>
      </w:pPr>
      <w:bookmarkStart w:id="36" w:name="_Toc3698"/>
      <w:r>
        <w:rPr>
          <w:rFonts w:hint="eastAsia" w:ascii="黑体" w:hAnsi="黑体" w:eastAsia="黑体"/>
          <w:color w:val="auto"/>
          <w:sz w:val="32"/>
          <w:szCs w:val="32"/>
          <w:highlight w:val="none"/>
        </w:rPr>
        <w:t>四、财</w:t>
      </w:r>
      <w:r>
        <w:rPr>
          <w:rStyle w:val="21"/>
          <w:rFonts w:hint="eastAsia" w:ascii="黑体" w:hAnsi="黑体" w:eastAsia="黑体"/>
          <w:b w:val="0"/>
          <w:color w:val="auto"/>
          <w:highlight w:val="none"/>
        </w:rPr>
        <w:t>政拨款收入支出决算总体情况说明</w:t>
      </w:r>
      <w:bookmarkEnd w:id="33"/>
      <w:bookmarkEnd w:id="34"/>
      <w:bookmarkEnd w:id="35"/>
      <w:bookmarkEnd w:id="36"/>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olor w:val="auto"/>
          <w:sz w:val="32"/>
          <w:szCs w:val="32"/>
          <w:highlight w:val="none"/>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年度财政拨款收入、支出总计均为</w:t>
      </w:r>
      <w:r>
        <w:rPr>
          <w:rFonts w:hint="eastAsia" w:ascii="仿宋_GB2312" w:hAnsi="仿宋_GB2312" w:eastAsia="仿宋_GB2312" w:cs="仿宋_GB2312"/>
          <w:sz w:val="32"/>
          <w:szCs w:val="32"/>
          <w:lang w:val="en-US" w:eastAsia="zh-CN"/>
        </w:rPr>
        <w:t>367.89</w:t>
      </w:r>
      <w:r>
        <w:rPr>
          <w:rFonts w:hint="eastAsia" w:ascii="仿宋_GB2312" w:hAnsi="仿宋_GB2312" w:eastAsia="仿宋_GB2312" w:cs="仿宋_GB2312"/>
          <w:sz w:val="32"/>
          <w:szCs w:val="32"/>
        </w:rPr>
        <w:t>万元。与202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年度相比，财政拨款收入、支出总计各增加</w:t>
      </w:r>
      <w:r>
        <w:rPr>
          <w:rFonts w:hint="eastAsia" w:ascii="仿宋_GB2312" w:hAnsi="仿宋_GB2312" w:eastAsia="仿宋_GB2312" w:cs="仿宋_GB2312"/>
          <w:sz w:val="32"/>
          <w:szCs w:val="32"/>
          <w:lang w:val="en-US" w:eastAsia="zh-CN"/>
        </w:rPr>
        <w:t>25.37</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人员工资保险变动。</w:t>
      </w:r>
    </w:p>
    <w:p>
      <w:pPr>
        <w:spacing w:line="600" w:lineRule="exact"/>
        <w:ind w:firstLine="640"/>
        <w:rPr>
          <w:rFonts w:hint="eastAsia" w:ascii="仿宋" w:hAnsi="仿宋" w:eastAsia="仿宋"/>
          <w:color w:val="auto"/>
          <w:sz w:val="32"/>
          <w:szCs w:val="32"/>
          <w:highlight w:val="none"/>
          <w:lang w:eastAsia="zh-CN"/>
        </w:rPr>
      </w:pPr>
      <w:r>
        <w:rPr>
          <w:rFonts w:ascii="仿宋" w:hAnsi="Times New Roman" w:eastAsia="仿宋"/>
          <w:color w:val="000000"/>
          <w:sz w:val="32"/>
          <w:szCs w:val="32"/>
        </w:rPr>
        <w:pict>
          <v:shape id="Object 10" o:spid="_x0000_s1029" o:spt="75" type="#_x0000_t75" style="position:absolute;left:0pt;margin-left:68.65pt;margin-top:24.65pt;height:166.85pt;width:267.45pt;z-index:-251654144;mso-width-relative:page;mso-height-relative:page;" o:ole="t" filled="f" o:preferrelative="t" stroked="f" coordsize="21600,21600">
            <v:path/>
            <v:fill on="f" focussize="0,0"/>
            <v:stroke on="f"/>
            <v:imagedata r:id="rId14" o:title=""/>
            <o:lock v:ext="edit" aspectratio="t"/>
          </v:shape>
          <o:OLEObject Type="Embed" ProgID="Excel.Chart.8" ShapeID="Object 10" DrawAspect="Content" ObjectID="_1468075728" r:id="rId13">
            <o:LockedField>false</o:LockedField>
          </o:OLEObject>
        </w:pict>
      </w:r>
    </w:p>
    <w:p>
      <w:pPr>
        <w:spacing w:line="600" w:lineRule="exact"/>
        <w:ind w:firstLine="640"/>
        <w:rPr>
          <w:rFonts w:hint="eastAsia" w:ascii="仿宋" w:hAnsi="仿宋" w:eastAsia="仿宋"/>
          <w:color w:val="auto"/>
          <w:sz w:val="32"/>
          <w:szCs w:val="32"/>
          <w:highlight w:val="none"/>
          <w:lang w:eastAsia="zh-CN"/>
        </w:rPr>
      </w:pPr>
    </w:p>
    <w:p>
      <w:pPr>
        <w:spacing w:line="600" w:lineRule="exact"/>
        <w:ind w:firstLine="640"/>
        <w:rPr>
          <w:rFonts w:hint="eastAsia" w:ascii="仿宋" w:hAnsi="仿宋" w:eastAsia="仿宋"/>
          <w:color w:val="auto"/>
          <w:sz w:val="32"/>
          <w:szCs w:val="32"/>
          <w:highlight w:val="none"/>
          <w:lang w:eastAsia="zh-CN"/>
        </w:rPr>
      </w:pPr>
    </w:p>
    <w:p>
      <w:pPr>
        <w:spacing w:line="600" w:lineRule="exact"/>
        <w:rPr>
          <w:rFonts w:ascii="仿宋" w:hAnsi="仿宋" w:eastAsia="仿宋"/>
          <w:color w:val="auto"/>
          <w:sz w:val="32"/>
          <w:szCs w:val="32"/>
          <w:highlight w:val="none"/>
        </w:rPr>
      </w:pPr>
    </w:p>
    <w:p>
      <w:pPr>
        <w:pStyle w:val="13"/>
      </w:pPr>
    </w:p>
    <w:p>
      <w:pPr>
        <w:spacing w:line="600" w:lineRule="exact"/>
        <w:rPr>
          <w:rFonts w:hint="eastAsia" w:ascii="仿宋" w:hAnsi="仿宋" w:eastAsia="仿宋"/>
          <w:color w:val="auto"/>
          <w:sz w:val="32"/>
          <w:szCs w:val="32"/>
          <w:highlight w:val="none"/>
        </w:rPr>
      </w:pPr>
    </w:p>
    <w:p>
      <w:pPr>
        <w:spacing w:line="600" w:lineRule="exact"/>
        <w:ind w:firstLine="640" w:firstLineChars="200"/>
        <w:outlineLvl w:val="1"/>
        <w:rPr>
          <w:rFonts w:hint="eastAsia" w:ascii="黑体" w:hAnsi="黑体" w:eastAsia="黑体"/>
          <w:color w:val="auto"/>
          <w:sz w:val="32"/>
          <w:szCs w:val="32"/>
          <w:highlight w:val="none"/>
        </w:rPr>
      </w:pPr>
      <w:bookmarkStart w:id="37" w:name="_Toc4893"/>
      <w:bookmarkStart w:id="38" w:name="_Toc15396607"/>
      <w:bookmarkStart w:id="39" w:name="_Toc5772"/>
      <w:bookmarkStart w:id="40" w:name="_Toc15377209"/>
    </w:p>
    <w:p>
      <w:pPr>
        <w:spacing w:line="600" w:lineRule="exact"/>
        <w:ind w:firstLine="640" w:firstLineChars="200"/>
        <w:outlineLvl w:val="1"/>
        <w:rPr>
          <w:rStyle w:val="21"/>
          <w:rFonts w:ascii="黑体" w:hAnsi="黑体" w:eastAsia="黑体"/>
          <w:b w:val="0"/>
          <w:color w:val="auto"/>
          <w:highlight w:val="none"/>
        </w:rPr>
      </w:pPr>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21"/>
          <w:rFonts w:hint="eastAsia" w:ascii="黑体" w:hAnsi="黑体" w:eastAsia="黑体"/>
          <w:b w:val="0"/>
          <w:color w:val="auto"/>
          <w:highlight w:val="none"/>
        </w:rPr>
        <w:t>般公共预算财政拨款支出决算情况说明</w:t>
      </w:r>
      <w:bookmarkEnd w:id="37"/>
      <w:bookmarkEnd w:id="38"/>
      <w:bookmarkEnd w:id="39"/>
      <w:bookmarkEnd w:id="40"/>
    </w:p>
    <w:p>
      <w:pPr>
        <w:spacing w:line="600" w:lineRule="exact"/>
        <w:ind w:firstLine="642" w:firstLineChars="200"/>
        <w:outlineLvl w:val="2"/>
        <w:rPr>
          <w:rFonts w:ascii="仿宋" w:hAnsi="仿宋" w:eastAsia="仿宋"/>
          <w:b/>
          <w:color w:val="auto"/>
          <w:sz w:val="32"/>
          <w:szCs w:val="32"/>
          <w:highlight w:val="none"/>
        </w:rPr>
      </w:pPr>
      <w:bookmarkStart w:id="41" w:name="_Toc15377210"/>
      <w:r>
        <w:rPr>
          <w:rFonts w:hint="eastAsia" w:ascii="仿宋" w:hAnsi="仿宋" w:eastAsia="仿宋"/>
          <w:b/>
          <w:color w:val="auto"/>
          <w:sz w:val="32"/>
          <w:szCs w:val="32"/>
          <w:highlight w:val="none"/>
        </w:rPr>
        <w:t>（一）一般公共预算财政拨款支出决算总体情况</w:t>
      </w:r>
      <w:bookmarkEnd w:id="41"/>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353.69</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96</w:t>
      </w:r>
      <w:r>
        <w:rPr>
          <w:rFonts w:hint="eastAsia" w:ascii="仿宋_GB2312" w:hAnsi="仿宋_GB2312" w:eastAsia="仿宋_GB2312" w:cs="仿宋_GB2312"/>
          <w:sz w:val="32"/>
          <w:szCs w:val="32"/>
        </w:rPr>
        <w:t>%。与202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年度相比，一般公共预算财政拨款增加</w:t>
      </w:r>
      <w:r>
        <w:rPr>
          <w:rFonts w:hint="eastAsia" w:ascii="仿宋_GB2312" w:hAnsi="仿宋_GB2312" w:eastAsia="仿宋_GB2312" w:cs="仿宋_GB2312"/>
          <w:sz w:val="32"/>
          <w:szCs w:val="32"/>
          <w:lang w:val="en-US" w:eastAsia="zh-CN"/>
        </w:rPr>
        <w:t>38.57</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人员保险工资变动。</w:t>
      </w:r>
    </w:p>
    <w:p>
      <w:pPr>
        <w:spacing w:line="600" w:lineRule="exact"/>
        <w:ind w:firstLine="640" w:firstLineChars="200"/>
        <w:rPr>
          <w:rFonts w:hint="eastAsia" w:ascii="仿宋" w:hAnsi="仿宋" w:eastAsia="仿宋"/>
          <w:color w:val="auto"/>
          <w:sz w:val="32"/>
          <w:szCs w:val="32"/>
          <w:highlight w:val="none"/>
          <w:lang w:eastAsia="zh-CN"/>
        </w:rPr>
      </w:pPr>
    </w:p>
    <w:p>
      <w:pPr>
        <w:spacing w:line="600" w:lineRule="exact"/>
        <w:ind w:firstLine="640" w:firstLineChars="200"/>
        <w:rPr>
          <w:rFonts w:hint="eastAsia" w:ascii="仿宋" w:hAnsi="仿宋" w:eastAsia="仿宋"/>
          <w:color w:val="auto"/>
          <w:sz w:val="32"/>
          <w:szCs w:val="32"/>
          <w:highlight w:val="none"/>
          <w:lang w:eastAsia="zh-CN"/>
        </w:rPr>
      </w:pPr>
    </w:p>
    <w:p>
      <w:pPr>
        <w:spacing w:line="600" w:lineRule="exact"/>
        <w:ind w:firstLine="640" w:firstLineChars="200"/>
        <w:rPr>
          <w:rFonts w:hint="eastAsia" w:ascii="仿宋" w:hAnsi="仿宋" w:eastAsia="仿宋"/>
          <w:color w:val="auto"/>
          <w:sz w:val="32"/>
          <w:szCs w:val="32"/>
          <w:highlight w:val="none"/>
          <w:lang w:eastAsia="zh-CN"/>
        </w:rPr>
      </w:pPr>
      <w:r>
        <w:rPr>
          <w:rFonts w:ascii="仿宋" w:hAnsi="Times New Roman" w:eastAsia="仿宋"/>
          <w:color w:val="000000"/>
          <w:sz w:val="32"/>
          <w:szCs w:val="32"/>
        </w:rPr>
        <w:pict>
          <v:shape id="Object 11" o:spid="_x0000_s1030" o:spt="75" type="#_x0000_t75" style="position:absolute;left:0pt;margin-left:76.2pt;margin-top:-65.4pt;height:161.55pt;width:260.8pt;z-index:-251653120;mso-width-relative:page;mso-height-relative:page;" o:ole="t" filled="f" o:preferrelative="t" stroked="f" coordsize="21600,21600">
            <v:path/>
            <v:fill on="f" focussize="0,0"/>
            <v:stroke on="f"/>
            <v:imagedata r:id="rId16" o:title=""/>
            <o:lock v:ext="edit" aspectratio="t"/>
          </v:shape>
          <o:OLEObject Type="Embed" ProgID="Excel.Chart.8" ShapeID="Object 11" DrawAspect="Content" ObjectID="_1468075729" r:id="rId15">
            <o:LockedField>false</o:LockedField>
          </o:OLEObject>
        </w:pict>
      </w:r>
    </w:p>
    <w:p>
      <w:pPr>
        <w:spacing w:line="600" w:lineRule="exact"/>
        <w:ind w:firstLine="640" w:firstLineChars="200"/>
        <w:rPr>
          <w:rFonts w:hint="eastAsia" w:ascii="仿宋" w:hAnsi="仿宋" w:eastAsia="仿宋"/>
          <w:color w:val="auto"/>
          <w:sz w:val="32"/>
          <w:szCs w:val="32"/>
          <w:highlight w:val="none"/>
          <w:lang w:eastAsia="zh-CN"/>
        </w:rPr>
      </w:pPr>
    </w:p>
    <w:p>
      <w:pPr>
        <w:spacing w:line="600" w:lineRule="exact"/>
        <w:rPr>
          <w:rFonts w:hint="eastAsia" w:ascii="仿宋" w:hAnsi="仿宋" w:eastAsia="仿宋"/>
          <w:color w:val="auto"/>
          <w:sz w:val="32"/>
          <w:szCs w:val="32"/>
          <w:highlight w:val="none"/>
        </w:rPr>
      </w:pPr>
    </w:p>
    <w:p>
      <w:pPr>
        <w:spacing w:line="600" w:lineRule="exact"/>
        <w:ind w:firstLine="642" w:firstLineChars="200"/>
        <w:outlineLvl w:val="2"/>
        <w:rPr>
          <w:rFonts w:ascii="仿宋" w:hAnsi="仿宋" w:eastAsia="仿宋"/>
          <w:b/>
          <w:color w:val="auto"/>
          <w:sz w:val="32"/>
          <w:szCs w:val="32"/>
          <w:highlight w:val="none"/>
        </w:rPr>
      </w:pPr>
      <w:bookmarkStart w:id="42" w:name="_Toc15377211"/>
      <w:r>
        <w:rPr>
          <w:rFonts w:hint="eastAsia" w:ascii="仿宋" w:hAnsi="仿宋" w:eastAsia="仿宋"/>
          <w:b/>
          <w:color w:val="auto"/>
          <w:sz w:val="32"/>
          <w:szCs w:val="32"/>
          <w:highlight w:val="none"/>
        </w:rPr>
        <w:t>（二）一般公共预算财政拨款支出决算结构情况</w:t>
      </w:r>
      <w:bookmarkEnd w:id="42"/>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 w:hAnsi="仿宋" w:eastAsia="仿宋"/>
          <w:color w:val="auto"/>
          <w:sz w:val="32"/>
          <w:szCs w:val="32"/>
          <w:highlight w:val="none"/>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年度一般公共预算财政拨款支出3</w:t>
      </w:r>
      <w:r>
        <w:rPr>
          <w:rFonts w:hint="eastAsia" w:ascii="仿宋_GB2312" w:hAnsi="仿宋_GB2312" w:eastAsia="仿宋_GB2312" w:cs="仿宋_GB2312"/>
          <w:sz w:val="32"/>
          <w:szCs w:val="32"/>
          <w:lang w:val="en-US" w:eastAsia="zh-CN"/>
        </w:rPr>
        <w:t>53.69</w:t>
      </w:r>
      <w:r>
        <w:rPr>
          <w:rFonts w:hint="eastAsia" w:ascii="仿宋_GB2312" w:hAnsi="仿宋_GB2312" w:eastAsia="仿宋_GB2312" w:cs="仿宋_GB2312"/>
          <w:sz w:val="32"/>
          <w:szCs w:val="32"/>
        </w:rPr>
        <w:t>万元，主要用于以下方面:社会保障和就业支出</w:t>
      </w:r>
      <w:r>
        <w:rPr>
          <w:rFonts w:hint="eastAsia" w:ascii="仿宋_GB2312" w:hAnsi="仿宋_GB2312" w:eastAsia="仿宋_GB2312" w:cs="仿宋_GB2312"/>
          <w:sz w:val="32"/>
          <w:szCs w:val="32"/>
          <w:lang w:val="en-US" w:eastAsia="zh-CN"/>
        </w:rPr>
        <w:t>281.5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79</w:t>
      </w:r>
      <w:r>
        <w:rPr>
          <w:rFonts w:hint="eastAsia" w:ascii="仿宋_GB2312" w:hAnsi="仿宋_GB2312" w:eastAsia="仿宋_GB2312" w:cs="仿宋_GB2312"/>
          <w:sz w:val="32"/>
          <w:szCs w:val="32"/>
        </w:rPr>
        <w:t>%;卫生健康支出</w:t>
      </w:r>
      <w:r>
        <w:rPr>
          <w:rFonts w:hint="eastAsia" w:ascii="仿宋_GB2312" w:hAnsi="仿宋_GB2312" w:eastAsia="仿宋_GB2312" w:cs="仿宋_GB2312"/>
          <w:sz w:val="32"/>
          <w:szCs w:val="32"/>
          <w:lang w:val="en-US" w:eastAsia="zh-CN"/>
        </w:rPr>
        <w:t>8.85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%;农林水支出</w:t>
      </w:r>
      <w:r>
        <w:rPr>
          <w:rFonts w:hint="eastAsia" w:ascii="仿宋_GB2312" w:hAnsi="仿宋_GB2312" w:eastAsia="仿宋_GB2312" w:cs="仿宋_GB2312"/>
          <w:sz w:val="32"/>
          <w:szCs w:val="32"/>
          <w:lang w:val="en-US" w:eastAsia="zh-CN"/>
        </w:rPr>
        <w:t>49.42</w:t>
      </w:r>
      <w:r>
        <w:rPr>
          <w:rFonts w:hint="eastAsia" w:ascii="仿宋_GB2312" w:hAnsi="仿宋_GB2312" w:eastAsia="仿宋_GB2312" w:cs="仿宋_GB2312"/>
          <w:sz w:val="32"/>
          <w:szCs w:val="32"/>
        </w:rPr>
        <w:t>万元，占1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%;住房保障支出13.</w:t>
      </w:r>
      <w:r>
        <w:rPr>
          <w:rFonts w:hint="eastAsia" w:ascii="仿宋_GB2312" w:hAnsi="仿宋_GB2312" w:eastAsia="仿宋_GB2312" w:cs="仿宋_GB2312"/>
          <w:sz w:val="32"/>
          <w:szCs w:val="32"/>
          <w:lang w:val="en-US" w:eastAsia="zh-CN"/>
        </w:rPr>
        <w:t>92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p>
    <w:p>
      <w:pPr>
        <w:spacing w:line="600" w:lineRule="exact"/>
        <w:ind w:firstLine="640"/>
        <w:rPr>
          <w:rFonts w:ascii="仿宋" w:hAnsi="仿宋" w:eastAsia="仿宋"/>
          <w:color w:val="auto"/>
          <w:sz w:val="32"/>
          <w:szCs w:val="32"/>
          <w:highlight w:val="none"/>
        </w:rPr>
      </w:pPr>
      <w:r>
        <w:rPr>
          <w:rFonts w:ascii="仿宋" w:hAnsi="Times New Roman" w:eastAsia="仿宋"/>
          <w:color w:val="000000"/>
          <w:kern w:val="2"/>
          <w:sz w:val="32"/>
          <w:szCs w:val="32"/>
        </w:rPr>
        <w:pict>
          <v:shape id="Object 13" o:spid="_x0000_s1031" o:spt="75" type="#_x0000_t75" style="position:absolute;left:0pt;margin-left:94.25pt;margin-top:6.25pt;height:142.7pt;width:234.95pt;z-index:-251652096;mso-width-relative:page;mso-height-relative:page;" o:ole="t" filled="f" o:preferrelative="t" stroked="f" coordsize="21600,21600">
            <v:path/>
            <v:fill on="f" focussize="0,0"/>
            <v:stroke on="f"/>
            <v:imagedata r:id="rId18" o:title=""/>
            <o:lock v:ext="edit" aspectratio="t"/>
          </v:shape>
          <o:OLEObject Type="Embed" ProgID="Excel.Chart.8" ShapeID="Object 13" DrawAspect="Content" ObjectID="_1468075730" r:id="rId17">
            <o:LockedField>false</o:LockedField>
          </o:OLEObject>
        </w:pict>
      </w:r>
    </w:p>
    <w:p>
      <w:pPr>
        <w:spacing w:line="600" w:lineRule="exact"/>
        <w:ind w:firstLine="640" w:firstLineChars="200"/>
        <w:rPr>
          <w:rFonts w:hint="eastAsia" w:ascii="仿宋" w:hAnsi="仿宋" w:eastAsia="仿宋"/>
          <w:color w:val="auto"/>
          <w:sz w:val="32"/>
          <w:szCs w:val="32"/>
          <w:highlight w:val="none"/>
        </w:rPr>
      </w:pPr>
    </w:p>
    <w:p>
      <w:pPr>
        <w:spacing w:line="600" w:lineRule="exact"/>
        <w:rPr>
          <w:rFonts w:hint="eastAsia" w:ascii="仿宋" w:hAnsi="仿宋" w:eastAsia="仿宋"/>
          <w:color w:val="auto"/>
          <w:sz w:val="32"/>
          <w:szCs w:val="32"/>
          <w:highlight w:val="none"/>
        </w:rPr>
      </w:pPr>
    </w:p>
    <w:p>
      <w:pPr>
        <w:spacing w:line="600" w:lineRule="exact"/>
        <w:rPr>
          <w:rFonts w:hint="eastAsia" w:ascii="仿宋" w:hAnsi="仿宋" w:eastAsia="仿宋"/>
          <w:color w:val="auto"/>
          <w:sz w:val="32"/>
          <w:szCs w:val="32"/>
          <w:highlight w:val="none"/>
        </w:rPr>
      </w:pPr>
    </w:p>
    <w:p>
      <w:pPr>
        <w:spacing w:line="600" w:lineRule="exact"/>
        <w:rPr>
          <w:rFonts w:hint="eastAsia" w:ascii="仿宋" w:hAnsi="仿宋" w:eastAsia="仿宋"/>
          <w:color w:val="auto"/>
          <w:sz w:val="32"/>
          <w:szCs w:val="32"/>
          <w:highlight w:val="none"/>
        </w:rPr>
      </w:pPr>
    </w:p>
    <w:p>
      <w:pPr>
        <w:spacing w:line="600" w:lineRule="exact"/>
        <w:ind w:firstLine="642" w:firstLineChars="200"/>
        <w:outlineLvl w:val="2"/>
        <w:rPr>
          <w:rFonts w:ascii="仿宋" w:hAnsi="仿宋" w:eastAsia="仿宋"/>
          <w:b/>
          <w:color w:val="auto"/>
          <w:sz w:val="32"/>
          <w:szCs w:val="32"/>
          <w:highlight w:val="none"/>
        </w:rPr>
      </w:pPr>
      <w:bookmarkStart w:id="43" w:name="_Toc15377212"/>
      <w:r>
        <w:rPr>
          <w:rFonts w:hint="eastAsia" w:ascii="仿宋" w:hAnsi="仿宋" w:eastAsia="仿宋"/>
          <w:b/>
          <w:color w:val="auto"/>
          <w:sz w:val="32"/>
          <w:szCs w:val="32"/>
          <w:highlight w:val="none"/>
        </w:rPr>
        <w:t>（三）一般公共预算财政拨款支出决算具体情况</w:t>
      </w:r>
      <w:bookmarkEnd w:id="43"/>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bookmarkStart w:id="44" w:name="_Toc29837"/>
      <w:bookmarkStart w:id="45" w:name="_Toc15377214"/>
      <w:bookmarkStart w:id="46" w:name="_Toc15396608"/>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年度一般公共预算支出决算数为3</w:t>
      </w:r>
      <w:r>
        <w:rPr>
          <w:rFonts w:hint="eastAsia" w:ascii="仿宋_GB2312" w:hAnsi="仿宋_GB2312" w:eastAsia="仿宋_GB2312" w:cs="仿宋_GB2312"/>
          <w:sz w:val="32"/>
          <w:szCs w:val="32"/>
          <w:lang w:val="en-US" w:eastAsia="zh-CN"/>
        </w:rPr>
        <w:t>53.69</w:t>
      </w:r>
      <w:r>
        <w:rPr>
          <w:rFonts w:hint="eastAsia" w:ascii="仿宋_GB2312" w:hAnsi="仿宋_GB2312" w:eastAsia="仿宋_GB2312" w:cs="仿宋_GB2312"/>
          <w:sz w:val="32"/>
          <w:szCs w:val="32"/>
        </w:rPr>
        <w:t>万元，完成预算100%。其中:</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1.社会保障和就业支出(</w:t>
      </w:r>
      <w:r>
        <w:rPr>
          <w:rFonts w:hint="eastAsia" w:ascii="仿宋_GB2312" w:hAnsi="仿宋_GB2312" w:eastAsia="仿宋_GB2312" w:cs="仿宋_GB2312"/>
          <w:sz w:val="32"/>
          <w:szCs w:val="32"/>
          <w:lang w:val="en-US" w:eastAsia="zh-CN"/>
        </w:rPr>
        <w:t>类</w:t>
      </w:r>
      <w:r>
        <w:rPr>
          <w:rFonts w:hint="eastAsia" w:ascii="仿宋_GB2312" w:hAnsi="仿宋_GB2312" w:eastAsia="仿宋_GB2312" w:cs="仿宋_GB2312"/>
          <w:sz w:val="32"/>
          <w:szCs w:val="32"/>
        </w:rPr>
        <w:t>)行政事业单位养老支出(</w:t>
      </w:r>
      <w:r>
        <w:rPr>
          <w:rFonts w:hint="eastAsia" w:ascii="仿宋_GB2312" w:hAnsi="仿宋_GB2312" w:eastAsia="仿宋_GB2312" w:cs="仿宋_GB2312"/>
          <w:sz w:val="32"/>
          <w:szCs w:val="32"/>
          <w:lang w:val="en-US" w:eastAsia="zh-CN"/>
        </w:rPr>
        <w:t>款</w:t>
      </w:r>
      <w:r>
        <w:rPr>
          <w:rFonts w:hint="eastAsia" w:ascii="仿宋_GB2312" w:hAnsi="仿宋_GB2312" w:eastAsia="仿宋_GB2312" w:cs="仿宋_GB2312"/>
          <w:sz w:val="32"/>
          <w:szCs w:val="32"/>
        </w:rPr>
        <w:t>)机关事业单位基本养老保险缴费支出(</w:t>
      </w:r>
      <w:r>
        <w:rPr>
          <w:rFonts w:hint="eastAsia" w:ascii="仿宋_GB2312" w:hAnsi="仿宋_GB2312" w:eastAsia="仿宋_GB2312" w:cs="仿宋_GB2312"/>
          <w:sz w:val="32"/>
          <w:szCs w:val="32"/>
          <w:lang w:val="en-US" w:eastAsia="zh-CN"/>
        </w:rPr>
        <w:t>项</w:t>
      </w:r>
      <w:r>
        <w:rPr>
          <w:rFonts w:hint="eastAsia" w:ascii="仿宋_GB2312" w:hAnsi="仿宋_GB2312" w:eastAsia="仿宋_GB2312" w:cs="仿宋_GB2312"/>
          <w:sz w:val="32"/>
          <w:szCs w:val="32"/>
        </w:rPr>
        <w:t>):支出决算1</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.09万元，完成预算100%。</w:t>
      </w:r>
      <w:r>
        <w:rPr>
          <w:rFonts w:hint="eastAsia" w:ascii="仿宋_GB2312" w:eastAsia="仿宋_GB2312" w:cs="宋体"/>
          <w:color w:val="000000"/>
          <w:kern w:val="0"/>
          <w:sz w:val="32"/>
          <w:szCs w:val="32"/>
          <w:shd w:val="clear" w:color="auto" w:fill="FFFFFF"/>
          <w:lang w:val="en-US" w:eastAsia="zh-CN"/>
        </w:rPr>
        <w:t>决算数与预算数持平。</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2.社会保障和就业支出(</w:t>
      </w:r>
      <w:r>
        <w:rPr>
          <w:rFonts w:hint="eastAsia" w:ascii="仿宋_GB2312" w:hAnsi="仿宋_GB2312" w:eastAsia="仿宋_GB2312" w:cs="仿宋_GB2312"/>
          <w:sz w:val="32"/>
          <w:szCs w:val="32"/>
          <w:lang w:val="en-US" w:eastAsia="zh-CN"/>
        </w:rPr>
        <w:t>类</w:t>
      </w:r>
      <w:r>
        <w:rPr>
          <w:rFonts w:hint="eastAsia" w:ascii="仿宋_GB2312" w:hAnsi="仿宋_GB2312" w:eastAsia="仿宋_GB2312" w:cs="仿宋_GB2312"/>
          <w:sz w:val="32"/>
          <w:szCs w:val="32"/>
        </w:rPr>
        <w:t>)行政事业单位养老支出(</w:t>
      </w:r>
      <w:r>
        <w:rPr>
          <w:rFonts w:hint="eastAsia" w:ascii="仿宋_GB2312" w:hAnsi="仿宋_GB2312" w:eastAsia="仿宋_GB2312" w:cs="仿宋_GB2312"/>
          <w:sz w:val="32"/>
          <w:szCs w:val="32"/>
          <w:lang w:val="en-US" w:eastAsia="zh-CN"/>
        </w:rPr>
        <w:t>款</w:t>
      </w:r>
      <w:r>
        <w:rPr>
          <w:rFonts w:hint="eastAsia" w:ascii="仿宋_GB2312" w:hAnsi="仿宋_GB2312" w:eastAsia="仿宋_GB2312" w:cs="仿宋_GB2312"/>
          <w:sz w:val="32"/>
          <w:szCs w:val="32"/>
        </w:rPr>
        <w:t>)机关事业单位职业年金缴费支出(</w:t>
      </w:r>
      <w:r>
        <w:rPr>
          <w:rFonts w:hint="eastAsia" w:ascii="仿宋_GB2312" w:hAnsi="仿宋_GB2312" w:eastAsia="仿宋_GB2312" w:cs="仿宋_GB2312"/>
          <w:sz w:val="32"/>
          <w:szCs w:val="32"/>
          <w:lang w:val="en-US" w:eastAsia="zh-CN"/>
        </w:rPr>
        <w:t>项</w:t>
      </w:r>
      <w:r>
        <w:rPr>
          <w:rFonts w:hint="eastAsia" w:ascii="仿宋_GB2312" w:hAnsi="仿宋_GB2312" w:eastAsia="仿宋_GB2312" w:cs="仿宋_GB2312"/>
          <w:sz w:val="32"/>
          <w:szCs w:val="32"/>
        </w:rPr>
        <w:t>):支出决算8.</w:t>
      </w:r>
      <w:r>
        <w:rPr>
          <w:rFonts w:hint="eastAsia" w:ascii="仿宋_GB2312" w:hAnsi="仿宋_GB2312" w:eastAsia="仿宋_GB2312" w:cs="仿宋_GB2312"/>
          <w:sz w:val="32"/>
          <w:szCs w:val="32"/>
          <w:lang w:val="en-US" w:eastAsia="zh-CN"/>
        </w:rPr>
        <w:t>57</w:t>
      </w:r>
      <w:r>
        <w:rPr>
          <w:rFonts w:hint="eastAsia" w:ascii="仿宋_GB2312" w:hAnsi="仿宋_GB2312" w:eastAsia="仿宋_GB2312" w:cs="仿宋_GB2312"/>
          <w:sz w:val="32"/>
          <w:szCs w:val="32"/>
        </w:rPr>
        <w:t>万元，完成预算100%。</w:t>
      </w:r>
      <w:r>
        <w:rPr>
          <w:rFonts w:hint="eastAsia" w:ascii="仿宋_GB2312" w:eastAsia="仿宋_GB2312" w:cs="宋体"/>
          <w:color w:val="000000"/>
          <w:kern w:val="0"/>
          <w:sz w:val="32"/>
          <w:szCs w:val="32"/>
          <w:shd w:val="clear" w:color="auto" w:fill="FFFFFF"/>
          <w:lang w:val="en-US" w:eastAsia="zh-CN"/>
        </w:rPr>
        <w:t>决算数与预算数持平。</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3.社会保障和就业支出(</w:t>
      </w:r>
      <w:r>
        <w:rPr>
          <w:rFonts w:hint="eastAsia" w:ascii="仿宋_GB2312" w:hAnsi="仿宋_GB2312" w:eastAsia="仿宋_GB2312" w:cs="仿宋_GB2312"/>
          <w:sz w:val="32"/>
          <w:szCs w:val="32"/>
          <w:lang w:val="en-US" w:eastAsia="zh-CN"/>
        </w:rPr>
        <w:t>类</w:t>
      </w:r>
      <w:r>
        <w:rPr>
          <w:rFonts w:hint="eastAsia" w:ascii="仿宋_GB2312" w:hAnsi="仿宋_GB2312" w:eastAsia="仿宋_GB2312" w:cs="仿宋_GB2312"/>
          <w:sz w:val="32"/>
          <w:szCs w:val="32"/>
        </w:rPr>
        <w:t>)残疾人事业(</w:t>
      </w:r>
      <w:r>
        <w:rPr>
          <w:rFonts w:hint="eastAsia" w:ascii="仿宋_GB2312" w:hAnsi="仿宋_GB2312" w:eastAsia="仿宋_GB2312" w:cs="仿宋_GB2312"/>
          <w:sz w:val="32"/>
          <w:szCs w:val="32"/>
          <w:lang w:val="en-US" w:eastAsia="zh-CN"/>
        </w:rPr>
        <w:t>款</w:t>
      </w:r>
      <w:r>
        <w:rPr>
          <w:rFonts w:hint="eastAsia" w:ascii="仿宋_GB2312" w:hAnsi="仿宋_GB2312" w:eastAsia="仿宋_GB2312" w:cs="仿宋_GB2312"/>
          <w:sz w:val="32"/>
          <w:szCs w:val="32"/>
        </w:rPr>
        <w:t>)行政运行(</w:t>
      </w:r>
      <w:r>
        <w:rPr>
          <w:rFonts w:hint="eastAsia" w:ascii="仿宋_GB2312" w:hAnsi="仿宋_GB2312" w:eastAsia="仿宋_GB2312" w:cs="仿宋_GB2312"/>
          <w:sz w:val="32"/>
          <w:szCs w:val="32"/>
          <w:lang w:val="en-US" w:eastAsia="zh-CN"/>
        </w:rPr>
        <w:t>项</w:t>
      </w:r>
      <w:r>
        <w:rPr>
          <w:rFonts w:hint="eastAsia" w:ascii="仿宋_GB2312" w:hAnsi="仿宋_GB2312" w:eastAsia="仿宋_GB2312" w:cs="仿宋_GB2312"/>
          <w:sz w:val="32"/>
          <w:szCs w:val="32"/>
        </w:rPr>
        <w:t>):支出决算10</w:t>
      </w:r>
      <w:r>
        <w:rPr>
          <w:rFonts w:hint="eastAsia" w:ascii="仿宋_GB2312" w:hAnsi="仿宋_GB2312" w:eastAsia="仿宋_GB2312" w:cs="仿宋_GB2312"/>
          <w:sz w:val="32"/>
          <w:szCs w:val="32"/>
          <w:lang w:val="en-US" w:eastAsia="zh-CN"/>
        </w:rPr>
        <w:t>9.95</w:t>
      </w:r>
      <w:r>
        <w:rPr>
          <w:rFonts w:hint="eastAsia" w:ascii="仿宋_GB2312" w:hAnsi="仿宋_GB2312" w:eastAsia="仿宋_GB2312" w:cs="仿宋_GB2312"/>
          <w:sz w:val="32"/>
          <w:szCs w:val="32"/>
        </w:rPr>
        <w:t>万元，完成预算100%。</w:t>
      </w:r>
      <w:r>
        <w:rPr>
          <w:rFonts w:hint="eastAsia" w:ascii="仿宋_GB2312" w:eastAsia="仿宋_GB2312" w:cs="宋体"/>
          <w:color w:val="000000"/>
          <w:kern w:val="0"/>
          <w:sz w:val="32"/>
          <w:szCs w:val="32"/>
          <w:shd w:val="clear" w:color="auto" w:fill="FFFFFF"/>
          <w:lang w:val="en-US" w:eastAsia="zh-CN"/>
        </w:rPr>
        <w:t>决算数与预算数持平。</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4.社会保障和就业支出(</w:t>
      </w:r>
      <w:r>
        <w:rPr>
          <w:rFonts w:hint="eastAsia" w:ascii="仿宋_GB2312" w:hAnsi="仿宋_GB2312" w:eastAsia="仿宋_GB2312" w:cs="仿宋_GB2312"/>
          <w:sz w:val="32"/>
          <w:szCs w:val="32"/>
          <w:lang w:val="en-US" w:eastAsia="zh-CN"/>
        </w:rPr>
        <w:t>类</w:t>
      </w:r>
      <w:r>
        <w:rPr>
          <w:rFonts w:hint="eastAsia" w:ascii="仿宋_GB2312" w:hAnsi="仿宋_GB2312" w:eastAsia="仿宋_GB2312" w:cs="仿宋_GB2312"/>
          <w:sz w:val="32"/>
          <w:szCs w:val="32"/>
        </w:rPr>
        <w:t>)残疾人事业(</w:t>
      </w:r>
      <w:r>
        <w:rPr>
          <w:rFonts w:hint="eastAsia" w:ascii="仿宋_GB2312" w:hAnsi="仿宋_GB2312" w:eastAsia="仿宋_GB2312" w:cs="仿宋_GB2312"/>
          <w:sz w:val="32"/>
          <w:szCs w:val="32"/>
          <w:lang w:val="en-US" w:eastAsia="zh-CN"/>
        </w:rPr>
        <w:t>款</w:t>
      </w:r>
      <w:r>
        <w:rPr>
          <w:rFonts w:hint="eastAsia" w:ascii="仿宋_GB2312" w:hAnsi="仿宋_GB2312" w:eastAsia="仿宋_GB2312" w:cs="仿宋_GB2312"/>
          <w:sz w:val="32"/>
          <w:szCs w:val="32"/>
        </w:rPr>
        <w:t>)其他残疾人事业支出(</w:t>
      </w:r>
      <w:r>
        <w:rPr>
          <w:rFonts w:hint="eastAsia" w:ascii="仿宋_GB2312" w:hAnsi="仿宋_GB2312" w:eastAsia="仿宋_GB2312" w:cs="仿宋_GB2312"/>
          <w:sz w:val="32"/>
          <w:szCs w:val="32"/>
          <w:lang w:val="en-US" w:eastAsia="zh-CN"/>
        </w:rPr>
        <w:t>项</w:t>
      </w:r>
      <w:r>
        <w:rPr>
          <w:rFonts w:hint="eastAsia" w:ascii="仿宋_GB2312" w:hAnsi="仿宋_GB2312" w:eastAsia="仿宋_GB2312" w:cs="仿宋_GB2312"/>
          <w:sz w:val="32"/>
          <w:szCs w:val="32"/>
        </w:rPr>
        <w:t>):支出决算1</w:t>
      </w:r>
      <w:r>
        <w:rPr>
          <w:rFonts w:hint="eastAsia" w:ascii="仿宋_GB2312" w:hAnsi="仿宋_GB2312" w:eastAsia="仿宋_GB2312" w:cs="仿宋_GB2312"/>
          <w:sz w:val="32"/>
          <w:szCs w:val="32"/>
          <w:lang w:val="en-US" w:eastAsia="zh-CN"/>
        </w:rPr>
        <w:t>45.89</w:t>
      </w:r>
      <w:r>
        <w:rPr>
          <w:rFonts w:hint="eastAsia" w:ascii="仿宋_GB2312" w:hAnsi="仿宋_GB2312" w:eastAsia="仿宋_GB2312" w:cs="仿宋_GB2312"/>
          <w:sz w:val="32"/>
          <w:szCs w:val="32"/>
        </w:rPr>
        <w:t>万元，完成预算100%。</w:t>
      </w:r>
      <w:r>
        <w:rPr>
          <w:rFonts w:hint="eastAsia" w:ascii="仿宋_GB2312" w:eastAsia="仿宋_GB2312" w:cs="宋体"/>
          <w:color w:val="000000"/>
          <w:kern w:val="0"/>
          <w:sz w:val="32"/>
          <w:szCs w:val="32"/>
          <w:shd w:val="clear" w:color="auto" w:fill="FFFFFF"/>
          <w:lang w:val="en-US" w:eastAsia="zh-CN"/>
        </w:rPr>
        <w:t>决算数与预算数持平。</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5.卫生健康支出(</w:t>
      </w:r>
      <w:r>
        <w:rPr>
          <w:rFonts w:hint="eastAsia" w:ascii="仿宋_GB2312" w:hAnsi="仿宋_GB2312" w:eastAsia="仿宋_GB2312" w:cs="仿宋_GB2312"/>
          <w:sz w:val="32"/>
          <w:szCs w:val="32"/>
          <w:lang w:val="en-US" w:eastAsia="zh-CN"/>
        </w:rPr>
        <w:t>类</w:t>
      </w:r>
      <w:r>
        <w:rPr>
          <w:rFonts w:hint="eastAsia" w:ascii="仿宋_GB2312" w:hAnsi="仿宋_GB2312" w:eastAsia="仿宋_GB2312" w:cs="仿宋_GB2312"/>
          <w:sz w:val="32"/>
          <w:szCs w:val="32"/>
        </w:rPr>
        <w:t>)行政事业单位医疗(</w:t>
      </w:r>
      <w:r>
        <w:rPr>
          <w:rFonts w:hint="eastAsia" w:ascii="仿宋_GB2312" w:hAnsi="仿宋_GB2312" w:eastAsia="仿宋_GB2312" w:cs="仿宋_GB2312"/>
          <w:sz w:val="32"/>
          <w:szCs w:val="32"/>
          <w:lang w:val="en-US" w:eastAsia="zh-CN"/>
        </w:rPr>
        <w:t>款</w:t>
      </w:r>
      <w:r>
        <w:rPr>
          <w:rFonts w:hint="eastAsia" w:ascii="仿宋_GB2312" w:hAnsi="仿宋_GB2312" w:eastAsia="仿宋_GB2312" w:cs="仿宋_GB2312"/>
          <w:sz w:val="32"/>
          <w:szCs w:val="32"/>
        </w:rPr>
        <w:t>)行政单位医疗(</w:t>
      </w:r>
      <w:r>
        <w:rPr>
          <w:rFonts w:hint="eastAsia" w:ascii="仿宋_GB2312" w:hAnsi="仿宋_GB2312" w:eastAsia="仿宋_GB2312" w:cs="仿宋_GB2312"/>
          <w:sz w:val="32"/>
          <w:szCs w:val="32"/>
          <w:lang w:val="en-US" w:eastAsia="zh-CN"/>
        </w:rPr>
        <w:t>项</w:t>
      </w:r>
      <w:r>
        <w:rPr>
          <w:rFonts w:hint="eastAsia" w:ascii="仿宋_GB2312" w:hAnsi="仿宋_GB2312" w:eastAsia="仿宋_GB2312" w:cs="仿宋_GB2312"/>
          <w:sz w:val="32"/>
          <w:szCs w:val="32"/>
        </w:rPr>
        <w:t>):支出决算</w:t>
      </w:r>
      <w:r>
        <w:rPr>
          <w:rFonts w:hint="eastAsia" w:ascii="仿宋_GB2312" w:hAnsi="仿宋_GB2312" w:eastAsia="仿宋_GB2312" w:cs="仿宋_GB2312"/>
          <w:sz w:val="32"/>
          <w:szCs w:val="32"/>
          <w:lang w:val="en-US" w:eastAsia="zh-CN"/>
        </w:rPr>
        <w:t>7.13</w:t>
      </w:r>
      <w:r>
        <w:rPr>
          <w:rFonts w:hint="eastAsia" w:ascii="仿宋_GB2312" w:hAnsi="仿宋_GB2312" w:eastAsia="仿宋_GB2312" w:cs="仿宋_GB2312"/>
          <w:sz w:val="32"/>
          <w:szCs w:val="32"/>
        </w:rPr>
        <w:t>万元，完成预算100%。</w:t>
      </w:r>
      <w:r>
        <w:rPr>
          <w:rFonts w:hint="eastAsia" w:ascii="仿宋_GB2312" w:eastAsia="仿宋_GB2312" w:cs="宋体"/>
          <w:color w:val="000000"/>
          <w:kern w:val="0"/>
          <w:sz w:val="32"/>
          <w:szCs w:val="32"/>
          <w:shd w:val="clear" w:color="auto" w:fill="FFFFFF"/>
          <w:lang w:val="en-US" w:eastAsia="zh-CN"/>
        </w:rPr>
        <w:t>决算数与预算数持平。</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6.卫生健康支出(</w:t>
      </w:r>
      <w:r>
        <w:rPr>
          <w:rFonts w:hint="eastAsia" w:ascii="仿宋_GB2312" w:hAnsi="仿宋_GB2312" w:eastAsia="仿宋_GB2312" w:cs="仿宋_GB2312"/>
          <w:sz w:val="32"/>
          <w:szCs w:val="32"/>
          <w:lang w:val="en-US" w:eastAsia="zh-CN"/>
        </w:rPr>
        <w:t>类</w:t>
      </w:r>
      <w:r>
        <w:rPr>
          <w:rFonts w:hint="eastAsia" w:ascii="仿宋_GB2312" w:hAnsi="仿宋_GB2312" w:eastAsia="仿宋_GB2312" w:cs="仿宋_GB2312"/>
          <w:sz w:val="32"/>
          <w:szCs w:val="32"/>
        </w:rPr>
        <w:t>)行政事业单位医疗(</w:t>
      </w:r>
      <w:r>
        <w:rPr>
          <w:rFonts w:hint="eastAsia" w:ascii="仿宋_GB2312" w:hAnsi="仿宋_GB2312" w:eastAsia="仿宋_GB2312" w:cs="仿宋_GB2312"/>
          <w:sz w:val="32"/>
          <w:szCs w:val="32"/>
          <w:lang w:val="en-US" w:eastAsia="zh-CN"/>
        </w:rPr>
        <w:t>款</w:t>
      </w:r>
      <w:r>
        <w:rPr>
          <w:rFonts w:hint="eastAsia" w:ascii="仿宋_GB2312" w:hAnsi="仿宋_GB2312" w:eastAsia="仿宋_GB2312" w:cs="仿宋_GB2312"/>
          <w:sz w:val="32"/>
          <w:szCs w:val="32"/>
        </w:rPr>
        <w:t>)事业单位医疗(</w:t>
      </w:r>
      <w:r>
        <w:rPr>
          <w:rFonts w:hint="eastAsia" w:ascii="仿宋_GB2312" w:hAnsi="仿宋_GB2312" w:eastAsia="仿宋_GB2312" w:cs="仿宋_GB2312"/>
          <w:sz w:val="32"/>
          <w:szCs w:val="32"/>
          <w:lang w:val="en-US" w:eastAsia="zh-CN"/>
        </w:rPr>
        <w:t>项</w:t>
      </w:r>
      <w:r>
        <w:rPr>
          <w:rFonts w:hint="eastAsia" w:ascii="仿宋_GB2312" w:hAnsi="仿宋_GB2312" w:eastAsia="仿宋_GB2312" w:cs="仿宋_GB2312"/>
          <w:sz w:val="32"/>
          <w:szCs w:val="32"/>
        </w:rPr>
        <w:t>):支出决算</w:t>
      </w:r>
      <w:r>
        <w:rPr>
          <w:rFonts w:hint="eastAsia" w:ascii="仿宋_GB2312" w:hAnsi="仿宋_GB2312" w:eastAsia="仿宋_GB2312" w:cs="仿宋_GB2312"/>
          <w:sz w:val="32"/>
          <w:szCs w:val="32"/>
          <w:lang w:val="en-US" w:eastAsia="zh-CN"/>
        </w:rPr>
        <w:t>1.72</w:t>
      </w:r>
      <w:r>
        <w:rPr>
          <w:rFonts w:hint="eastAsia" w:ascii="仿宋_GB2312" w:hAnsi="仿宋_GB2312" w:eastAsia="仿宋_GB2312" w:cs="仿宋_GB2312"/>
          <w:sz w:val="32"/>
          <w:szCs w:val="32"/>
        </w:rPr>
        <w:t>万元，完成预算100%。</w:t>
      </w:r>
      <w:r>
        <w:rPr>
          <w:rFonts w:hint="eastAsia" w:ascii="仿宋_GB2312" w:eastAsia="仿宋_GB2312" w:cs="宋体"/>
          <w:color w:val="000000"/>
          <w:kern w:val="0"/>
          <w:sz w:val="32"/>
          <w:szCs w:val="32"/>
          <w:shd w:val="clear" w:color="auto" w:fill="FFFFFF"/>
          <w:lang w:val="en-US" w:eastAsia="zh-CN"/>
        </w:rPr>
        <w:t>决算数与预算数持平。</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7.农林水支出(</w:t>
      </w:r>
      <w:r>
        <w:rPr>
          <w:rFonts w:hint="eastAsia" w:ascii="仿宋_GB2312" w:hAnsi="仿宋_GB2312" w:eastAsia="仿宋_GB2312" w:cs="仿宋_GB2312"/>
          <w:sz w:val="32"/>
          <w:szCs w:val="32"/>
          <w:lang w:val="en-US" w:eastAsia="zh-CN"/>
        </w:rPr>
        <w:t>类</w:t>
      </w:r>
      <w:r>
        <w:rPr>
          <w:rFonts w:hint="eastAsia" w:ascii="仿宋_GB2312" w:hAnsi="仿宋_GB2312" w:eastAsia="仿宋_GB2312" w:cs="仿宋_GB2312"/>
          <w:sz w:val="32"/>
          <w:szCs w:val="32"/>
        </w:rPr>
        <w:t>)巩固脱贫攻坚成果衔接乡村振兴(</w:t>
      </w:r>
      <w:r>
        <w:rPr>
          <w:rFonts w:hint="eastAsia" w:ascii="仿宋_GB2312" w:hAnsi="仿宋_GB2312" w:eastAsia="仿宋_GB2312" w:cs="仿宋_GB2312"/>
          <w:sz w:val="32"/>
          <w:szCs w:val="32"/>
          <w:lang w:val="en-US" w:eastAsia="zh-CN"/>
        </w:rPr>
        <w:t>款</w:t>
      </w:r>
      <w:r>
        <w:rPr>
          <w:rFonts w:hint="eastAsia" w:ascii="仿宋_GB2312" w:hAnsi="仿宋_GB2312" w:eastAsia="仿宋_GB2312" w:cs="仿宋_GB2312"/>
          <w:sz w:val="32"/>
          <w:szCs w:val="32"/>
        </w:rPr>
        <w:t>)其他巩固脱贫攻坚成果衔接乡村振兴支出(</w:t>
      </w:r>
      <w:r>
        <w:rPr>
          <w:rFonts w:hint="eastAsia" w:ascii="仿宋_GB2312" w:hAnsi="仿宋_GB2312" w:eastAsia="仿宋_GB2312" w:cs="仿宋_GB2312"/>
          <w:sz w:val="32"/>
          <w:szCs w:val="32"/>
          <w:lang w:val="en-US" w:eastAsia="zh-CN"/>
        </w:rPr>
        <w:t>项</w:t>
      </w:r>
      <w:r>
        <w:rPr>
          <w:rFonts w:hint="eastAsia" w:ascii="仿宋_GB2312" w:hAnsi="仿宋_GB2312" w:eastAsia="仿宋_GB2312" w:cs="仿宋_GB2312"/>
          <w:sz w:val="32"/>
          <w:szCs w:val="32"/>
        </w:rPr>
        <w:t>):支出决算</w:t>
      </w:r>
      <w:r>
        <w:rPr>
          <w:rFonts w:hint="eastAsia" w:ascii="仿宋_GB2312" w:hAnsi="仿宋_GB2312" w:eastAsia="仿宋_GB2312" w:cs="仿宋_GB2312"/>
          <w:sz w:val="32"/>
          <w:szCs w:val="32"/>
          <w:lang w:val="en-US" w:eastAsia="zh-CN"/>
        </w:rPr>
        <w:t>49.42</w:t>
      </w:r>
      <w:r>
        <w:rPr>
          <w:rFonts w:hint="eastAsia" w:ascii="仿宋_GB2312" w:hAnsi="仿宋_GB2312" w:eastAsia="仿宋_GB2312" w:cs="仿宋_GB2312"/>
          <w:sz w:val="32"/>
          <w:szCs w:val="32"/>
        </w:rPr>
        <w:t>万元，完成预算100%。</w:t>
      </w:r>
      <w:r>
        <w:rPr>
          <w:rFonts w:hint="eastAsia" w:ascii="仿宋_GB2312" w:eastAsia="仿宋_GB2312" w:cs="宋体"/>
          <w:color w:val="000000"/>
          <w:kern w:val="0"/>
          <w:sz w:val="32"/>
          <w:szCs w:val="32"/>
          <w:shd w:val="clear" w:color="auto" w:fill="FFFFFF"/>
          <w:lang w:val="en-US" w:eastAsia="zh-CN"/>
        </w:rPr>
        <w:t>决算数与预算数持平。</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8.住房保障支出(</w:t>
      </w:r>
      <w:r>
        <w:rPr>
          <w:rFonts w:hint="eastAsia" w:ascii="仿宋_GB2312" w:hAnsi="仿宋_GB2312" w:eastAsia="仿宋_GB2312" w:cs="仿宋_GB2312"/>
          <w:sz w:val="32"/>
          <w:szCs w:val="32"/>
          <w:lang w:val="en-US" w:eastAsia="zh-CN"/>
        </w:rPr>
        <w:t>类</w:t>
      </w:r>
      <w:r>
        <w:rPr>
          <w:rFonts w:hint="eastAsia" w:ascii="仿宋_GB2312" w:hAnsi="仿宋_GB2312" w:eastAsia="仿宋_GB2312" w:cs="仿宋_GB2312"/>
          <w:sz w:val="32"/>
          <w:szCs w:val="32"/>
        </w:rPr>
        <w:t>)住房改革支出(</w:t>
      </w:r>
      <w:r>
        <w:rPr>
          <w:rFonts w:hint="eastAsia" w:ascii="仿宋_GB2312" w:hAnsi="仿宋_GB2312" w:eastAsia="仿宋_GB2312" w:cs="仿宋_GB2312"/>
          <w:sz w:val="32"/>
          <w:szCs w:val="32"/>
          <w:lang w:val="en-US" w:eastAsia="zh-CN"/>
        </w:rPr>
        <w:t>款</w:t>
      </w:r>
      <w:r>
        <w:rPr>
          <w:rFonts w:hint="eastAsia" w:ascii="仿宋_GB2312" w:hAnsi="仿宋_GB2312" w:eastAsia="仿宋_GB2312" w:cs="仿宋_GB2312"/>
          <w:sz w:val="32"/>
          <w:szCs w:val="32"/>
        </w:rPr>
        <w:t>)住房公积(</w:t>
      </w:r>
      <w:r>
        <w:rPr>
          <w:rFonts w:hint="eastAsia" w:ascii="仿宋_GB2312" w:hAnsi="仿宋_GB2312" w:eastAsia="仿宋_GB2312" w:cs="仿宋_GB2312"/>
          <w:sz w:val="32"/>
          <w:szCs w:val="32"/>
          <w:lang w:val="en-US" w:eastAsia="zh-CN"/>
        </w:rPr>
        <w:t>项</w:t>
      </w:r>
      <w:r>
        <w:rPr>
          <w:rFonts w:hint="eastAsia" w:ascii="仿宋_GB2312" w:hAnsi="仿宋_GB2312" w:eastAsia="仿宋_GB2312" w:cs="仿宋_GB2312"/>
          <w:sz w:val="32"/>
          <w:szCs w:val="32"/>
        </w:rPr>
        <w:t>):支出决算13.</w:t>
      </w:r>
      <w:r>
        <w:rPr>
          <w:rFonts w:hint="eastAsia" w:ascii="仿宋_GB2312" w:hAnsi="仿宋_GB2312" w:eastAsia="仿宋_GB2312" w:cs="仿宋_GB2312"/>
          <w:sz w:val="32"/>
          <w:szCs w:val="32"/>
          <w:lang w:val="en-US" w:eastAsia="zh-CN"/>
        </w:rPr>
        <w:t>92</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w:t>
      </w:r>
      <w:r>
        <w:rPr>
          <w:rFonts w:hint="eastAsia" w:ascii="仿宋_GB2312" w:eastAsia="仿宋_GB2312" w:cs="宋体"/>
          <w:color w:val="000000"/>
          <w:kern w:val="0"/>
          <w:sz w:val="32"/>
          <w:szCs w:val="32"/>
          <w:shd w:val="clear" w:color="auto" w:fill="FFFFFF"/>
          <w:lang w:val="en-US" w:eastAsia="zh-CN"/>
        </w:rPr>
        <w:t>决算数与预算数持平。</w:t>
      </w:r>
    </w:p>
    <w:p>
      <w:pPr>
        <w:tabs>
          <w:tab w:val="right" w:pos="8306"/>
        </w:tabs>
        <w:spacing w:line="600" w:lineRule="exact"/>
        <w:ind w:firstLine="640"/>
        <w:outlineLvl w:val="1"/>
        <w:rPr>
          <w:rStyle w:val="21"/>
          <w:color w:val="auto"/>
          <w:highlight w:val="none"/>
        </w:rPr>
      </w:pPr>
      <w:bookmarkStart w:id="47" w:name="_Toc4147"/>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21"/>
          <w:rFonts w:hint="eastAsia" w:ascii="黑体" w:hAnsi="黑体" w:eastAsia="黑体"/>
          <w:b w:val="0"/>
          <w:color w:val="auto"/>
          <w:highlight w:val="none"/>
        </w:rPr>
        <w:t>般公共预算财政拨款基本支出决算情况说明</w:t>
      </w:r>
      <w:bookmarkEnd w:id="44"/>
      <w:bookmarkEnd w:id="45"/>
      <w:bookmarkEnd w:id="46"/>
      <w:bookmarkEnd w:id="47"/>
      <w:r>
        <w:rPr>
          <w:rStyle w:val="21"/>
          <w:rFonts w:ascii="黑体" w:hAnsi="黑体" w:eastAsia="黑体"/>
          <w:b w:val="0"/>
          <w:color w:val="auto"/>
          <w:highlight w:val="none"/>
        </w:rPr>
        <w:tab/>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bookmarkStart w:id="48" w:name="_Toc15396609"/>
      <w:bookmarkStart w:id="49" w:name="_Toc15377215"/>
      <w:bookmarkStart w:id="50" w:name="_Toc8310"/>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年度一般公共预算财政拨款基本支出</w:t>
      </w:r>
      <w:r>
        <w:rPr>
          <w:rFonts w:hint="eastAsia" w:ascii="仿宋_GB2312" w:hAnsi="仿宋_GB2312" w:eastAsia="仿宋_GB2312" w:cs="仿宋_GB2312"/>
          <w:sz w:val="32"/>
          <w:szCs w:val="32"/>
          <w:lang w:val="en-US" w:eastAsia="zh-CN"/>
        </w:rPr>
        <w:t>183.88</w:t>
      </w:r>
      <w:r>
        <w:rPr>
          <w:rFonts w:hint="eastAsia" w:ascii="仿宋_GB2312" w:hAnsi="仿宋_GB2312" w:eastAsia="仿宋_GB2312" w:cs="仿宋_GB2312"/>
          <w:sz w:val="32"/>
          <w:szCs w:val="32"/>
        </w:rPr>
        <w:t>万元，其中:人员经费</w:t>
      </w:r>
      <w:r>
        <w:rPr>
          <w:rFonts w:hint="eastAsia" w:ascii="仿宋_GB2312" w:hAnsi="仿宋_GB2312" w:eastAsia="仿宋_GB2312" w:cs="仿宋_GB2312"/>
          <w:sz w:val="32"/>
          <w:szCs w:val="32"/>
          <w:lang w:val="en-US" w:eastAsia="zh-CN"/>
        </w:rPr>
        <w:t>174.26</w:t>
      </w:r>
      <w:r>
        <w:rPr>
          <w:rFonts w:hint="eastAsia" w:ascii="仿宋_GB2312" w:hAnsi="仿宋_GB2312" w:eastAsia="仿宋_GB2312" w:cs="仿宋_GB2312"/>
          <w:sz w:val="32"/>
          <w:szCs w:val="32"/>
        </w:rPr>
        <w:t>万元，主要包括:基本工资、津贴补贴、奖金、绩效工资、机关事业单位基本养老保险缴费、职业年金缴费、职工基本医疗保险缴费、其他社会保障缴费、住房公积金、医疗费、生活补助、奖励金。</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公用经费</w:t>
      </w:r>
      <w:r>
        <w:rPr>
          <w:rFonts w:hint="eastAsia" w:ascii="仿宋_GB2312" w:hAnsi="仿宋_GB2312" w:eastAsia="仿宋_GB2312" w:cs="仿宋_GB2312"/>
          <w:sz w:val="32"/>
          <w:szCs w:val="32"/>
          <w:lang w:val="en-US" w:eastAsia="zh-CN"/>
        </w:rPr>
        <w:t>9.62</w:t>
      </w:r>
      <w:r>
        <w:rPr>
          <w:rFonts w:hint="eastAsia" w:ascii="仿宋_GB2312" w:hAnsi="仿宋_GB2312" w:eastAsia="仿宋_GB2312" w:cs="仿宋_GB2312"/>
          <w:sz w:val="32"/>
          <w:szCs w:val="32"/>
        </w:rPr>
        <w:t>万元，主要包括:办公费、邮电费、差旅费、公务用车运行维护费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其他商品和服务支出</w:t>
      </w:r>
      <w:r>
        <w:rPr>
          <w:rFonts w:hint="eastAsia" w:ascii="仿宋_GB2312" w:hAnsi="仿宋_GB2312" w:eastAsia="仿宋_GB2312" w:cs="仿宋_GB2312"/>
          <w:sz w:val="32"/>
          <w:szCs w:val="32"/>
        </w:rPr>
        <w:t>。</w:t>
      </w:r>
    </w:p>
    <w:p>
      <w:pPr>
        <w:spacing w:line="600" w:lineRule="exact"/>
        <w:ind w:firstLine="640"/>
        <w:outlineLvl w:val="1"/>
        <w:rPr>
          <w:rStyle w:val="21"/>
          <w:rFonts w:ascii="黑体" w:hAnsi="黑体" w:eastAsia="黑体"/>
          <w:b w:val="0"/>
          <w:color w:val="auto"/>
          <w:highlight w:val="none"/>
        </w:rPr>
      </w:pPr>
      <w:bookmarkStart w:id="51" w:name="_Toc11724"/>
      <w:r>
        <w:rPr>
          <w:rFonts w:hint="eastAsia" w:ascii="黑体" w:eastAsia="黑体"/>
          <w:color w:val="auto"/>
          <w:sz w:val="32"/>
          <w:szCs w:val="32"/>
          <w:highlight w:val="none"/>
        </w:rPr>
        <w:t>七、</w:t>
      </w:r>
      <w:r>
        <w:rPr>
          <w:rStyle w:val="21"/>
          <w:rFonts w:hint="eastAsia" w:ascii="黑体" w:hAnsi="黑体" w:eastAsia="黑体"/>
          <w:b w:val="0"/>
          <w:color w:val="auto"/>
          <w:highlight w:val="none"/>
        </w:rPr>
        <w:t>财政拨款</w:t>
      </w:r>
      <w:r>
        <w:rPr>
          <w:rStyle w:val="21"/>
          <w:rFonts w:hint="eastAsia" w:ascii="黑体" w:hAnsi="黑体" w:eastAsia="黑体"/>
          <w:b w:val="0"/>
          <w:color w:val="auto"/>
          <w:highlight w:val="none"/>
          <w:lang w:eastAsia="zh-CN"/>
        </w:rPr>
        <w:t>“</w:t>
      </w:r>
      <w:r>
        <w:rPr>
          <w:rStyle w:val="21"/>
          <w:rFonts w:hint="eastAsia" w:ascii="黑体" w:hAnsi="黑体" w:eastAsia="黑体"/>
          <w:b w:val="0"/>
          <w:color w:val="auto"/>
          <w:highlight w:val="none"/>
        </w:rPr>
        <w:t>三公”经费支出决算情况说明</w:t>
      </w:r>
      <w:bookmarkEnd w:id="48"/>
      <w:bookmarkEnd w:id="49"/>
      <w:bookmarkEnd w:id="50"/>
      <w:bookmarkEnd w:id="51"/>
    </w:p>
    <w:p>
      <w:pPr>
        <w:spacing w:line="600" w:lineRule="exact"/>
        <w:ind w:firstLine="640"/>
        <w:outlineLvl w:val="2"/>
        <w:rPr>
          <w:rFonts w:ascii="仿宋" w:hAnsi="仿宋" w:eastAsia="仿宋"/>
          <w:b/>
          <w:color w:val="auto"/>
          <w:sz w:val="32"/>
          <w:szCs w:val="32"/>
          <w:highlight w:val="none"/>
        </w:rPr>
      </w:pPr>
      <w:bookmarkStart w:id="52" w:name="_Toc15377216"/>
      <w:r>
        <w:rPr>
          <w:rFonts w:hint="eastAsia" w:ascii="仿宋" w:hAnsi="仿宋" w:eastAsia="仿宋"/>
          <w:b/>
          <w:color w:val="auto"/>
          <w:sz w:val="32"/>
          <w:szCs w:val="32"/>
          <w:highlight w:val="none"/>
        </w:rPr>
        <w:t>（一）“三公”经费财政拨款支出决算总体情况说明</w:t>
      </w:r>
      <w:bookmarkEnd w:id="52"/>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sz w:val="32"/>
          <w:szCs w:val="32"/>
          <w:lang w:val="en-US" w:eastAsia="zh-CN"/>
        </w:rPr>
      </w:pPr>
      <w:bookmarkStart w:id="53" w:name="_Toc15377217"/>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年度“三公”经费财政拨款支出决算为1.8</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上年度</w:t>
      </w:r>
      <w:r>
        <w:rPr>
          <w:rFonts w:hint="eastAsia" w:ascii="仿宋_GB2312" w:hAnsi="仿宋_GB2312" w:eastAsia="仿宋_GB2312" w:cs="仿宋_GB2312"/>
          <w:sz w:val="32"/>
          <w:szCs w:val="32"/>
          <w:lang w:eastAsia="zh-CN"/>
        </w:rPr>
        <w:t>相比增加</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03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增长</w:t>
      </w:r>
      <w:r>
        <w:rPr>
          <w:rFonts w:hint="eastAsia" w:ascii="仿宋_GB2312" w:hAnsi="仿宋_GB2312" w:eastAsia="仿宋_GB2312" w:cs="仿宋_GB2312"/>
          <w:sz w:val="32"/>
          <w:szCs w:val="32"/>
          <w:lang w:val="en-US" w:eastAsia="zh-CN"/>
        </w:rPr>
        <w:t xml:space="preserve">1.6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主要原因是：下乡外出增多。</w:t>
      </w:r>
    </w:p>
    <w:p>
      <w:pPr>
        <w:spacing w:line="600" w:lineRule="exact"/>
        <w:ind w:firstLine="640"/>
        <w:outlineLvl w:val="2"/>
        <w:rPr>
          <w:rFonts w:hint="eastAsia" w:ascii="仿宋" w:hAnsi="仿宋" w:eastAsia="仿宋" w:cs="Times New Roman"/>
          <w:b/>
          <w:color w:val="auto"/>
          <w:sz w:val="32"/>
          <w:szCs w:val="32"/>
          <w:highlight w:val="none"/>
        </w:rPr>
      </w:pPr>
      <w:r>
        <w:rPr>
          <w:rFonts w:hint="eastAsia" w:ascii="仿宋" w:hAnsi="仿宋" w:eastAsia="仿宋" w:cs="Times New Roman"/>
          <w:b/>
          <w:color w:val="auto"/>
          <w:sz w:val="32"/>
          <w:szCs w:val="32"/>
          <w:highlight w:val="none"/>
          <w:lang w:eastAsia="zh-CN"/>
        </w:rPr>
        <w:t>（</w:t>
      </w:r>
      <w:r>
        <w:rPr>
          <w:rFonts w:hint="eastAsia" w:ascii="仿宋" w:hAnsi="仿宋" w:eastAsia="仿宋" w:cs="Times New Roman"/>
          <w:b/>
          <w:color w:val="auto"/>
          <w:sz w:val="32"/>
          <w:szCs w:val="32"/>
          <w:highlight w:val="none"/>
          <w:lang w:val="en-US" w:eastAsia="zh-CN"/>
        </w:rPr>
        <w:t>二</w:t>
      </w:r>
      <w:r>
        <w:rPr>
          <w:rFonts w:hint="eastAsia" w:ascii="仿宋" w:hAnsi="仿宋" w:eastAsia="仿宋" w:cs="Times New Roman"/>
          <w:b/>
          <w:color w:val="auto"/>
          <w:sz w:val="32"/>
          <w:szCs w:val="32"/>
          <w:highlight w:val="none"/>
          <w:lang w:eastAsia="zh-CN"/>
        </w:rPr>
        <w:t>）</w:t>
      </w:r>
      <w:r>
        <w:rPr>
          <w:rFonts w:hint="eastAsia" w:ascii="仿宋" w:hAnsi="仿宋" w:eastAsia="仿宋" w:cs="Times New Roman"/>
          <w:b/>
          <w:color w:val="auto"/>
          <w:sz w:val="32"/>
          <w:szCs w:val="32"/>
          <w:highlight w:val="none"/>
        </w:rPr>
        <w:t>“三公”经费财政拨款支出决算具体情况说明</w:t>
      </w:r>
    </w:p>
    <w:bookmarkEnd w:id="53"/>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年度“三公”经费财政拨款支出1.8</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万元，因公国(境)费支出决算0万元，占0%;公务用车购置及运维护费支出决算1.8</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万元，占100%;公务接待费支出决0万元，占0%。具体情况如下:</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 w:hAnsi="Times New Roman" w:eastAsia="仿宋"/>
          <w:color w:val="000000"/>
          <w:sz w:val="32"/>
          <w:szCs w:val="32"/>
        </w:rPr>
        <w:pict>
          <v:shape id="Object 14" o:spid="_x0000_s1032" o:spt="75" type="#_x0000_t75" style="position:absolute;left:0pt;margin-left:105pt;margin-top:19.55pt;height:121.9pt;width:200.65pt;z-index:-251651072;mso-width-relative:page;mso-height-relative:page;" o:ole="t" filled="f" o:preferrelative="t" stroked="f" coordsize="21600,21600">
            <v:path/>
            <v:fill on="f" focussize="0,0"/>
            <v:stroke on="f"/>
            <v:imagedata r:id="rId20" o:title=""/>
            <o:lock v:ext="edit" aspectratio="t"/>
          </v:shape>
          <o:OLEObject Type="Embed" ProgID="Excel.Chart.8" ShapeID="Object 14" DrawAspect="Content" ObjectID="_1468075731" r:id="rId19">
            <o:LockedField>false</o:LockedField>
          </o:OLEObject>
        </w:pict>
      </w:r>
    </w:p>
    <w:p>
      <w:pPr>
        <w:spacing w:line="600" w:lineRule="exact"/>
        <w:ind w:firstLine="640"/>
        <w:rPr>
          <w:rFonts w:ascii="仿宋_GB2312" w:eastAsia="仿宋_GB2312"/>
          <w:b/>
          <w:sz w:val="32"/>
          <w:szCs w:val="32"/>
        </w:rPr>
      </w:pPr>
    </w:p>
    <w:p>
      <w:pPr>
        <w:spacing w:line="600" w:lineRule="exact"/>
        <w:ind w:firstLine="640"/>
        <w:rPr>
          <w:rFonts w:ascii="仿宋_GB2312" w:eastAsia="仿宋_GB2312"/>
          <w:b/>
          <w:sz w:val="32"/>
          <w:szCs w:val="32"/>
        </w:rPr>
      </w:pPr>
    </w:p>
    <w:p>
      <w:pPr>
        <w:spacing w:line="600" w:lineRule="exact"/>
        <w:rPr>
          <w:rFonts w:hint="eastAsia" w:ascii="仿宋" w:hAnsi="仿宋" w:eastAsia="仿宋"/>
          <w:sz w:val="32"/>
          <w:szCs w:val="32"/>
        </w:rPr>
      </w:pPr>
    </w:p>
    <w:p>
      <w:pPr>
        <w:spacing w:line="600" w:lineRule="exact"/>
        <w:rPr>
          <w:rFonts w:hint="eastAsia" w:ascii="仿宋" w:hAnsi="仿宋" w:eastAsia="仿宋"/>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bookmarkStart w:id="54" w:name="_Toc3693"/>
      <w:bookmarkStart w:id="55" w:name="_Toc15396612"/>
      <w:bookmarkStart w:id="56" w:name="_Toc15377221"/>
      <w:r>
        <w:rPr>
          <w:rFonts w:hint="eastAsia" w:ascii="仿宋_GB2312" w:hAnsi="仿宋_GB2312" w:eastAsia="仿宋_GB2312" w:cs="仿宋_GB2312"/>
          <w:sz w:val="32"/>
          <w:szCs w:val="32"/>
        </w:rPr>
        <w:t>1.因公出国(境)经费支出0万元,完成预算100%。全年安排因公出国(境)团组0次，出国(境)0人。因公出国(境)支出决算</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相比无变化</w:t>
      </w:r>
      <w:r>
        <w:rPr>
          <w:rFonts w:hint="eastAsia" w:ascii="仿宋_GB2312" w:hAnsi="仿宋_GB2312" w:eastAsia="仿宋_GB2312" w:cs="仿宋_GB2312"/>
          <w:sz w:val="32"/>
          <w:szCs w:val="32"/>
        </w:rPr>
        <w:t>。</w:t>
      </w:r>
    </w:p>
    <w:bookmarkEnd w:id="54"/>
    <w:bookmarkEnd w:id="55"/>
    <w:bookmarkEnd w:id="56"/>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2.公务用车购置及运行维护费支出1.8</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万元,完成预算100%。公务用车购置及运行维护费支出决算</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val="en-US" w:eastAsia="zh-CN"/>
        </w:rPr>
        <w:t>相比</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0.03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增长</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下乡外出增多</w:t>
      </w:r>
      <w:r>
        <w:rPr>
          <w:rFonts w:hint="eastAsia" w:ascii="仿宋_GB2312" w:hAnsi="仿宋_GB2312" w:eastAsia="仿宋_GB2312" w:cs="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年12月31日，单位共有公务用车1辆，其中:轿车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 xml:space="preserve">辆、越野车 </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辆、载客汽车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公务用车运行维护费支出1.8</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万元。主要用于</w:t>
      </w:r>
      <w:r>
        <w:rPr>
          <w:rFonts w:hint="eastAsia" w:ascii="仿宋_GB2312" w:hAnsi="仿宋_GB2312" w:eastAsia="仿宋_GB2312" w:cs="仿宋_GB2312"/>
          <w:sz w:val="32"/>
          <w:szCs w:val="32"/>
          <w:lang w:val="en-US" w:eastAsia="zh-CN"/>
        </w:rPr>
        <w:t>公务用车油费</w:t>
      </w:r>
      <w:r>
        <w:rPr>
          <w:rFonts w:hint="eastAsia" w:ascii="仿宋_GB2312" w:hAnsi="仿宋_GB2312" w:eastAsia="仿宋_GB2312" w:cs="仿宋_GB2312"/>
          <w:sz w:val="32"/>
          <w:szCs w:val="32"/>
        </w:rPr>
        <w:t>。</w:t>
      </w:r>
    </w:p>
    <w:p>
      <w:pPr>
        <w:keepNext w:val="0"/>
        <w:keepLines w:val="0"/>
        <w:pageBreakBefore w:val="0"/>
        <w:widowControl w:val="0"/>
        <w:numPr>
          <w:ilvl w:val="0"/>
          <w:numId w:val="2"/>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公务接待费支出0万元。公务接待费支出决算</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相比无变化</w:t>
      </w:r>
      <w:r>
        <w:rPr>
          <w:rFonts w:hint="eastAsia" w:ascii="仿宋_GB2312" w:hAnsi="仿宋_GB2312" w:eastAsia="仿宋_GB2312" w:cs="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国内公务接待支出0万元。</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外事接待支出0万元。</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sz w:val="32"/>
          <w:szCs w:val="32"/>
        </w:rPr>
      </w:pPr>
      <w:bookmarkStart w:id="57" w:name="_Toc1699"/>
      <w:r>
        <w:rPr>
          <w:rFonts w:hint="eastAsia" w:ascii="黑体" w:hAnsi="黑体" w:eastAsia="黑体" w:cs="黑体"/>
          <w:sz w:val="32"/>
          <w:szCs w:val="32"/>
        </w:rPr>
        <w:t>八、政府性基金预算支出决算情况说明</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年度政府性基金预算拨款支出</w:t>
      </w:r>
      <w:r>
        <w:rPr>
          <w:rFonts w:hint="eastAsia" w:ascii="仿宋_GB2312" w:hAnsi="仿宋_GB2312" w:eastAsia="仿宋_GB2312" w:cs="仿宋_GB2312"/>
          <w:sz w:val="32"/>
          <w:szCs w:val="32"/>
          <w:lang w:val="en-US" w:eastAsia="zh-CN"/>
        </w:rPr>
        <w:t>14.20</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年度相比，政府性基金预算财政拨款支出减少</w:t>
      </w:r>
      <w:r>
        <w:rPr>
          <w:rFonts w:hint="eastAsia" w:ascii="仿宋_GB2312" w:hAnsi="仿宋_GB2312" w:eastAsia="仿宋_GB2312" w:cs="仿宋_GB2312"/>
          <w:sz w:val="32"/>
          <w:szCs w:val="32"/>
          <w:lang w:val="en-US" w:eastAsia="zh-CN"/>
        </w:rPr>
        <w:t>13.2</w:t>
      </w:r>
      <w:r>
        <w:rPr>
          <w:rFonts w:hint="eastAsia" w:ascii="仿宋_GB2312" w:hAnsi="仿宋_GB2312" w:eastAsia="仿宋_GB2312" w:cs="仿宋_GB2312"/>
          <w:sz w:val="32"/>
          <w:szCs w:val="32"/>
        </w:rPr>
        <w:t>万元，下降</w:t>
      </w:r>
      <w:r>
        <w:rPr>
          <w:rFonts w:hint="eastAsia" w:ascii="仿宋_GB2312" w:hAnsi="仿宋_GB2312" w:eastAsia="仿宋_GB2312" w:cs="仿宋_GB2312"/>
          <w:sz w:val="32"/>
          <w:szCs w:val="32"/>
          <w:lang w:val="en-US" w:eastAsia="zh-CN"/>
        </w:rPr>
        <w:t>92</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基金项目减少。</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九、国有资本经营预算支出决算情况说明</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年度国有资本经营预算拨款支出0万元。</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十、其他重要事项的情况说明</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(一)机关运行经费支出情况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年度，茂县残疾人联合会(本级)机关运行经费支出</w:t>
      </w:r>
      <w:r>
        <w:rPr>
          <w:rFonts w:hint="eastAsia" w:ascii="仿宋_GB2312" w:hAnsi="仿宋_GB2312" w:eastAsia="仿宋_GB2312" w:cs="仿宋_GB2312"/>
          <w:sz w:val="32"/>
          <w:szCs w:val="32"/>
          <w:lang w:val="en-US" w:eastAsia="zh-CN"/>
        </w:rPr>
        <w:t>9.62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相比</w:t>
      </w:r>
      <w:r>
        <w:rPr>
          <w:rFonts w:hint="eastAsia" w:ascii="仿宋_GB2312" w:hAnsi="仿宋_GB2312" w:eastAsia="仿宋_GB2312" w:cs="仿宋_GB2312"/>
          <w:sz w:val="32"/>
          <w:szCs w:val="32"/>
        </w:rPr>
        <w:t>增加</w:t>
      </w:r>
      <w:r>
        <w:rPr>
          <w:rFonts w:hint="eastAsia" w:ascii="仿宋_GB2312" w:hAnsi="仿宋_GB2312" w:eastAsia="仿宋_GB2312" w:cs="仿宋_GB2312"/>
          <w:sz w:val="32"/>
          <w:szCs w:val="32"/>
          <w:lang w:val="en-US" w:eastAsia="zh-CN"/>
        </w:rPr>
        <w:t>2.13</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：开展残疾人事业工作增加</w:t>
      </w:r>
      <w:r>
        <w:rPr>
          <w:rFonts w:hint="eastAsia" w:ascii="仿宋_GB2312" w:hAnsi="仿宋_GB2312" w:eastAsia="仿宋_GB2312" w:cs="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(二)政府采购支出情况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茂县残疾人联合会(本级)政府采购支出总额0万元，其中:政府采购货物支出0万元、政府采购工程支出0万元、政府采购服务支出0万元。授予中小企业合同金额0万元，占政府采购支出总额的0%,其中:授予小微企业合同金额0万元，占政府采购支出总额的 0%。</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(三)国有资产占有使用情况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年12月31日，茂县残疾人联合会(本级)共有车辆1辆，其中:主要</w:t>
      </w:r>
      <w:r>
        <w:rPr>
          <w:rFonts w:hint="default" w:ascii="仿宋_GB2312" w:hAnsi="仿宋_GB2312" w:eastAsia="仿宋_GB2312" w:cs="仿宋_GB2312"/>
          <w:sz w:val="32"/>
          <w:szCs w:val="32"/>
        </w:rPr>
        <w:t>领导干部</w:t>
      </w:r>
      <w:r>
        <w:rPr>
          <w:rFonts w:hint="eastAsia" w:ascii="仿宋_GB2312" w:hAnsi="仿宋_GB2312" w:eastAsia="仿宋_GB2312" w:cs="仿宋_GB2312"/>
          <w:sz w:val="32"/>
          <w:szCs w:val="32"/>
        </w:rPr>
        <w:t>用车0辆、机要通信用车0辆、应急保障用车1辆、其他用车0辆。单价100万元以上专用设备(不含车辆)0台(套)。</w:t>
      </w:r>
    </w:p>
    <w:p>
      <w:pPr>
        <w:autoSpaceDE w:val="0"/>
        <w:autoSpaceDN w:val="0"/>
        <w:adjustRightInd w:val="0"/>
        <w:spacing w:line="600" w:lineRule="exact"/>
        <w:ind w:firstLine="642" w:firstLineChars="200"/>
        <w:jc w:val="left"/>
        <w:outlineLvl w:val="2"/>
        <w:rPr>
          <w:rFonts w:hint="eastAsia" w:ascii="仿宋" w:hAnsi="仿宋" w:eastAsia="仿宋"/>
          <w:b/>
          <w:sz w:val="32"/>
          <w:szCs w:val="32"/>
        </w:rPr>
      </w:pPr>
      <w:r>
        <w:rPr>
          <w:rFonts w:hint="eastAsia" w:ascii="仿宋" w:hAnsi="仿宋" w:eastAsia="仿宋"/>
          <w:b/>
          <w:sz w:val="32"/>
          <w:szCs w:val="32"/>
        </w:rPr>
        <w:t>（四）预算绩效管理情况</w:t>
      </w:r>
      <w:bookmarkEnd w:id="57"/>
    </w:p>
    <w:p>
      <w:pPr>
        <w:pageBreakBefore w:val="0"/>
        <w:kinsoku/>
        <w:wordWrap/>
        <w:overflowPunct/>
        <w:topLinePunct w:val="0"/>
        <w:bidi w:val="0"/>
        <w:snapToGrid/>
        <w:spacing w:line="576" w:lineRule="exact"/>
        <w:ind w:firstLine="640" w:firstLineChars="200"/>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rPr>
        <w:t>根据预算绩效管理要求，本部门在</w:t>
      </w:r>
      <w:r>
        <w:rPr>
          <w:rFonts w:hint="eastAsia" w:ascii="仿宋_GB2312" w:eastAsia="仿宋_GB2312" w:cs="仿宋_GB2312"/>
          <w:sz w:val="32"/>
          <w:szCs w:val="32"/>
          <w:lang w:val="en-US" w:eastAsia="zh-CN"/>
        </w:rPr>
        <w:t>2025年度</w:t>
      </w:r>
      <w:r>
        <w:rPr>
          <w:rFonts w:hint="eastAsia" w:ascii="仿宋_GB2312" w:eastAsia="仿宋_GB2312" w:cs="仿宋_GB2312"/>
          <w:sz w:val="32"/>
          <w:szCs w:val="32"/>
        </w:rPr>
        <w:t>预算编制阶段，组织对残疾人联络员补助</w:t>
      </w:r>
      <w:r>
        <w:rPr>
          <w:rFonts w:hint="eastAsia" w:ascii="仿宋_GB2312" w:eastAsia="仿宋_GB2312" w:cs="仿宋_GB2312"/>
          <w:sz w:val="32"/>
          <w:szCs w:val="32"/>
          <w:lang w:val="en-US" w:eastAsia="zh-CN"/>
        </w:rPr>
        <w:t>项目</w:t>
      </w:r>
      <w:r>
        <w:rPr>
          <w:rFonts w:hint="eastAsia" w:ascii="仿宋_GB2312" w:eastAsia="仿宋_GB2312" w:cs="仿宋_GB2312"/>
          <w:sz w:val="32"/>
          <w:szCs w:val="32"/>
        </w:rPr>
        <w:t>、残疾人事业发展资金</w:t>
      </w:r>
      <w:r>
        <w:rPr>
          <w:rFonts w:hint="eastAsia" w:ascii="仿宋_GB2312" w:eastAsia="仿宋_GB2312" w:cs="仿宋_GB2312"/>
          <w:sz w:val="32"/>
          <w:szCs w:val="32"/>
          <w:lang w:eastAsia="zh-CN"/>
        </w:rPr>
        <w:t>、残疾人帮扶项目、</w:t>
      </w:r>
      <w:r>
        <w:rPr>
          <w:rFonts w:hint="eastAsia" w:ascii="仿宋_GB2312" w:eastAsia="仿宋_GB2312" w:cs="仿宋_GB2312"/>
          <w:sz w:val="32"/>
          <w:szCs w:val="32"/>
        </w:rPr>
        <w:t>残疾人发展补助资金（彩票公益金）</w:t>
      </w:r>
      <w:r>
        <w:rPr>
          <w:rFonts w:hint="eastAsia" w:ascii="仿宋_GB2312" w:eastAsia="仿宋_GB2312" w:cs="仿宋_GB2312"/>
          <w:sz w:val="32"/>
          <w:szCs w:val="32"/>
          <w:lang w:eastAsia="zh-CN"/>
        </w:rPr>
        <w:t>、县级净土阿自强助学工程项目、重度残疾人代缴城乡居民医疗保险项目</w:t>
      </w:r>
      <w:r>
        <w:rPr>
          <w:rFonts w:hint="eastAsia" w:ascii="仿宋_GB2312" w:eastAsia="仿宋_GB2312" w:cs="仿宋_GB2312"/>
          <w:sz w:val="32"/>
          <w:szCs w:val="32"/>
          <w:lang w:val="en-US" w:eastAsia="zh-CN"/>
        </w:rPr>
        <w:t>进行了绩效自评。</w:t>
      </w:r>
    </w:p>
    <w:p>
      <w:pPr>
        <w:pageBreakBefore w:val="0"/>
        <w:kinsoku/>
        <w:wordWrap/>
        <w:overflowPunct/>
        <w:topLinePunct w:val="0"/>
        <w:bidi w:val="0"/>
        <w:snapToGrid/>
        <w:spacing w:line="576" w:lineRule="exact"/>
        <w:ind w:firstLine="640" w:firstLineChars="200"/>
        <w:textAlignment w:val="auto"/>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eastAsia="zh-CN"/>
        </w:rPr>
        <w:t>本部门按要求对202</w:t>
      </w:r>
      <w:r>
        <w:rPr>
          <w:rFonts w:hint="eastAsia" w:ascii="仿宋_GB2312" w:hAnsi="Times New Roman" w:eastAsia="仿宋_GB2312" w:cs="Times New Roman"/>
          <w:color w:val="auto"/>
          <w:sz w:val="32"/>
          <w:szCs w:val="32"/>
          <w:highlight w:val="none"/>
          <w:lang w:val="en-US" w:eastAsia="zh-CN"/>
        </w:rPr>
        <w:t>5</w:t>
      </w:r>
      <w:r>
        <w:rPr>
          <w:rFonts w:hint="eastAsia" w:ascii="仿宋_GB2312" w:hAnsi="Times New Roman" w:eastAsia="仿宋_GB2312" w:cs="Times New Roman"/>
          <w:color w:val="auto"/>
          <w:sz w:val="32"/>
          <w:szCs w:val="32"/>
          <w:highlight w:val="none"/>
          <w:lang w:eastAsia="zh-CN"/>
        </w:rPr>
        <w:t>年部门整体支出开展绩效自评，自查自评结果良好，全年基本支出保障了部门的正常运行和日常工作的正常开展，项目支出保障了重点工作的开展，绩效目标得到较好实现，绩效管理水平不断提高，绩效指标体系逐渐 丰富和完善。</w:t>
      </w:r>
    </w:p>
    <w:p/>
    <w:p>
      <w:pPr>
        <w:pStyle w:val="12"/>
      </w:pPr>
    </w:p>
    <w:p>
      <w:pPr>
        <w:pStyle w:val="8"/>
      </w:pPr>
    </w:p>
    <w:p>
      <w:pPr>
        <w:pStyle w:val="8"/>
      </w:pPr>
    </w:p>
    <w:p>
      <w:pPr>
        <w:pStyle w:val="8"/>
      </w:pPr>
    </w:p>
    <w:p>
      <w:pPr>
        <w:pStyle w:val="8"/>
      </w:pPr>
    </w:p>
    <w:p>
      <w:pPr>
        <w:pStyle w:val="8"/>
      </w:pPr>
    </w:p>
    <w:p>
      <w:pPr>
        <w:pStyle w:val="8"/>
      </w:pPr>
    </w:p>
    <w:p>
      <w:pPr>
        <w:pStyle w:val="8"/>
      </w:pPr>
    </w:p>
    <w:p>
      <w:pPr>
        <w:pStyle w:val="8"/>
        <w:ind w:left="0" w:leftChars="0" w:firstLine="0" w:firstLineChars="0"/>
      </w:pPr>
    </w:p>
    <w:p>
      <w:pPr>
        <w:numPr>
          <w:ilvl w:val="0"/>
          <w:numId w:val="3"/>
        </w:numPr>
        <w:spacing w:line="600" w:lineRule="exact"/>
        <w:ind w:firstLine="660" w:firstLineChars="150"/>
        <w:jc w:val="center"/>
        <w:outlineLvl w:val="0"/>
        <w:rPr>
          <w:rFonts w:ascii="宋体"/>
          <w:b/>
          <w:color w:val="auto"/>
          <w:sz w:val="44"/>
          <w:szCs w:val="44"/>
          <w:highlight w:val="none"/>
        </w:rPr>
      </w:pPr>
      <w:bookmarkStart w:id="58" w:name="_Toc12632"/>
      <w:bookmarkStart w:id="59" w:name="_Toc15396613"/>
      <w:bookmarkStart w:id="60" w:name="_Toc13314"/>
      <w:bookmarkStart w:id="61" w:name="_Toc15377225"/>
      <w:r>
        <w:rPr>
          <w:rFonts w:hint="eastAsia" w:ascii="黑体" w:hAnsi="黑体" w:eastAsia="黑体"/>
          <w:color w:val="auto"/>
          <w:sz w:val="44"/>
          <w:szCs w:val="44"/>
          <w:highlight w:val="none"/>
        </w:rPr>
        <w:t>名</w:t>
      </w:r>
      <w:r>
        <w:rPr>
          <w:rStyle w:val="20"/>
          <w:rFonts w:hint="eastAsia" w:ascii="黑体" w:hAnsi="黑体" w:eastAsia="黑体"/>
          <w:b w:val="0"/>
          <w:color w:val="auto"/>
          <w:highlight w:val="none"/>
        </w:rPr>
        <w:t>词解释</w:t>
      </w:r>
      <w:bookmarkEnd w:id="58"/>
      <w:bookmarkEnd w:id="59"/>
      <w:bookmarkEnd w:id="60"/>
      <w:bookmarkEnd w:id="61"/>
    </w:p>
    <w:p>
      <w:pPr>
        <w:pStyle w:val="23"/>
        <w:spacing w:line="560" w:lineRule="exact"/>
        <w:ind w:firstLine="640" w:firstLineChars="200"/>
        <w:outlineLvl w:val="1"/>
        <w:rPr>
          <w:rFonts w:hAnsi="仿宋"/>
          <w:sz w:val="32"/>
          <w:szCs w:val="32"/>
        </w:rPr>
      </w:pPr>
      <w:bookmarkStart w:id="62" w:name="_Toc18512"/>
      <w:bookmarkStart w:id="63" w:name="_Toc6210"/>
      <w:bookmarkStart w:id="64" w:name="_Toc29354"/>
      <w:bookmarkStart w:id="65" w:name="_Toc27413"/>
      <w:bookmarkStart w:id="66" w:name="_Toc5538"/>
      <w:bookmarkStart w:id="67" w:name="_Toc15396614"/>
      <w:bookmarkStart w:id="68" w:name="_Toc15377226"/>
      <w:r>
        <w:rPr>
          <w:rFonts w:hAnsi="仿宋"/>
          <w:sz w:val="32"/>
          <w:szCs w:val="32"/>
        </w:rPr>
        <w:t>1.</w:t>
      </w:r>
      <w:r>
        <w:rPr>
          <w:rFonts w:hint="eastAsia" w:hAnsi="仿宋"/>
          <w:sz w:val="32"/>
          <w:szCs w:val="32"/>
        </w:rPr>
        <w:t>财政拨款收入：指单位从同级财政部门取得的财政预算资金。</w:t>
      </w:r>
      <w:bookmarkEnd w:id="62"/>
      <w:bookmarkEnd w:id="63"/>
      <w:bookmarkEnd w:id="64"/>
      <w:bookmarkEnd w:id="65"/>
      <w:bookmarkEnd w:id="66"/>
    </w:p>
    <w:p>
      <w:pPr>
        <w:pStyle w:val="23"/>
        <w:spacing w:line="560" w:lineRule="exact"/>
        <w:ind w:firstLine="640" w:firstLineChars="200"/>
        <w:rPr>
          <w:rFonts w:hAnsi="仿宋"/>
          <w:sz w:val="32"/>
          <w:szCs w:val="32"/>
        </w:rPr>
      </w:pPr>
      <w:r>
        <w:rPr>
          <w:rFonts w:hAnsi="仿宋"/>
          <w:sz w:val="32"/>
          <w:szCs w:val="32"/>
        </w:rPr>
        <w:t>2.</w:t>
      </w:r>
      <w:r>
        <w:rPr>
          <w:rFonts w:hint="eastAsia" w:hAnsi="仿宋"/>
          <w:sz w:val="32"/>
          <w:szCs w:val="32"/>
        </w:rPr>
        <w:t>事业收入：指事业单位开展专业业务活动及辅助活动取得的收入。</w:t>
      </w:r>
    </w:p>
    <w:p>
      <w:pPr>
        <w:pStyle w:val="23"/>
        <w:spacing w:line="560" w:lineRule="exact"/>
        <w:ind w:firstLine="640" w:firstLineChars="200"/>
        <w:rPr>
          <w:rFonts w:hAnsi="仿宋"/>
          <w:sz w:val="32"/>
          <w:szCs w:val="32"/>
        </w:rPr>
      </w:pPr>
      <w:r>
        <w:rPr>
          <w:rFonts w:hAnsi="仿宋"/>
          <w:sz w:val="32"/>
          <w:szCs w:val="32"/>
        </w:rPr>
        <w:t>3.</w:t>
      </w:r>
      <w:r>
        <w:rPr>
          <w:rFonts w:hint="eastAsia" w:hAnsi="仿宋"/>
          <w:sz w:val="32"/>
          <w:szCs w:val="32"/>
        </w:rPr>
        <w:t>经营收入：指事业单位在专业业务活动及其辅助活动之外开展非独立核算经营活动取得的收入。</w:t>
      </w:r>
    </w:p>
    <w:p>
      <w:pPr>
        <w:pStyle w:val="23"/>
        <w:spacing w:line="560" w:lineRule="exact"/>
        <w:ind w:firstLine="640" w:firstLineChars="200"/>
        <w:outlineLvl w:val="1"/>
        <w:rPr>
          <w:rFonts w:hAnsi="仿宋"/>
          <w:sz w:val="32"/>
          <w:szCs w:val="32"/>
        </w:rPr>
      </w:pPr>
      <w:bookmarkStart w:id="69" w:name="_Toc2758"/>
      <w:bookmarkStart w:id="70" w:name="_Toc25337"/>
      <w:bookmarkStart w:id="71" w:name="_Toc27219"/>
      <w:bookmarkStart w:id="72" w:name="_Toc22057"/>
      <w:bookmarkStart w:id="73" w:name="_Toc32244"/>
      <w:r>
        <w:rPr>
          <w:rFonts w:hAnsi="仿宋"/>
          <w:sz w:val="32"/>
          <w:szCs w:val="32"/>
        </w:rPr>
        <w:t>4.</w:t>
      </w:r>
      <w:r>
        <w:rPr>
          <w:rFonts w:hint="eastAsia" w:hAnsi="仿宋"/>
          <w:sz w:val="32"/>
          <w:szCs w:val="32"/>
        </w:rPr>
        <w:t>其他收入：指单位取得的除上述收入以外的各项收入。</w:t>
      </w:r>
      <w:bookmarkEnd w:id="69"/>
      <w:bookmarkEnd w:id="70"/>
      <w:bookmarkEnd w:id="71"/>
      <w:bookmarkEnd w:id="72"/>
      <w:bookmarkEnd w:id="73"/>
    </w:p>
    <w:p>
      <w:pPr>
        <w:pStyle w:val="23"/>
        <w:spacing w:line="560" w:lineRule="exact"/>
        <w:ind w:firstLine="640" w:firstLineChars="200"/>
        <w:rPr>
          <w:rFonts w:hint="eastAsia" w:hAnsi="仿宋" w:eastAsia="仿宋"/>
          <w:sz w:val="32"/>
          <w:szCs w:val="32"/>
          <w:lang w:eastAsia="zh-CN"/>
        </w:rPr>
      </w:pPr>
      <w:r>
        <w:rPr>
          <w:rFonts w:hAnsi="仿宋"/>
          <w:sz w:val="32"/>
          <w:szCs w:val="32"/>
        </w:rPr>
        <w:t>5.</w:t>
      </w:r>
      <w:r>
        <w:rPr>
          <w:rFonts w:hint="eastAsia" w:hAnsi="仿宋"/>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pPr>
        <w:pStyle w:val="23"/>
        <w:spacing w:line="560" w:lineRule="exact"/>
        <w:ind w:firstLine="640" w:firstLineChars="200"/>
        <w:rPr>
          <w:rFonts w:hint="eastAsia" w:hAnsi="仿宋" w:eastAsia="仿宋"/>
          <w:sz w:val="32"/>
          <w:szCs w:val="32"/>
          <w:lang w:eastAsia="zh-CN"/>
        </w:rPr>
      </w:pPr>
      <w:r>
        <w:rPr>
          <w:rFonts w:hAnsi="仿宋"/>
          <w:sz w:val="32"/>
          <w:szCs w:val="32"/>
        </w:rPr>
        <w:t>6.</w:t>
      </w:r>
      <w:r>
        <w:rPr>
          <w:rFonts w:hint="eastAsia" w:hAnsi="仿宋"/>
          <w:sz w:val="32"/>
          <w:szCs w:val="32"/>
        </w:rPr>
        <w:t>年初结转和结余：指以前年度尚未完成、结转到本年按有关规定继续使用的资金。</w:t>
      </w:r>
    </w:p>
    <w:p>
      <w:pPr>
        <w:pStyle w:val="23"/>
        <w:spacing w:line="560" w:lineRule="exact"/>
        <w:ind w:firstLine="640" w:firstLineChars="200"/>
        <w:rPr>
          <w:rFonts w:hAnsi="仿宋"/>
          <w:sz w:val="32"/>
          <w:szCs w:val="32"/>
        </w:rPr>
      </w:pPr>
      <w:r>
        <w:rPr>
          <w:rFonts w:hAnsi="仿宋"/>
          <w:sz w:val="32"/>
          <w:szCs w:val="32"/>
        </w:rPr>
        <w:t>7.</w:t>
      </w:r>
      <w:r>
        <w:rPr>
          <w:rFonts w:hint="eastAsia" w:hAnsi="仿宋"/>
          <w:sz w:val="32"/>
          <w:szCs w:val="32"/>
        </w:rPr>
        <w:t>结余分配：指事业单位按照事业单位会计制度的规定从非财政补助结余中分配的事业基金和职工福利基金等。</w:t>
      </w:r>
    </w:p>
    <w:p>
      <w:pPr>
        <w:pStyle w:val="23"/>
        <w:spacing w:line="560" w:lineRule="exact"/>
        <w:ind w:firstLine="640" w:firstLineChars="200"/>
        <w:rPr>
          <w:rFonts w:hint="eastAsia" w:hAnsi="仿宋"/>
          <w:sz w:val="32"/>
          <w:szCs w:val="32"/>
        </w:rPr>
      </w:pPr>
      <w:r>
        <w:rPr>
          <w:rFonts w:hint="eastAsia" w:hAnsi="仿宋"/>
          <w:sz w:val="32"/>
          <w:szCs w:val="32"/>
        </w:rPr>
        <w:t>8、年末结转和结余：指单位按有关规定结转到下年或以后年度继续使用的资金。</w:t>
      </w:r>
    </w:p>
    <w:p>
      <w:pPr>
        <w:spacing w:line="576" w:lineRule="exact"/>
        <w:ind w:firstLine="640" w:firstLineChars="200"/>
        <w:rPr>
          <w:rStyle w:val="18"/>
          <w:rFonts w:ascii="仿宋" w:hAnsi="仿宋" w:eastAsia="仿宋"/>
          <w:b w:val="0"/>
          <w:bCs/>
          <w:color w:val="000000"/>
          <w:sz w:val="32"/>
          <w:szCs w:val="32"/>
        </w:rPr>
      </w:pPr>
      <w:r>
        <w:rPr>
          <w:rFonts w:ascii="仿宋" w:hAnsi="仿宋" w:eastAsia="仿宋" w:cs="仿宋_GB2312"/>
          <w:color w:val="000000"/>
          <w:sz w:val="32"/>
          <w:szCs w:val="32"/>
        </w:rPr>
        <w:t>9.</w:t>
      </w:r>
      <w:r>
        <w:rPr>
          <w:rStyle w:val="18"/>
          <w:rFonts w:hint="eastAsia" w:ascii="仿宋" w:hAnsi="仿宋" w:eastAsia="仿宋" w:cs="仿宋_GB2312"/>
          <w:b w:val="0"/>
          <w:sz w:val="32"/>
          <w:szCs w:val="32"/>
        </w:rPr>
        <w:t>社会保障和就业支出（类）行政事业单位离退休（款）</w:t>
      </w:r>
      <w:r>
        <w:rPr>
          <w:rStyle w:val="18"/>
          <w:rFonts w:hint="eastAsia" w:ascii="仿宋" w:hAnsi="仿宋" w:eastAsia="仿宋" w:cs="仿宋_GB2312"/>
          <w:b w:val="0"/>
          <w:color w:val="000000"/>
          <w:sz w:val="32"/>
          <w:szCs w:val="32"/>
        </w:rPr>
        <w:t>机关事业单位养老保险缴费支出（项）</w:t>
      </w:r>
      <w:r>
        <w:rPr>
          <w:rStyle w:val="18"/>
          <w:rFonts w:ascii="仿宋" w:hAnsi="仿宋" w:eastAsia="仿宋" w:cs="仿宋_GB2312"/>
          <w:b w:val="0"/>
          <w:color w:val="000000"/>
          <w:sz w:val="32"/>
          <w:szCs w:val="32"/>
        </w:rPr>
        <w:t>:</w:t>
      </w:r>
      <w:r>
        <w:rPr>
          <w:rStyle w:val="18"/>
          <w:rFonts w:hint="eastAsia" w:ascii="仿宋" w:hAnsi="仿宋" w:eastAsia="仿宋" w:cs="仿宋_GB2312"/>
          <w:b w:val="0"/>
          <w:color w:val="000000"/>
          <w:sz w:val="32"/>
          <w:szCs w:val="32"/>
        </w:rPr>
        <w:t>指机关事业单位实施养老保险制度由单位缴纳的基本养老保险缴费支出。</w:t>
      </w:r>
    </w:p>
    <w:p>
      <w:pPr>
        <w:spacing w:line="576" w:lineRule="exact"/>
        <w:ind w:firstLine="640" w:firstLineChars="200"/>
        <w:rPr>
          <w:rStyle w:val="18"/>
          <w:rFonts w:ascii="仿宋" w:hAnsi="仿宋" w:eastAsia="仿宋"/>
          <w:b w:val="0"/>
          <w:bCs/>
          <w:sz w:val="32"/>
          <w:szCs w:val="32"/>
        </w:rPr>
      </w:pPr>
      <w:r>
        <w:rPr>
          <w:rStyle w:val="18"/>
          <w:rFonts w:ascii="仿宋" w:hAnsi="仿宋" w:eastAsia="仿宋" w:cs="仿宋_GB2312"/>
          <w:b w:val="0"/>
          <w:sz w:val="32"/>
          <w:szCs w:val="32"/>
        </w:rPr>
        <w:t>10.</w:t>
      </w:r>
      <w:r>
        <w:rPr>
          <w:rStyle w:val="18"/>
          <w:rFonts w:hint="eastAsia" w:ascii="仿宋" w:hAnsi="仿宋" w:eastAsia="仿宋" w:cs="仿宋_GB2312"/>
          <w:b w:val="0"/>
          <w:sz w:val="32"/>
          <w:szCs w:val="32"/>
        </w:rPr>
        <w:t>社会保障和就业支出（类）行政事业单位离退休（款）机关事业单位职业年金缴费支出（项）：指机关事业单位</w:t>
      </w:r>
      <w:r>
        <w:rPr>
          <w:rStyle w:val="18"/>
          <w:rFonts w:hint="eastAsia" w:ascii="仿宋" w:hAnsi="仿宋" w:eastAsia="仿宋" w:cs="仿宋_GB2312"/>
          <w:b w:val="0"/>
          <w:color w:val="000000"/>
          <w:sz w:val="32"/>
          <w:szCs w:val="32"/>
        </w:rPr>
        <w:t>实施养老保险制度由单位缴纳的</w:t>
      </w:r>
      <w:r>
        <w:rPr>
          <w:rStyle w:val="18"/>
          <w:rFonts w:hint="eastAsia" w:ascii="仿宋" w:hAnsi="仿宋" w:eastAsia="仿宋" w:cs="仿宋_GB2312"/>
          <w:b w:val="0"/>
          <w:sz w:val="32"/>
          <w:szCs w:val="32"/>
        </w:rPr>
        <w:t>职业年金缴费支出。</w:t>
      </w:r>
    </w:p>
    <w:p>
      <w:pPr>
        <w:spacing w:line="576" w:lineRule="exact"/>
        <w:ind w:firstLine="800" w:firstLineChars="250"/>
        <w:rPr>
          <w:rStyle w:val="18"/>
          <w:rFonts w:ascii="仿宋" w:hAnsi="仿宋" w:eastAsia="仿宋"/>
          <w:b w:val="0"/>
          <w:bCs/>
          <w:sz w:val="32"/>
          <w:szCs w:val="32"/>
        </w:rPr>
      </w:pPr>
      <w:r>
        <w:rPr>
          <w:rStyle w:val="18"/>
          <w:rFonts w:ascii="仿宋" w:hAnsi="仿宋" w:eastAsia="仿宋" w:cs="仿宋_GB2312"/>
          <w:b w:val="0"/>
          <w:sz w:val="32"/>
          <w:szCs w:val="32"/>
        </w:rPr>
        <w:t>11.</w:t>
      </w:r>
      <w:r>
        <w:rPr>
          <w:rStyle w:val="18"/>
          <w:rFonts w:hint="eastAsia" w:ascii="仿宋" w:hAnsi="仿宋" w:eastAsia="仿宋" w:cs="仿宋_GB2312"/>
          <w:b w:val="0"/>
          <w:sz w:val="32"/>
          <w:szCs w:val="32"/>
        </w:rPr>
        <w:t>社会保障和就业支出（类）红十字事业（款）其他红十字事业支出（项）：指政府支持红十字会开展红十字社会公益活动等方面的支出。</w:t>
      </w:r>
    </w:p>
    <w:p>
      <w:pPr>
        <w:spacing w:line="576" w:lineRule="exact"/>
        <w:ind w:firstLine="800" w:firstLineChars="250"/>
        <w:rPr>
          <w:rStyle w:val="18"/>
          <w:rFonts w:ascii="仿宋" w:hAnsi="仿宋" w:eastAsia="仿宋"/>
          <w:b w:val="0"/>
          <w:bCs/>
          <w:sz w:val="32"/>
          <w:szCs w:val="32"/>
        </w:rPr>
      </w:pPr>
      <w:r>
        <w:rPr>
          <w:rStyle w:val="18"/>
          <w:rFonts w:ascii="仿宋" w:hAnsi="仿宋" w:eastAsia="仿宋" w:cs="仿宋_GB2312"/>
          <w:b w:val="0"/>
          <w:color w:val="000000"/>
          <w:sz w:val="32"/>
          <w:szCs w:val="32"/>
        </w:rPr>
        <w:t>12.</w:t>
      </w:r>
      <w:r>
        <w:rPr>
          <w:rStyle w:val="18"/>
          <w:rFonts w:hint="eastAsia" w:ascii="仿宋" w:hAnsi="仿宋" w:eastAsia="仿宋" w:cs="仿宋_GB2312"/>
          <w:b w:val="0"/>
          <w:color w:val="000000"/>
          <w:sz w:val="32"/>
          <w:szCs w:val="32"/>
        </w:rPr>
        <w:t>医疗卫生与计划生育支出（类）行政事业单位医疗（款）</w:t>
      </w:r>
      <w:r>
        <w:rPr>
          <w:rStyle w:val="18"/>
          <w:rFonts w:hint="eastAsia" w:ascii="仿宋" w:hAnsi="仿宋" w:eastAsia="仿宋" w:cs="仿宋_GB2312"/>
          <w:b w:val="0"/>
          <w:sz w:val="32"/>
          <w:szCs w:val="32"/>
        </w:rPr>
        <w:t>行政单位医疗（项）：指反映财政部门集中安排的行政事业单位基本养老保险缴费经费，未参加医疗保险的行政事业单位的公费医疗经费，按国家规定享受离休人员、红军老战士待遇人员的医疗经费。</w:t>
      </w:r>
    </w:p>
    <w:p>
      <w:pPr>
        <w:spacing w:line="576" w:lineRule="exact"/>
        <w:ind w:firstLine="800" w:firstLineChars="250"/>
        <w:rPr>
          <w:rStyle w:val="18"/>
          <w:rFonts w:ascii="仿宋" w:hAnsi="仿宋" w:eastAsia="仿宋"/>
          <w:b w:val="0"/>
          <w:bCs/>
          <w:sz w:val="32"/>
          <w:szCs w:val="32"/>
        </w:rPr>
      </w:pPr>
      <w:r>
        <w:rPr>
          <w:rStyle w:val="18"/>
          <w:rFonts w:ascii="仿宋" w:hAnsi="仿宋" w:eastAsia="仿宋" w:cs="仿宋_GB2312"/>
          <w:b w:val="0"/>
          <w:sz w:val="32"/>
          <w:szCs w:val="32"/>
        </w:rPr>
        <w:t>13.</w:t>
      </w:r>
      <w:r>
        <w:rPr>
          <w:rStyle w:val="18"/>
          <w:rFonts w:hint="eastAsia" w:ascii="仿宋" w:hAnsi="仿宋" w:eastAsia="仿宋" w:cs="仿宋_GB2312"/>
          <w:b w:val="0"/>
          <w:sz w:val="32"/>
          <w:szCs w:val="32"/>
        </w:rPr>
        <w:t>住房保障支出（类）住房改革支出（款）住房公积金（项）：指反映行政事业单位按</w:t>
      </w:r>
      <w:r>
        <w:rPr>
          <w:rStyle w:val="18"/>
          <w:rFonts w:hint="default" w:ascii="仿宋" w:hAnsi="仿宋" w:eastAsia="仿宋" w:cs="仿宋_GB2312"/>
          <w:b w:val="0"/>
          <w:sz w:val="32"/>
          <w:szCs w:val="32"/>
        </w:rPr>
        <w:t>人力资源和社会保障部</w:t>
      </w:r>
      <w:r>
        <w:rPr>
          <w:rStyle w:val="18"/>
          <w:rFonts w:hint="eastAsia" w:ascii="仿宋" w:hAnsi="仿宋" w:eastAsia="仿宋" w:cs="仿宋_GB2312"/>
          <w:b w:val="0"/>
          <w:sz w:val="32"/>
          <w:szCs w:val="32"/>
        </w:rPr>
        <w:t>、财政部规定的基本工资和津贴补贴以及规定比例为职工缴纳的住房公积金。</w:t>
      </w:r>
    </w:p>
    <w:p>
      <w:pPr>
        <w:spacing w:line="576" w:lineRule="exact"/>
        <w:ind w:firstLine="800" w:firstLineChars="250"/>
        <w:rPr>
          <w:rStyle w:val="18"/>
          <w:rFonts w:ascii="仿宋" w:hAnsi="仿宋" w:eastAsia="仿宋"/>
          <w:b w:val="0"/>
          <w:bCs/>
          <w:sz w:val="32"/>
          <w:szCs w:val="32"/>
        </w:rPr>
      </w:pPr>
      <w:r>
        <w:rPr>
          <w:rStyle w:val="18"/>
          <w:rFonts w:ascii="仿宋" w:hAnsi="仿宋" w:eastAsia="仿宋" w:cs="仿宋_GB2312"/>
          <w:b w:val="0"/>
          <w:sz w:val="32"/>
          <w:szCs w:val="32"/>
        </w:rPr>
        <w:t>14.</w:t>
      </w:r>
      <w:r>
        <w:rPr>
          <w:rStyle w:val="18"/>
          <w:rFonts w:hint="eastAsia" w:ascii="仿宋" w:hAnsi="仿宋" w:eastAsia="仿宋" w:cs="仿宋_GB2312"/>
          <w:b w:val="0"/>
          <w:sz w:val="32"/>
          <w:szCs w:val="32"/>
        </w:rPr>
        <w:t>住房保障支出（类）住房改革支出（款）购房补贴（项）：指按房改政策规定，行政事业单位向符合条件职工（含离退休人员）、军队（含武警）向转役复原离退休人员发放的用于购买住房的补贴。</w:t>
      </w:r>
    </w:p>
    <w:p>
      <w:pPr>
        <w:ind w:firstLine="800" w:firstLineChars="250"/>
        <w:rPr>
          <w:rFonts w:ascii="仿宋" w:hAnsi="仿宋" w:eastAsia="仿宋"/>
          <w:color w:val="000000"/>
          <w:sz w:val="32"/>
          <w:szCs w:val="32"/>
        </w:rPr>
      </w:pPr>
      <w:r>
        <w:rPr>
          <w:rFonts w:ascii="仿宋" w:hAnsi="仿宋" w:eastAsia="仿宋" w:cs="仿宋_GB2312"/>
          <w:color w:val="000000"/>
          <w:sz w:val="32"/>
          <w:szCs w:val="32"/>
        </w:rPr>
        <w:t>15.</w:t>
      </w:r>
      <w:r>
        <w:rPr>
          <w:rFonts w:hint="eastAsia" w:ascii="仿宋" w:hAnsi="仿宋" w:eastAsia="仿宋" w:cs="仿宋_GB2312"/>
          <w:color w:val="000000"/>
          <w:sz w:val="32"/>
          <w:szCs w:val="32"/>
        </w:rPr>
        <w:t>基本支出：指为保障机构正常运转、完成日常工作任务而发生的人员支出和公用支出。</w:t>
      </w:r>
    </w:p>
    <w:p>
      <w:pPr>
        <w:ind w:firstLine="800" w:firstLineChars="250"/>
        <w:rPr>
          <w:rFonts w:hint="eastAsia" w:ascii="仿宋" w:hAnsi="仿宋" w:eastAsia="仿宋" w:cs="仿宋_GB2312"/>
          <w:color w:val="000000"/>
          <w:sz w:val="32"/>
          <w:szCs w:val="32"/>
          <w:lang w:eastAsia="zh-CN"/>
        </w:rPr>
      </w:pPr>
      <w:r>
        <w:rPr>
          <w:rFonts w:ascii="仿宋" w:hAnsi="仿宋" w:eastAsia="仿宋" w:cs="仿宋_GB2312"/>
          <w:color w:val="000000"/>
          <w:sz w:val="32"/>
          <w:szCs w:val="32"/>
        </w:rPr>
        <w:t>16.</w:t>
      </w:r>
      <w:r>
        <w:rPr>
          <w:rFonts w:hint="eastAsia" w:ascii="仿宋" w:hAnsi="仿宋" w:eastAsia="仿宋" w:cs="仿宋_GB2312"/>
          <w:color w:val="000000"/>
          <w:sz w:val="32"/>
          <w:szCs w:val="32"/>
        </w:rPr>
        <w:t>项目支出：指在基本支出之外为完成特定行政任务和事业发展目标所发生的支出。</w:t>
      </w:r>
    </w:p>
    <w:p>
      <w:pPr>
        <w:ind w:firstLine="800" w:firstLineChars="250"/>
        <w:rPr>
          <w:rFonts w:ascii="仿宋" w:hAnsi="仿宋" w:eastAsia="仿宋"/>
          <w:color w:val="000000"/>
          <w:sz w:val="32"/>
          <w:szCs w:val="32"/>
        </w:rPr>
      </w:pPr>
      <w:r>
        <w:rPr>
          <w:rFonts w:ascii="仿宋" w:hAnsi="仿宋" w:eastAsia="仿宋" w:cs="仿宋_GB2312"/>
          <w:color w:val="000000"/>
          <w:sz w:val="32"/>
          <w:szCs w:val="32"/>
        </w:rPr>
        <w:t>17.</w:t>
      </w:r>
      <w:r>
        <w:rPr>
          <w:rFonts w:hint="eastAsia" w:ascii="仿宋" w:hAnsi="仿宋" w:eastAsia="仿宋" w:cs="仿宋_GB2312"/>
          <w:color w:val="000000"/>
          <w:sz w:val="32"/>
          <w:szCs w:val="32"/>
        </w:rPr>
        <w:t>经营支出：指事业单位在专业业务活动及其辅助活动之外开展非独立核算经营活动发生的支出。</w:t>
      </w:r>
    </w:p>
    <w:p>
      <w:pPr>
        <w:pStyle w:val="23"/>
        <w:spacing w:line="560" w:lineRule="exact"/>
        <w:ind w:firstLine="800" w:firstLineChars="250"/>
        <w:rPr>
          <w:rFonts w:hAnsi="仿宋" w:cs="Times New Roman"/>
          <w:sz w:val="32"/>
          <w:szCs w:val="32"/>
        </w:rPr>
      </w:pPr>
      <w:r>
        <w:rPr>
          <w:rFonts w:hAnsi="仿宋" w:cs="仿宋_GB2312"/>
          <w:sz w:val="32"/>
          <w:szCs w:val="32"/>
        </w:rPr>
        <w:t>18.</w:t>
      </w:r>
      <w:r>
        <w:rPr>
          <w:rFonts w:hint="eastAsia" w:hAnsi="仿宋"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3"/>
        <w:spacing w:line="560" w:lineRule="exact"/>
        <w:ind w:firstLine="800" w:firstLineChars="250"/>
        <w:rPr>
          <w:rFonts w:hint="eastAsia" w:ascii="黑体" w:hAnsi="黑体" w:eastAsia="黑体"/>
          <w:color w:val="auto"/>
          <w:sz w:val="44"/>
          <w:szCs w:val="44"/>
          <w:highlight w:val="none"/>
        </w:rPr>
      </w:pPr>
      <w:r>
        <w:rPr>
          <w:rFonts w:hAnsi="仿宋" w:cs="仿宋_GB2312"/>
          <w:sz w:val="32"/>
          <w:szCs w:val="32"/>
        </w:rPr>
        <w:t>19.</w:t>
      </w:r>
      <w:r>
        <w:rPr>
          <w:rFonts w:hint="eastAsia" w:hAnsi="仿宋"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74" w:name="_Toc8044"/>
    </w:p>
    <w:p>
      <w:pPr>
        <w:pStyle w:val="12"/>
        <w:rPr>
          <w:rFonts w:hint="eastAsia"/>
        </w:rPr>
      </w:pPr>
    </w:p>
    <w:p>
      <w:pPr>
        <w:pageBreakBefore w:val="0"/>
        <w:kinsoku/>
        <w:wordWrap/>
        <w:overflowPunct/>
        <w:topLinePunct w:val="0"/>
        <w:autoSpaceDE/>
        <w:autoSpaceDN/>
        <w:bidi w:val="0"/>
        <w:spacing w:line="576" w:lineRule="exact"/>
        <w:jc w:val="left"/>
        <w:outlineLvl w:val="0"/>
        <w:rPr>
          <w:rFonts w:hint="eastAsia" w:ascii="黑体" w:hAnsi="黑体" w:eastAsia="黑体"/>
          <w:color w:val="auto"/>
          <w:sz w:val="44"/>
          <w:szCs w:val="44"/>
          <w:highlight w:val="none"/>
        </w:rPr>
      </w:pPr>
    </w:p>
    <w:p>
      <w:pPr>
        <w:pageBreakBefore w:val="0"/>
        <w:kinsoku/>
        <w:wordWrap/>
        <w:overflowPunct/>
        <w:topLinePunct w:val="0"/>
        <w:autoSpaceDE/>
        <w:autoSpaceDN/>
        <w:bidi w:val="0"/>
        <w:spacing w:line="576" w:lineRule="exact"/>
        <w:jc w:val="left"/>
        <w:outlineLvl w:val="0"/>
        <w:rPr>
          <w:rFonts w:hint="eastAsia" w:ascii="黑体" w:hAnsi="黑体" w:eastAsia="黑体"/>
          <w:color w:val="auto"/>
          <w:sz w:val="44"/>
          <w:szCs w:val="44"/>
          <w:highlight w:val="none"/>
        </w:rPr>
      </w:pPr>
    </w:p>
    <w:p>
      <w:pPr>
        <w:pageBreakBefore w:val="0"/>
        <w:kinsoku/>
        <w:wordWrap/>
        <w:overflowPunct/>
        <w:topLinePunct w:val="0"/>
        <w:autoSpaceDE/>
        <w:autoSpaceDN/>
        <w:bidi w:val="0"/>
        <w:spacing w:line="576" w:lineRule="exact"/>
        <w:jc w:val="left"/>
        <w:outlineLvl w:val="0"/>
        <w:rPr>
          <w:rFonts w:hint="eastAsia" w:ascii="黑体" w:hAnsi="黑体" w:eastAsia="黑体"/>
          <w:color w:val="auto"/>
          <w:sz w:val="44"/>
          <w:szCs w:val="44"/>
          <w:highlight w:val="none"/>
        </w:rPr>
      </w:pPr>
    </w:p>
    <w:p>
      <w:pPr>
        <w:pageBreakBefore w:val="0"/>
        <w:kinsoku/>
        <w:wordWrap/>
        <w:overflowPunct/>
        <w:topLinePunct w:val="0"/>
        <w:autoSpaceDE/>
        <w:autoSpaceDN/>
        <w:bidi w:val="0"/>
        <w:spacing w:line="576" w:lineRule="exact"/>
        <w:jc w:val="left"/>
        <w:outlineLvl w:val="0"/>
        <w:rPr>
          <w:rFonts w:hint="eastAsia" w:ascii="黑体" w:hAnsi="黑体" w:eastAsia="黑体"/>
          <w:color w:val="auto"/>
          <w:sz w:val="44"/>
          <w:szCs w:val="44"/>
          <w:highlight w:val="none"/>
        </w:rPr>
      </w:pPr>
    </w:p>
    <w:p>
      <w:pPr>
        <w:pageBreakBefore w:val="0"/>
        <w:kinsoku/>
        <w:wordWrap/>
        <w:overflowPunct/>
        <w:topLinePunct w:val="0"/>
        <w:autoSpaceDE/>
        <w:autoSpaceDN/>
        <w:bidi w:val="0"/>
        <w:spacing w:line="576" w:lineRule="exact"/>
        <w:jc w:val="left"/>
        <w:outlineLvl w:val="0"/>
        <w:rPr>
          <w:rFonts w:hint="eastAsia" w:ascii="黑体" w:hAnsi="黑体" w:eastAsia="黑体"/>
          <w:color w:val="auto"/>
          <w:sz w:val="44"/>
          <w:szCs w:val="44"/>
          <w:highlight w:val="none"/>
        </w:rPr>
      </w:pPr>
    </w:p>
    <w:p>
      <w:pPr>
        <w:pageBreakBefore w:val="0"/>
        <w:kinsoku/>
        <w:wordWrap/>
        <w:overflowPunct/>
        <w:topLinePunct w:val="0"/>
        <w:autoSpaceDE/>
        <w:autoSpaceDN/>
        <w:bidi w:val="0"/>
        <w:spacing w:line="576" w:lineRule="exact"/>
        <w:jc w:val="left"/>
        <w:outlineLvl w:val="0"/>
        <w:rPr>
          <w:rFonts w:hint="eastAsia" w:ascii="黑体" w:hAnsi="黑体" w:eastAsia="黑体"/>
          <w:color w:val="auto"/>
          <w:sz w:val="44"/>
          <w:szCs w:val="44"/>
          <w:highlight w:val="none"/>
        </w:rPr>
      </w:pPr>
    </w:p>
    <w:p>
      <w:pPr>
        <w:pageBreakBefore w:val="0"/>
        <w:kinsoku/>
        <w:wordWrap/>
        <w:overflowPunct/>
        <w:topLinePunct w:val="0"/>
        <w:autoSpaceDE/>
        <w:autoSpaceDN/>
        <w:bidi w:val="0"/>
        <w:spacing w:line="576" w:lineRule="exact"/>
        <w:jc w:val="left"/>
        <w:outlineLvl w:val="0"/>
        <w:rPr>
          <w:rFonts w:hint="eastAsia" w:ascii="黑体" w:hAnsi="黑体" w:eastAsia="黑体"/>
          <w:color w:val="auto"/>
          <w:sz w:val="44"/>
          <w:szCs w:val="44"/>
          <w:highlight w:val="none"/>
        </w:rPr>
      </w:pPr>
    </w:p>
    <w:p>
      <w:pPr>
        <w:pageBreakBefore w:val="0"/>
        <w:kinsoku/>
        <w:wordWrap/>
        <w:overflowPunct/>
        <w:topLinePunct w:val="0"/>
        <w:autoSpaceDE/>
        <w:autoSpaceDN/>
        <w:bidi w:val="0"/>
        <w:spacing w:line="576" w:lineRule="exact"/>
        <w:jc w:val="left"/>
        <w:outlineLvl w:val="0"/>
        <w:rPr>
          <w:rFonts w:hint="eastAsia" w:ascii="黑体" w:hAnsi="黑体" w:eastAsia="黑体"/>
          <w:color w:val="auto"/>
          <w:sz w:val="44"/>
          <w:szCs w:val="44"/>
          <w:highlight w:val="none"/>
        </w:rPr>
      </w:pPr>
    </w:p>
    <w:p>
      <w:pPr>
        <w:pageBreakBefore w:val="0"/>
        <w:kinsoku/>
        <w:wordWrap/>
        <w:overflowPunct/>
        <w:topLinePunct w:val="0"/>
        <w:autoSpaceDE/>
        <w:autoSpaceDN/>
        <w:bidi w:val="0"/>
        <w:spacing w:line="576" w:lineRule="exact"/>
        <w:jc w:val="left"/>
        <w:outlineLvl w:val="0"/>
        <w:rPr>
          <w:rFonts w:hint="eastAsia" w:ascii="黑体" w:hAnsi="黑体" w:eastAsia="黑体"/>
          <w:color w:val="auto"/>
          <w:sz w:val="44"/>
          <w:szCs w:val="44"/>
          <w:highlight w:val="none"/>
        </w:rPr>
      </w:pPr>
    </w:p>
    <w:p>
      <w:pPr>
        <w:pageBreakBefore w:val="0"/>
        <w:kinsoku/>
        <w:wordWrap/>
        <w:overflowPunct/>
        <w:topLinePunct w:val="0"/>
        <w:autoSpaceDE/>
        <w:autoSpaceDN/>
        <w:bidi w:val="0"/>
        <w:spacing w:line="576" w:lineRule="exact"/>
        <w:jc w:val="left"/>
        <w:outlineLvl w:val="0"/>
        <w:rPr>
          <w:rFonts w:hint="eastAsia" w:ascii="黑体" w:hAnsi="黑体" w:eastAsia="黑体"/>
          <w:color w:val="auto"/>
          <w:sz w:val="44"/>
          <w:szCs w:val="44"/>
          <w:highlight w:val="none"/>
        </w:rPr>
      </w:pPr>
    </w:p>
    <w:p>
      <w:pPr>
        <w:pageBreakBefore w:val="0"/>
        <w:kinsoku/>
        <w:wordWrap/>
        <w:overflowPunct/>
        <w:topLinePunct w:val="0"/>
        <w:autoSpaceDE/>
        <w:autoSpaceDN/>
        <w:bidi w:val="0"/>
        <w:spacing w:line="576" w:lineRule="exact"/>
        <w:jc w:val="left"/>
        <w:outlineLvl w:val="0"/>
        <w:rPr>
          <w:rFonts w:hint="eastAsia" w:ascii="黑体" w:hAnsi="黑体" w:eastAsia="黑体"/>
          <w:color w:val="auto"/>
          <w:sz w:val="44"/>
          <w:szCs w:val="44"/>
          <w:highlight w:val="none"/>
        </w:rPr>
      </w:pPr>
      <w:bookmarkStart w:id="75" w:name="_Toc10415"/>
      <w:r>
        <w:rPr>
          <w:rFonts w:hint="eastAsia" w:ascii="黑体" w:hAnsi="黑体" w:eastAsia="黑体"/>
          <w:color w:val="auto"/>
          <w:sz w:val="44"/>
          <w:szCs w:val="44"/>
          <w:highlight w:val="none"/>
        </w:rPr>
        <w:t>第</w:t>
      </w:r>
      <w:r>
        <w:rPr>
          <w:rStyle w:val="20"/>
          <w:rFonts w:hint="eastAsia" w:ascii="黑体" w:hAnsi="黑体" w:eastAsia="黑体"/>
          <w:b w:val="0"/>
          <w:color w:val="auto"/>
          <w:highlight w:val="none"/>
        </w:rPr>
        <w:t>四部分附件</w:t>
      </w:r>
      <w:bookmarkEnd w:id="67"/>
      <w:bookmarkEnd w:id="74"/>
      <w:bookmarkEnd w:id="75"/>
      <w:bookmarkStart w:id="76" w:name="_Toc15396618"/>
    </w:p>
    <w:p>
      <w:pPr>
        <w:keepNext w:val="0"/>
        <w:keepLines w:val="0"/>
        <w:pageBreakBefore w:val="0"/>
        <w:widowControl/>
        <w:suppressAutoHyphens/>
        <w:kinsoku/>
        <w:wordWrap/>
        <w:overflowPunct/>
        <w:topLinePunct w:val="0"/>
        <w:autoSpaceDE/>
        <w:autoSpaceDN/>
        <w:bidi w:val="0"/>
        <w:spacing w:line="576" w:lineRule="exact"/>
        <w:ind w:left="0" w:leftChars="0" w:firstLine="880" w:firstLineChars="200"/>
        <w:contextualSpacing/>
        <w:jc w:val="center"/>
        <w:textAlignment w:val="auto"/>
        <w:rPr>
          <w:rFonts w:ascii="Times New Roman" w:hAnsi="Times New Roman" w:eastAsia="方正小标宋简体" w:cs="Times New Roman"/>
          <w:bCs/>
          <w:color w:val="auto"/>
          <w:sz w:val="44"/>
          <w:szCs w:val="44"/>
          <w:shd w:val="clear" w:color="auto" w:fill="FFFFFF"/>
        </w:rPr>
      </w:pPr>
      <w:r>
        <w:rPr>
          <w:rFonts w:hint="eastAsia" w:ascii="Times New Roman" w:hAnsi="Times New Roman" w:eastAsia="方正小标宋简体" w:cs="Times New Roman"/>
          <w:bCs/>
          <w:color w:val="auto"/>
          <w:sz w:val="44"/>
          <w:szCs w:val="44"/>
          <w:shd w:val="clear" w:color="auto" w:fill="FFFFFF"/>
        </w:rPr>
        <w:t>茂县残疾人联合会</w:t>
      </w:r>
    </w:p>
    <w:p>
      <w:pPr>
        <w:keepNext w:val="0"/>
        <w:keepLines w:val="0"/>
        <w:pageBreakBefore w:val="0"/>
        <w:widowControl/>
        <w:suppressAutoHyphens/>
        <w:kinsoku/>
        <w:wordWrap/>
        <w:overflowPunct/>
        <w:topLinePunct w:val="0"/>
        <w:autoSpaceDE/>
        <w:autoSpaceDN/>
        <w:bidi w:val="0"/>
        <w:spacing w:line="576" w:lineRule="exact"/>
        <w:ind w:left="0" w:leftChars="0" w:firstLine="880" w:firstLineChars="200"/>
        <w:contextualSpacing/>
        <w:jc w:val="center"/>
        <w:textAlignment w:val="auto"/>
        <w:rPr>
          <w:rFonts w:hint="eastAsia" w:ascii="Times New Roman" w:hAnsi="Times New Roman" w:eastAsia="黑体" w:cs="Times New Roman"/>
          <w:color w:val="000000"/>
          <w:kern w:val="0"/>
          <w:sz w:val="32"/>
          <w:szCs w:val="32"/>
          <w:shd w:val="clear" w:color="auto" w:fill="FFFFFF"/>
          <w:lang w:val="zh-CN"/>
        </w:rPr>
      </w:pPr>
      <w:r>
        <w:rPr>
          <w:rFonts w:hint="eastAsia" w:ascii="Times New Roman" w:hAnsi="Times New Roman" w:eastAsia="方正小标宋简体" w:cs="Times New Roman"/>
          <w:bCs/>
          <w:color w:val="auto"/>
          <w:sz w:val="44"/>
          <w:szCs w:val="44"/>
          <w:shd w:val="clear" w:color="auto" w:fill="FFFFFF"/>
        </w:rPr>
        <w:t>202</w:t>
      </w:r>
      <w:r>
        <w:rPr>
          <w:rFonts w:hint="eastAsia" w:ascii="Times New Roman" w:hAnsi="Times New Roman" w:eastAsia="方正小标宋简体" w:cs="Times New Roman"/>
          <w:bCs/>
          <w:color w:val="auto"/>
          <w:sz w:val="44"/>
          <w:szCs w:val="44"/>
          <w:shd w:val="clear" w:color="auto" w:fill="FFFFFF"/>
          <w:lang w:val="en-US" w:eastAsia="zh-CN"/>
        </w:rPr>
        <w:t>5</w:t>
      </w:r>
      <w:r>
        <w:rPr>
          <w:rFonts w:hint="eastAsia" w:ascii="Times New Roman" w:hAnsi="Times New Roman" w:eastAsia="方正小标宋简体" w:cs="Times New Roman"/>
          <w:bCs/>
          <w:color w:val="auto"/>
          <w:sz w:val="44"/>
          <w:szCs w:val="44"/>
          <w:shd w:val="clear" w:color="auto" w:fill="FFFFFF"/>
        </w:rPr>
        <w:t>年</w:t>
      </w:r>
      <w:r>
        <w:rPr>
          <w:rFonts w:ascii="Times New Roman" w:hAnsi="Times New Roman" w:eastAsia="方正小标宋简体" w:cs="Times New Roman"/>
          <w:bCs/>
          <w:color w:val="auto"/>
          <w:sz w:val="44"/>
          <w:szCs w:val="44"/>
          <w:shd w:val="clear" w:color="auto" w:fill="FFFFFF"/>
        </w:rPr>
        <w:t>部门预算</w:t>
      </w:r>
      <w:r>
        <w:rPr>
          <w:rFonts w:hint="eastAsia" w:ascii="Times New Roman" w:hAnsi="Times New Roman" w:eastAsia="方正小标宋简体" w:cs="Times New Roman"/>
          <w:bCs/>
          <w:color w:val="auto"/>
          <w:sz w:val="44"/>
          <w:szCs w:val="44"/>
          <w:shd w:val="clear" w:color="auto" w:fill="FFFFFF"/>
          <w:lang w:val="en-US" w:eastAsia="zh-CN"/>
        </w:rPr>
        <w:t>整体</w:t>
      </w:r>
      <w:r>
        <w:rPr>
          <w:rFonts w:ascii="Times New Roman" w:hAnsi="Times New Roman" w:eastAsia="方正小标宋简体" w:cs="Times New Roman"/>
          <w:bCs/>
          <w:color w:val="auto"/>
          <w:sz w:val="44"/>
          <w:szCs w:val="44"/>
          <w:shd w:val="clear" w:color="auto" w:fill="FFFFFF"/>
        </w:rPr>
        <w:t>绩效</w:t>
      </w:r>
      <w:r>
        <w:rPr>
          <w:rFonts w:hint="eastAsia" w:ascii="Times New Roman" w:hAnsi="Times New Roman" w:eastAsia="方正小标宋简体" w:cs="Times New Roman"/>
          <w:bCs/>
          <w:color w:val="auto"/>
          <w:sz w:val="44"/>
          <w:szCs w:val="44"/>
          <w:shd w:val="clear" w:color="auto" w:fill="FFFFFF"/>
        </w:rPr>
        <w:t>评价</w:t>
      </w:r>
      <w:r>
        <w:rPr>
          <w:rFonts w:ascii="Times New Roman" w:hAnsi="Times New Roman" w:eastAsia="方正小标宋简体" w:cs="Times New Roman"/>
          <w:bCs/>
          <w:color w:val="auto"/>
          <w:sz w:val="44"/>
          <w:szCs w:val="44"/>
          <w:shd w:val="clear" w:color="auto" w:fill="FFFFFF"/>
        </w:rPr>
        <w:t>报告</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ascii="Times New Roman" w:hAnsi="Times New Roman" w:eastAsia="仿宋_GB2312" w:cs="Times New Roman"/>
          <w:sz w:val="32"/>
          <w:szCs w:val="32"/>
        </w:rPr>
      </w:pPr>
      <w:r>
        <w:rPr>
          <w:rFonts w:hint="eastAsia" w:ascii="Times New Roman" w:hAnsi="Times New Roman" w:eastAsia="黑体" w:cs="Times New Roman"/>
          <w:color w:val="000000"/>
          <w:kern w:val="0"/>
          <w:sz w:val="32"/>
          <w:szCs w:val="32"/>
          <w:shd w:val="clear" w:color="auto" w:fill="FFFFFF"/>
          <w:lang w:val="zh-CN"/>
        </w:rPr>
        <w:t>一、</w:t>
      </w:r>
      <w:r>
        <w:rPr>
          <w:rFonts w:ascii="Times New Roman" w:hAnsi="Times New Roman" w:eastAsia="黑体" w:cs="Times New Roman"/>
          <w:color w:val="000000"/>
          <w:kern w:val="0"/>
          <w:sz w:val="32"/>
          <w:szCs w:val="32"/>
          <w:shd w:val="clear" w:color="auto" w:fill="FFFFFF"/>
          <w:lang w:val="zh-CN"/>
        </w:rPr>
        <w:t>部门基本情况</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2" w:firstLineChars="200"/>
        <w:contextualSpacing/>
        <w:jc w:val="left"/>
        <w:textAlignment w:val="auto"/>
        <w:rPr>
          <w:rFonts w:ascii="仿宋_GB2312" w:hAnsi="Times New Roman" w:eastAsia="仿宋_GB2312" w:cs="宋体"/>
          <w:color w:val="000000"/>
          <w:kern w:val="0"/>
          <w:sz w:val="32"/>
          <w:szCs w:val="32"/>
          <w:shd w:val="clear" w:color="auto" w:fill="FFFFFF"/>
          <w:lang w:val="zh-CN"/>
        </w:rPr>
      </w:pPr>
      <w:r>
        <w:rPr>
          <w:rFonts w:hint="eastAsia" w:ascii="Times New Roman" w:hAnsi="Times New Roman" w:eastAsia="楷体_GB2312" w:cs="Times New Roman"/>
          <w:b/>
          <w:bCs/>
          <w:color w:val="000000"/>
          <w:kern w:val="0"/>
          <w:sz w:val="32"/>
          <w:szCs w:val="32"/>
          <w:shd w:val="clear" w:color="auto" w:fill="FFFFFF"/>
          <w:lang w:val="zh-CN"/>
        </w:rPr>
        <w:t>（一）</w:t>
      </w:r>
      <w:r>
        <w:rPr>
          <w:rFonts w:ascii="Times New Roman" w:hAnsi="Times New Roman" w:eastAsia="楷体_GB2312" w:cs="Times New Roman"/>
          <w:b/>
          <w:bCs/>
          <w:color w:val="000000"/>
          <w:kern w:val="0"/>
          <w:sz w:val="32"/>
          <w:szCs w:val="32"/>
          <w:shd w:val="clear" w:color="auto" w:fill="FFFFFF"/>
          <w:lang w:val="zh-CN"/>
        </w:rPr>
        <w:t>机构组成</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0" w:firstLineChars="200"/>
        <w:jc w:val="left"/>
        <w:textAlignment w:val="auto"/>
        <w:rPr>
          <w:rFonts w:ascii="Times New Roman" w:hAnsi="Times New Roman" w:eastAsia="仿宋_GB2312" w:cs="Times New Roman"/>
          <w:sz w:val="32"/>
          <w:lang w:val="zh-CN"/>
        </w:rPr>
      </w:pPr>
      <w:r>
        <w:rPr>
          <w:rFonts w:hint="eastAsia" w:ascii="仿宋_GB2312" w:hAnsi="Times New Roman" w:eastAsia="仿宋_GB2312" w:cs="宋体"/>
          <w:color w:val="000000"/>
          <w:kern w:val="0"/>
          <w:sz w:val="32"/>
          <w:szCs w:val="32"/>
          <w:shd w:val="clear" w:color="auto" w:fill="FFFFFF"/>
          <w:lang w:val="zh-CN"/>
        </w:rPr>
        <w:t>县残联是中国残联的地方组织，是将残疾人自身代表组织、社会福利团体和事业管理机构融为一体的全县性残疾人事业团体。县残联业务上接受州残联和县政府有关部门对口指导，在县计划中单列户头，与各镇建立业务关系。内设会办公室、业务股共两个股室。</w:t>
      </w:r>
    </w:p>
    <w:p>
      <w:pPr>
        <w:keepNext w:val="0"/>
        <w:keepLines w:val="0"/>
        <w:pageBreakBefore w:val="0"/>
        <w:widowControl/>
        <w:numPr>
          <w:ilvl w:val="0"/>
          <w:numId w:val="4"/>
        </w:numPr>
        <w:suppressAutoHyphens/>
        <w:kinsoku/>
        <w:wordWrap/>
        <w:overflowPunct/>
        <w:topLinePunct w:val="0"/>
        <w:autoSpaceDE/>
        <w:autoSpaceDN/>
        <w:bidi w:val="0"/>
        <w:adjustRightInd w:val="0"/>
        <w:snapToGrid w:val="0"/>
        <w:spacing w:line="576" w:lineRule="exact"/>
        <w:ind w:left="0" w:leftChars="0" w:firstLine="642" w:firstLineChars="200"/>
        <w:contextualSpacing/>
        <w:jc w:val="left"/>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机构职能</w:t>
      </w:r>
    </w:p>
    <w:p>
      <w:pPr>
        <w:keepNext w:val="0"/>
        <w:keepLines w:val="0"/>
        <w:pageBreakBefore w:val="0"/>
        <w:widowControl/>
        <w:numPr>
          <w:ilvl w:val="0"/>
          <w:numId w:val="0"/>
        </w:numPr>
        <w:suppressAutoHyphens/>
        <w:kinsoku/>
        <w:wordWrap/>
        <w:overflowPunct/>
        <w:topLinePunct w:val="0"/>
        <w:autoSpaceDE/>
        <w:autoSpaceDN/>
        <w:bidi w:val="0"/>
        <w:adjustRightInd w:val="0"/>
        <w:snapToGrid w:val="0"/>
        <w:spacing w:line="576" w:lineRule="exact"/>
        <w:ind w:firstLine="640" w:firstLineChars="200"/>
        <w:contextualSpacing/>
        <w:jc w:val="left"/>
        <w:textAlignment w:val="auto"/>
        <w:rPr>
          <w:rFonts w:ascii="Times New Roman" w:hAnsi="Times New Roman" w:eastAsia="楷体_GB2312" w:cs="Times New Roman"/>
          <w:b/>
          <w:bCs/>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zh-CN"/>
        </w:rPr>
        <w:t>协助政府制定和实施有关残疾人事业的政策和计划，起草有关保障残疾人权益的法规草案，调查掌握残疾人状况，向政府提出决策和建议，对有关业务领域进行指导和管理。听取残疾人意见，反映残疾人需求代表残疾人的共同利益，维护残疾人权益，为残疾人服务。开展残疾人康复、扶贫、教育、劳动就业、文化、体育、科研、用品供应、福利、社会服务、无障碍设施和残疾预防工作，创造良好的环境和条件，扶助残疾人平等参与社会生活。</w:t>
      </w:r>
    </w:p>
    <w:p>
      <w:pPr>
        <w:keepNext w:val="0"/>
        <w:keepLines w:val="0"/>
        <w:pageBreakBefore w:val="0"/>
        <w:widowControl w:val="0"/>
        <w:kinsoku/>
        <w:wordWrap/>
        <w:overflowPunct/>
        <w:topLinePunct w:val="0"/>
        <w:autoSpaceDE/>
        <w:autoSpaceDN/>
        <w:bidi w:val="0"/>
        <w:spacing w:line="576" w:lineRule="exact"/>
        <w:ind w:left="0" w:leftChars="0" w:firstLine="642" w:firstLineChars="200"/>
        <w:jc w:val="both"/>
        <w:textAlignment w:val="auto"/>
        <w:rPr>
          <w:rFonts w:ascii="Times New Roman" w:hAnsi="Times New Roman" w:eastAsia="楷体_GB2312" w:cs="Times New Roman"/>
          <w:b/>
          <w:bCs/>
          <w:color w:val="000000"/>
          <w:kern w:val="0"/>
          <w:sz w:val="32"/>
          <w:szCs w:val="32"/>
          <w:shd w:val="clear" w:color="auto" w:fill="FFFFFF"/>
          <w:lang w:val="zh-CN" w:eastAsia="zh-CN" w:bidi="ar-SA"/>
        </w:rPr>
      </w:pPr>
      <w:r>
        <w:rPr>
          <w:rFonts w:ascii="Times New Roman" w:hAnsi="Times New Roman" w:eastAsia="楷体_GB2312" w:cs="Times New Roman"/>
          <w:b/>
          <w:bCs/>
          <w:color w:val="000000"/>
          <w:kern w:val="0"/>
          <w:sz w:val="32"/>
          <w:szCs w:val="32"/>
          <w:shd w:val="clear" w:color="auto" w:fill="FFFFFF"/>
          <w:lang w:val="zh-CN" w:eastAsia="zh-CN" w:bidi="ar-SA"/>
        </w:rPr>
        <w:t>（</w:t>
      </w:r>
      <w:r>
        <w:rPr>
          <w:rFonts w:hint="eastAsia" w:ascii="Times New Roman" w:hAnsi="Times New Roman" w:eastAsia="楷体_GB2312" w:cs="Times New Roman"/>
          <w:b/>
          <w:bCs/>
          <w:color w:val="000000"/>
          <w:kern w:val="0"/>
          <w:sz w:val="32"/>
          <w:szCs w:val="32"/>
          <w:shd w:val="clear" w:color="auto" w:fill="FFFFFF"/>
          <w:lang w:val="zh-CN" w:eastAsia="zh-CN" w:bidi="ar-SA"/>
        </w:rPr>
        <w:t>三</w:t>
      </w:r>
      <w:r>
        <w:rPr>
          <w:rFonts w:ascii="Times New Roman" w:hAnsi="Times New Roman" w:eastAsia="楷体_GB2312" w:cs="Times New Roman"/>
          <w:b/>
          <w:bCs/>
          <w:color w:val="000000"/>
          <w:kern w:val="0"/>
          <w:sz w:val="32"/>
          <w:szCs w:val="32"/>
          <w:shd w:val="clear" w:color="auto" w:fill="FFFFFF"/>
          <w:lang w:val="zh-CN" w:eastAsia="zh-CN" w:bidi="ar-SA"/>
        </w:rPr>
        <w:t>）人员概况</w:t>
      </w:r>
    </w:p>
    <w:p>
      <w:pPr>
        <w:keepNext w:val="0"/>
        <w:keepLines w:val="0"/>
        <w:pageBreakBefore w:val="0"/>
        <w:widowControl w:val="0"/>
        <w:kinsoku/>
        <w:wordWrap/>
        <w:overflowPunct/>
        <w:topLinePunct w:val="0"/>
        <w:autoSpaceDE/>
        <w:autoSpaceDN/>
        <w:bidi w:val="0"/>
        <w:spacing w:line="576" w:lineRule="exact"/>
        <w:ind w:left="0" w:leftChars="0" w:firstLine="640" w:firstLineChars="200"/>
        <w:jc w:val="both"/>
        <w:textAlignment w:val="auto"/>
        <w:rPr>
          <w:rFonts w:ascii="Times New Roman"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茂县残疾人联合会属行政机构一级预算单位。人员情况：单位总编制数8名，其中：参公事业编制6名、事业2名。财政供养人员8人。其中：在职8人，离休0人，退休1人。实有人数8人。</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ascii="Times New Roman" w:hAnsi="Times New Roman" w:eastAsia="黑体" w:cs="Times New Roman"/>
          <w:color w:val="000000"/>
          <w:kern w:val="0"/>
          <w:sz w:val="32"/>
          <w:szCs w:val="32"/>
          <w:shd w:val="clear" w:color="auto" w:fill="FFFFFF"/>
        </w:rPr>
      </w:pPr>
      <w:r>
        <w:rPr>
          <w:rFonts w:ascii="Times New Roman" w:hAnsi="Times New Roman" w:eastAsia="黑体" w:cs="Times New Roman"/>
          <w:color w:val="000000"/>
          <w:kern w:val="0"/>
          <w:sz w:val="32"/>
          <w:szCs w:val="32"/>
          <w:shd w:val="clear" w:color="auto" w:fill="FFFFFF"/>
        </w:rPr>
        <w:t>二、部门资金收支情况</w:t>
      </w:r>
    </w:p>
    <w:p>
      <w:pPr>
        <w:keepNext w:val="0"/>
        <w:keepLines w:val="0"/>
        <w:pageBreakBefore w:val="0"/>
        <w:widowControl w:val="0"/>
        <w:kinsoku/>
        <w:wordWrap/>
        <w:overflowPunct/>
        <w:topLinePunct w:val="0"/>
        <w:autoSpaceDE/>
        <w:autoSpaceDN/>
        <w:bidi w:val="0"/>
        <w:spacing w:line="576" w:lineRule="exact"/>
        <w:ind w:left="0" w:leftChars="0" w:firstLine="642" w:firstLineChars="200"/>
        <w:jc w:val="both"/>
        <w:textAlignment w:val="auto"/>
        <w:rPr>
          <w:rFonts w:ascii="Times New Roman" w:hAnsi="Times New Roman" w:eastAsia="楷体_GB2312" w:cs="Times New Roman"/>
          <w:b/>
          <w:bCs/>
          <w:color w:val="000000"/>
          <w:kern w:val="0"/>
          <w:sz w:val="32"/>
          <w:szCs w:val="32"/>
          <w:shd w:val="clear" w:color="auto" w:fill="FFFFFF"/>
          <w:lang w:val="zh-CN" w:eastAsia="zh-CN" w:bidi="ar-SA"/>
        </w:rPr>
      </w:pPr>
      <w:r>
        <w:rPr>
          <w:rFonts w:ascii="Times New Roman" w:hAnsi="Times New Roman" w:eastAsia="楷体_GB2312" w:cs="Times New Roman"/>
          <w:b/>
          <w:bCs/>
          <w:color w:val="000000"/>
          <w:kern w:val="0"/>
          <w:sz w:val="32"/>
          <w:szCs w:val="32"/>
          <w:shd w:val="clear" w:color="auto" w:fill="FFFFFF"/>
          <w:lang w:val="zh-CN" w:eastAsia="zh-CN" w:bidi="ar-SA"/>
        </w:rPr>
        <w:t>（一）收入情况</w:t>
      </w:r>
    </w:p>
    <w:p>
      <w:pPr>
        <w:keepNext w:val="0"/>
        <w:keepLines w:val="0"/>
        <w:pageBreakBefore w:val="0"/>
        <w:widowControl w:val="0"/>
        <w:kinsoku/>
        <w:wordWrap/>
        <w:overflowPunct/>
        <w:topLinePunct w:val="0"/>
        <w:autoSpaceDE/>
        <w:autoSpaceDN/>
        <w:bidi w:val="0"/>
        <w:spacing w:line="576" w:lineRule="exact"/>
        <w:ind w:left="0" w:leftChars="0" w:firstLine="640" w:firstLineChars="200"/>
        <w:jc w:val="both"/>
        <w:textAlignment w:val="auto"/>
        <w:rPr>
          <w:rFonts w:hint="eastAsia" w:ascii="仿宋_GB2312" w:hAnsi="Calibri" w:eastAsia="仿宋_GB2312" w:cs="仿宋"/>
          <w:color w:val="auto"/>
          <w:kern w:val="0"/>
          <w:sz w:val="32"/>
          <w:szCs w:val="32"/>
          <w:lang w:val="en-US" w:eastAsia="zh-CN" w:bidi="ar-SA"/>
        </w:rPr>
      </w:pPr>
      <w:r>
        <w:rPr>
          <w:rFonts w:hint="eastAsia" w:ascii="仿宋_GB2312" w:hAnsi="Calibri" w:eastAsia="仿宋_GB2312" w:cs="仿宋"/>
          <w:color w:val="auto"/>
          <w:kern w:val="0"/>
          <w:sz w:val="32"/>
          <w:szCs w:val="32"/>
          <w:lang w:val="en-US" w:eastAsia="zh-CN" w:bidi="ar-SA"/>
        </w:rPr>
        <w:t>202</w:t>
      </w:r>
      <w:r>
        <w:rPr>
          <w:rFonts w:hint="eastAsia" w:ascii="仿宋_GB2312" w:eastAsia="仿宋_GB2312" w:cs="仿宋"/>
          <w:color w:val="auto"/>
          <w:kern w:val="0"/>
          <w:sz w:val="32"/>
          <w:szCs w:val="32"/>
          <w:lang w:val="en-US" w:eastAsia="zh-CN" w:bidi="ar-SA"/>
        </w:rPr>
        <w:t>5</w:t>
      </w:r>
      <w:r>
        <w:rPr>
          <w:rFonts w:hint="eastAsia" w:ascii="仿宋_GB2312" w:hAnsi="Calibri" w:eastAsia="仿宋_GB2312" w:cs="仿宋"/>
          <w:color w:val="auto"/>
          <w:kern w:val="0"/>
          <w:sz w:val="32"/>
          <w:szCs w:val="32"/>
          <w:lang w:val="en-US" w:eastAsia="zh-CN" w:bidi="ar-SA"/>
        </w:rPr>
        <w:t>年部门本年收入</w:t>
      </w:r>
      <w:r>
        <w:rPr>
          <w:rFonts w:hint="eastAsia" w:ascii="仿宋_GB2312" w:eastAsia="仿宋_GB2312" w:cs="仿宋"/>
          <w:color w:val="auto"/>
          <w:kern w:val="0"/>
          <w:sz w:val="32"/>
          <w:szCs w:val="32"/>
          <w:lang w:val="en-US" w:eastAsia="zh-CN" w:bidi="ar-SA"/>
        </w:rPr>
        <w:t>367.89万</w:t>
      </w:r>
      <w:r>
        <w:rPr>
          <w:rFonts w:hint="eastAsia" w:ascii="仿宋_GB2312" w:hAnsi="Calibri" w:eastAsia="仿宋_GB2312" w:cs="仿宋"/>
          <w:color w:val="auto"/>
          <w:kern w:val="0"/>
          <w:sz w:val="32"/>
          <w:szCs w:val="32"/>
          <w:lang w:val="en-US" w:eastAsia="zh-CN" w:bidi="ar-SA"/>
        </w:rPr>
        <w:t>元，其中：基金收入</w:t>
      </w:r>
      <w:r>
        <w:rPr>
          <w:rFonts w:hint="eastAsia" w:ascii="仿宋_GB2312" w:eastAsia="仿宋_GB2312" w:cs="仿宋"/>
          <w:color w:val="auto"/>
          <w:kern w:val="0"/>
          <w:sz w:val="32"/>
          <w:szCs w:val="32"/>
          <w:lang w:val="en-US" w:eastAsia="zh-CN" w:bidi="ar-SA"/>
        </w:rPr>
        <w:t>14.20万</w:t>
      </w:r>
      <w:r>
        <w:rPr>
          <w:rFonts w:hint="eastAsia" w:ascii="仿宋_GB2312" w:hAnsi="Calibri" w:eastAsia="仿宋_GB2312" w:cs="仿宋"/>
          <w:color w:val="auto"/>
          <w:kern w:val="0"/>
          <w:sz w:val="32"/>
          <w:szCs w:val="32"/>
          <w:lang w:val="en-US" w:eastAsia="zh-CN" w:bidi="ar-SA"/>
        </w:rPr>
        <w:t>元。本年实际支出：</w:t>
      </w:r>
      <w:r>
        <w:rPr>
          <w:rFonts w:hint="eastAsia" w:ascii="仿宋_GB2312" w:eastAsia="仿宋_GB2312" w:cs="仿宋"/>
          <w:color w:val="auto"/>
          <w:kern w:val="0"/>
          <w:sz w:val="32"/>
          <w:szCs w:val="32"/>
          <w:lang w:val="en-US" w:eastAsia="zh-CN" w:bidi="ar-SA"/>
        </w:rPr>
        <w:t>367.89万</w:t>
      </w:r>
      <w:r>
        <w:rPr>
          <w:rFonts w:hint="eastAsia" w:ascii="仿宋_GB2312" w:hAnsi="Calibri" w:eastAsia="仿宋_GB2312" w:cs="仿宋"/>
          <w:color w:val="auto"/>
          <w:kern w:val="0"/>
          <w:sz w:val="32"/>
          <w:szCs w:val="32"/>
          <w:lang w:val="en-US" w:eastAsia="zh-CN" w:bidi="ar-SA"/>
        </w:rPr>
        <w:t>元，其中：基本支出183.88万元，占49%；项目支出184.01万元，占51%。</w:t>
      </w:r>
    </w:p>
    <w:p>
      <w:pPr>
        <w:keepNext w:val="0"/>
        <w:keepLines w:val="0"/>
        <w:pageBreakBefore w:val="0"/>
        <w:widowControl w:val="0"/>
        <w:kinsoku/>
        <w:wordWrap/>
        <w:overflowPunct/>
        <w:topLinePunct w:val="0"/>
        <w:autoSpaceDE/>
        <w:autoSpaceDN/>
        <w:bidi w:val="0"/>
        <w:spacing w:line="576" w:lineRule="exact"/>
        <w:ind w:left="0" w:leftChars="0" w:firstLine="642" w:firstLineChars="200"/>
        <w:jc w:val="both"/>
        <w:textAlignment w:val="auto"/>
        <w:rPr>
          <w:rFonts w:hint="eastAsia" w:ascii="Times New Roman" w:hAnsi="Times New Roman" w:eastAsia="楷体_GB2312" w:cs="Times New Roman"/>
          <w:b/>
          <w:bCs/>
          <w:color w:val="auto"/>
          <w:kern w:val="0"/>
          <w:sz w:val="32"/>
          <w:szCs w:val="32"/>
          <w:shd w:val="clear" w:color="auto" w:fill="FFFFFF"/>
          <w:lang w:val="zh-CN" w:eastAsia="zh-CN" w:bidi="ar-SA"/>
        </w:rPr>
      </w:pPr>
      <w:r>
        <w:rPr>
          <w:rFonts w:ascii="Times New Roman" w:hAnsi="Times New Roman" w:eastAsia="楷体_GB2312" w:cs="Times New Roman"/>
          <w:b/>
          <w:bCs/>
          <w:color w:val="auto"/>
          <w:kern w:val="0"/>
          <w:sz w:val="32"/>
          <w:szCs w:val="32"/>
          <w:shd w:val="clear" w:color="auto" w:fill="FFFFFF"/>
          <w:lang w:val="zh-CN" w:eastAsia="zh-CN" w:bidi="ar-SA"/>
        </w:rPr>
        <w:t>（</w:t>
      </w:r>
      <w:r>
        <w:rPr>
          <w:rFonts w:hint="eastAsia" w:ascii="Times New Roman" w:hAnsi="Times New Roman" w:eastAsia="楷体_GB2312" w:cs="Times New Roman"/>
          <w:b/>
          <w:bCs/>
          <w:color w:val="auto"/>
          <w:kern w:val="0"/>
          <w:sz w:val="32"/>
          <w:szCs w:val="32"/>
          <w:shd w:val="clear" w:color="auto" w:fill="FFFFFF"/>
          <w:lang w:val="zh-CN" w:eastAsia="zh-CN" w:bidi="ar-SA"/>
        </w:rPr>
        <w:t>二</w:t>
      </w:r>
      <w:r>
        <w:rPr>
          <w:rFonts w:ascii="Times New Roman" w:hAnsi="Times New Roman" w:eastAsia="楷体_GB2312" w:cs="Times New Roman"/>
          <w:b/>
          <w:bCs/>
          <w:color w:val="auto"/>
          <w:kern w:val="0"/>
          <w:sz w:val="32"/>
          <w:szCs w:val="32"/>
          <w:shd w:val="clear" w:color="auto" w:fill="FFFFFF"/>
          <w:lang w:val="zh-CN" w:eastAsia="zh-CN" w:bidi="ar-SA"/>
        </w:rPr>
        <w:t>）</w:t>
      </w:r>
      <w:r>
        <w:rPr>
          <w:rFonts w:hint="eastAsia" w:ascii="Times New Roman" w:hAnsi="Times New Roman" w:eastAsia="楷体_GB2312" w:cs="Times New Roman"/>
          <w:b/>
          <w:bCs/>
          <w:color w:val="auto"/>
          <w:kern w:val="0"/>
          <w:sz w:val="32"/>
          <w:szCs w:val="32"/>
          <w:shd w:val="clear" w:color="auto" w:fill="FFFFFF"/>
          <w:lang w:val="zh-CN" w:eastAsia="zh-CN" w:bidi="ar-SA"/>
        </w:rPr>
        <w:t>支出情况</w:t>
      </w:r>
    </w:p>
    <w:p>
      <w:pPr>
        <w:keepNext w:val="0"/>
        <w:keepLines w:val="0"/>
        <w:pageBreakBefore w:val="0"/>
        <w:widowControl w:val="0"/>
        <w:kinsoku/>
        <w:wordWrap/>
        <w:overflowPunct/>
        <w:topLinePunct w:val="0"/>
        <w:autoSpaceDE/>
        <w:autoSpaceDN/>
        <w:bidi w:val="0"/>
        <w:spacing w:line="576" w:lineRule="exact"/>
        <w:ind w:left="0" w:leftChars="0" w:firstLine="640" w:firstLineChars="200"/>
        <w:jc w:val="both"/>
        <w:textAlignment w:val="auto"/>
        <w:rPr>
          <w:rFonts w:hint="eastAsia" w:ascii="仿宋_GB2312" w:hAnsi="Calibri"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2025</w:t>
      </w:r>
      <w:r>
        <w:rPr>
          <w:rFonts w:hint="eastAsia" w:ascii="仿宋_GB2312" w:hAnsi="Calibri" w:eastAsia="仿宋_GB2312" w:cs="仿宋"/>
          <w:color w:val="auto"/>
          <w:kern w:val="0"/>
          <w:sz w:val="32"/>
          <w:szCs w:val="32"/>
          <w:lang w:val="en-US" w:eastAsia="zh-CN" w:bidi="ar-SA"/>
        </w:rPr>
        <w:t>年初预算</w:t>
      </w:r>
      <w:r>
        <w:rPr>
          <w:rFonts w:hint="eastAsia" w:ascii="仿宋_GB2312" w:hAnsi="Calibri" w:eastAsia="仿宋_GB2312" w:cs="仿宋"/>
          <w:color w:val="auto"/>
          <w:kern w:val="0"/>
          <w:sz w:val="32"/>
          <w:szCs w:val="32"/>
          <w:lang w:val="zh-CN" w:eastAsia="zh-CN" w:bidi="ar-SA"/>
        </w:rPr>
        <w:t>支出</w:t>
      </w:r>
      <w:r>
        <w:rPr>
          <w:rFonts w:hint="eastAsia" w:ascii="仿宋_GB2312" w:hAnsi="Times New Roman" w:eastAsia="仿宋_GB2312" w:cs="Times New Roman"/>
          <w:color w:val="auto"/>
          <w:kern w:val="2"/>
          <w:sz w:val="32"/>
          <w:szCs w:val="32"/>
          <w:lang w:val="zh-CN" w:eastAsia="zh-CN" w:bidi="ar-SA"/>
        </w:rPr>
        <w:t>367.89</w:t>
      </w:r>
      <w:r>
        <w:rPr>
          <w:rFonts w:hint="eastAsia" w:ascii="仿宋_GB2312" w:hAnsi="仿宋_GB2312" w:eastAsia="仿宋_GB2312" w:cs="仿宋_GB2312"/>
          <w:color w:val="auto"/>
          <w:sz w:val="32"/>
          <w:szCs w:val="32"/>
        </w:rPr>
        <w:t>万</w:t>
      </w:r>
      <w:r>
        <w:rPr>
          <w:rFonts w:hint="eastAsia" w:ascii="仿宋_GB2312" w:hAnsi="Calibri" w:eastAsia="仿宋_GB2312" w:cs="仿宋"/>
          <w:color w:val="auto"/>
          <w:kern w:val="0"/>
          <w:sz w:val="32"/>
          <w:szCs w:val="32"/>
          <w:lang w:val="en-US" w:eastAsia="zh-CN" w:bidi="ar-SA"/>
        </w:rPr>
        <w:t>元；其中：基本支出183.88万元，项目支出184.01万元。2025年部门本年收入</w:t>
      </w:r>
      <w:r>
        <w:rPr>
          <w:rFonts w:hint="eastAsia" w:ascii="仿宋_GB2312" w:hAnsi="Calibri" w:eastAsia="仿宋_GB2312" w:cs="仿宋"/>
          <w:color w:val="auto"/>
          <w:kern w:val="0"/>
          <w:sz w:val="32"/>
          <w:szCs w:val="32"/>
          <w:lang w:val="zh-CN" w:eastAsia="zh-CN" w:bidi="ar-SA"/>
        </w:rPr>
        <w:t>367.89</w:t>
      </w:r>
      <w:r>
        <w:rPr>
          <w:rFonts w:hint="eastAsia" w:ascii="仿宋_GB2312" w:hAnsi="Calibri" w:eastAsia="仿宋_GB2312" w:cs="仿宋"/>
          <w:color w:val="auto"/>
          <w:kern w:val="0"/>
          <w:sz w:val="32"/>
          <w:szCs w:val="32"/>
          <w:lang w:val="en-US" w:eastAsia="zh-CN" w:bidi="ar-SA"/>
        </w:rPr>
        <w:t>万元，基金收入14.20万元。本年实际支出</w:t>
      </w:r>
      <w:r>
        <w:rPr>
          <w:rFonts w:hint="eastAsia" w:ascii="仿宋_GB2312" w:hAnsi="Calibri" w:eastAsia="仿宋_GB2312" w:cs="仿宋"/>
          <w:color w:val="auto"/>
          <w:kern w:val="0"/>
          <w:sz w:val="32"/>
          <w:szCs w:val="32"/>
          <w:lang w:val="zh-CN" w:eastAsia="zh-CN" w:bidi="ar-SA"/>
        </w:rPr>
        <w:t>367.89</w:t>
      </w:r>
      <w:r>
        <w:rPr>
          <w:rFonts w:hint="eastAsia" w:ascii="仿宋_GB2312" w:hAnsi="Calibri" w:eastAsia="仿宋_GB2312" w:cs="仿宋"/>
          <w:color w:val="auto"/>
          <w:kern w:val="0"/>
          <w:sz w:val="32"/>
          <w:szCs w:val="32"/>
          <w:lang w:val="en-US" w:eastAsia="zh-CN" w:bidi="ar-SA"/>
        </w:rPr>
        <w:t>万元，其中：基本支出183.88万元，项目支出184.01万元。</w:t>
      </w:r>
    </w:p>
    <w:p>
      <w:pPr>
        <w:keepNext w:val="0"/>
        <w:keepLines w:val="0"/>
        <w:pageBreakBefore w:val="0"/>
        <w:widowControl w:val="0"/>
        <w:kinsoku/>
        <w:wordWrap/>
        <w:overflowPunct/>
        <w:topLinePunct w:val="0"/>
        <w:autoSpaceDE/>
        <w:autoSpaceDN/>
        <w:bidi w:val="0"/>
        <w:spacing w:line="576" w:lineRule="exact"/>
        <w:ind w:left="0" w:leftChars="0" w:firstLine="640" w:firstLineChars="200"/>
        <w:jc w:val="both"/>
        <w:textAlignment w:val="auto"/>
        <w:rPr>
          <w:rFonts w:hint="eastAsia" w:ascii="仿宋_GB2312" w:hAnsi="Times New Roman" w:eastAsia="仿宋_GB2312" w:cs="宋体"/>
          <w:b/>
          <w:bCs/>
          <w:color w:val="000000"/>
          <w:kern w:val="0"/>
          <w:sz w:val="32"/>
          <w:szCs w:val="32"/>
          <w:shd w:val="clear" w:color="auto" w:fill="FFFFFF"/>
          <w:lang w:val="zh-CN"/>
        </w:rPr>
      </w:pPr>
      <w:r>
        <w:rPr>
          <w:rFonts w:hint="eastAsia" w:ascii="仿宋_GB2312" w:hAnsi="Times New Roman" w:eastAsia="仿宋_GB2312" w:cs="Times New Roman"/>
          <w:kern w:val="2"/>
          <w:sz w:val="32"/>
          <w:szCs w:val="32"/>
          <w:lang w:val="zh-CN" w:eastAsia="zh-CN" w:bidi="ar-SA"/>
        </w:rPr>
        <w:t>（</w:t>
      </w:r>
      <w:r>
        <w:rPr>
          <w:rFonts w:hint="eastAsia" w:ascii="Times New Roman" w:hAnsi="Times New Roman" w:eastAsia="楷体_GB2312" w:cs="Times New Roman"/>
          <w:b/>
          <w:sz w:val="32"/>
          <w:szCs w:val="32"/>
          <w:lang w:val="zh-CN" w:eastAsia="zh-CN"/>
        </w:rPr>
        <w:t>三）</w:t>
      </w:r>
      <w:r>
        <w:rPr>
          <w:rFonts w:hint="eastAsia" w:ascii="Times New Roman" w:hAnsi="Times New Roman" w:eastAsia="楷体_GB2312" w:cs="Times New Roman"/>
          <w:b/>
          <w:sz w:val="32"/>
          <w:szCs w:val="32"/>
          <w:lang w:val="zh-CN"/>
        </w:rPr>
        <w:t>结余分配和结转结余情况</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zh-CN"/>
        </w:rPr>
        <w:t>茂县残联202</w:t>
      </w:r>
      <w:r>
        <w:rPr>
          <w:rFonts w:hint="eastAsia" w:ascii="仿宋_GB2312" w:hAnsi="Times New Roman" w:eastAsia="仿宋_GB2312" w:cs="宋体"/>
          <w:color w:val="000000"/>
          <w:kern w:val="0"/>
          <w:sz w:val="32"/>
          <w:szCs w:val="32"/>
          <w:shd w:val="clear" w:color="auto" w:fill="FFFFFF"/>
          <w:lang w:val="en-US" w:eastAsia="zh-CN"/>
        </w:rPr>
        <w:t>5</w:t>
      </w:r>
      <w:r>
        <w:rPr>
          <w:rFonts w:hint="eastAsia" w:ascii="仿宋_GB2312" w:hAnsi="Times New Roman" w:eastAsia="仿宋_GB2312" w:cs="宋体"/>
          <w:color w:val="000000"/>
          <w:kern w:val="0"/>
          <w:sz w:val="32"/>
          <w:szCs w:val="32"/>
          <w:shd w:val="clear" w:color="auto" w:fill="FFFFFF"/>
          <w:lang w:val="zh-CN"/>
        </w:rPr>
        <w:t>年决算报表结转结余为0万元。</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ascii="Times New Roman" w:hAnsi="Times New Roman" w:eastAsia="黑体" w:cs="Times New Roman"/>
          <w:color w:val="auto"/>
          <w:kern w:val="0"/>
          <w:sz w:val="32"/>
          <w:szCs w:val="32"/>
          <w:shd w:val="clear" w:color="auto" w:fill="FFFFFF"/>
        </w:rPr>
      </w:pPr>
      <w:r>
        <w:rPr>
          <w:rFonts w:ascii="Times New Roman" w:hAnsi="Times New Roman" w:eastAsia="黑体" w:cs="Times New Roman"/>
          <w:color w:val="auto"/>
          <w:kern w:val="0"/>
          <w:sz w:val="32"/>
          <w:szCs w:val="32"/>
          <w:shd w:val="clear" w:color="auto" w:fill="FFFFFF"/>
        </w:rPr>
        <w:t>三、部门预算绩效分析</w:t>
      </w:r>
    </w:p>
    <w:p>
      <w:pPr>
        <w:keepNext w:val="0"/>
        <w:keepLines w:val="0"/>
        <w:pageBreakBefore w:val="0"/>
        <w:suppressAutoHyphens/>
        <w:kinsoku/>
        <w:wordWrap/>
        <w:overflowPunct/>
        <w:topLinePunct w:val="0"/>
        <w:autoSpaceDE/>
        <w:autoSpaceDN/>
        <w:bidi w:val="0"/>
        <w:spacing w:line="576" w:lineRule="exact"/>
        <w:ind w:left="0" w:leftChars="0" w:firstLine="642" w:firstLineChars="200"/>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（一）</w:t>
      </w:r>
      <w:r>
        <w:rPr>
          <w:rFonts w:hint="eastAsia" w:ascii="Times New Roman" w:hAnsi="Times New Roman" w:eastAsia="楷体_GB2312" w:cs="Times New Roman"/>
          <w:b/>
          <w:bCs/>
          <w:color w:val="000000"/>
          <w:kern w:val="0"/>
          <w:sz w:val="32"/>
          <w:szCs w:val="32"/>
          <w:shd w:val="clear" w:color="auto" w:fill="FFFFFF"/>
          <w:lang w:val="zh-CN"/>
        </w:rPr>
        <w:t>部门预算</w:t>
      </w:r>
      <w:r>
        <w:rPr>
          <w:rFonts w:ascii="Times New Roman" w:hAnsi="Times New Roman" w:eastAsia="楷体_GB2312" w:cs="Times New Roman"/>
          <w:b/>
          <w:bCs/>
          <w:color w:val="000000"/>
          <w:kern w:val="0"/>
          <w:sz w:val="32"/>
          <w:szCs w:val="32"/>
          <w:shd w:val="clear" w:color="auto" w:fill="FFFFFF"/>
          <w:lang w:val="zh-CN"/>
        </w:rPr>
        <w:t>总体绩效分析</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en-US" w:eastAsia="zh-CN"/>
        </w:rPr>
        <w:t>1</w:t>
      </w:r>
      <w:r>
        <w:rPr>
          <w:rFonts w:hint="eastAsia" w:ascii="Times New Roman" w:hAnsi="Times New Roman" w:eastAsia="楷体_GB2312" w:cs="Times New Roman"/>
          <w:color w:val="000000"/>
          <w:kern w:val="0"/>
          <w:sz w:val="32"/>
          <w:szCs w:val="32"/>
          <w:shd w:val="clear" w:color="auto" w:fill="FFFFFF"/>
          <w:lang w:val="en-US" w:eastAsia="zh-CN"/>
        </w:rPr>
        <w:t>.</w:t>
      </w:r>
      <w:r>
        <w:rPr>
          <w:rFonts w:hint="eastAsia" w:ascii="Times New Roman" w:hAnsi="Times New Roman" w:eastAsia="楷体_GB2312" w:cs="Times New Roman"/>
          <w:color w:val="000000"/>
          <w:kern w:val="0"/>
          <w:sz w:val="32"/>
          <w:szCs w:val="32"/>
          <w:shd w:val="clear" w:color="auto" w:fill="FFFFFF"/>
          <w:lang w:val="zh-CN"/>
        </w:rPr>
        <w:t>履职效能</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zh-CN"/>
        </w:rPr>
        <w:t>202</w:t>
      </w:r>
      <w:r>
        <w:rPr>
          <w:rFonts w:hint="eastAsia" w:ascii="仿宋_GB2312" w:hAnsi="Times New Roman" w:eastAsia="仿宋_GB2312" w:cs="宋体"/>
          <w:color w:val="000000"/>
          <w:kern w:val="0"/>
          <w:sz w:val="32"/>
          <w:szCs w:val="32"/>
          <w:shd w:val="clear" w:color="auto" w:fill="FFFFFF"/>
          <w:lang w:val="en-US" w:eastAsia="zh-CN"/>
        </w:rPr>
        <w:t>5</w:t>
      </w:r>
      <w:r>
        <w:rPr>
          <w:rFonts w:hint="eastAsia" w:ascii="仿宋_GB2312" w:hAnsi="Times New Roman" w:eastAsia="仿宋_GB2312" w:cs="宋体"/>
          <w:color w:val="000000"/>
          <w:kern w:val="0"/>
          <w:sz w:val="32"/>
          <w:szCs w:val="32"/>
          <w:shd w:val="clear" w:color="auto" w:fill="FFFFFF"/>
          <w:lang w:val="zh-CN"/>
        </w:rPr>
        <w:t>年</w:t>
      </w:r>
      <w:r>
        <w:rPr>
          <w:rFonts w:hint="eastAsia" w:ascii="仿宋_GB2312" w:hAnsi="Times New Roman" w:eastAsia="仿宋_GB2312" w:cs="宋体"/>
          <w:color w:val="000000"/>
          <w:kern w:val="0"/>
          <w:sz w:val="32"/>
          <w:szCs w:val="32"/>
          <w:shd w:val="clear" w:color="auto" w:fill="FFFFFF"/>
          <w:lang w:val="zh-CN" w:eastAsia="zh-CN"/>
        </w:rPr>
        <w:t>残联</w:t>
      </w:r>
      <w:r>
        <w:rPr>
          <w:rFonts w:hint="eastAsia" w:ascii="仿宋_GB2312" w:hAnsi="Times New Roman" w:eastAsia="仿宋_GB2312" w:cs="宋体"/>
          <w:color w:val="000000"/>
          <w:kern w:val="0"/>
          <w:sz w:val="32"/>
          <w:szCs w:val="32"/>
          <w:shd w:val="clear" w:color="auto" w:fill="FFFFFF"/>
          <w:lang w:val="zh-CN"/>
        </w:rPr>
        <w:t>基本全面完成了年初确定的整体支出绩效任务、从工作任务完成数量上分析完成率为100%、完成质量达标率为100%、产出时效完成率达90%以上。202</w:t>
      </w:r>
      <w:r>
        <w:rPr>
          <w:rFonts w:hint="eastAsia" w:ascii="仿宋_GB2312" w:hAnsi="Times New Roman" w:eastAsia="仿宋_GB2312" w:cs="宋体"/>
          <w:color w:val="000000"/>
          <w:kern w:val="0"/>
          <w:sz w:val="32"/>
          <w:szCs w:val="32"/>
          <w:shd w:val="clear" w:color="auto" w:fill="FFFFFF"/>
          <w:lang w:val="en-US" w:eastAsia="zh-CN"/>
        </w:rPr>
        <w:t>5</w:t>
      </w:r>
      <w:r>
        <w:rPr>
          <w:rFonts w:hint="eastAsia" w:ascii="仿宋_GB2312" w:hAnsi="Times New Roman" w:eastAsia="仿宋_GB2312" w:cs="宋体"/>
          <w:color w:val="000000"/>
          <w:kern w:val="0"/>
          <w:sz w:val="32"/>
          <w:szCs w:val="32"/>
          <w:shd w:val="clear" w:color="auto" w:fill="FFFFFF"/>
          <w:lang w:val="zh-CN"/>
        </w:rPr>
        <w:t>年度主要计划任务全面完成。基本达到了预期的绩效目标；经济效益、指标完成指标率都为100%，实现了预期的履职和绩效目标。</w:t>
      </w:r>
    </w:p>
    <w:p>
      <w:pPr>
        <w:keepNext w:val="0"/>
        <w:keepLines w:val="0"/>
        <w:pageBreakBefore w:val="0"/>
        <w:widowControl/>
        <w:numPr>
          <w:ilvl w:val="0"/>
          <w:numId w:val="0"/>
        </w:numPr>
        <w:suppressAutoHyphens/>
        <w:kinsoku/>
        <w:wordWrap/>
        <w:overflowPunct/>
        <w:topLinePunct w:val="0"/>
        <w:autoSpaceDE/>
        <w:autoSpaceDN/>
        <w:bidi w:val="0"/>
        <w:adjustRightInd w:val="0"/>
        <w:snapToGrid w:val="0"/>
        <w:spacing w:line="576" w:lineRule="exact"/>
        <w:ind w:leftChars="200" w:firstLine="320" w:firstLineChars="100"/>
        <w:jc w:val="left"/>
        <w:textAlignment w:val="auto"/>
        <w:rPr>
          <w:rFonts w:hint="eastAsia" w:ascii="Times New Roman" w:hAnsi="Times New Roman" w:eastAsia="楷体_GB2312" w:cs="Times New Roman"/>
          <w:color w:val="000000"/>
          <w:kern w:val="0"/>
          <w:sz w:val="32"/>
          <w:szCs w:val="32"/>
          <w:shd w:val="clear" w:color="auto" w:fill="FFFFFF"/>
          <w:lang w:val="zh-CN"/>
        </w:rPr>
      </w:pPr>
      <w:r>
        <w:rPr>
          <w:rFonts w:hint="eastAsia" w:ascii="Times New Roman" w:hAnsi="Times New Roman" w:eastAsia="楷体_GB2312" w:cs="Times New Roman"/>
          <w:color w:val="000000"/>
          <w:kern w:val="0"/>
          <w:sz w:val="32"/>
          <w:szCs w:val="32"/>
          <w:shd w:val="clear" w:color="auto" w:fill="FFFFFF"/>
          <w:lang w:val="zh-CN"/>
        </w:rPr>
        <w:t>2.预算管理</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en-US" w:eastAsia="zh-CN"/>
        </w:rPr>
        <w:t>我会根据年度工作计划和目标任务制定预算，确保资金分配合理。实施事前绩效评估，确保预算绩效目标的科学性和合理性。进行绩效运行监控，及时调整预算执行，确保资金使用符合预期目标。通过绩效自评，我会能够自我监督预算执行情况，提高预算管理的透明度和规范性</w:t>
      </w:r>
      <w:r>
        <w:rPr>
          <w:rFonts w:hint="eastAsia" w:ascii="仿宋_GB2312" w:hAnsi="Times New Roman" w:eastAsia="仿宋_GB2312" w:cs="宋体"/>
          <w:color w:val="000000"/>
          <w:kern w:val="0"/>
          <w:sz w:val="32"/>
          <w:szCs w:val="32"/>
          <w:shd w:val="clear" w:color="auto" w:fill="FFFFFF"/>
          <w:lang w:val="zh-CN"/>
        </w:rPr>
        <w:t>。</w:t>
      </w:r>
    </w:p>
    <w:p>
      <w:pPr>
        <w:keepNext w:val="0"/>
        <w:keepLines w:val="0"/>
        <w:pageBreakBefore w:val="0"/>
        <w:widowControl/>
        <w:numPr>
          <w:ilvl w:val="0"/>
          <w:numId w:val="0"/>
        </w:numPr>
        <w:suppressAutoHyphens/>
        <w:kinsoku/>
        <w:wordWrap/>
        <w:overflowPunct/>
        <w:topLinePunct w:val="0"/>
        <w:autoSpaceDE/>
        <w:autoSpaceDN/>
        <w:bidi w:val="0"/>
        <w:adjustRightInd w:val="0"/>
        <w:snapToGrid w:val="0"/>
        <w:spacing w:line="576" w:lineRule="exact"/>
        <w:ind w:leftChars="200" w:firstLine="320" w:firstLineChars="100"/>
        <w:jc w:val="left"/>
        <w:textAlignment w:val="auto"/>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en-US" w:eastAsia="zh-CN"/>
        </w:rPr>
        <w:t>3.</w:t>
      </w:r>
      <w:r>
        <w:rPr>
          <w:rFonts w:hint="eastAsia" w:ascii="Times New Roman" w:hAnsi="Times New Roman" w:eastAsia="楷体_GB2312" w:cs="Times New Roman"/>
          <w:color w:val="000000"/>
          <w:kern w:val="0"/>
          <w:sz w:val="32"/>
          <w:szCs w:val="32"/>
          <w:shd w:val="clear" w:color="auto" w:fill="FFFFFF"/>
          <w:lang w:val="zh-CN"/>
        </w:rPr>
        <w:t>财务管理</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仿宋_GB2312" w:hAnsi="Times New Roman" w:eastAsia="仿宋_GB2312" w:cs="宋体"/>
          <w:color w:val="000000"/>
          <w:kern w:val="0"/>
          <w:sz w:val="32"/>
          <w:szCs w:val="32"/>
          <w:shd w:val="clear" w:color="auto" w:fill="FFFFFF"/>
          <w:lang w:val="zh-CN"/>
        </w:rPr>
      </w:pPr>
      <w:r>
        <w:rPr>
          <w:rFonts w:ascii="仿宋_GB2312" w:hAnsi="Times New Roman" w:eastAsia="仿宋_GB2312" w:cs="仿宋_GB2312"/>
          <w:color w:val="auto"/>
          <w:spacing w:val="0"/>
          <w:position w:val="0"/>
          <w:sz w:val="32"/>
          <w:shd w:val="clear" w:color="auto" w:fill="auto"/>
        </w:rPr>
        <w:t>我</w:t>
      </w:r>
      <w:r>
        <w:rPr>
          <w:rFonts w:hint="eastAsia" w:ascii="仿宋_GB2312" w:hAnsi="Times New Roman" w:eastAsia="仿宋_GB2312" w:cs="仿宋_GB2312"/>
          <w:color w:val="auto"/>
          <w:spacing w:val="0"/>
          <w:position w:val="0"/>
          <w:sz w:val="32"/>
          <w:shd w:val="clear" w:color="auto" w:fill="auto"/>
          <w:lang w:eastAsia="zh-CN"/>
        </w:rPr>
        <w:t>会</w:t>
      </w:r>
      <w:r>
        <w:rPr>
          <w:rFonts w:ascii="仿宋_GB2312" w:hAnsi="Times New Roman" w:eastAsia="仿宋_GB2312" w:cs="仿宋_GB2312"/>
          <w:color w:val="auto"/>
          <w:spacing w:val="0"/>
          <w:position w:val="0"/>
          <w:sz w:val="32"/>
          <w:shd w:val="clear" w:color="auto" w:fill="auto"/>
        </w:rPr>
        <w:t>严格遵循财务管理制度，确保资金安全和合规使用。并且定期进行内部审计，确保财务活动的透明和规范，防止财务风险</w:t>
      </w:r>
      <w:r>
        <w:rPr>
          <w:rFonts w:hint="eastAsia" w:ascii="仿宋_GB2312" w:hAnsi="Times New Roman" w:eastAsia="仿宋_GB2312" w:cs="仿宋_GB2312"/>
          <w:color w:val="auto"/>
          <w:spacing w:val="0"/>
          <w:position w:val="0"/>
          <w:sz w:val="32"/>
          <w:shd w:val="clear" w:color="auto" w:fill="auto"/>
          <w:lang w:eastAsia="zh-CN"/>
        </w:rPr>
        <w:t>。</w:t>
      </w:r>
      <w:r>
        <w:rPr>
          <w:rFonts w:ascii="仿宋_GB2312" w:hAnsi="Times New Roman" w:eastAsia="仿宋_GB2312" w:cs="仿宋_GB2312"/>
          <w:color w:val="auto"/>
          <w:spacing w:val="0"/>
          <w:position w:val="0"/>
          <w:sz w:val="32"/>
          <w:shd w:val="clear" w:color="auto" w:fill="auto"/>
        </w:rPr>
        <w:t>通过财务管理培训，提升财务人员的专业能力和责任意识，提高财务管理效率。采用现代化财务管理系统，提高数据处理速度和准确性，优化财务决策</w:t>
      </w:r>
      <w:r>
        <w:rPr>
          <w:rFonts w:ascii="宋体" w:hAnsi="Times New Roman" w:eastAsia="宋体" w:cs="宋体"/>
          <w:color w:val="auto"/>
          <w:spacing w:val="0"/>
          <w:position w:val="0"/>
          <w:sz w:val="24"/>
          <w:shd w:val="clear" w:color="auto" w:fill="auto"/>
        </w:rPr>
        <w:t>。</w:t>
      </w:r>
    </w:p>
    <w:p>
      <w:pPr>
        <w:keepNext w:val="0"/>
        <w:keepLines w:val="0"/>
        <w:pageBreakBefore w:val="0"/>
        <w:widowControl/>
        <w:numPr>
          <w:ilvl w:val="0"/>
          <w:numId w:val="0"/>
        </w:numPr>
        <w:suppressAutoHyphens/>
        <w:kinsoku/>
        <w:wordWrap/>
        <w:overflowPunct/>
        <w:topLinePunct w:val="0"/>
        <w:autoSpaceDE/>
        <w:autoSpaceDN/>
        <w:bidi w:val="0"/>
        <w:adjustRightInd w:val="0"/>
        <w:snapToGrid w:val="0"/>
        <w:spacing w:line="576" w:lineRule="exact"/>
        <w:ind w:leftChars="200" w:firstLine="320" w:firstLineChars="100"/>
        <w:jc w:val="left"/>
        <w:textAlignment w:val="auto"/>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en-US" w:eastAsia="zh-CN"/>
        </w:rPr>
        <w:t>4</w:t>
      </w:r>
      <w:r>
        <w:rPr>
          <w:rFonts w:hint="eastAsia" w:ascii="Times New Roman" w:hAnsi="Times New Roman" w:eastAsia="楷体_GB2312" w:cs="Times New Roman"/>
          <w:color w:val="000000"/>
          <w:kern w:val="0"/>
          <w:sz w:val="32"/>
          <w:szCs w:val="32"/>
          <w:shd w:val="clear" w:color="auto" w:fill="FFFFFF"/>
          <w:lang w:val="en-US" w:eastAsia="zh-CN"/>
        </w:rPr>
        <w:t>.</w:t>
      </w:r>
      <w:r>
        <w:rPr>
          <w:rFonts w:hint="eastAsia" w:ascii="Times New Roman" w:hAnsi="Times New Roman" w:eastAsia="楷体_GB2312" w:cs="Times New Roman"/>
          <w:color w:val="000000"/>
          <w:kern w:val="0"/>
          <w:sz w:val="32"/>
          <w:szCs w:val="32"/>
          <w:shd w:val="clear" w:color="auto" w:fill="FFFFFF"/>
          <w:lang w:val="zh-CN"/>
        </w:rPr>
        <w:t>资产管理</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zh-CN"/>
        </w:rPr>
        <w:t>国有资产日常管理情况：按照《茂县行政事业单位国有资产管理暂行办法》要求，严格落实国有资产清查、登记、上报制度，设置固定资产卡片、总</w:t>
      </w:r>
      <w:r>
        <w:rPr>
          <w:rFonts w:hint="eastAsia" w:ascii="仿宋_GB2312" w:hAnsi="Times New Roman" w:eastAsia="仿宋_GB2312" w:cs="宋体"/>
          <w:color w:val="000000"/>
          <w:kern w:val="0"/>
          <w:sz w:val="32"/>
          <w:szCs w:val="32"/>
          <w:shd w:val="clear" w:color="auto" w:fill="FFFFFF"/>
          <w:lang w:val="en-US" w:eastAsia="zh-CN"/>
        </w:rPr>
        <w:t>账</w:t>
      </w:r>
      <w:r>
        <w:rPr>
          <w:rFonts w:hint="eastAsia" w:ascii="仿宋_GB2312" w:hAnsi="Times New Roman" w:eastAsia="仿宋_GB2312" w:cs="宋体"/>
          <w:color w:val="000000"/>
          <w:kern w:val="0"/>
          <w:sz w:val="32"/>
          <w:szCs w:val="32"/>
          <w:shd w:val="clear" w:color="auto" w:fill="FFFFFF"/>
          <w:lang w:val="zh-CN"/>
        </w:rPr>
        <w:t>及明细账簿，并定期进行了清查盘点，及时更新国有资产管理信息系统，做到账账相符，账实相符，明确责任并履行好职责。</w:t>
      </w:r>
      <w:r>
        <w:rPr>
          <w:rFonts w:hint="eastAsia" w:ascii="仿宋_GB2312" w:hAnsi="Times New Roman" w:eastAsia="仿宋_GB2312" w:cs="仿宋_GB2312"/>
          <w:color w:val="000000"/>
          <w:sz w:val="32"/>
          <w:szCs w:val="32"/>
          <w:lang w:bidi="ar-SA"/>
        </w:rPr>
        <w:t>截至202</w:t>
      </w:r>
      <w:r>
        <w:rPr>
          <w:rFonts w:hint="eastAsia" w:ascii="仿宋_GB2312" w:hAnsi="Times New Roman" w:eastAsia="仿宋_GB2312" w:cs="仿宋_GB2312"/>
          <w:color w:val="000000"/>
          <w:sz w:val="32"/>
          <w:szCs w:val="32"/>
          <w:lang w:val="en-US" w:eastAsia="zh-CN" w:bidi="ar-SA"/>
        </w:rPr>
        <w:t>5</w:t>
      </w:r>
      <w:r>
        <w:rPr>
          <w:rFonts w:hint="eastAsia" w:ascii="仿宋_GB2312" w:hAnsi="Times New Roman" w:eastAsia="仿宋_GB2312" w:cs="仿宋_GB2312"/>
          <w:color w:val="000000"/>
          <w:sz w:val="32"/>
          <w:szCs w:val="32"/>
          <w:lang w:bidi="ar-SA"/>
        </w:rPr>
        <w:t>年12月31日，我单位自用固定资产</w:t>
      </w:r>
      <w:r>
        <w:rPr>
          <w:rFonts w:ascii="仿宋_GB2312" w:hAnsi="Times New Roman" w:eastAsia="仿宋_GB2312" w:cs="仿宋_GB2312"/>
          <w:sz w:val="32"/>
          <w:szCs w:val="32"/>
          <w:lang w:bidi="ar-SA"/>
        </w:rPr>
        <w:t>24.61</w:t>
      </w:r>
      <w:r>
        <w:rPr>
          <w:rFonts w:hint="eastAsia" w:ascii="仿宋_GB2312" w:hAnsi="Times New Roman" w:eastAsia="仿宋_GB2312" w:cs="仿宋_GB2312"/>
          <w:sz w:val="32"/>
          <w:szCs w:val="32"/>
          <w:lang w:val="en-US" w:eastAsia="zh-CN" w:bidi="ar-SA"/>
        </w:rPr>
        <w:t>万</w:t>
      </w:r>
      <w:r>
        <w:rPr>
          <w:rFonts w:hint="eastAsia" w:ascii="仿宋_GB2312" w:hAnsi="Times New Roman" w:eastAsia="仿宋_GB2312" w:cs="仿宋_GB2312"/>
          <w:sz w:val="32"/>
          <w:szCs w:val="32"/>
          <w:lang w:bidi="ar-SA"/>
        </w:rPr>
        <w:t>元，占账面固定资产总额的100%，其中:在用</w:t>
      </w:r>
      <w:r>
        <w:rPr>
          <w:rFonts w:ascii="仿宋_GB2312" w:hAnsi="Times New Roman" w:eastAsia="仿宋_GB2312" w:cs="仿宋_GB2312"/>
          <w:sz w:val="32"/>
          <w:szCs w:val="32"/>
          <w:lang w:bidi="ar-SA"/>
        </w:rPr>
        <w:t>24.61</w:t>
      </w:r>
      <w:r>
        <w:rPr>
          <w:rFonts w:hint="eastAsia" w:ascii="仿宋_GB2312" w:hAnsi="Times New Roman" w:eastAsia="仿宋_GB2312" w:cs="仿宋_GB2312"/>
          <w:sz w:val="32"/>
          <w:szCs w:val="32"/>
          <w:lang w:bidi="ar-SA"/>
        </w:rPr>
        <w:t>万元，</w:t>
      </w:r>
      <w:r>
        <w:rPr>
          <w:rFonts w:hint="eastAsia" w:ascii="仿宋_GB2312" w:hAnsi="Times New Roman" w:eastAsia="仿宋_GB2312" w:cs="仿宋_GB2312"/>
          <w:color w:val="000000"/>
          <w:sz w:val="32"/>
          <w:szCs w:val="32"/>
          <w:lang w:bidi="ar-SA"/>
        </w:rPr>
        <w:t>占账面固定资产总额的100%</w:t>
      </w:r>
      <w:r>
        <w:rPr>
          <w:rFonts w:hint="eastAsia" w:ascii="仿宋_GB2312" w:hAnsi="Times New Roman" w:eastAsia="仿宋_GB2312" w:cs="宋体"/>
          <w:color w:val="000000"/>
          <w:kern w:val="0"/>
          <w:sz w:val="32"/>
          <w:szCs w:val="32"/>
          <w:shd w:val="clear" w:color="auto" w:fill="FFFFFF"/>
          <w:lang w:val="zh-CN"/>
        </w:rPr>
        <w:t>，无出租出借、对外投资、闲置情况。</w:t>
      </w:r>
    </w:p>
    <w:p>
      <w:pPr>
        <w:keepNext w:val="0"/>
        <w:keepLines w:val="0"/>
        <w:pageBreakBefore w:val="0"/>
        <w:widowControl/>
        <w:numPr>
          <w:ilvl w:val="0"/>
          <w:numId w:val="0"/>
        </w:numPr>
        <w:suppressAutoHyphens/>
        <w:kinsoku/>
        <w:wordWrap/>
        <w:overflowPunct/>
        <w:topLinePunct w:val="0"/>
        <w:autoSpaceDE/>
        <w:autoSpaceDN/>
        <w:bidi w:val="0"/>
        <w:adjustRightInd w:val="0"/>
        <w:snapToGrid w:val="0"/>
        <w:spacing w:line="576" w:lineRule="exact"/>
        <w:ind w:leftChars="200" w:firstLine="320" w:firstLineChars="100"/>
        <w:jc w:val="left"/>
        <w:textAlignment w:val="auto"/>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en-US" w:eastAsia="zh-CN"/>
        </w:rPr>
        <w:t>5.</w:t>
      </w:r>
      <w:r>
        <w:rPr>
          <w:rFonts w:hint="eastAsia" w:ascii="Times New Roman" w:hAnsi="Times New Roman" w:eastAsia="楷体_GB2312" w:cs="Times New Roman"/>
          <w:color w:val="000000"/>
          <w:kern w:val="0"/>
          <w:sz w:val="32"/>
          <w:szCs w:val="32"/>
          <w:shd w:val="clear" w:color="auto" w:fill="FFFFFF"/>
          <w:lang w:val="zh-CN"/>
        </w:rPr>
        <w:t>采购管理</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zh-CN"/>
        </w:rPr>
        <w:t>制定明确的采购需求，按照相关规定选择合适的采购方式，确保采购活动的合法性和效率；实施采购合同管理，确保合同的履行和监督，避免合同风险；对采购过程进行透明公开，接受社会监督，提高采购活动的公信力。</w:t>
      </w:r>
    </w:p>
    <w:p>
      <w:pPr>
        <w:keepNext w:val="0"/>
        <w:keepLines w:val="0"/>
        <w:pageBreakBefore w:val="0"/>
        <w:suppressAutoHyphens/>
        <w:kinsoku/>
        <w:wordWrap/>
        <w:overflowPunct/>
        <w:topLinePunct w:val="0"/>
        <w:autoSpaceDE/>
        <w:autoSpaceDN/>
        <w:bidi w:val="0"/>
        <w:spacing w:line="576" w:lineRule="exact"/>
        <w:ind w:left="0" w:leftChars="0" w:firstLine="642" w:firstLineChars="200"/>
        <w:textAlignment w:val="auto"/>
        <w:rPr>
          <w:rFonts w:hint="eastAsia" w:ascii="Times New Roman" w:hAnsi="Times New Roman" w:eastAsia="楷体_GB2312" w:cs="Times New Roman"/>
          <w:b/>
          <w:bCs/>
          <w:color w:val="000000"/>
          <w:kern w:val="0"/>
          <w:sz w:val="32"/>
          <w:szCs w:val="32"/>
          <w:shd w:val="clear" w:color="auto" w:fill="FFFFFF"/>
          <w:lang w:val="zh-CN"/>
        </w:rPr>
      </w:pPr>
      <w:r>
        <w:rPr>
          <w:rFonts w:hint="eastAsia" w:ascii="Times New Roman" w:hAnsi="Times New Roman" w:eastAsia="楷体_GB2312" w:cs="Times New Roman"/>
          <w:b/>
          <w:bCs/>
          <w:color w:val="000000"/>
          <w:kern w:val="0"/>
          <w:sz w:val="32"/>
          <w:szCs w:val="32"/>
          <w:shd w:val="clear" w:color="auto" w:fill="FFFFFF"/>
          <w:lang w:val="zh-CN"/>
        </w:rPr>
        <w:t>（二）部门预算项目绩效分析</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zh-CN"/>
        </w:rPr>
        <w:t>常年项目绩效分析。该类项目总数</w:t>
      </w:r>
      <w:r>
        <w:rPr>
          <w:rFonts w:hint="eastAsia" w:ascii="仿宋_GB2312" w:hAnsi="Times New Roman" w:eastAsia="仿宋_GB2312" w:cs="宋体"/>
          <w:color w:val="000000"/>
          <w:kern w:val="0"/>
          <w:sz w:val="32"/>
          <w:szCs w:val="32"/>
          <w:shd w:val="clear" w:color="auto" w:fill="FFFFFF"/>
          <w:lang w:val="en-US" w:eastAsia="zh-CN"/>
        </w:rPr>
        <w:t>37</w:t>
      </w:r>
      <w:r>
        <w:rPr>
          <w:rFonts w:hint="eastAsia" w:ascii="仿宋_GB2312" w:hAnsi="Times New Roman" w:eastAsia="仿宋_GB2312" w:cs="宋体"/>
          <w:color w:val="000000"/>
          <w:kern w:val="0"/>
          <w:sz w:val="32"/>
          <w:szCs w:val="32"/>
          <w:shd w:val="clear" w:color="auto" w:fill="FFFFFF"/>
          <w:lang w:val="zh-CN"/>
        </w:rPr>
        <w:t>个，涉及预算总金额367.89元，1—12月预算执行总体进度为100%，其中：预算结余率大于10%的项目共计0个。</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zh-CN"/>
        </w:rPr>
        <w:t>阶段（一次性）项目绩效分析。该类项目总数</w:t>
      </w:r>
      <w:r>
        <w:rPr>
          <w:rFonts w:hint="eastAsia" w:ascii="仿宋_GB2312" w:hAnsi="Times New Roman" w:eastAsia="仿宋_GB2312" w:cs="宋体"/>
          <w:color w:val="000000"/>
          <w:kern w:val="0"/>
          <w:sz w:val="32"/>
          <w:szCs w:val="32"/>
          <w:shd w:val="clear" w:color="auto" w:fill="FFFFFF"/>
          <w:lang w:val="en-US" w:eastAsia="zh-CN"/>
        </w:rPr>
        <w:t>6</w:t>
      </w:r>
      <w:r>
        <w:rPr>
          <w:rFonts w:hint="eastAsia" w:ascii="仿宋_GB2312" w:hAnsi="Times New Roman" w:eastAsia="仿宋_GB2312" w:cs="宋体"/>
          <w:color w:val="000000"/>
          <w:kern w:val="0"/>
          <w:sz w:val="32"/>
          <w:szCs w:val="32"/>
          <w:shd w:val="clear" w:color="auto" w:fill="FFFFFF"/>
          <w:lang w:val="zh-CN"/>
        </w:rPr>
        <w:t>个，涉及预算总金额</w:t>
      </w:r>
      <w:r>
        <w:rPr>
          <w:rFonts w:hint="eastAsia" w:ascii="仿宋_GB2312" w:hAnsi="Times New Roman" w:eastAsia="仿宋_GB2312" w:cs="宋体"/>
          <w:color w:val="000000"/>
          <w:kern w:val="0"/>
          <w:sz w:val="32"/>
          <w:szCs w:val="32"/>
          <w:shd w:val="clear" w:color="auto" w:fill="FFFFFF"/>
          <w:lang w:val="en-US" w:eastAsia="zh-CN"/>
        </w:rPr>
        <w:t>184.01</w:t>
      </w:r>
      <w:r>
        <w:rPr>
          <w:rFonts w:hint="eastAsia" w:ascii="仿宋_GB2312" w:hAnsi="Times New Roman" w:eastAsia="仿宋_GB2312" w:cs="宋体"/>
          <w:color w:val="000000"/>
          <w:kern w:val="0"/>
          <w:sz w:val="32"/>
          <w:szCs w:val="32"/>
          <w:shd w:val="clear" w:color="auto" w:fill="FFFFFF"/>
          <w:lang w:val="zh-CN"/>
        </w:rPr>
        <w:t>万元，1—12月预算执行总体进度为100%，其中：预算结余率大于10%的项目共计0个。</w:t>
      </w:r>
    </w:p>
    <w:p>
      <w:pPr>
        <w:keepNext w:val="0"/>
        <w:keepLines w:val="0"/>
        <w:pageBreakBefore w:val="0"/>
        <w:numPr>
          <w:ilvl w:val="0"/>
          <w:numId w:val="0"/>
        </w:numPr>
        <w:suppressAutoHyphens/>
        <w:kinsoku/>
        <w:wordWrap/>
        <w:overflowPunct/>
        <w:topLinePunct w:val="0"/>
        <w:autoSpaceDE/>
        <w:autoSpaceDN/>
        <w:bidi w:val="0"/>
        <w:spacing w:before="0" w:after="0" w:line="576" w:lineRule="exact"/>
        <w:ind w:leftChars="200" w:right="0" w:rightChars="0" w:firstLine="320" w:firstLineChars="100"/>
        <w:jc w:val="left"/>
        <w:textAlignment w:val="auto"/>
        <w:rPr>
          <w:rFonts w:hint="eastAsia" w:ascii="楷体_GB2312" w:hAnsi="Times New Roman" w:eastAsia="楷体_GB2312" w:cs="楷体_GB2312"/>
          <w:color w:val="000000"/>
          <w:kern w:val="0"/>
          <w:sz w:val="32"/>
          <w:szCs w:val="32"/>
          <w:shd w:val="clear" w:color="auto" w:fill="FFFFFF"/>
          <w:lang w:val="zh-CN"/>
        </w:rPr>
      </w:pPr>
      <w:r>
        <w:rPr>
          <w:rFonts w:hint="eastAsia" w:ascii="楷体_GB2312" w:hAnsi="Times New Roman" w:eastAsia="楷体_GB2312" w:cs="楷体_GB2312"/>
          <w:color w:val="000000"/>
          <w:kern w:val="0"/>
          <w:sz w:val="32"/>
          <w:szCs w:val="32"/>
          <w:shd w:val="clear" w:color="auto" w:fill="FFFFFF"/>
          <w:lang w:val="en-US" w:eastAsia="zh-CN"/>
        </w:rPr>
        <w:t>1.</w:t>
      </w:r>
      <w:r>
        <w:rPr>
          <w:rFonts w:hint="eastAsia" w:ascii="楷体_GB2312" w:hAnsi="Times New Roman" w:eastAsia="楷体_GB2312" w:cs="楷体_GB2312"/>
          <w:color w:val="000000"/>
          <w:kern w:val="0"/>
          <w:sz w:val="32"/>
          <w:szCs w:val="32"/>
          <w:shd w:val="clear" w:color="auto" w:fill="FFFFFF"/>
          <w:lang w:val="zh-CN"/>
        </w:rPr>
        <w:t>项目决策</w:t>
      </w:r>
    </w:p>
    <w:p>
      <w:pPr>
        <w:keepNext w:val="0"/>
        <w:keepLines w:val="0"/>
        <w:pageBreakBefore w:val="0"/>
        <w:tabs>
          <w:tab w:val="left" w:pos="312"/>
        </w:tabs>
        <w:kinsoku/>
        <w:wordWrap/>
        <w:overflowPunct/>
        <w:topLinePunct w:val="0"/>
        <w:autoSpaceDE/>
        <w:autoSpaceDN/>
        <w:bidi w:val="0"/>
        <w:adjustRightInd w:val="0"/>
        <w:snapToGrid w:val="0"/>
        <w:spacing w:line="576" w:lineRule="exact"/>
        <w:ind w:firstLine="640" w:firstLineChars="200"/>
        <w:contextualSpacing/>
        <w:textAlignment w:val="auto"/>
        <w:rPr>
          <w:rFonts w:ascii="仿宋_GB2312" w:hAnsi="Times New Roman" w:eastAsia="仿宋_GB2312" w:cs="宋体"/>
          <w:sz w:val="32"/>
          <w:szCs w:val="32"/>
        </w:rPr>
      </w:pPr>
      <w:r>
        <w:rPr>
          <w:rFonts w:hint="eastAsia" w:ascii="仿宋_GB2312" w:hAnsi="Times New Roman" w:eastAsia="仿宋_GB2312" w:cs="宋体"/>
          <w:sz w:val="32"/>
          <w:szCs w:val="32"/>
        </w:rPr>
        <w:t>决策程序：部门预算项目设立按规定履行评估论证、申报流程；目标设置：部门预算项目绩效目标与计划期内的任务量、预算安排的资金量基本匹配，具体根据部门设定项目目标，由实施股室编制事前评估报告，财务室根据事前绩效评估报告及目标表进行项目入库申请，在规定时间完成项目入库。</w:t>
      </w:r>
    </w:p>
    <w:p>
      <w:pPr>
        <w:keepNext w:val="0"/>
        <w:keepLines w:val="0"/>
        <w:pageBreakBefore w:val="0"/>
        <w:numPr>
          <w:ilvl w:val="0"/>
          <w:numId w:val="0"/>
        </w:numPr>
        <w:suppressAutoHyphens/>
        <w:kinsoku/>
        <w:wordWrap/>
        <w:overflowPunct/>
        <w:topLinePunct w:val="0"/>
        <w:autoSpaceDE/>
        <w:autoSpaceDN/>
        <w:bidi w:val="0"/>
        <w:spacing w:before="0" w:after="0" w:line="576" w:lineRule="exact"/>
        <w:ind w:leftChars="200" w:right="0" w:rightChars="0" w:firstLine="320" w:firstLineChars="100"/>
        <w:jc w:val="left"/>
        <w:textAlignment w:val="auto"/>
        <w:rPr>
          <w:rFonts w:hint="eastAsia" w:ascii="楷体_GB2312" w:hAnsi="Times New Roman" w:eastAsia="楷体_GB2312" w:cs="楷体_GB2312"/>
          <w:color w:val="auto"/>
          <w:kern w:val="0"/>
          <w:sz w:val="32"/>
          <w:szCs w:val="32"/>
          <w:shd w:val="clear" w:color="auto" w:fill="FFFFFF"/>
          <w:lang w:val="zh-CN"/>
        </w:rPr>
      </w:pPr>
      <w:r>
        <w:rPr>
          <w:rFonts w:hint="eastAsia" w:ascii="楷体_GB2312" w:hAnsi="Times New Roman" w:eastAsia="楷体_GB2312" w:cs="楷体_GB2312"/>
          <w:color w:val="auto"/>
          <w:kern w:val="0"/>
          <w:sz w:val="32"/>
          <w:szCs w:val="32"/>
          <w:shd w:val="clear" w:color="auto" w:fill="FFFFFF"/>
          <w:lang w:val="en-US" w:eastAsia="zh-CN"/>
        </w:rPr>
        <w:t>2.</w:t>
      </w:r>
      <w:r>
        <w:rPr>
          <w:rFonts w:hint="eastAsia" w:ascii="楷体_GB2312" w:hAnsi="Times New Roman" w:eastAsia="楷体_GB2312" w:cs="楷体_GB2312"/>
          <w:color w:val="auto"/>
          <w:kern w:val="0"/>
          <w:sz w:val="32"/>
          <w:szCs w:val="32"/>
          <w:shd w:val="clear" w:color="auto" w:fill="FFFFFF"/>
        </w:rPr>
        <w:t>项目执行</w:t>
      </w:r>
    </w:p>
    <w:p>
      <w:pPr>
        <w:pageBreakBefore w:val="0"/>
        <w:widowControl w:val="0"/>
        <w:kinsoku/>
        <w:wordWrap/>
        <w:overflowPunct/>
        <w:topLinePunct w:val="0"/>
        <w:bidi w:val="0"/>
        <w:spacing w:before="0" w:beforeLines="0" w:line="576" w:lineRule="exact"/>
        <w:ind w:left="0" w:leftChars="0" w:firstLine="640" w:firstLineChars="200"/>
        <w:jc w:val="left"/>
        <w:textAlignment w:val="auto"/>
        <w:rPr>
          <w:rFonts w:hint="default" w:ascii="Times New Roman" w:hAnsi="Times New Roman" w:eastAsia="仿宋_GB2312" w:cs="Times New Roman"/>
          <w:color w:val="auto"/>
          <w:kern w:val="0"/>
          <w:sz w:val="32"/>
          <w:szCs w:val="32"/>
          <w:shd w:val="clear" w:color="auto" w:fill="FFFFFF"/>
          <w:lang w:val="en-US" w:eastAsia="zh-CN" w:bidi="ar-SA"/>
        </w:rPr>
      </w:pPr>
      <w:r>
        <w:rPr>
          <w:rFonts w:hint="eastAsia" w:ascii="Times New Roman" w:hAnsi="Times New Roman" w:eastAsia="仿宋_GB2312" w:cs="Times New Roman"/>
          <w:color w:val="auto"/>
          <w:kern w:val="0"/>
          <w:sz w:val="32"/>
          <w:szCs w:val="32"/>
          <w:shd w:val="clear" w:color="auto" w:fill="FFFFFF"/>
          <w:lang w:val="en-US" w:eastAsia="zh-CN" w:bidi="ar-SA"/>
        </w:rPr>
        <w:t>残疾人联络员补助项目</w:t>
      </w:r>
      <w:r>
        <w:rPr>
          <w:rFonts w:hint="default" w:ascii="Times New Roman" w:hAnsi="Times New Roman" w:eastAsia="仿宋_GB2312" w:cs="Times New Roman"/>
          <w:color w:val="auto"/>
          <w:kern w:val="0"/>
          <w:sz w:val="32"/>
          <w:szCs w:val="32"/>
          <w:shd w:val="clear" w:color="auto" w:fill="FFFFFF"/>
          <w:lang w:val="en-US" w:eastAsia="zh-CN" w:bidi="ar-SA"/>
        </w:rPr>
        <w:t>，预算数</w:t>
      </w:r>
      <w:r>
        <w:rPr>
          <w:rFonts w:hint="eastAsia" w:ascii="Times New Roman" w:hAnsi="Times New Roman" w:eastAsia="仿宋_GB2312" w:cs="Times New Roman"/>
          <w:color w:val="auto"/>
          <w:kern w:val="0"/>
          <w:sz w:val="32"/>
          <w:szCs w:val="32"/>
          <w:shd w:val="clear" w:color="auto" w:fill="FFFFFF"/>
          <w:lang w:val="en-US" w:eastAsia="zh-CN" w:bidi="ar-SA"/>
        </w:rPr>
        <w:t>18.14</w:t>
      </w:r>
      <w:r>
        <w:rPr>
          <w:rFonts w:hint="default" w:ascii="Times New Roman" w:hAnsi="Times New Roman" w:eastAsia="仿宋_GB2312" w:cs="Times New Roman"/>
          <w:color w:val="auto"/>
          <w:kern w:val="0"/>
          <w:sz w:val="32"/>
          <w:szCs w:val="32"/>
          <w:shd w:val="clear" w:color="auto" w:fill="FFFFFF"/>
          <w:lang w:val="en-US" w:eastAsia="zh-CN" w:bidi="ar-SA"/>
        </w:rPr>
        <w:t>万元，支付数</w:t>
      </w:r>
      <w:r>
        <w:rPr>
          <w:rFonts w:hint="eastAsia" w:ascii="Times New Roman" w:hAnsi="Times New Roman" w:eastAsia="仿宋_GB2312" w:cs="Times New Roman"/>
          <w:color w:val="auto"/>
          <w:kern w:val="0"/>
          <w:sz w:val="32"/>
          <w:szCs w:val="32"/>
          <w:shd w:val="clear" w:color="auto" w:fill="FFFFFF"/>
          <w:lang w:val="en-US" w:eastAsia="zh-CN" w:bidi="ar-SA"/>
        </w:rPr>
        <w:t>18.14</w:t>
      </w:r>
      <w:r>
        <w:rPr>
          <w:rFonts w:hint="default" w:ascii="Times New Roman" w:hAnsi="Times New Roman" w:eastAsia="仿宋_GB2312" w:cs="Times New Roman"/>
          <w:color w:val="auto"/>
          <w:kern w:val="0"/>
          <w:sz w:val="32"/>
          <w:szCs w:val="32"/>
          <w:shd w:val="clear" w:color="auto" w:fill="FFFFFF"/>
          <w:lang w:val="en-US" w:eastAsia="zh-CN" w:bidi="ar-SA"/>
        </w:rPr>
        <w:t>万元，执行进度100%。</w:t>
      </w:r>
    </w:p>
    <w:p>
      <w:pPr>
        <w:pageBreakBefore w:val="0"/>
        <w:widowControl w:val="0"/>
        <w:kinsoku/>
        <w:wordWrap/>
        <w:overflowPunct/>
        <w:topLinePunct w:val="0"/>
        <w:bidi w:val="0"/>
        <w:spacing w:before="0" w:beforeLines="0" w:line="576" w:lineRule="exact"/>
        <w:ind w:left="0" w:leftChars="0" w:firstLine="640" w:firstLineChars="200"/>
        <w:jc w:val="left"/>
        <w:textAlignment w:val="auto"/>
        <w:rPr>
          <w:rFonts w:hint="default" w:ascii="Times New Roman" w:hAnsi="Times New Roman" w:eastAsia="仿宋_GB2312" w:cs="Times New Roman"/>
          <w:color w:val="auto"/>
          <w:kern w:val="0"/>
          <w:sz w:val="32"/>
          <w:szCs w:val="32"/>
          <w:shd w:val="clear" w:color="auto" w:fill="FFFFFF"/>
          <w:lang w:val="en-US" w:eastAsia="zh-CN" w:bidi="ar-SA"/>
        </w:rPr>
      </w:pPr>
      <w:r>
        <w:rPr>
          <w:rFonts w:hint="default" w:ascii="Times New Roman" w:hAnsi="Times New Roman" w:eastAsia="仿宋_GB2312" w:cs="Times New Roman"/>
          <w:color w:val="auto"/>
          <w:kern w:val="0"/>
          <w:sz w:val="32"/>
          <w:szCs w:val="32"/>
          <w:shd w:val="clear" w:color="auto" w:fill="FFFFFF"/>
          <w:lang w:val="en-US" w:eastAsia="zh-CN" w:bidi="ar-SA"/>
        </w:rPr>
        <w:t>残疾人事业发展资金项目，预算数</w:t>
      </w:r>
      <w:r>
        <w:rPr>
          <w:rFonts w:hint="eastAsia" w:ascii="Times New Roman" w:hAnsi="Times New Roman" w:eastAsia="仿宋_GB2312" w:cs="Times New Roman"/>
          <w:color w:val="auto"/>
          <w:kern w:val="0"/>
          <w:sz w:val="32"/>
          <w:szCs w:val="32"/>
          <w:shd w:val="clear" w:color="auto" w:fill="FFFFFF"/>
          <w:lang w:val="en-US" w:eastAsia="zh-CN" w:bidi="ar-SA"/>
        </w:rPr>
        <w:t>82.55</w:t>
      </w:r>
      <w:r>
        <w:rPr>
          <w:rFonts w:hint="default" w:ascii="Times New Roman" w:hAnsi="Times New Roman" w:eastAsia="仿宋_GB2312" w:cs="Times New Roman"/>
          <w:color w:val="auto"/>
          <w:kern w:val="0"/>
          <w:sz w:val="32"/>
          <w:szCs w:val="32"/>
          <w:shd w:val="clear" w:color="auto" w:fill="FFFFFF"/>
          <w:lang w:val="en-US" w:eastAsia="zh-CN" w:bidi="ar-SA"/>
        </w:rPr>
        <w:t>万元，支付数</w:t>
      </w:r>
      <w:r>
        <w:rPr>
          <w:rFonts w:hint="eastAsia" w:ascii="Times New Roman" w:hAnsi="Times New Roman" w:eastAsia="仿宋_GB2312" w:cs="Times New Roman"/>
          <w:color w:val="auto"/>
          <w:kern w:val="0"/>
          <w:sz w:val="32"/>
          <w:szCs w:val="32"/>
          <w:shd w:val="clear" w:color="auto" w:fill="FFFFFF"/>
          <w:lang w:val="en-US" w:eastAsia="zh-CN" w:bidi="ar-SA"/>
        </w:rPr>
        <w:t>82.55</w:t>
      </w:r>
      <w:r>
        <w:rPr>
          <w:rFonts w:hint="default" w:ascii="Times New Roman" w:hAnsi="Times New Roman" w:eastAsia="仿宋_GB2312" w:cs="Times New Roman"/>
          <w:color w:val="auto"/>
          <w:kern w:val="0"/>
          <w:sz w:val="32"/>
          <w:szCs w:val="32"/>
          <w:shd w:val="clear" w:color="auto" w:fill="FFFFFF"/>
          <w:lang w:val="en-US" w:eastAsia="zh-CN" w:bidi="ar-SA"/>
        </w:rPr>
        <w:t>万元，执行进度100%。</w:t>
      </w:r>
    </w:p>
    <w:p>
      <w:pPr>
        <w:pageBreakBefore w:val="0"/>
        <w:widowControl w:val="0"/>
        <w:kinsoku/>
        <w:wordWrap/>
        <w:overflowPunct/>
        <w:topLinePunct w:val="0"/>
        <w:bidi w:val="0"/>
        <w:spacing w:before="0" w:beforeLines="0" w:line="576" w:lineRule="exact"/>
        <w:ind w:left="0" w:leftChars="0" w:firstLine="640" w:firstLineChars="200"/>
        <w:jc w:val="left"/>
        <w:textAlignment w:val="auto"/>
        <w:rPr>
          <w:rFonts w:hint="default" w:ascii="Times New Roman" w:hAnsi="Times New Roman" w:eastAsia="仿宋_GB2312" w:cs="Times New Roman"/>
          <w:color w:val="auto"/>
          <w:kern w:val="0"/>
          <w:sz w:val="32"/>
          <w:szCs w:val="32"/>
          <w:shd w:val="clear" w:color="auto" w:fill="FFFFFF"/>
          <w:lang w:val="en-US" w:eastAsia="zh-CN" w:bidi="ar-SA"/>
        </w:rPr>
      </w:pPr>
      <w:r>
        <w:rPr>
          <w:rFonts w:hint="default" w:ascii="Times New Roman" w:hAnsi="Times New Roman" w:eastAsia="仿宋_GB2312" w:cs="Times New Roman"/>
          <w:color w:val="auto"/>
          <w:kern w:val="0"/>
          <w:sz w:val="32"/>
          <w:szCs w:val="32"/>
          <w:shd w:val="clear" w:color="auto" w:fill="FFFFFF"/>
          <w:lang w:val="en-US" w:eastAsia="zh-CN" w:bidi="ar-SA"/>
        </w:rPr>
        <w:t>残疾人帮扶项目，预算数</w:t>
      </w:r>
      <w:r>
        <w:rPr>
          <w:rFonts w:hint="eastAsia" w:ascii="Times New Roman" w:hAnsi="Times New Roman" w:eastAsia="仿宋_GB2312" w:cs="Times New Roman"/>
          <w:color w:val="auto"/>
          <w:kern w:val="0"/>
          <w:sz w:val="32"/>
          <w:szCs w:val="32"/>
          <w:shd w:val="clear" w:color="auto" w:fill="FFFFFF"/>
          <w:lang w:val="en-US" w:eastAsia="zh-CN" w:bidi="ar-SA"/>
        </w:rPr>
        <w:t>49.42</w:t>
      </w:r>
      <w:r>
        <w:rPr>
          <w:rFonts w:hint="default" w:ascii="Times New Roman" w:hAnsi="Times New Roman" w:eastAsia="仿宋_GB2312" w:cs="Times New Roman"/>
          <w:color w:val="auto"/>
          <w:kern w:val="0"/>
          <w:sz w:val="32"/>
          <w:szCs w:val="32"/>
          <w:shd w:val="clear" w:color="auto" w:fill="FFFFFF"/>
          <w:lang w:val="en-US" w:eastAsia="zh-CN" w:bidi="ar-SA"/>
        </w:rPr>
        <w:t>万元，支付数</w:t>
      </w:r>
      <w:r>
        <w:rPr>
          <w:rFonts w:hint="eastAsia" w:ascii="Times New Roman" w:hAnsi="Times New Roman" w:eastAsia="仿宋_GB2312" w:cs="Times New Roman"/>
          <w:color w:val="auto"/>
          <w:kern w:val="0"/>
          <w:sz w:val="32"/>
          <w:szCs w:val="32"/>
          <w:shd w:val="clear" w:color="auto" w:fill="FFFFFF"/>
          <w:lang w:val="en-US" w:eastAsia="zh-CN" w:bidi="ar-SA"/>
        </w:rPr>
        <w:t>49.42</w:t>
      </w:r>
      <w:r>
        <w:rPr>
          <w:rFonts w:hint="default" w:ascii="Times New Roman" w:hAnsi="Times New Roman" w:eastAsia="仿宋_GB2312" w:cs="Times New Roman"/>
          <w:color w:val="auto"/>
          <w:kern w:val="0"/>
          <w:sz w:val="32"/>
          <w:szCs w:val="32"/>
          <w:shd w:val="clear" w:color="auto" w:fill="FFFFFF"/>
          <w:lang w:val="en-US" w:eastAsia="zh-CN" w:bidi="ar-SA"/>
        </w:rPr>
        <w:t>万元，执行进度100%。</w:t>
      </w:r>
    </w:p>
    <w:p>
      <w:pPr>
        <w:pageBreakBefore w:val="0"/>
        <w:widowControl w:val="0"/>
        <w:kinsoku/>
        <w:wordWrap/>
        <w:overflowPunct/>
        <w:topLinePunct w:val="0"/>
        <w:bidi w:val="0"/>
        <w:spacing w:before="0" w:beforeLines="0" w:line="576" w:lineRule="exact"/>
        <w:ind w:left="0" w:leftChars="0" w:firstLine="640" w:firstLineChars="200"/>
        <w:jc w:val="left"/>
        <w:textAlignment w:val="auto"/>
        <w:rPr>
          <w:rFonts w:hint="default" w:ascii="Times New Roman" w:hAnsi="Times New Roman" w:eastAsia="仿宋_GB2312" w:cs="Times New Roman"/>
          <w:color w:val="auto"/>
          <w:kern w:val="2"/>
          <w:sz w:val="32"/>
          <w:szCs w:val="21"/>
          <w:lang w:val="zh-CN" w:eastAsia="zh-CN" w:bidi="ar-SA"/>
        </w:rPr>
      </w:pPr>
      <w:r>
        <w:rPr>
          <w:rFonts w:hint="default" w:ascii="Times New Roman" w:hAnsi="Times New Roman" w:eastAsia="仿宋_GB2312" w:cs="Times New Roman"/>
          <w:color w:val="auto"/>
          <w:kern w:val="0"/>
          <w:sz w:val="32"/>
          <w:szCs w:val="32"/>
          <w:shd w:val="clear" w:color="auto" w:fill="FFFFFF"/>
          <w:lang w:val="en-US" w:eastAsia="zh-CN" w:bidi="ar-SA"/>
        </w:rPr>
        <w:t>残疾人发展补助资金（彩票公益金）项目，预算数</w:t>
      </w:r>
      <w:r>
        <w:rPr>
          <w:rFonts w:hint="eastAsia" w:ascii="Times New Roman" w:hAnsi="Times New Roman" w:eastAsia="仿宋_GB2312" w:cs="Times New Roman"/>
          <w:color w:val="auto"/>
          <w:kern w:val="0"/>
          <w:sz w:val="32"/>
          <w:szCs w:val="32"/>
          <w:shd w:val="clear" w:color="auto" w:fill="FFFFFF"/>
          <w:lang w:val="en-US" w:eastAsia="zh-CN" w:bidi="ar-SA"/>
        </w:rPr>
        <w:t>10.1</w:t>
      </w:r>
      <w:r>
        <w:rPr>
          <w:rFonts w:hint="default" w:ascii="Times New Roman" w:hAnsi="Times New Roman" w:eastAsia="仿宋_GB2312" w:cs="Times New Roman"/>
          <w:color w:val="auto"/>
          <w:kern w:val="0"/>
          <w:sz w:val="32"/>
          <w:szCs w:val="32"/>
          <w:shd w:val="clear" w:color="auto" w:fill="FFFFFF"/>
          <w:lang w:val="en-US" w:eastAsia="zh-CN" w:bidi="ar-SA"/>
        </w:rPr>
        <w:t>万元，支付数</w:t>
      </w:r>
      <w:r>
        <w:rPr>
          <w:rFonts w:hint="eastAsia" w:ascii="Times New Roman" w:hAnsi="Times New Roman" w:eastAsia="仿宋_GB2312" w:cs="Times New Roman"/>
          <w:color w:val="auto"/>
          <w:kern w:val="0"/>
          <w:sz w:val="32"/>
          <w:szCs w:val="32"/>
          <w:shd w:val="clear" w:color="auto" w:fill="FFFFFF"/>
          <w:lang w:val="en-US" w:eastAsia="zh-CN" w:bidi="ar-SA"/>
        </w:rPr>
        <w:t>10.1</w:t>
      </w:r>
      <w:r>
        <w:rPr>
          <w:rFonts w:hint="default" w:ascii="Times New Roman" w:hAnsi="Times New Roman" w:eastAsia="仿宋_GB2312" w:cs="Times New Roman"/>
          <w:color w:val="auto"/>
          <w:kern w:val="0"/>
          <w:sz w:val="32"/>
          <w:szCs w:val="32"/>
          <w:shd w:val="clear" w:color="auto" w:fill="FFFFFF"/>
          <w:lang w:val="en-US" w:eastAsia="zh-CN" w:bidi="ar-SA"/>
        </w:rPr>
        <w:t>万元，执行进度100%。</w:t>
      </w:r>
    </w:p>
    <w:p>
      <w:pPr>
        <w:pageBreakBefore w:val="0"/>
        <w:widowControl w:val="0"/>
        <w:kinsoku/>
        <w:wordWrap/>
        <w:overflowPunct/>
        <w:topLinePunct w:val="0"/>
        <w:bidi w:val="0"/>
        <w:spacing w:before="0" w:beforeLines="0" w:line="576" w:lineRule="exact"/>
        <w:ind w:left="0" w:leftChars="0" w:firstLine="640" w:firstLineChars="200"/>
        <w:jc w:val="left"/>
        <w:textAlignment w:val="auto"/>
        <w:rPr>
          <w:rFonts w:hint="default" w:ascii="Times New Roman" w:hAnsi="Times New Roman" w:eastAsia="仿宋_GB2312" w:cs="Times New Roman"/>
          <w:color w:val="auto"/>
          <w:kern w:val="2"/>
          <w:sz w:val="32"/>
          <w:szCs w:val="21"/>
          <w:lang w:val="zh-CN" w:eastAsia="zh-CN" w:bidi="ar-SA"/>
        </w:rPr>
      </w:pPr>
      <w:r>
        <w:rPr>
          <w:rFonts w:hint="eastAsia" w:ascii="仿宋_GB2312" w:hAnsi="Times New Roman" w:eastAsia="仿宋_GB2312" w:cs="宋体"/>
          <w:color w:val="auto"/>
          <w:kern w:val="0"/>
          <w:sz w:val="32"/>
          <w:szCs w:val="32"/>
          <w:shd w:val="clear" w:color="auto" w:fill="FFFFFF"/>
          <w:lang w:val="zh-CN"/>
        </w:rPr>
        <w:t>县级净土阿自强助学工程项目，</w:t>
      </w:r>
      <w:r>
        <w:rPr>
          <w:rFonts w:hint="default" w:ascii="Times New Roman" w:hAnsi="Times New Roman" w:eastAsia="仿宋_GB2312" w:cs="Times New Roman"/>
          <w:color w:val="auto"/>
          <w:kern w:val="0"/>
          <w:sz w:val="32"/>
          <w:szCs w:val="32"/>
          <w:shd w:val="clear" w:color="auto" w:fill="FFFFFF"/>
          <w:lang w:val="en-US" w:eastAsia="zh-CN" w:bidi="ar-SA"/>
        </w:rPr>
        <w:t>预算数</w:t>
      </w:r>
      <w:r>
        <w:rPr>
          <w:rFonts w:hint="eastAsia" w:ascii="Times New Roman" w:hAnsi="Times New Roman" w:eastAsia="仿宋_GB2312" w:cs="Times New Roman"/>
          <w:color w:val="auto"/>
          <w:kern w:val="0"/>
          <w:sz w:val="32"/>
          <w:szCs w:val="32"/>
          <w:shd w:val="clear" w:color="auto" w:fill="FFFFFF"/>
          <w:lang w:val="en-US" w:eastAsia="zh-CN" w:bidi="ar-SA"/>
        </w:rPr>
        <w:t>5.5</w:t>
      </w:r>
      <w:r>
        <w:rPr>
          <w:rFonts w:hint="default" w:ascii="Times New Roman" w:hAnsi="Times New Roman" w:eastAsia="仿宋_GB2312" w:cs="Times New Roman"/>
          <w:color w:val="auto"/>
          <w:kern w:val="0"/>
          <w:sz w:val="32"/>
          <w:szCs w:val="32"/>
          <w:shd w:val="clear" w:color="auto" w:fill="FFFFFF"/>
          <w:lang w:val="en-US" w:eastAsia="zh-CN" w:bidi="ar-SA"/>
        </w:rPr>
        <w:t>万元，支付数</w:t>
      </w:r>
      <w:r>
        <w:rPr>
          <w:rFonts w:hint="eastAsia" w:ascii="Times New Roman" w:hAnsi="Times New Roman" w:eastAsia="仿宋_GB2312" w:cs="Times New Roman"/>
          <w:color w:val="auto"/>
          <w:kern w:val="0"/>
          <w:sz w:val="32"/>
          <w:szCs w:val="32"/>
          <w:shd w:val="clear" w:color="auto" w:fill="FFFFFF"/>
          <w:lang w:val="en-US" w:eastAsia="zh-CN" w:bidi="ar-SA"/>
        </w:rPr>
        <w:t>5.5</w:t>
      </w:r>
      <w:r>
        <w:rPr>
          <w:rFonts w:hint="default" w:ascii="Times New Roman" w:hAnsi="Times New Roman" w:eastAsia="仿宋_GB2312" w:cs="Times New Roman"/>
          <w:color w:val="auto"/>
          <w:kern w:val="0"/>
          <w:sz w:val="32"/>
          <w:szCs w:val="32"/>
          <w:shd w:val="clear" w:color="auto" w:fill="FFFFFF"/>
          <w:lang w:val="en-US" w:eastAsia="zh-CN" w:bidi="ar-SA"/>
        </w:rPr>
        <w:t>万元，执行进度100%。</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仿宋_GB2312" w:hAnsi="Times New Roman" w:eastAsia="仿宋_GB2312" w:cs="宋体"/>
          <w:color w:val="auto"/>
          <w:kern w:val="0"/>
          <w:sz w:val="32"/>
          <w:szCs w:val="32"/>
          <w:shd w:val="clear" w:color="auto" w:fill="FFFFFF"/>
          <w:lang w:val="en-US" w:eastAsia="zh-CN"/>
        </w:rPr>
      </w:pPr>
      <w:r>
        <w:rPr>
          <w:rFonts w:hint="default" w:ascii="仿宋_GB2312" w:hAnsi="Times New Roman" w:eastAsia="仿宋_GB2312" w:cs="宋体"/>
          <w:color w:val="auto"/>
          <w:kern w:val="0"/>
          <w:sz w:val="32"/>
          <w:szCs w:val="32"/>
          <w:shd w:val="clear" w:color="auto" w:fill="FFFFFF"/>
          <w:lang w:val="en-US" w:eastAsia="zh-CN"/>
        </w:rPr>
        <w:t>重度残疾人代缴城乡居民医疗保险</w:t>
      </w:r>
      <w:r>
        <w:rPr>
          <w:rFonts w:hint="eastAsia" w:ascii="仿宋_GB2312" w:hAnsi="Times New Roman" w:eastAsia="仿宋_GB2312" w:cs="宋体"/>
          <w:color w:val="auto"/>
          <w:kern w:val="0"/>
          <w:sz w:val="32"/>
          <w:szCs w:val="32"/>
          <w:shd w:val="clear" w:color="auto" w:fill="FFFFFF"/>
          <w:lang w:val="zh-CN"/>
        </w:rPr>
        <w:t>项目，</w:t>
      </w:r>
      <w:r>
        <w:rPr>
          <w:rFonts w:hint="default" w:ascii="Times New Roman" w:hAnsi="Times New Roman" w:eastAsia="仿宋_GB2312" w:cs="Times New Roman"/>
          <w:color w:val="auto"/>
          <w:kern w:val="0"/>
          <w:sz w:val="32"/>
          <w:szCs w:val="32"/>
          <w:shd w:val="clear" w:color="auto" w:fill="FFFFFF"/>
          <w:lang w:val="en-US" w:eastAsia="zh-CN" w:bidi="ar-SA"/>
        </w:rPr>
        <w:t>预算数</w:t>
      </w:r>
      <w:r>
        <w:rPr>
          <w:rFonts w:hint="eastAsia" w:ascii="Times New Roman" w:hAnsi="Times New Roman" w:eastAsia="仿宋_GB2312" w:cs="Times New Roman"/>
          <w:color w:val="auto"/>
          <w:kern w:val="0"/>
          <w:sz w:val="32"/>
          <w:szCs w:val="32"/>
          <w:shd w:val="clear" w:color="auto" w:fill="FFFFFF"/>
          <w:lang w:val="en-US" w:eastAsia="zh-CN" w:bidi="ar-SA"/>
        </w:rPr>
        <w:t>18.3</w:t>
      </w:r>
      <w:r>
        <w:rPr>
          <w:rFonts w:hint="default" w:ascii="Times New Roman" w:hAnsi="Times New Roman" w:eastAsia="仿宋_GB2312" w:cs="Times New Roman"/>
          <w:color w:val="auto"/>
          <w:kern w:val="0"/>
          <w:sz w:val="32"/>
          <w:szCs w:val="32"/>
          <w:shd w:val="clear" w:color="auto" w:fill="FFFFFF"/>
          <w:lang w:val="en-US" w:eastAsia="zh-CN" w:bidi="ar-SA"/>
        </w:rPr>
        <w:t>万元，支付数</w:t>
      </w:r>
      <w:r>
        <w:rPr>
          <w:rFonts w:hint="eastAsia" w:ascii="Times New Roman" w:hAnsi="Times New Roman" w:eastAsia="仿宋_GB2312" w:cs="Times New Roman"/>
          <w:color w:val="auto"/>
          <w:kern w:val="0"/>
          <w:sz w:val="32"/>
          <w:szCs w:val="32"/>
          <w:shd w:val="clear" w:color="auto" w:fill="FFFFFF"/>
          <w:lang w:val="en-US" w:eastAsia="zh-CN" w:bidi="ar-SA"/>
        </w:rPr>
        <w:t>18.3</w:t>
      </w:r>
      <w:r>
        <w:rPr>
          <w:rFonts w:hint="default" w:ascii="Times New Roman" w:hAnsi="Times New Roman" w:eastAsia="仿宋_GB2312" w:cs="Times New Roman"/>
          <w:color w:val="auto"/>
          <w:kern w:val="0"/>
          <w:sz w:val="32"/>
          <w:szCs w:val="32"/>
          <w:shd w:val="clear" w:color="auto" w:fill="FFFFFF"/>
          <w:lang w:val="en-US" w:eastAsia="zh-CN" w:bidi="ar-SA"/>
        </w:rPr>
        <w:t>万元，执行进度100%。</w:t>
      </w:r>
    </w:p>
    <w:p>
      <w:pPr>
        <w:keepNext w:val="0"/>
        <w:keepLines w:val="0"/>
        <w:pageBreakBefore w:val="0"/>
        <w:numPr>
          <w:ilvl w:val="0"/>
          <w:numId w:val="0"/>
        </w:numPr>
        <w:suppressAutoHyphens/>
        <w:kinsoku/>
        <w:wordWrap/>
        <w:overflowPunct/>
        <w:topLinePunct w:val="0"/>
        <w:autoSpaceDE/>
        <w:autoSpaceDN/>
        <w:bidi w:val="0"/>
        <w:spacing w:before="0" w:after="0" w:line="576" w:lineRule="exact"/>
        <w:ind w:leftChars="200" w:right="0" w:rightChars="0" w:firstLine="320" w:firstLineChars="100"/>
        <w:jc w:val="left"/>
        <w:textAlignment w:val="auto"/>
        <w:rPr>
          <w:rFonts w:hint="eastAsia" w:ascii="楷体_GB2312" w:hAnsi="Times New Roman" w:eastAsia="楷体_GB2312" w:cs="楷体_GB2312"/>
          <w:color w:val="000000"/>
          <w:kern w:val="0"/>
          <w:sz w:val="32"/>
          <w:szCs w:val="32"/>
          <w:shd w:val="clear" w:color="auto" w:fill="FFFFFF"/>
          <w:lang w:val="zh-CN"/>
        </w:rPr>
      </w:pPr>
      <w:r>
        <w:rPr>
          <w:rFonts w:hint="eastAsia" w:ascii="楷体_GB2312" w:hAnsi="Times New Roman" w:eastAsia="楷体_GB2312" w:cs="楷体_GB2312"/>
          <w:color w:val="000000"/>
          <w:kern w:val="0"/>
          <w:sz w:val="32"/>
          <w:szCs w:val="32"/>
          <w:shd w:val="clear" w:color="auto" w:fill="FFFFFF"/>
          <w:lang w:val="en-US" w:eastAsia="zh-CN"/>
        </w:rPr>
        <w:t>3.</w:t>
      </w:r>
      <w:r>
        <w:rPr>
          <w:rFonts w:hint="eastAsia" w:ascii="楷体_GB2312" w:hAnsi="Times New Roman" w:eastAsia="楷体_GB2312" w:cs="楷体_GB2312"/>
          <w:color w:val="000000"/>
          <w:kern w:val="0"/>
          <w:sz w:val="32"/>
          <w:szCs w:val="32"/>
          <w:shd w:val="clear" w:color="auto" w:fill="FFFFFF"/>
          <w:lang w:val="zh-CN"/>
        </w:rPr>
        <w:t>目标实现</w:t>
      </w:r>
    </w:p>
    <w:p>
      <w:pPr>
        <w:keepNext w:val="0"/>
        <w:keepLines w:val="0"/>
        <w:pageBreakBefore w:val="0"/>
        <w:kinsoku/>
        <w:wordWrap/>
        <w:overflowPunct/>
        <w:topLinePunct w:val="0"/>
        <w:autoSpaceDE/>
        <w:autoSpaceDN/>
        <w:bidi w:val="0"/>
        <w:adjustRightInd w:val="0"/>
        <w:snapToGrid w:val="0"/>
        <w:spacing w:line="576" w:lineRule="exact"/>
        <w:ind w:firstLine="640" w:firstLineChars="200"/>
        <w:contextualSpacing/>
        <w:textAlignment w:val="auto"/>
        <w:rPr>
          <w:rFonts w:ascii="仿宋_GB2312" w:hAnsi="Times New Roman" w:eastAsia="仿宋_GB2312" w:cs="宋体"/>
          <w:sz w:val="32"/>
          <w:szCs w:val="32"/>
        </w:rPr>
      </w:pPr>
      <w:r>
        <w:rPr>
          <w:rFonts w:hint="eastAsia" w:ascii="仿宋_GB2312" w:hAnsi="Times New Roman" w:eastAsia="仿宋_GB2312" w:cs="宋体"/>
          <w:sz w:val="32"/>
          <w:szCs w:val="32"/>
        </w:rPr>
        <w:t>部门预算项目绩效目标数量指标完成率达到100%，目标任务完成</w:t>
      </w:r>
      <w:r>
        <w:rPr>
          <w:rFonts w:hint="eastAsia" w:ascii="仿宋_GB2312" w:hAnsi="Times New Roman" w:eastAsia="仿宋_GB2312" w:cs="宋体"/>
          <w:sz w:val="32"/>
          <w:szCs w:val="32"/>
          <w:lang w:eastAsia="zh-CN"/>
        </w:rPr>
        <w:t>，</w:t>
      </w:r>
      <w:r>
        <w:rPr>
          <w:rFonts w:hint="eastAsia" w:ascii="仿宋_GB2312" w:hAnsi="Times New Roman" w:eastAsia="仿宋_GB2312" w:cs="宋体"/>
          <w:sz w:val="32"/>
          <w:szCs w:val="32"/>
        </w:rPr>
        <w:t>没有出现目标偏离的情况，达到预期绩效目标。</w:t>
      </w:r>
    </w:p>
    <w:p>
      <w:pPr>
        <w:keepNext w:val="0"/>
        <w:keepLines w:val="0"/>
        <w:pageBreakBefore w:val="0"/>
        <w:kinsoku/>
        <w:wordWrap/>
        <w:overflowPunct/>
        <w:topLinePunct w:val="0"/>
        <w:autoSpaceDE/>
        <w:autoSpaceDN/>
        <w:bidi w:val="0"/>
        <w:spacing w:line="576" w:lineRule="exact"/>
        <w:ind w:firstLine="640" w:firstLineChars="200"/>
        <w:textAlignment w:val="auto"/>
        <w:rPr>
          <w:rFonts w:ascii="仿宋_GB2312" w:hAnsi="Times New Roman" w:eastAsia="仿宋_GB2312" w:cs="宋体"/>
          <w:sz w:val="32"/>
          <w:szCs w:val="32"/>
        </w:rPr>
      </w:pPr>
      <w:r>
        <w:rPr>
          <w:rFonts w:hint="eastAsia" w:ascii="仿宋_GB2312" w:hAnsi="Times New Roman" w:eastAsia="仿宋_GB2312" w:cs="宋体"/>
          <w:sz w:val="32"/>
          <w:szCs w:val="32"/>
        </w:rPr>
        <w:t>我</w:t>
      </w:r>
      <w:r>
        <w:rPr>
          <w:rFonts w:ascii="仿宋_GB2312" w:hAnsi="Times New Roman" w:eastAsia="仿宋_GB2312" w:cs="宋体"/>
          <w:sz w:val="32"/>
          <w:szCs w:val="32"/>
        </w:rPr>
        <w:t>部门</w:t>
      </w:r>
      <w:r>
        <w:rPr>
          <w:rFonts w:hint="eastAsia" w:ascii="Times New Roman" w:hAnsi="Times New Roman" w:eastAsia="仿宋_GB2312" w:cs="仿宋_GB2312"/>
          <w:color w:val="auto"/>
          <w:kern w:val="2"/>
          <w:sz w:val="32"/>
          <w:szCs w:val="32"/>
          <w:highlight w:val="none"/>
          <w:lang w:val="en-US" w:eastAsia="zh-CN" w:bidi="ar-SA"/>
        </w:rPr>
        <w:t>2025</w:t>
      </w:r>
      <w:r>
        <w:rPr>
          <w:rFonts w:hint="eastAsia" w:ascii="仿宋_GB2312" w:hAnsi="Times New Roman" w:eastAsia="仿宋_GB2312" w:cs="宋体"/>
          <w:sz w:val="32"/>
          <w:szCs w:val="32"/>
        </w:rPr>
        <w:t>年度不</w:t>
      </w:r>
      <w:r>
        <w:rPr>
          <w:rFonts w:ascii="仿宋_GB2312" w:hAnsi="Times New Roman" w:eastAsia="仿宋_GB2312" w:cs="宋体"/>
          <w:sz w:val="32"/>
          <w:szCs w:val="32"/>
        </w:rPr>
        <w:t>涉及国有资本经营预算、社会保险基金预算。</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2" w:firstLineChars="200"/>
        <w:contextualSpacing/>
        <w:jc w:val="left"/>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w:t>
      </w:r>
      <w:r>
        <w:rPr>
          <w:rFonts w:hint="eastAsia" w:ascii="Times New Roman" w:hAnsi="Times New Roman" w:eastAsia="楷体_GB2312" w:cs="Times New Roman"/>
          <w:b/>
          <w:bCs/>
          <w:color w:val="000000"/>
          <w:kern w:val="0"/>
          <w:sz w:val="32"/>
          <w:szCs w:val="32"/>
          <w:shd w:val="clear" w:color="auto" w:fill="FFFFFF"/>
          <w:lang w:val="zh-CN"/>
        </w:rPr>
        <w:t>三</w:t>
      </w:r>
      <w:r>
        <w:rPr>
          <w:rFonts w:ascii="Times New Roman" w:hAnsi="Times New Roman" w:eastAsia="楷体_GB2312" w:cs="Times New Roman"/>
          <w:b/>
          <w:bCs/>
          <w:color w:val="000000"/>
          <w:kern w:val="0"/>
          <w:sz w:val="32"/>
          <w:szCs w:val="32"/>
          <w:shd w:val="clear" w:color="auto" w:fill="FFFFFF"/>
          <w:lang w:val="zh-CN"/>
        </w:rPr>
        <w:t>）重点领域绩效分析</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zh-CN"/>
        </w:rPr>
        <w:t>我</w:t>
      </w:r>
      <w:r>
        <w:rPr>
          <w:rFonts w:hint="eastAsia" w:ascii="仿宋_GB2312" w:hAnsi="Times New Roman" w:eastAsia="仿宋_GB2312" w:cs="宋体"/>
          <w:color w:val="000000"/>
          <w:kern w:val="0"/>
          <w:sz w:val="32"/>
          <w:szCs w:val="32"/>
          <w:shd w:val="clear" w:color="auto" w:fill="FFFFFF"/>
          <w:lang w:val="zh-CN" w:eastAsia="zh-CN"/>
        </w:rPr>
        <w:t>会</w:t>
      </w:r>
      <w:r>
        <w:rPr>
          <w:rFonts w:hint="eastAsia" w:ascii="仿宋_GB2312" w:hAnsi="Times New Roman" w:eastAsia="仿宋_GB2312" w:cs="宋体"/>
          <w:color w:val="000000"/>
          <w:kern w:val="0"/>
          <w:sz w:val="32"/>
          <w:szCs w:val="32"/>
          <w:shd w:val="clear" w:color="auto" w:fill="FFFFFF"/>
          <w:lang w:val="zh-CN"/>
        </w:rPr>
        <w:t>202</w:t>
      </w:r>
      <w:r>
        <w:rPr>
          <w:rFonts w:hint="eastAsia" w:ascii="仿宋_GB2312" w:hAnsi="Times New Roman" w:eastAsia="仿宋_GB2312" w:cs="宋体"/>
          <w:color w:val="000000"/>
          <w:kern w:val="0"/>
          <w:sz w:val="32"/>
          <w:szCs w:val="32"/>
          <w:shd w:val="clear" w:color="auto" w:fill="FFFFFF"/>
          <w:lang w:val="en-US" w:eastAsia="zh-CN"/>
        </w:rPr>
        <w:t>5</w:t>
      </w:r>
      <w:r>
        <w:rPr>
          <w:rFonts w:hint="eastAsia" w:ascii="仿宋_GB2312" w:hAnsi="Times New Roman" w:eastAsia="仿宋_GB2312" w:cs="宋体"/>
          <w:color w:val="000000"/>
          <w:kern w:val="0"/>
          <w:sz w:val="32"/>
          <w:szCs w:val="32"/>
          <w:shd w:val="clear" w:color="auto" w:fill="FFFFFF"/>
          <w:lang w:val="zh-CN"/>
        </w:rPr>
        <w:t>年度不涉及重点领域绩效分析。</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2" w:firstLineChars="200"/>
        <w:jc w:val="left"/>
        <w:textAlignment w:val="auto"/>
        <w:rPr>
          <w:rFonts w:hint="eastAsia" w:ascii="Times New Roman" w:hAnsi="Times New Roman" w:eastAsia="楷体_GB2312" w:cs="Times New Roman"/>
          <w:b/>
          <w:bCs/>
          <w:sz w:val="32"/>
          <w:szCs w:val="32"/>
          <w:lang w:val="zh-CN"/>
        </w:rPr>
      </w:pPr>
      <w:r>
        <w:rPr>
          <w:rFonts w:hint="eastAsia" w:ascii="Times New Roman" w:hAnsi="Times New Roman" w:eastAsia="楷体_GB2312" w:cs="Times New Roman"/>
          <w:b/>
          <w:bCs/>
          <w:sz w:val="32"/>
          <w:szCs w:val="32"/>
          <w:lang w:val="zh-CN"/>
        </w:rPr>
        <w:t>（四）</w:t>
      </w:r>
      <w:r>
        <w:rPr>
          <w:rFonts w:ascii="Times New Roman" w:hAnsi="Times New Roman" w:eastAsia="楷体_GB2312" w:cs="Times New Roman"/>
          <w:b/>
          <w:bCs/>
          <w:sz w:val="32"/>
          <w:szCs w:val="32"/>
          <w:lang w:val="zh-CN"/>
        </w:rPr>
        <w:t>绩效结果应用情况</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eastAsia" w:ascii="仿宋_GB2312" w:hAnsi="Times New Roman" w:eastAsia="仿宋_GB2312" w:cs="宋体"/>
          <w:sz w:val="32"/>
          <w:szCs w:val="32"/>
        </w:rPr>
      </w:pPr>
      <w:r>
        <w:rPr>
          <w:rFonts w:hint="eastAsia" w:ascii="仿宋_GB2312" w:hAnsi="Times New Roman" w:eastAsia="仿宋_GB2312" w:cs="宋体"/>
          <w:sz w:val="32"/>
          <w:szCs w:val="32"/>
        </w:rPr>
        <w:t>为深入贯彻落实党中央</w:t>
      </w:r>
      <w:r>
        <w:rPr>
          <w:rFonts w:hint="eastAsia" w:ascii="仿宋_GB2312" w:hAnsi="Times New Roman" w:eastAsia="仿宋_GB2312" w:cs="宋体"/>
          <w:sz w:val="32"/>
          <w:szCs w:val="32"/>
          <w:lang w:eastAsia="zh-CN"/>
        </w:rPr>
        <w:t>、</w:t>
      </w:r>
      <w:r>
        <w:rPr>
          <w:rFonts w:hint="eastAsia" w:ascii="仿宋_GB2312" w:hAnsi="Times New Roman" w:eastAsia="仿宋_GB2312" w:cs="宋体"/>
          <w:sz w:val="32"/>
          <w:szCs w:val="32"/>
        </w:rPr>
        <w:t>国务院和省委</w:t>
      </w:r>
      <w:r>
        <w:rPr>
          <w:rFonts w:hint="eastAsia" w:ascii="仿宋_GB2312" w:hAnsi="Times New Roman" w:eastAsia="仿宋_GB2312" w:cs="宋体"/>
          <w:sz w:val="32"/>
          <w:szCs w:val="32"/>
          <w:lang w:eastAsia="zh-CN"/>
        </w:rPr>
        <w:t>、</w:t>
      </w:r>
      <w:r>
        <w:rPr>
          <w:rFonts w:hint="eastAsia" w:ascii="仿宋_GB2312" w:hAnsi="Times New Roman" w:eastAsia="仿宋_GB2312" w:cs="宋体"/>
          <w:sz w:val="32"/>
          <w:szCs w:val="32"/>
        </w:rPr>
        <w:t>省政府关于全面实施预算绩效管理文件精神，提高预算资金使用效益，强化支出责任，规范支出绩效评价行为，根据茂县财政局关于开展</w:t>
      </w:r>
      <w:r>
        <w:rPr>
          <w:rFonts w:hint="eastAsia" w:ascii="Times New Roman" w:hAnsi="Times New Roman" w:eastAsia="仿宋_GB2312" w:cs="仿宋_GB2312"/>
          <w:color w:val="auto"/>
          <w:kern w:val="2"/>
          <w:sz w:val="32"/>
          <w:szCs w:val="32"/>
          <w:highlight w:val="none"/>
          <w:lang w:val="en-US" w:eastAsia="zh-CN" w:bidi="ar-SA"/>
        </w:rPr>
        <w:t>2025</w:t>
      </w:r>
      <w:r>
        <w:rPr>
          <w:rFonts w:hint="eastAsia" w:ascii="仿宋_GB2312" w:hAnsi="Times New Roman" w:eastAsia="仿宋_GB2312" w:cs="宋体"/>
          <w:sz w:val="32"/>
          <w:szCs w:val="32"/>
        </w:rPr>
        <w:t>年部门绩效自评工作的通知</w:t>
      </w:r>
      <w:r>
        <w:rPr>
          <w:rFonts w:hint="eastAsia" w:ascii="仿宋_GB2312" w:hAnsi="Times New Roman" w:eastAsia="仿宋_GB2312" w:cs="宋体"/>
          <w:sz w:val="32"/>
          <w:szCs w:val="32"/>
          <w:lang w:eastAsia="zh-CN"/>
        </w:rPr>
        <w:t>要求，</w:t>
      </w:r>
      <w:r>
        <w:rPr>
          <w:rFonts w:hint="eastAsia" w:ascii="仿宋_GB2312" w:hAnsi="Times New Roman" w:eastAsia="仿宋_GB2312" w:cs="宋体"/>
          <w:sz w:val="32"/>
          <w:szCs w:val="32"/>
        </w:rPr>
        <w:t>我部门根据单位财政资金的实际使用情况开始了自评工作，并将此项工作作为健全本单位制度机制、优化支出结构、资源配置的重要依据。</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ascii="Times New Roman" w:hAnsi="Times New Roman" w:eastAsia="黑体" w:cs="Times New Roman"/>
          <w:color w:val="000000"/>
          <w:kern w:val="0"/>
          <w:sz w:val="32"/>
          <w:szCs w:val="32"/>
          <w:shd w:val="clear" w:color="auto" w:fill="FFFFFF"/>
        </w:rPr>
      </w:pPr>
      <w:r>
        <w:rPr>
          <w:rFonts w:ascii="Times New Roman" w:hAnsi="Times New Roman" w:eastAsia="黑体" w:cs="Times New Roman"/>
          <w:color w:val="000000"/>
          <w:kern w:val="0"/>
          <w:sz w:val="32"/>
          <w:szCs w:val="32"/>
          <w:shd w:val="clear" w:color="auto" w:fill="FFFFFF"/>
        </w:rPr>
        <w:t>四、评价结论及建议</w:t>
      </w:r>
    </w:p>
    <w:p>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2" w:firstLineChars="200"/>
        <w:contextualSpacing/>
        <w:jc w:val="left"/>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（一）评价结论</w:t>
      </w:r>
    </w:p>
    <w:p>
      <w:pPr>
        <w:widowControl/>
        <w:adjustRightInd w:val="0"/>
        <w:snapToGrid w:val="0"/>
        <w:spacing w:line="578" w:lineRule="exact"/>
        <w:ind w:firstLine="640" w:firstLineChars="200"/>
        <w:contextualSpacing/>
        <w:jc w:val="left"/>
        <w:rPr>
          <w:rFonts w:hint="eastAsia" w:ascii="仿宋_GB2312"/>
          <w:szCs w:val="32"/>
        </w:rPr>
      </w:pPr>
      <w:r>
        <w:rPr>
          <w:rFonts w:hint="eastAsia" w:ascii="仿宋_GB2312" w:hAnsi="Times New Roman" w:eastAsia="仿宋_GB2312" w:cs="宋体"/>
          <w:sz w:val="32"/>
          <w:szCs w:val="32"/>
        </w:rPr>
        <w:t>按照县级部门预算编制通知和有关要求，按时完成基础库、项目库报送及预算编制工作，并按时提交部门预算草案。按照规定编制决算，审核汇总后报财政部门审批。加强决算审核和分析，规范决算管理工作，保证决算数据的完整、真实、准确。</w:t>
      </w:r>
      <w:r>
        <w:rPr>
          <w:rFonts w:hint="eastAsia" w:ascii="Times New Roman" w:hAnsi="Times New Roman" w:eastAsia="仿宋_GB2312" w:cs="仿宋_GB2312"/>
          <w:color w:val="auto"/>
          <w:kern w:val="2"/>
          <w:sz w:val="32"/>
          <w:szCs w:val="32"/>
          <w:highlight w:val="none"/>
          <w:lang w:val="en-US" w:eastAsia="zh-CN" w:bidi="ar-SA"/>
        </w:rPr>
        <w:t>2025</w:t>
      </w:r>
      <w:r>
        <w:rPr>
          <w:rFonts w:hint="eastAsia" w:ascii="仿宋_GB2312" w:hAnsi="Times New Roman" w:eastAsia="仿宋_GB2312" w:cs="宋体"/>
          <w:sz w:val="32"/>
          <w:szCs w:val="32"/>
        </w:rPr>
        <w:t>年</w:t>
      </w:r>
      <w:r>
        <w:rPr>
          <w:rFonts w:hint="eastAsia" w:ascii="仿宋_GB2312" w:hAnsi="Times New Roman" w:eastAsia="仿宋_GB2312" w:cs="宋体"/>
          <w:sz w:val="32"/>
          <w:szCs w:val="32"/>
          <w:lang w:eastAsia="zh-CN"/>
        </w:rPr>
        <w:t>县残联</w:t>
      </w:r>
      <w:r>
        <w:rPr>
          <w:rFonts w:hint="eastAsia" w:ascii="仿宋_GB2312" w:hAnsi="Times New Roman" w:eastAsia="仿宋_GB2312" w:cs="宋体"/>
          <w:sz w:val="32"/>
          <w:szCs w:val="32"/>
        </w:rPr>
        <w:t>较好的完成了各项绩效评价指标，全年基本保障了部门的正常运转和日常工作的正常开展。绩效评价自评结果良好，自评得分</w:t>
      </w:r>
      <w:r>
        <w:rPr>
          <w:rFonts w:hint="eastAsia" w:ascii="Times New Roman" w:hAnsi="Times New Roman" w:eastAsia="仿宋_GB2312" w:cs="仿宋_GB2312"/>
          <w:color w:val="auto"/>
          <w:kern w:val="2"/>
          <w:sz w:val="32"/>
          <w:szCs w:val="32"/>
          <w:highlight w:val="none"/>
          <w:lang w:val="en-US" w:eastAsia="zh-CN" w:bidi="ar-SA"/>
        </w:rPr>
        <w:t>91</w:t>
      </w:r>
      <w:r>
        <w:rPr>
          <w:rFonts w:hint="eastAsia" w:ascii="仿宋_GB2312" w:hAnsi="Times New Roman" w:eastAsia="仿宋_GB2312" w:cs="宋体"/>
          <w:sz w:val="32"/>
          <w:szCs w:val="32"/>
        </w:rPr>
        <w:t>分。</w:t>
      </w:r>
      <w:r>
        <w:rPr>
          <w:rFonts w:hint="eastAsia" w:ascii="仿宋_GB2312" w:hAnsi="Times New Roman" w:eastAsia="仿宋_GB2312" w:cs="宋体"/>
          <w:color w:val="000000"/>
          <w:kern w:val="0"/>
          <w:sz w:val="32"/>
          <w:szCs w:val="32"/>
          <w:shd w:val="clear" w:color="auto" w:fill="FFFFFF"/>
          <w:lang w:val="zh-CN"/>
        </w:rPr>
        <w:t>。</w:t>
      </w:r>
    </w:p>
    <w:p>
      <w:pPr>
        <w:keepNext w:val="0"/>
        <w:keepLines w:val="0"/>
        <w:pageBreakBefore w:val="0"/>
        <w:widowControl w:val="0"/>
        <w:numPr>
          <w:ilvl w:val="0"/>
          <w:numId w:val="5"/>
        </w:numPr>
        <w:kinsoku/>
        <w:wordWrap/>
        <w:overflowPunct/>
        <w:topLinePunct w:val="0"/>
        <w:autoSpaceDE/>
        <w:autoSpaceDN/>
        <w:bidi w:val="0"/>
        <w:spacing w:line="576" w:lineRule="exact"/>
        <w:ind w:left="0" w:leftChars="0" w:firstLine="642" w:firstLineChars="200"/>
        <w:jc w:val="both"/>
        <w:textAlignment w:val="auto"/>
        <w:rPr>
          <w:rFonts w:ascii="Times New Roman" w:hAnsi="Times New Roman" w:eastAsia="楷体_GB2312" w:cs="Times New Roman"/>
          <w:b/>
          <w:bCs/>
          <w:color w:val="000000"/>
          <w:kern w:val="0"/>
          <w:sz w:val="32"/>
          <w:szCs w:val="32"/>
          <w:shd w:val="clear" w:color="auto" w:fill="FFFFFF"/>
          <w:lang w:val="zh-CN" w:eastAsia="zh-CN" w:bidi="ar-SA"/>
        </w:rPr>
      </w:pPr>
      <w:r>
        <w:rPr>
          <w:rFonts w:ascii="Times New Roman" w:hAnsi="Times New Roman" w:eastAsia="楷体_GB2312" w:cs="Times New Roman"/>
          <w:b/>
          <w:bCs/>
          <w:color w:val="000000"/>
          <w:kern w:val="0"/>
          <w:sz w:val="32"/>
          <w:szCs w:val="32"/>
          <w:shd w:val="clear" w:color="auto" w:fill="FFFFFF"/>
          <w:lang w:val="zh-CN" w:eastAsia="zh-CN" w:bidi="ar-SA"/>
        </w:rPr>
        <w:t>存在问题</w:t>
      </w:r>
    </w:p>
    <w:p>
      <w:pPr>
        <w:keepNext w:val="0"/>
        <w:keepLines w:val="0"/>
        <w:pageBreakBefore w:val="0"/>
        <w:widowControl w:val="0"/>
        <w:kinsoku/>
        <w:wordWrap/>
        <w:overflowPunct/>
        <w:topLinePunct w:val="0"/>
        <w:autoSpaceDE/>
        <w:autoSpaceDN/>
        <w:bidi w:val="0"/>
        <w:spacing w:line="576" w:lineRule="exact"/>
        <w:ind w:left="0" w:leftChars="0" w:firstLine="608" w:firstLineChars="200"/>
        <w:jc w:val="both"/>
        <w:textAlignment w:val="auto"/>
        <w:rPr>
          <w:rFonts w:ascii="Times New Roman" w:hAnsi="Times New Roman" w:eastAsia="楷体_GB2312" w:cs="Times New Roman"/>
          <w:b/>
          <w:bCs/>
          <w:color w:val="000000"/>
          <w:kern w:val="0"/>
          <w:sz w:val="32"/>
          <w:szCs w:val="32"/>
          <w:shd w:val="clear" w:color="auto" w:fill="FFFFFF"/>
          <w:lang w:val="en-US" w:eastAsia="zh-CN" w:bidi="ar-SA"/>
        </w:rPr>
      </w:pPr>
      <w:r>
        <w:rPr>
          <w:rFonts w:hint="eastAsia" w:ascii="仿宋_GB2312" w:hAnsi="仿宋_GB2312" w:eastAsia="仿宋_GB2312" w:cs="仿宋_GB2312"/>
          <w:b w:val="0"/>
          <w:bCs w:val="0"/>
          <w:w w:val="95"/>
          <w:kern w:val="0"/>
          <w:position w:val="0"/>
          <w:sz w:val="32"/>
          <w:szCs w:val="32"/>
          <w:highlight w:val="none"/>
          <w:lang w:val="en-US" w:eastAsia="zh-CN" w:bidi="ar-SA"/>
        </w:rPr>
        <w:t>注重对残疾人补贴项目资金开展，轻视对项目后续绩效评价工作</w:t>
      </w:r>
      <w:r>
        <w:rPr>
          <w:rFonts w:hint="eastAsia" w:ascii="仿宋_GB2312" w:hAnsi="Times New Roman" w:eastAsia="仿宋_GB2312" w:cs="Times New Roman"/>
          <w:kern w:val="2"/>
          <w:sz w:val="32"/>
          <w:szCs w:val="32"/>
          <w:lang w:val="en-US" w:eastAsia="zh-CN" w:bidi="ar-SA"/>
        </w:rPr>
        <w:t>。</w:t>
      </w:r>
    </w:p>
    <w:p>
      <w:pPr>
        <w:keepNext w:val="0"/>
        <w:keepLines w:val="0"/>
        <w:pageBreakBefore w:val="0"/>
        <w:numPr>
          <w:ilvl w:val="0"/>
          <w:numId w:val="5"/>
        </w:numPr>
        <w:suppressAutoHyphens/>
        <w:kinsoku/>
        <w:wordWrap/>
        <w:overflowPunct/>
        <w:topLinePunct w:val="0"/>
        <w:autoSpaceDE/>
        <w:autoSpaceDN/>
        <w:bidi w:val="0"/>
        <w:spacing w:line="576" w:lineRule="exact"/>
        <w:ind w:left="0" w:leftChars="0" w:firstLine="642" w:firstLineChars="200"/>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改进建议</w:t>
      </w:r>
      <w:bookmarkStart w:id="77" w:name="_Hlk110546638"/>
    </w:p>
    <w:bookmarkEnd w:id="77"/>
    <w:p>
      <w:pPr>
        <w:widowControl/>
        <w:adjustRightInd w:val="0"/>
        <w:snapToGrid w:val="0"/>
        <w:spacing w:line="578" w:lineRule="exact"/>
        <w:ind w:firstLine="640" w:firstLineChars="200"/>
        <w:contextualSpacing/>
        <w:jc w:val="left"/>
        <w:rPr>
          <w:rFonts w:hint="eastAsia" w:ascii="黑体" w:hAnsi="黑体" w:eastAsia="黑体"/>
          <w:color w:val="auto"/>
          <w:sz w:val="44"/>
          <w:szCs w:val="44"/>
          <w:highlight w:val="none"/>
        </w:rPr>
      </w:pPr>
      <w:r>
        <w:rPr>
          <w:rFonts w:hint="eastAsia" w:ascii="仿宋_GB2312" w:hAnsi="Times New Roman" w:eastAsia="仿宋_GB2312" w:cs="宋体"/>
          <w:color w:val="000000"/>
          <w:kern w:val="0"/>
          <w:sz w:val="32"/>
          <w:szCs w:val="32"/>
          <w:shd w:val="clear" w:color="auto" w:fill="FFFFFF"/>
          <w:lang w:val="zh-CN" w:eastAsia="zh-CN"/>
        </w:rPr>
        <w:t>加强新《预算法》《行政单位会计制度》等学习培训，规范部门预算收支核算，一是制定和完善基本支出、项目支出等各项支出标准，严格按项目和进度执行预算，增强预算的约束力和严肃性。二是落实预算执行分析，及时了解预算执行差异，合理调整、纠正预算执行偏差，切实提高部门预算收支管理水平。</w:t>
      </w:r>
    </w:p>
    <w:p>
      <w:pPr>
        <w:pStyle w:val="6"/>
        <w:ind w:firstLine="440" w:firstLineChars="100"/>
        <w:jc w:val="both"/>
        <w:rPr>
          <w:rFonts w:hint="eastAsia" w:ascii="方正小标宋简体" w:eastAsia="方正小标宋简体" w:cs="方正小标宋简体"/>
          <w:color w:val="auto"/>
          <w:kern w:val="2"/>
          <w:sz w:val="44"/>
          <w:szCs w:val="44"/>
          <w:lang w:val="en-US" w:eastAsia="zh-CN"/>
        </w:rPr>
      </w:pPr>
      <w:r>
        <w:rPr>
          <w:rFonts w:hint="eastAsia" w:ascii="方正小标宋简体" w:eastAsia="方正小标宋简体" w:cs="方正小标宋简体"/>
          <w:color w:val="auto"/>
          <w:kern w:val="2"/>
          <w:sz w:val="44"/>
          <w:szCs w:val="44"/>
          <w:lang w:val="en-US" w:eastAsia="zh-CN"/>
        </w:rPr>
        <w:t xml:space="preserve"> </w:t>
      </w:r>
    </w:p>
    <w:p>
      <w:pPr>
        <w:pStyle w:val="6"/>
        <w:ind w:firstLine="440" w:firstLineChars="100"/>
        <w:jc w:val="both"/>
        <w:rPr>
          <w:rFonts w:hint="eastAsia" w:ascii="方正小标宋简体" w:eastAsia="方正小标宋简体" w:cs="方正小标宋简体"/>
          <w:color w:val="auto"/>
          <w:kern w:val="2"/>
          <w:sz w:val="44"/>
          <w:szCs w:val="44"/>
          <w:lang w:val="en-US" w:eastAsia="zh-CN"/>
        </w:rPr>
      </w:pPr>
    </w:p>
    <w:p>
      <w:pPr>
        <w:pStyle w:val="6"/>
        <w:ind w:firstLine="440" w:firstLineChars="100"/>
        <w:jc w:val="both"/>
        <w:rPr>
          <w:rFonts w:hint="eastAsia" w:ascii="方正小标宋简体" w:eastAsia="方正小标宋简体" w:cs="方正小标宋简体"/>
          <w:color w:val="auto"/>
          <w:kern w:val="2"/>
          <w:sz w:val="44"/>
          <w:szCs w:val="44"/>
          <w:lang w:val="en-US" w:eastAsia="zh-CN"/>
        </w:rPr>
      </w:pPr>
    </w:p>
    <w:p>
      <w:pPr>
        <w:pStyle w:val="6"/>
        <w:ind w:firstLine="440" w:firstLineChars="100"/>
        <w:jc w:val="both"/>
        <w:rPr>
          <w:rFonts w:hint="eastAsia" w:ascii="方正小标宋简体" w:eastAsia="方正小标宋简体" w:cs="方正小标宋简体"/>
          <w:color w:val="auto"/>
          <w:kern w:val="2"/>
          <w:sz w:val="44"/>
          <w:szCs w:val="44"/>
          <w:lang w:val="en-US" w:eastAsia="zh-CN"/>
        </w:rPr>
      </w:pPr>
    </w:p>
    <w:p>
      <w:pPr>
        <w:pStyle w:val="6"/>
        <w:ind w:firstLine="440" w:firstLineChars="100"/>
        <w:jc w:val="both"/>
        <w:rPr>
          <w:rFonts w:hint="eastAsia" w:ascii="方正小标宋简体" w:eastAsia="方正小标宋简体" w:cs="方正小标宋简体"/>
          <w:color w:val="auto"/>
          <w:kern w:val="2"/>
          <w:sz w:val="44"/>
          <w:szCs w:val="44"/>
          <w:lang w:val="en-US" w:eastAsia="zh-CN"/>
        </w:rPr>
      </w:pPr>
    </w:p>
    <w:p>
      <w:pPr>
        <w:pStyle w:val="6"/>
        <w:ind w:firstLine="440" w:firstLineChars="100"/>
        <w:jc w:val="both"/>
        <w:rPr>
          <w:rFonts w:hint="eastAsia" w:ascii="方正小标宋简体" w:eastAsia="方正小标宋简体" w:cs="方正小标宋简体"/>
          <w:color w:val="auto"/>
          <w:kern w:val="2"/>
          <w:sz w:val="44"/>
          <w:szCs w:val="44"/>
          <w:lang w:val="en-US" w:eastAsia="zh-CN"/>
        </w:rPr>
      </w:pPr>
    </w:p>
    <w:p>
      <w:pPr>
        <w:pStyle w:val="6"/>
        <w:jc w:val="both"/>
        <w:rPr>
          <w:rFonts w:hint="eastAsia" w:ascii="方正小标宋简体" w:eastAsia="方正小标宋简体" w:cs="方正小标宋简体"/>
          <w:color w:val="auto"/>
          <w:kern w:val="2"/>
          <w:sz w:val="44"/>
          <w:szCs w:val="44"/>
          <w:lang w:val="en-US" w:eastAsia="zh-CN"/>
        </w:rPr>
      </w:pPr>
    </w:p>
    <w:p>
      <w:pPr>
        <w:pStyle w:val="6"/>
        <w:jc w:val="center"/>
        <w:rPr>
          <w:rFonts w:hint="eastAsia" w:ascii="宋体" w:hAnsi="宋体" w:eastAsia="宋体" w:cs="宋体"/>
          <w:i w:val="0"/>
          <w:iCs w:val="0"/>
          <w:color w:val="000000"/>
          <w:kern w:val="0"/>
          <w:sz w:val="12"/>
          <w:szCs w:val="12"/>
          <w:u w:val="none"/>
          <w:lang w:val="en-US" w:eastAsia="zh-CN" w:bidi="ar"/>
        </w:rPr>
      </w:pPr>
      <w:r>
        <w:rPr>
          <w:rFonts w:hint="eastAsia" w:hAnsi="Times New Roman"/>
          <w:sz w:val="32"/>
          <w:szCs w:val="32"/>
        </w:rPr>
        <w:t>单位预算项目支出绩效自评表（202</w:t>
      </w:r>
      <w:r>
        <w:rPr>
          <w:rFonts w:hint="eastAsia"/>
          <w:sz w:val="32"/>
          <w:szCs w:val="32"/>
          <w:lang w:val="en-US" w:eastAsia="zh-CN"/>
        </w:rPr>
        <w:t>5</w:t>
      </w:r>
      <w:r>
        <w:rPr>
          <w:rFonts w:hint="eastAsia" w:hAnsi="Times New Roman"/>
          <w:sz w:val="32"/>
          <w:szCs w:val="32"/>
        </w:rPr>
        <w:t>年度</w:t>
      </w:r>
      <w:r>
        <w:rPr>
          <w:rFonts w:hint="eastAsia" w:hAnsi="Times New Roman"/>
          <w:sz w:val="32"/>
          <w:szCs w:val="32"/>
          <w:lang w:eastAsia="zh-CN"/>
        </w:rPr>
        <w:t>）</w:t>
      </w:r>
    </w:p>
    <w:tbl>
      <w:tblPr>
        <w:tblStyle w:val="16"/>
        <w:tblpPr w:leftFromText="180" w:rightFromText="180" w:vertAnchor="text" w:horzAnchor="page" w:tblpXSpec="center" w:tblpY="666"/>
        <w:tblOverlap w:val="never"/>
        <w:tblW w:w="85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0"/>
        <w:gridCol w:w="542"/>
        <w:gridCol w:w="846"/>
        <w:gridCol w:w="103"/>
        <w:gridCol w:w="613"/>
        <w:gridCol w:w="644"/>
        <w:gridCol w:w="487"/>
        <w:gridCol w:w="611"/>
        <w:gridCol w:w="542"/>
        <w:gridCol w:w="39"/>
        <w:gridCol w:w="843"/>
        <w:gridCol w:w="783"/>
        <w:gridCol w:w="18"/>
        <w:gridCol w:w="393"/>
        <w:gridCol w:w="390"/>
        <w:gridCol w:w="393"/>
        <w:gridCol w:w="5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8511" w:type="dxa"/>
            <w:gridSpan w:val="1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bookmarkStart w:id="78" w:name="_Toc13911"/>
            <w:bookmarkStart w:id="79" w:name="_Toc24411"/>
            <w:r>
              <w:rPr>
                <w:rFonts w:hint="eastAsia" w:ascii="宋体" w:hAnsi="宋体" w:eastAsia="宋体" w:cs="宋体"/>
                <w:i w:val="0"/>
                <w:iCs w:val="0"/>
                <w:color w:val="000000"/>
                <w:kern w:val="0"/>
                <w:sz w:val="12"/>
                <w:szCs w:val="12"/>
                <w:u w:val="none"/>
                <w:lang w:val="en-US" w:eastAsia="zh-CN" w:bidi="ar"/>
              </w:rPr>
              <w:t>部门预算项目支出绩效自评表（2025年度）一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项目名称</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51322321T000000068318-残疾人联络员补助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主管部门</w:t>
            </w:r>
          </w:p>
        </w:tc>
        <w:tc>
          <w:tcPr>
            <w:tcW w:w="3846"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茂县残联</w:t>
            </w:r>
          </w:p>
        </w:tc>
        <w:tc>
          <w:tcPr>
            <w:tcW w:w="882"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实施单位 （盖章）</w:t>
            </w:r>
          </w:p>
        </w:tc>
        <w:tc>
          <w:tcPr>
            <w:tcW w:w="250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茂县残疾人联合会（行政）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7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项目基本情况</w:t>
            </w:r>
          </w:p>
        </w:tc>
        <w:tc>
          <w:tcPr>
            <w:tcW w:w="54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1.项目年度目标完成情况</w:t>
            </w:r>
          </w:p>
        </w:tc>
        <w:tc>
          <w:tcPr>
            <w:tcW w:w="3846"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项目年度目标</w:t>
            </w:r>
          </w:p>
        </w:tc>
        <w:tc>
          <w:tcPr>
            <w:tcW w:w="3383"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jc w:val="center"/>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4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3846"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按照茂县人民政府办公室关于印发《茂县加快推进残疾人小康进程实施方案》的通知茂府办函（2017）59号文件精神，“村（社区）残疾人专职委员纳入政府购买社会服务范畴，并给予200元/月务工补贴（州级承担30%，县级承担70%）”。我县108个村（社区）残联专干共计108，每人每月200元，全年共需资金25.92万元，县级财政应承担70%，即18.144万元，州级30%，即7.776万元。</w:t>
            </w:r>
          </w:p>
        </w:tc>
        <w:tc>
          <w:tcPr>
            <w:tcW w:w="3383"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已按照目标任务完成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2.项目实施内容及过程概述</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ascii="宋体" w:hAnsi="宋体" w:eastAsia="宋体" w:cs="宋体"/>
                <w:i w:val="0"/>
                <w:iCs w:val="0"/>
                <w:color w:val="000000"/>
                <w:kern w:val="0"/>
                <w:sz w:val="12"/>
                <w:szCs w:val="12"/>
                <w:u w:val="none"/>
                <w:lang w:val="en-US" w:eastAsia="zh-CN" w:bidi="ar"/>
              </w:rPr>
              <w:t>按照茂县人民政府办公室关于印发《茂县加快推进残疾人小康进程实施方案》的通知茂府办函（2017）59号文件精神，“村（社区）残疾人专职委员纳入政府购买社会服务范畴，并给予200元/月务工补贴（州级承担30%，县级承担70%）”。我县108个村（社区）残联专干共计108，每人每月200元，全年共需资金25.92万元，县级财政应承担70%，即18.144万元，州级30%，即7.776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7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预算执行情况（10分）</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年度预算数（万元）</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年初预算</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调整后预算数</w:t>
            </w:r>
          </w:p>
        </w:tc>
        <w:tc>
          <w:tcPr>
            <w:tcW w:w="164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预算执行数</w:t>
            </w:r>
          </w:p>
        </w:tc>
        <w:tc>
          <w:tcPr>
            <w:tcW w:w="8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预算执行率</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权重</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得分</w:t>
            </w:r>
          </w:p>
        </w:tc>
        <w:tc>
          <w:tcPr>
            <w:tcW w:w="13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总额</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18.14</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18.14</w:t>
            </w:r>
          </w:p>
        </w:tc>
        <w:tc>
          <w:tcPr>
            <w:tcW w:w="164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18.14</w:t>
            </w:r>
          </w:p>
        </w:tc>
        <w:tc>
          <w:tcPr>
            <w:tcW w:w="8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100.00%</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307"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其中：财政资金</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18.14</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18.14</w:t>
            </w:r>
          </w:p>
        </w:tc>
        <w:tc>
          <w:tcPr>
            <w:tcW w:w="164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18.14</w:t>
            </w:r>
          </w:p>
        </w:tc>
        <w:tc>
          <w:tcPr>
            <w:tcW w:w="8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100.00%</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130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财政专户管理资金</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64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8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130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单位资金</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64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8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130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其他资金</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64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130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绩效指标（90分）</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一级指标</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二级指标</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三级指标</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指标性质</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指标值</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度量单位</w:t>
            </w:r>
          </w:p>
        </w:tc>
        <w:tc>
          <w:tcPr>
            <w:tcW w:w="8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完成值</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权重</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得分</w:t>
            </w:r>
          </w:p>
        </w:tc>
        <w:tc>
          <w:tcPr>
            <w:tcW w:w="13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4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产出指标</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数量指标</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全县108个村残疾人联络员</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108</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人</w:t>
            </w:r>
          </w:p>
        </w:tc>
        <w:tc>
          <w:tcPr>
            <w:tcW w:w="8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108</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3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4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质量指标</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保质保量的在全底全额支付给残疾人</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8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95</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3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4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时效指标</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完成时限</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2025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w:t>
            </w:r>
          </w:p>
        </w:tc>
        <w:tc>
          <w:tcPr>
            <w:tcW w:w="8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2025</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3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4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效益指标</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社会效益指标</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通过此补贴提高残疾人联络员的生活水平</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定性</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进一步提高</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进一步提高</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3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4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可持续发展指标</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继续加强对此项目的发展、让残疾人收入提高</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8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95</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3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4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满意度指标</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服务对象满意度指标</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让108村残疾人联络员及其家属满意度</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8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95</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3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4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满意度指标</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残疾群体的满意度</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8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95</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3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成本指标</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经济成本指标</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项目的成本控制</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25.92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万元</w:t>
            </w:r>
          </w:p>
        </w:tc>
        <w:tc>
          <w:tcPr>
            <w:tcW w:w="8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25.92</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3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6010" w:type="dxa"/>
            <w:gridSpan w:val="11"/>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合计</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3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评价结论</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通过汇总、整理、分析2025年专项预算项目支出绩效评价指标体系，绩效目标基本实现，自评得分为89分。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总体上看，项目决策依据充分，总体目标清晰，完成了2025年目标任务，通过实施此项目，让残疾人的生活及家庭情况得到了一步的改善。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存在问题</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改进措施</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我单位将进一步优化完善实施方案和绩效目标，加强运行监控，节约财政资金并提升资金效益，提升预算绩效管理水平。</w:t>
            </w:r>
          </w:p>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282"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131"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1"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81"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4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78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3"/>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39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8511" w:type="dxa"/>
            <w:gridSpan w:val="1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部门预算项目支出绩效自评表（2025年度）二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项目名称</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51322322T000007143004-残疾人事业发展资金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主管部门</w:t>
            </w:r>
          </w:p>
        </w:tc>
        <w:tc>
          <w:tcPr>
            <w:tcW w:w="3846"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茂县残联</w:t>
            </w:r>
          </w:p>
        </w:tc>
        <w:tc>
          <w:tcPr>
            <w:tcW w:w="882"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实施单位 （盖章）</w:t>
            </w:r>
          </w:p>
        </w:tc>
        <w:tc>
          <w:tcPr>
            <w:tcW w:w="250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茂县残疾人联合会（行政）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2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项目基本情况</w:t>
            </w: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1.项目年度目标完成情况</w:t>
            </w:r>
          </w:p>
        </w:tc>
        <w:tc>
          <w:tcPr>
            <w:tcW w:w="3779"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项目年度目标</w:t>
            </w:r>
          </w:p>
        </w:tc>
        <w:tc>
          <w:tcPr>
            <w:tcW w:w="250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2"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3779"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全面支持落实好残疾人就业、医疗康复、社会保障等扶持政策，健全残疾人权益保障制度和扶残助残服务体系，提升残疾人基本公共服务保障水平。</w:t>
            </w:r>
            <w:r>
              <w:rPr>
                <w:rFonts w:hint="eastAsia" w:ascii="宋体" w:hAnsi="宋体" w:eastAsia="宋体" w:cs="宋体"/>
                <w:i w:val="0"/>
                <w:iCs w:val="0"/>
                <w:color w:val="000000"/>
                <w:kern w:val="0"/>
                <w:sz w:val="12"/>
                <w:szCs w:val="12"/>
                <w:u w:val="none"/>
                <w:lang w:val="en-US" w:eastAsia="zh-CN" w:bidi="ar"/>
              </w:rPr>
              <w:br w:type="textWrapping"/>
            </w:r>
            <w:r>
              <w:rPr>
                <w:rFonts w:hint="eastAsia" w:ascii="宋体" w:hAnsi="宋体" w:eastAsia="宋体" w:cs="宋体"/>
                <w:i w:val="0"/>
                <w:iCs w:val="0"/>
                <w:color w:val="000000"/>
                <w:kern w:val="0"/>
                <w:sz w:val="12"/>
                <w:szCs w:val="12"/>
                <w:u w:val="none"/>
                <w:lang w:val="en-US" w:eastAsia="zh-CN" w:bidi="ar"/>
              </w:rPr>
              <w:t>通过开展残疾人基本康复服务项目年度工作，残疾人居家托养项目、农村实用技术培训项目、残疾人灵活就业补贴、残疾人文化进家庭五个一、残疾人机动车燃油补贴、七岁以上残疾人康复等项目。完成农村实用技术培训年度工作，提高残疾人劳动技能，提高残疾人教育水平。为残疾人机动轮椅车车主发放燃油补贴，弥补残疾人出行成本。</w:t>
            </w:r>
          </w:p>
        </w:tc>
        <w:tc>
          <w:tcPr>
            <w:tcW w:w="250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已按照目标任务完成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2.项目实施内容及过程概述</w:t>
            </w:r>
          </w:p>
        </w:tc>
        <w:tc>
          <w:tcPr>
            <w:tcW w:w="6280"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ascii="宋体" w:hAnsi="宋体" w:eastAsia="宋体" w:cs="宋体"/>
                <w:i w:val="0"/>
                <w:iCs w:val="0"/>
                <w:color w:val="000000"/>
                <w:kern w:val="0"/>
                <w:sz w:val="12"/>
                <w:szCs w:val="12"/>
                <w:u w:val="none"/>
                <w:lang w:val="en-US" w:eastAsia="zh-CN" w:bidi="ar"/>
              </w:rPr>
              <w:t xml:space="preserve"> </w:t>
            </w:r>
            <w:r>
              <w:rPr>
                <w:rFonts w:hint="eastAsia" w:ascii="宋体" w:hAnsi="宋体" w:eastAsia="宋体" w:cs="宋体"/>
                <w:i w:val="0"/>
                <w:iCs w:val="0"/>
                <w:color w:val="000000"/>
                <w:kern w:val="0"/>
                <w:sz w:val="12"/>
                <w:szCs w:val="12"/>
                <w:u w:val="none"/>
                <w:lang w:val="en-US" w:eastAsia="zh-CN" w:bidi="ar"/>
              </w:rPr>
              <w:t>2025年残疾人事业发展资金供给82.55万元，为</w:t>
            </w:r>
            <w:r>
              <w:rPr>
                <w:rFonts w:ascii="宋体" w:hAnsi="宋体" w:eastAsia="宋体" w:cs="宋体"/>
                <w:i w:val="0"/>
                <w:iCs w:val="0"/>
                <w:color w:val="000000"/>
                <w:kern w:val="0"/>
                <w:sz w:val="12"/>
                <w:szCs w:val="12"/>
                <w:u w:val="none"/>
                <w:lang w:val="en-US" w:eastAsia="zh-CN" w:bidi="ar"/>
              </w:rPr>
              <w:t>全面支持落实好残疾人就业、医疗康复、社会保障等扶持政策，健全残疾人权益保障制度和扶残助残服务体系，提升残疾人基本公共服务保障水平。</w:t>
            </w:r>
            <w:r>
              <w:rPr>
                <w:rFonts w:ascii="宋体" w:hAnsi="宋体" w:eastAsia="宋体" w:cs="宋体"/>
                <w:i w:val="0"/>
                <w:iCs w:val="0"/>
                <w:color w:val="000000"/>
                <w:kern w:val="0"/>
                <w:sz w:val="12"/>
                <w:szCs w:val="12"/>
                <w:u w:val="none"/>
                <w:lang w:val="en-US" w:eastAsia="zh-CN" w:bidi="ar"/>
              </w:rPr>
              <w:br w:type="textWrapping"/>
            </w:r>
            <w:r>
              <w:rPr>
                <w:rFonts w:ascii="宋体" w:hAnsi="宋体" w:eastAsia="宋体" w:cs="宋体"/>
                <w:i w:val="0"/>
                <w:iCs w:val="0"/>
                <w:color w:val="000000"/>
                <w:kern w:val="0"/>
                <w:sz w:val="12"/>
                <w:szCs w:val="12"/>
                <w:u w:val="none"/>
                <w:lang w:val="en-US" w:eastAsia="zh-CN" w:bidi="ar"/>
              </w:rPr>
              <w:t>通过开展残疾人基本康复服务项目年度工作，残疾人居家托养项目、农村实用技术培训项目、残疾人灵活就业补贴、残疾人文化进家庭五个一、残疾人机动车燃油补贴、七岁以上残疾人康复等项目。完成农村实用技术培训年度工作，提高残疾人劳动技能，提高残疾人教育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8" w:hRule="atLeast"/>
          <w:jc w:val="center"/>
        </w:trPr>
        <w:tc>
          <w:tcPr>
            <w:tcW w:w="12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预算执行情况（10分）</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年度预算数（万元）</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年初预算</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调整后预算数</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预算执行数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预算执行率</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权重</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得分</w:t>
            </w: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总额</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82.55</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82.55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其中：财政资金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82.55</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82.55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财政专户管理资金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单位资金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其他资金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绩效指标（90分）</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一级指标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二级指标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三级指标</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指标性质</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指标值</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度量单位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完成值</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权重</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得分</w:t>
            </w: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产出指标</w:t>
            </w:r>
          </w:p>
        </w:tc>
        <w:tc>
          <w:tcPr>
            <w:tcW w:w="61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数量指标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残疾人机动车燃油补贴燃油</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52</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52</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残疾人居家托养人数</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30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30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接受基本康复服务的残疾人数</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30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30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效益指标</w:t>
            </w:r>
          </w:p>
        </w:tc>
        <w:tc>
          <w:tcPr>
            <w:tcW w:w="61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社会效益指标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农村实用技术培训的残疾人受教育水平和生活生产能力</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定性</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有所提高</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有所提高</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残疾人机动轮椅车车主出行便利程度</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定性</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有所提高</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有所提高</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可持续影响指标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提高残疾人生活水平</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定性</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有所提高</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有所提高</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满意度指标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服务对象满意度指标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残疾人或其家属对残疾人康复服务的满意度</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80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80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帮扶对象满意度指标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接受托养服务残疾人或其家属的满意度</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80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6010" w:type="dxa"/>
            <w:gridSpan w:val="11"/>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合计</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3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评价结论</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通过汇总、整理、分析2025年专项预算项目支出绩效评价指标体系，绩效目标基本实现，自评得分为89分。</w:t>
            </w:r>
          </w:p>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总体上看，项目决策依据充分，总体目标清晰，完成了2025年目标任务，通过实施残疾人发展项目，让残疾人的生活及家庭情况得到了一步的改善。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存在问题</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改进措施</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我单位将进一步优化完善实施方案和绩效目标，加强运行监控，节约财政资金并提升资金效益，提升预算绩效管理水平。</w:t>
            </w:r>
          </w:p>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282"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131"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1"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81"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4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78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3"/>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39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8511" w:type="dxa"/>
            <w:gridSpan w:val="1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部门预算项目支出绩效自评表（2025年度）三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项目名称</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51322322T000007143021-残疾人帮扶项目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主管部门</w:t>
            </w:r>
          </w:p>
        </w:tc>
        <w:tc>
          <w:tcPr>
            <w:tcW w:w="3846"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茂县残联</w:t>
            </w:r>
          </w:p>
        </w:tc>
        <w:tc>
          <w:tcPr>
            <w:tcW w:w="882"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实施单位 （盖章）</w:t>
            </w:r>
          </w:p>
        </w:tc>
        <w:tc>
          <w:tcPr>
            <w:tcW w:w="250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茂县残疾人联合会（行政）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2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项目基本情况</w:t>
            </w: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1.项目年度目标完成情况</w:t>
            </w:r>
          </w:p>
        </w:tc>
        <w:tc>
          <w:tcPr>
            <w:tcW w:w="3779"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项目年度目标</w:t>
            </w:r>
          </w:p>
        </w:tc>
        <w:tc>
          <w:tcPr>
            <w:tcW w:w="250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3779"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围绕残疾人产业发展、居家灵活就业、残疾人康复补助等、进一步改善残疾人生活。</w:t>
            </w:r>
          </w:p>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残疾人就业拟补助5人；残疾人康复救助拟补助40人；残疾人居家托养拟补助70人；残疾人居家灵活就业拟补助70人；拟为2160人残疾人购买意外伤害保险。</w:t>
            </w:r>
          </w:p>
        </w:tc>
        <w:tc>
          <w:tcPr>
            <w:tcW w:w="250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已按照目标任务完成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2.项目实施内容及过程概述</w:t>
            </w:r>
          </w:p>
        </w:tc>
        <w:tc>
          <w:tcPr>
            <w:tcW w:w="6280"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2025年茂县残疾人帮扶项目实施后，提高了我县残疾人的收入，加强了残疾人事业工作的连动性，并为残疾人增添了收入。发放2025年茂县残疾人帮扶项目发展补助资金是我县残疾人事业发展的一部分，同时也是我县民生工程项目的一部分。通过项目实施，进一步提高了我县残疾人生活水平质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2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预算执行情况（10分）</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年度预算数（万元）</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年初预算</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调整后预算数</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预算执行数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预算执行率</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权重</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得分</w:t>
            </w: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总额</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49.42</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49.42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其中：财政资金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49.42</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49.42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财政专户管理资金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单位资金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其他资金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4" w:hRule="atLeast"/>
          <w:jc w:val="center"/>
        </w:trPr>
        <w:tc>
          <w:tcPr>
            <w:tcW w:w="12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绩效指标（90分）</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一级指标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二级指标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三级指标</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指标性质</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指标值</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度量单位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完成值</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权重</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得分</w:t>
            </w: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产出指标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数量指标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购买意外伤害保险享受人数</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2160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2160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质量指标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项目验收合格率</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时效指标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项目完成时间</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效益指标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社会效益指标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更好的为残疾人做好服务</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定性</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优</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优</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可持续影响指标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保障残疾人事业持续发展</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定性</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优</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优</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满意度指标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服务对象满意度指标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服务对象满意度</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95</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成本指标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经济成本指标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项目投资不超预算</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万元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6010" w:type="dxa"/>
            <w:gridSpan w:val="11"/>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合计</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3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评价结论</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通过汇总、整理、分析2025年专项预算项目支出绩效评价指标体系，绩效目标基本实现，自评得分为89分。</w:t>
            </w:r>
          </w:p>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总体上看，项目决策依据充分，总体目标清晰，完成了2025年目标任务，通过实施残疾人帮扶项目，让残疾人的生活及家庭情况得到了一步的改善。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存在问题</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改进措施</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我单位将进一步优化完善实施方案和绩效目标，加强运行监控，节约财政资金并提升资金效益，提升预算绩效管理水平。</w:t>
            </w:r>
          </w:p>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282"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131"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1"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81"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4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78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3"/>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39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8511" w:type="dxa"/>
            <w:gridSpan w:val="1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部门预算项目支出绩效自评表（2025年度）四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项目名称</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51322323T000009243095-残疾人发展补助资金（彩票公益金）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主管部门</w:t>
            </w:r>
          </w:p>
        </w:tc>
        <w:tc>
          <w:tcPr>
            <w:tcW w:w="3846"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茂县残联</w:t>
            </w:r>
          </w:p>
        </w:tc>
        <w:tc>
          <w:tcPr>
            <w:tcW w:w="882"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实施单位 （盖章）</w:t>
            </w:r>
          </w:p>
        </w:tc>
        <w:tc>
          <w:tcPr>
            <w:tcW w:w="250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茂县残疾人联合会（行政）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2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项目基本情况</w:t>
            </w: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1.项目年度目标完成情况</w:t>
            </w:r>
          </w:p>
        </w:tc>
        <w:tc>
          <w:tcPr>
            <w:tcW w:w="3779"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项目年度目标</w:t>
            </w:r>
          </w:p>
        </w:tc>
        <w:tc>
          <w:tcPr>
            <w:tcW w:w="250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3779"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br w:type="textWrapping"/>
            </w:r>
            <w:r>
              <w:rPr>
                <w:rFonts w:hint="eastAsia" w:ascii="宋体" w:hAnsi="宋体" w:eastAsia="宋体" w:cs="宋体"/>
                <w:i w:val="0"/>
                <w:iCs w:val="0"/>
                <w:color w:val="000000"/>
                <w:kern w:val="0"/>
                <w:sz w:val="12"/>
                <w:szCs w:val="12"/>
                <w:u w:val="none"/>
                <w:lang w:val="en-US" w:eastAsia="zh-CN" w:bidi="ar"/>
              </w:rPr>
              <w:t>根据阿州财社2025年11号文件关于下达2025年中央和省级财政残疾人事业发展补助资金的通知，开展残疾人事业工作</w:t>
            </w:r>
          </w:p>
        </w:tc>
        <w:tc>
          <w:tcPr>
            <w:tcW w:w="250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已按照目标任务完成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2.项目实施内容及过程概述</w:t>
            </w:r>
          </w:p>
        </w:tc>
        <w:tc>
          <w:tcPr>
            <w:tcW w:w="6280"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根据阿州财社2025年11号文件关于下达2025年中央和省级财政残疾人事业发展补助资金的通知，开展残疾人事业工作，</w:t>
            </w:r>
            <w:r>
              <w:rPr>
                <w:rFonts w:ascii="宋体" w:hAnsi="宋体" w:eastAsia="宋体" w:cs="宋体"/>
                <w:i w:val="0"/>
                <w:iCs w:val="0"/>
                <w:color w:val="000000"/>
                <w:kern w:val="0"/>
                <w:sz w:val="12"/>
                <w:szCs w:val="12"/>
                <w:u w:val="none"/>
                <w:lang w:val="en-US" w:eastAsia="zh-CN" w:bidi="ar"/>
              </w:rPr>
              <w:t>本项目的主要内容是202</w:t>
            </w:r>
            <w:r>
              <w:rPr>
                <w:rFonts w:hint="eastAsia" w:ascii="宋体" w:hAnsi="宋体" w:eastAsia="宋体" w:cs="宋体"/>
                <w:i w:val="0"/>
                <w:iCs w:val="0"/>
                <w:color w:val="000000"/>
                <w:kern w:val="0"/>
                <w:sz w:val="12"/>
                <w:szCs w:val="12"/>
                <w:u w:val="none"/>
                <w:lang w:val="en-US" w:eastAsia="zh-CN" w:bidi="ar"/>
              </w:rPr>
              <w:t>5</w:t>
            </w:r>
            <w:r>
              <w:rPr>
                <w:rFonts w:ascii="宋体" w:hAnsi="宋体" w:eastAsia="宋体" w:cs="宋体"/>
                <w:i w:val="0"/>
                <w:iCs w:val="0"/>
                <w:color w:val="000000"/>
                <w:kern w:val="0"/>
                <w:sz w:val="12"/>
                <w:szCs w:val="12"/>
                <w:u w:val="none"/>
                <w:lang w:val="en-US" w:eastAsia="zh-CN" w:bidi="ar"/>
              </w:rPr>
              <w:t>年预算安排贫困重度残疾人无障碍改造</w:t>
            </w:r>
            <w:r>
              <w:rPr>
                <w:rFonts w:hint="eastAsia" w:ascii="宋体" w:hAnsi="宋体" w:eastAsia="宋体" w:cs="宋体"/>
                <w:i w:val="0"/>
                <w:iCs w:val="0"/>
                <w:color w:val="000000"/>
                <w:kern w:val="0"/>
                <w:sz w:val="12"/>
                <w:szCs w:val="12"/>
                <w:u w:val="none"/>
                <w:lang w:val="en-US" w:eastAsia="zh-CN" w:bidi="ar"/>
              </w:rPr>
              <w:t>等</w:t>
            </w:r>
            <w:r>
              <w:rPr>
                <w:rFonts w:ascii="宋体" w:hAnsi="宋体" w:eastAsia="宋体" w:cs="宋体"/>
                <w:i w:val="0"/>
                <w:iCs w:val="0"/>
                <w:color w:val="000000"/>
                <w:kern w:val="0"/>
                <w:sz w:val="12"/>
                <w:szCs w:val="1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2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预算执行情况（10分）</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年度预算数（万元）</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年初预算</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调整后预算数</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预算执行数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预算执行率</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权重</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得分</w:t>
            </w: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总额</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10.10</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其中：财政资金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10.10</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财政专户管理资金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单位资金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其他资金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jc w:val="center"/>
        </w:trPr>
        <w:tc>
          <w:tcPr>
            <w:tcW w:w="12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绩效指标（90分）</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一级指标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二级指标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三级指标</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指标性质</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指标值</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度量单位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完成值</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权重</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得分</w:t>
            </w: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产出指标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数量指标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无障碍改造人数</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6</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质量指标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让残疾无障碍改造质量保证</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效益指标</w:t>
            </w:r>
          </w:p>
        </w:tc>
        <w:tc>
          <w:tcPr>
            <w:tcW w:w="61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可持续发展指标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残疾人事业发展的可持续性</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可持续开展此工作的重要性</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可持续影响指标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可继续开展此工作的影响性</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满意度指标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服务对象满意度指标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残疾人或其家属对残疾人康复服务的满意度</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帮扶对象满意度指标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让残疾人满意</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6010" w:type="dxa"/>
            <w:gridSpan w:val="11"/>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合计</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3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评价结论</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通过汇总、整理、分析2025年专项预算项目支出绩效评价指标体系，绩效目标基本实现，自评得分为89分。</w:t>
            </w:r>
          </w:p>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总体上看，项目决策依据充分，总体目标清晰，完成了2025年目标任务，通过实施残疾人发展项目，让残疾人的生活及家庭情况得到了一步的改善。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1"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存在问题</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改进措施</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我单位将进一步优化完善实施方案和绩效目标，加强运行监控，节约财政资金并提升资金效益，提升预算绩效管理水平。</w:t>
            </w:r>
          </w:p>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282"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131"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1"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81"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4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78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3"/>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39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8511" w:type="dxa"/>
            <w:gridSpan w:val="1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部门预算项目支出绩效自评表（2025年度）五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项目名称</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51322323T000009698241-县级净土阿自强助学工程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主管部门</w:t>
            </w:r>
          </w:p>
        </w:tc>
        <w:tc>
          <w:tcPr>
            <w:tcW w:w="3846"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茂县残联</w:t>
            </w:r>
          </w:p>
        </w:tc>
        <w:tc>
          <w:tcPr>
            <w:tcW w:w="882"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实施单位 （盖章）</w:t>
            </w:r>
          </w:p>
        </w:tc>
        <w:tc>
          <w:tcPr>
            <w:tcW w:w="250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茂县残疾人联合会（行政）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2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项目基本情况</w:t>
            </w: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1.项目年度目标完成情况</w:t>
            </w:r>
          </w:p>
        </w:tc>
        <w:tc>
          <w:tcPr>
            <w:tcW w:w="3779"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项目年度目标</w:t>
            </w:r>
          </w:p>
        </w:tc>
        <w:tc>
          <w:tcPr>
            <w:tcW w:w="250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8"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3779"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根据阿州残2022年13号文件净土阿坝自强助学残疾人学生助学工程实施方案开展残疾人学生助学工作。</w:t>
            </w:r>
          </w:p>
        </w:tc>
        <w:tc>
          <w:tcPr>
            <w:tcW w:w="250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已按照目标任务完成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2.项目实施内容及过程概述</w:t>
            </w:r>
          </w:p>
        </w:tc>
        <w:tc>
          <w:tcPr>
            <w:tcW w:w="6280"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我会严格按照2025年中央和省、州级财政残疾人事业发展补助资金按实施进度拨付资金。按照上级下达的资金分配方法进行分配：2025年中央和省、州级财政残疾人事业发展补助项目“净土阿坝、自强助学”工程县级补助资金5.5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2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预算执行情况（10分）</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年度预算数（万元）</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年初预算</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调整后预算数</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预算执行数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预算执行率</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权重</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得分</w:t>
            </w: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总额</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5.50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5.50</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5.50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其中：财政资金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5.50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5.50</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5.50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财政专户管理资金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单位资金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其他资金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绩效指标（90分）</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一级指标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二级指标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三级指标</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指标性质</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指标值</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度量单位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完成值</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权重</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得分</w:t>
            </w: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产出指标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数量指标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残疾学生人数</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68</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68</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质量指标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全额发放给残疾学生</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时效指标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项目完成时间</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2025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2025</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效益指标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社会效益指标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残疾人接受教育机会</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68</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68</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可持续发展指标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项目可持续发展的必要性</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满意度指标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服务对象满意度指标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残疾人及其家属满意度</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95</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满意度指标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残疾群体满意度</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成本指标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经济成本指标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项目的成本控制</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5.495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万元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5.495</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6010" w:type="dxa"/>
            <w:gridSpan w:val="11"/>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合计</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3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评价结论</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通过汇总、整理、分析2025年专项预算项目支出绩效评价指标体系，绩效目标基本实现，自评得分为89分。</w:t>
            </w:r>
          </w:p>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总体上看，项目决策依据充分，总体目标清晰，完成了2025年目标任务，通过实施残疾人发展项目，让残疾人的生活及家庭情况得到了一步的改善。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1"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存在问题</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改进措施</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我单位将进一步优化完善实施方案和绩效目标，加强运行监控，节约财政资金并提升资金效益，提升预算绩效管理水平。</w:t>
            </w:r>
          </w:p>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282"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131"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611"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81"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4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78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3"/>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393"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8511" w:type="dxa"/>
            <w:gridSpan w:val="1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部门预算项目支出绩效自评表（2025年度）六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项目名称</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51322325T000012929472-重度残疾人代缴城乡居民医疗保险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主管部门</w:t>
            </w:r>
          </w:p>
        </w:tc>
        <w:tc>
          <w:tcPr>
            <w:tcW w:w="3846"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茂县残联</w:t>
            </w:r>
          </w:p>
        </w:tc>
        <w:tc>
          <w:tcPr>
            <w:tcW w:w="882" w:type="dxa"/>
            <w:gridSpan w:val="2"/>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实施单位 （盖章）</w:t>
            </w:r>
          </w:p>
        </w:tc>
        <w:tc>
          <w:tcPr>
            <w:tcW w:w="250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茂县残疾人联合会（行政）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2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项目基本情况</w:t>
            </w: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1.项目年度目标完成情况</w:t>
            </w:r>
          </w:p>
        </w:tc>
        <w:tc>
          <w:tcPr>
            <w:tcW w:w="3779"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项目年度目标</w:t>
            </w:r>
          </w:p>
        </w:tc>
        <w:tc>
          <w:tcPr>
            <w:tcW w:w="250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3779"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我会严格按照2025年中央和省级财政残疾人事业发展补助资金按实施进度拨付资金。按照上级下达的资金分配方法进行分配：2025年中央和省、州级财政残疾人事业发展补助资金18.298万元</w:t>
            </w:r>
          </w:p>
        </w:tc>
        <w:tc>
          <w:tcPr>
            <w:tcW w:w="250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已按照目标任务完成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2.项目实施内容及过程概述</w:t>
            </w:r>
          </w:p>
        </w:tc>
        <w:tc>
          <w:tcPr>
            <w:tcW w:w="6280"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2025年中央和省、州级财政残疾人事业发展补贴项目实施后，提高了我县残疾人的医疗，加强了残疾人事业工作的连动性。为重度残疾人代缴城乡居民医疗保险是县残疾人事业发展的一部分，同时也是我县民生工程项目的一部分。通过项目实施，进一步提高了我县残疾人医疗生活水平质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2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预算执行情况（10分）</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年度预算数（万元）</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年初预算</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调整后预算数</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预算执行数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预算执行率</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权重</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得分</w:t>
            </w: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总额</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18.30</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18.30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其中：财政资金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18.30</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18.30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财政专户管理资金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单位资金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0.00%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其他资金</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20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2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82" w:type="dxa"/>
            <w:gridSpan w:val="2"/>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绩效指标（90分）</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一级指标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二级指标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三级指标</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指标性质</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指标值</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度量单位</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完成值</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权重</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得分</w:t>
            </w: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产出指标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数量指标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重度残疾人代缴城乡居民医疗保险</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850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850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15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产出指标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数量指标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 xml:space="preserve">重度残疾人代缴城乡居民医疗保险全额补助                                                                                                                                                                                                                                                                                                                                                                                                                                     </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15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产出指标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数量指标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完成时间</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2025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年</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2025</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效益指标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社会效益指标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项目可持续发展的必要性</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成本指标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经济成本指标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项目的成本控制</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18.298</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18.298</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10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满意度指标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服务对象满意度指标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残疾人或其家属对残疾人康复服务的满意度</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满意度指标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帮扶对象满意度指标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残疾群体满意度</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90</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5</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282" w:type="dxa"/>
            <w:gridSpan w:val="2"/>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成本指标</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经济成本指标</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项目的成本控制</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w:t>
            </w:r>
          </w:p>
        </w:tc>
        <w:tc>
          <w:tcPr>
            <w:tcW w:w="58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5.495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万元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5.495</w:t>
            </w:r>
          </w:p>
        </w:tc>
        <w:tc>
          <w:tcPr>
            <w:tcW w:w="8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default" w:ascii="宋体" w:hAnsi="宋体" w:eastAsia="宋体" w:cs="宋体"/>
                <w:i w:val="0"/>
                <w:iCs w:val="0"/>
                <w:color w:val="000000"/>
                <w:kern w:val="0"/>
                <w:sz w:val="12"/>
                <w:szCs w:val="12"/>
                <w:u w:val="none"/>
                <w:lang w:val="en-US" w:eastAsia="zh-CN" w:bidi="ar"/>
              </w:rPr>
              <w:t>20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6010" w:type="dxa"/>
            <w:gridSpan w:val="11"/>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合计</w:t>
            </w:r>
          </w:p>
        </w:tc>
        <w:tc>
          <w:tcPr>
            <w:tcW w:w="80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100</w:t>
            </w:r>
          </w:p>
        </w:tc>
        <w:tc>
          <w:tcPr>
            <w:tcW w:w="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c>
          <w:tcPr>
            <w:tcW w:w="13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评价结论</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通过汇总、整理、分析2025年专项预算项目支出绩效评价指标体系，绩效目标基本实现，自评得分为89分。</w:t>
            </w:r>
          </w:p>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总体上看，项目决策依据充分，总体目标清晰，完成了2025年目标任务，通过实施残疾人发展项目，让残疾人的生活及家庭情况得到了一步的改善。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存在问题</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jc w:val="center"/>
        </w:trPr>
        <w:tc>
          <w:tcPr>
            <w:tcW w:w="12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改进措施</w:t>
            </w:r>
          </w:p>
        </w:tc>
        <w:tc>
          <w:tcPr>
            <w:tcW w:w="7229" w:type="dxa"/>
            <w:gridSpan w:val="1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宋体" w:hAnsi="宋体" w:eastAsia="宋体" w:cs="宋体"/>
                <w:i w:val="0"/>
                <w:iCs w:val="0"/>
                <w:color w:val="000000"/>
                <w:kern w:val="0"/>
                <w:sz w:val="12"/>
                <w:szCs w:val="12"/>
                <w:u w:val="none"/>
                <w:lang w:val="en-US" w:eastAsia="zh-CN" w:bidi="ar"/>
              </w:rPr>
            </w:pPr>
            <w:r>
              <w:rPr>
                <w:rFonts w:hint="eastAsia" w:ascii="宋体" w:hAnsi="宋体" w:eastAsia="宋体" w:cs="宋体"/>
                <w:i w:val="0"/>
                <w:iCs w:val="0"/>
                <w:color w:val="000000"/>
                <w:kern w:val="0"/>
                <w:sz w:val="12"/>
                <w:szCs w:val="12"/>
                <w:u w:val="none"/>
                <w:lang w:val="en-US" w:eastAsia="zh-CN" w:bidi="ar"/>
              </w:rPr>
              <w:t>我单位将进一步优化完善实施方案和绩效目标，加强运行监控，节约财政资金并提升资金效益，提升预算绩效管理水平。</w:t>
            </w:r>
          </w:p>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kern w:val="0"/>
                <w:sz w:val="12"/>
                <w:szCs w:val="12"/>
                <w:u w:val="none"/>
                <w:lang w:val="en-US" w:eastAsia="zh-CN" w:bidi="ar"/>
              </w:rPr>
            </w:pPr>
          </w:p>
        </w:tc>
      </w:tr>
      <w:bookmarkEnd w:id="78"/>
      <w:bookmarkEnd w:id="79"/>
    </w:tbl>
    <w:p>
      <w:pPr>
        <w:widowControl/>
        <w:jc w:val="both"/>
        <w:outlineLvl w:val="0"/>
        <w:rPr>
          <w:rFonts w:hint="eastAsia" w:ascii="黑体" w:hAnsi="黑体" w:eastAsia="黑体"/>
          <w:color w:val="auto"/>
          <w:sz w:val="44"/>
          <w:szCs w:val="44"/>
          <w:highlight w:val="none"/>
        </w:rPr>
      </w:pPr>
      <w:bookmarkStart w:id="80" w:name="_Toc18053"/>
    </w:p>
    <w:p>
      <w:pPr>
        <w:pStyle w:val="12"/>
        <w:rPr>
          <w:rFonts w:hint="eastAsia"/>
        </w:rPr>
      </w:pPr>
    </w:p>
    <w:p>
      <w:pPr>
        <w:widowControl/>
        <w:jc w:val="center"/>
        <w:outlineLvl w:val="0"/>
        <w:rPr>
          <w:rFonts w:hint="eastAsia" w:ascii="黑体" w:hAnsi="黑体" w:eastAsia="黑体"/>
          <w:color w:val="auto"/>
          <w:sz w:val="44"/>
          <w:szCs w:val="44"/>
          <w:highlight w:val="none"/>
        </w:rPr>
      </w:pPr>
    </w:p>
    <w:p>
      <w:pPr>
        <w:pStyle w:val="2"/>
        <w:rPr>
          <w:rFonts w:hint="eastAsia" w:ascii="Times New Roman" w:hAnsi="Times New Roman" w:eastAsia="仿宋_GB2312" w:cs="Times New Roman"/>
          <w:b w:val="0"/>
          <w:bCs w:val="0"/>
          <w:kern w:val="0"/>
          <w:position w:val="0"/>
          <w:sz w:val="32"/>
          <w:szCs w:val="32"/>
          <w:highlight w:val="none"/>
          <w:lang w:val="en-US" w:eastAsia="zh-CN" w:bidi="ar-SA"/>
        </w:rPr>
      </w:pPr>
    </w:p>
    <w:p>
      <w:pPr>
        <w:rPr>
          <w:rFonts w:hint="eastAsia"/>
          <w:lang w:val="en-US" w:eastAsia="zh-CN"/>
        </w:rPr>
      </w:pPr>
    </w:p>
    <w:p>
      <w:pPr>
        <w:pStyle w:val="2"/>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附件2:</w:t>
      </w:r>
    </w:p>
    <w:p>
      <w:pPr>
        <w:jc w:val="center"/>
        <w:rPr>
          <w:rFonts w:hint="eastAsia" w:eastAsia="仿宋_GB2312" w:cs="Times New Roman"/>
          <w:b w:val="0"/>
          <w:bCs w:val="0"/>
          <w:kern w:val="0"/>
          <w:position w:val="0"/>
          <w:sz w:val="32"/>
          <w:szCs w:val="32"/>
          <w:highlight w:val="none"/>
          <w:lang w:val="en-US" w:eastAsia="zh-CN" w:bidi="ar-SA"/>
        </w:rPr>
      </w:pPr>
      <w:r>
        <w:rPr>
          <w:rFonts w:hint="eastAsia" w:eastAsia="仿宋_GB2312" w:cs="Times New Roman"/>
          <w:b/>
          <w:bCs/>
          <w:kern w:val="0"/>
          <w:position w:val="0"/>
          <w:sz w:val="36"/>
          <w:szCs w:val="36"/>
          <w:highlight w:val="none"/>
          <w:lang w:val="en-US" w:eastAsia="zh-CN" w:bidi="ar-SA"/>
        </w:rPr>
        <w:t>专项预算项目绩效评价报告</w:t>
      </w:r>
    </w:p>
    <w:p>
      <w:pPr>
        <w:pStyle w:val="2"/>
        <w:jc w:val="center"/>
        <w:rPr>
          <w:rFonts w:hint="default"/>
          <w:lang w:val="en-US" w:eastAsia="zh-CN"/>
        </w:rPr>
      </w:pPr>
      <w:r>
        <w:rPr>
          <w:rFonts w:hint="eastAsia" w:eastAsia="仿宋_GB2312" w:cs="Times New Roman"/>
          <w:b w:val="0"/>
          <w:bCs w:val="0"/>
          <w:kern w:val="0"/>
          <w:position w:val="0"/>
          <w:sz w:val="32"/>
          <w:szCs w:val="32"/>
          <w:highlight w:val="none"/>
          <w:lang w:val="en-US" w:eastAsia="zh-CN" w:bidi="ar-SA"/>
        </w:rPr>
        <w:t>（本部门不涉及此类项目）</w:t>
      </w:r>
    </w:p>
    <w:p>
      <w:pPr>
        <w:widowControl/>
        <w:jc w:val="center"/>
        <w:outlineLvl w:val="0"/>
        <w:rPr>
          <w:rFonts w:hint="eastAsia" w:ascii="黑体" w:hAnsi="黑体" w:eastAsia="黑体"/>
          <w:color w:val="auto"/>
          <w:sz w:val="44"/>
          <w:szCs w:val="44"/>
          <w:highlight w:val="none"/>
        </w:rPr>
      </w:pPr>
    </w:p>
    <w:p>
      <w:pPr>
        <w:widowControl/>
        <w:jc w:val="center"/>
        <w:outlineLvl w:val="0"/>
        <w:rPr>
          <w:rFonts w:hint="eastAsia" w:ascii="黑体" w:hAnsi="黑体" w:eastAsia="黑体"/>
          <w:color w:val="auto"/>
          <w:sz w:val="44"/>
          <w:szCs w:val="44"/>
          <w:highlight w:val="none"/>
        </w:rPr>
      </w:pPr>
    </w:p>
    <w:p>
      <w:pPr>
        <w:widowControl/>
        <w:jc w:val="center"/>
        <w:outlineLvl w:val="0"/>
        <w:rPr>
          <w:rFonts w:hint="eastAsia" w:ascii="黑体" w:hAnsi="黑体" w:eastAsia="黑体"/>
          <w:color w:val="auto"/>
          <w:sz w:val="44"/>
          <w:szCs w:val="44"/>
          <w:highlight w:val="none"/>
        </w:rPr>
      </w:pPr>
    </w:p>
    <w:p>
      <w:pPr>
        <w:widowControl/>
        <w:jc w:val="center"/>
        <w:outlineLvl w:val="0"/>
        <w:rPr>
          <w:rFonts w:hint="eastAsia" w:ascii="黑体" w:hAnsi="黑体" w:eastAsia="黑体"/>
          <w:color w:val="auto"/>
          <w:sz w:val="44"/>
          <w:szCs w:val="44"/>
          <w:highlight w:val="none"/>
        </w:rPr>
      </w:pPr>
    </w:p>
    <w:p>
      <w:pPr>
        <w:widowControl/>
        <w:jc w:val="center"/>
        <w:outlineLvl w:val="0"/>
        <w:rPr>
          <w:rFonts w:hint="eastAsia" w:ascii="黑体" w:hAnsi="黑体" w:eastAsia="黑体"/>
          <w:color w:val="auto"/>
          <w:sz w:val="44"/>
          <w:szCs w:val="44"/>
          <w:highlight w:val="none"/>
        </w:rPr>
      </w:pPr>
    </w:p>
    <w:p>
      <w:pPr>
        <w:widowControl/>
        <w:jc w:val="center"/>
        <w:outlineLvl w:val="0"/>
        <w:rPr>
          <w:rFonts w:hint="eastAsia" w:ascii="黑体" w:hAnsi="黑体" w:eastAsia="黑体"/>
          <w:color w:val="auto"/>
          <w:sz w:val="44"/>
          <w:szCs w:val="44"/>
          <w:highlight w:val="none"/>
        </w:rPr>
      </w:pPr>
    </w:p>
    <w:p>
      <w:pPr>
        <w:widowControl/>
        <w:jc w:val="center"/>
        <w:outlineLvl w:val="0"/>
        <w:rPr>
          <w:rFonts w:hint="eastAsia" w:ascii="黑体" w:hAnsi="黑体" w:eastAsia="黑体"/>
          <w:color w:val="auto"/>
          <w:sz w:val="44"/>
          <w:szCs w:val="44"/>
          <w:highlight w:val="none"/>
        </w:rPr>
      </w:pPr>
    </w:p>
    <w:p>
      <w:pPr>
        <w:widowControl/>
        <w:jc w:val="center"/>
        <w:outlineLvl w:val="0"/>
        <w:rPr>
          <w:rFonts w:hint="eastAsia" w:ascii="黑体" w:hAnsi="黑体" w:eastAsia="黑体"/>
          <w:color w:val="auto"/>
          <w:sz w:val="44"/>
          <w:szCs w:val="44"/>
          <w:highlight w:val="none"/>
        </w:rPr>
      </w:pPr>
    </w:p>
    <w:p>
      <w:pPr>
        <w:widowControl/>
        <w:jc w:val="center"/>
        <w:outlineLvl w:val="0"/>
        <w:rPr>
          <w:rFonts w:hint="eastAsia" w:ascii="黑体" w:hAnsi="黑体" w:eastAsia="黑体"/>
          <w:color w:val="auto"/>
          <w:sz w:val="44"/>
          <w:szCs w:val="44"/>
          <w:highlight w:val="none"/>
        </w:rPr>
      </w:pPr>
    </w:p>
    <w:p>
      <w:pPr>
        <w:widowControl/>
        <w:jc w:val="center"/>
        <w:outlineLvl w:val="0"/>
        <w:rPr>
          <w:rFonts w:hint="eastAsia" w:ascii="黑体" w:hAnsi="黑体" w:eastAsia="黑体"/>
          <w:color w:val="auto"/>
          <w:sz w:val="44"/>
          <w:szCs w:val="44"/>
          <w:highlight w:val="none"/>
        </w:rPr>
      </w:pPr>
    </w:p>
    <w:p>
      <w:pPr>
        <w:widowControl/>
        <w:jc w:val="center"/>
        <w:outlineLvl w:val="0"/>
        <w:rPr>
          <w:rFonts w:hint="eastAsia" w:ascii="黑体" w:hAnsi="黑体" w:eastAsia="黑体"/>
          <w:color w:val="auto"/>
          <w:sz w:val="44"/>
          <w:szCs w:val="44"/>
          <w:highlight w:val="none"/>
        </w:rPr>
      </w:pPr>
    </w:p>
    <w:p>
      <w:pPr>
        <w:widowControl/>
        <w:jc w:val="center"/>
        <w:outlineLvl w:val="0"/>
        <w:rPr>
          <w:rFonts w:hint="eastAsia" w:ascii="黑体" w:hAnsi="黑体" w:eastAsia="黑体"/>
          <w:color w:val="auto"/>
          <w:sz w:val="44"/>
          <w:szCs w:val="44"/>
          <w:highlight w:val="none"/>
        </w:rPr>
      </w:pPr>
    </w:p>
    <w:p>
      <w:pPr>
        <w:widowControl/>
        <w:jc w:val="center"/>
        <w:outlineLvl w:val="0"/>
        <w:rPr>
          <w:rFonts w:hint="eastAsia" w:ascii="黑体" w:hAnsi="黑体" w:eastAsia="黑体"/>
          <w:color w:val="auto"/>
          <w:sz w:val="44"/>
          <w:szCs w:val="44"/>
          <w:highlight w:val="none"/>
        </w:rPr>
      </w:pPr>
    </w:p>
    <w:p>
      <w:pPr>
        <w:widowControl/>
        <w:jc w:val="center"/>
        <w:outlineLvl w:val="0"/>
        <w:rPr>
          <w:rFonts w:hint="eastAsia" w:ascii="黑体" w:hAnsi="黑体" w:eastAsia="黑体"/>
          <w:color w:val="auto"/>
          <w:sz w:val="44"/>
          <w:szCs w:val="44"/>
          <w:highlight w:val="none"/>
        </w:rPr>
      </w:pPr>
    </w:p>
    <w:p>
      <w:pPr>
        <w:widowControl/>
        <w:jc w:val="center"/>
        <w:outlineLvl w:val="0"/>
        <w:rPr>
          <w:rFonts w:hint="eastAsia" w:ascii="黑体" w:hAnsi="黑体" w:eastAsia="黑体"/>
          <w:color w:val="auto"/>
          <w:sz w:val="44"/>
          <w:szCs w:val="44"/>
          <w:highlight w:val="none"/>
        </w:rPr>
      </w:pPr>
    </w:p>
    <w:p>
      <w:pPr>
        <w:widowControl/>
        <w:jc w:val="center"/>
        <w:outlineLvl w:val="0"/>
        <w:rPr>
          <w:rFonts w:hint="eastAsia" w:ascii="黑体" w:hAnsi="黑体" w:eastAsia="黑体"/>
          <w:color w:val="auto"/>
          <w:sz w:val="44"/>
          <w:szCs w:val="44"/>
          <w:highlight w:val="none"/>
        </w:rPr>
      </w:pPr>
    </w:p>
    <w:p>
      <w:pPr>
        <w:widowControl/>
        <w:jc w:val="center"/>
        <w:outlineLvl w:val="0"/>
        <w:rPr>
          <w:rFonts w:hint="eastAsia" w:ascii="黑体" w:hAnsi="黑体" w:eastAsia="黑体"/>
          <w:color w:val="auto"/>
          <w:sz w:val="44"/>
          <w:szCs w:val="44"/>
          <w:highlight w:val="none"/>
        </w:rPr>
      </w:pPr>
    </w:p>
    <w:p>
      <w:pPr>
        <w:widowControl/>
        <w:jc w:val="center"/>
        <w:outlineLvl w:val="0"/>
        <w:rPr>
          <w:rFonts w:hint="eastAsia" w:ascii="黑体" w:hAnsi="黑体" w:eastAsia="黑体"/>
          <w:color w:val="auto"/>
          <w:sz w:val="44"/>
          <w:szCs w:val="44"/>
          <w:highlight w:val="none"/>
        </w:rPr>
      </w:pPr>
    </w:p>
    <w:p>
      <w:pPr>
        <w:widowControl/>
        <w:jc w:val="center"/>
        <w:outlineLvl w:val="0"/>
        <w:rPr>
          <w:rFonts w:hint="eastAsia" w:ascii="仿宋" w:hAnsi="仿宋" w:eastAsia="仿宋"/>
          <w:b w:val="0"/>
          <w:color w:val="auto"/>
          <w:highlight w:val="none"/>
        </w:rPr>
      </w:pPr>
      <w:bookmarkStart w:id="81" w:name="_Toc13511"/>
      <w:r>
        <w:rPr>
          <w:rFonts w:hint="eastAsia" w:ascii="黑体" w:hAnsi="黑体" w:eastAsia="黑体"/>
          <w:color w:val="auto"/>
          <w:sz w:val="44"/>
          <w:szCs w:val="44"/>
          <w:highlight w:val="none"/>
        </w:rPr>
        <w:t>第</w:t>
      </w:r>
      <w:r>
        <w:rPr>
          <w:rStyle w:val="20"/>
          <w:rFonts w:hint="eastAsia" w:ascii="黑体" w:hAnsi="黑体" w:eastAsia="黑体"/>
          <w:b w:val="0"/>
          <w:color w:val="auto"/>
          <w:highlight w:val="none"/>
        </w:rPr>
        <w:t>五部分附表</w:t>
      </w:r>
      <w:bookmarkEnd w:id="68"/>
      <w:bookmarkEnd w:id="76"/>
      <w:bookmarkEnd w:id="80"/>
      <w:bookmarkEnd w:id="81"/>
      <w:bookmarkStart w:id="82" w:name="_Toc15396619"/>
    </w:p>
    <w:p>
      <w:pPr>
        <w:pStyle w:val="4"/>
        <w:rPr>
          <w:rFonts w:ascii="仿宋" w:hAnsi="仿宋" w:eastAsia="仿宋"/>
          <w:color w:val="auto"/>
          <w:highlight w:val="none"/>
        </w:rPr>
      </w:pPr>
      <w:bookmarkStart w:id="83" w:name="_Toc24054"/>
      <w:bookmarkStart w:id="84" w:name="_Toc10562"/>
      <w:r>
        <w:rPr>
          <w:rFonts w:hint="eastAsia" w:ascii="仿宋" w:hAnsi="仿宋" w:eastAsia="仿宋"/>
          <w:b w:val="0"/>
          <w:color w:val="auto"/>
          <w:highlight w:val="none"/>
        </w:rPr>
        <w:t>一、收</w:t>
      </w:r>
      <w:r>
        <w:rPr>
          <w:rStyle w:val="21"/>
          <w:rFonts w:hint="eastAsia" w:ascii="仿宋" w:hAnsi="仿宋" w:eastAsia="仿宋"/>
          <w:b w:val="0"/>
          <w:bCs w:val="0"/>
          <w:color w:val="auto"/>
          <w:highlight w:val="none"/>
        </w:rPr>
        <w:t>入支出决算总表</w:t>
      </w:r>
      <w:bookmarkEnd w:id="82"/>
      <w:bookmarkEnd w:id="83"/>
      <w:bookmarkEnd w:id="84"/>
    </w:p>
    <w:p>
      <w:pPr>
        <w:pStyle w:val="4"/>
        <w:rPr>
          <w:rFonts w:ascii="仿宋" w:hAnsi="仿宋" w:eastAsia="仿宋"/>
          <w:color w:val="auto"/>
          <w:highlight w:val="none"/>
        </w:rPr>
      </w:pPr>
      <w:bookmarkStart w:id="85" w:name="_Toc15668"/>
      <w:bookmarkStart w:id="86" w:name="_Toc15396620"/>
      <w:bookmarkStart w:id="87" w:name="_Toc7041"/>
      <w:r>
        <w:rPr>
          <w:rFonts w:hint="eastAsia" w:ascii="仿宋" w:hAnsi="仿宋" w:eastAsia="仿宋"/>
          <w:b w:val="0"/>
          <w:color w:val="auto"/>
          <w:highlight w:val="none"/>
        </w:rPr>
        <w:t>二、收</w:t>
      </w:r>
      <w:r>
        <w:rPr>
          <w:rStyle w:val="21"/>
          <w:rFonts w:hint="eastAsia" w:ascii="仿宋" w:hAnsi="仿宋" w:eastAsia="仿宋"/>
          <w:b w:val="0"/>
          <w:bCs w:val="0"/>
          <w:color w:val="auto"/>
          <w:highlight w:val="none"/>
        </w:rPr>
        <w:t>入决算表</w:t>
      </w:r>
      <w:bookmarkEnd w:id="85"/>
      <w:bookmarkEnd w:id="86"/>
      <w:bookmarkEnd w:id="87"/>
    </w:p>
    <w:p>
      <w:pPr>
        <w:pStyle w:val="4"/>
        <w:rPr>
          <w:rFonts w:ascii="仿宋" w:hAnsi="仿宋" w:eastAsia="仿宋"/>
          <w:color w:val="auto"/>
          <w:highlight w:val="none"/>
        </w:rPr>
      </w:pPr>
      <w:bookmarkStart w:id="88" w:name="_Toc25811"/>
      <w:bookmarkStart w:id="89" w:name="_Toc15396621"/>
      <w:bookmarkStart w:id="90" w:name="_Toc1418"/>
      <w:r>
        <w:rPr>
          <w:rStyle w:val="21"/>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21"/>
          <w:rFonts w:hint="eastAsia" w:ascii="仿宋" w:hAnsi="仿宋" w:eastAsia="仿宋"/>
          <w:b w:val="0"/>
          <w:bCs w:val="0"/>
          <w:color w:val="auto"/>
          <w:highlight w:val="none"/>
        </w:rPr>
        <w:t>出决算表</w:t>
      </w:r>
      <w:bookmarkEnd w:id="88"/>
      <w:bookmarkEnd w:id="89"/>
      <w:bookmarkEnd w:id="90"/>
    </w:p>
    <w:p>
      <w:pPr>
        <w:pStyle w:val="4"/>
        <w:rPr>
          <w:rFonts w:ascii="仿宋" w:hAnsi="仿宋" w:eastAsia="仿宋"/>
          <w:b w:val="0"/>
          <w:color w:val="auto"/>
          <w:highlight w:val="none"/>
        </w:rPr>
      </w:pPr>
      <w:bookmarkStart w:id="91" w:name="_Toc6747"/>
      <w:bookmarkStart w:id="92" w:name="_Toc15396622"/>
      <w:bookmarkStart w:id="93" w:name="_Toc22280"/>
      <w:r>
        <w:rPr>
          <w:rStyle w:val="21"/>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21"/>
          <w:rFonts w:hint="eastAsia" w:ascii="仿宋" w:hAnsi="仿宋" w:eastAsia="仿宋"/>
          <w:b w:val="0"/>
          <w:bCs w:val="0"/>
          <w:color w:val="auto"/>
          <w:highlight w:val="none"/>
        </w:rPr>
        <w:t>政拨款收入支出决算总表</w:t>
      </w:r>
      <w:bookmarkEnd w:id="91"/>
      <w:bookmarkEnd w:id="92"/>
      <w:bookmarkEnd w:id="93"/>
    </w:p>
    <w:p>
      <w:pPr>
        <w:pStyle w:val="4"/>
        <w:rPr>
          <w:rStyle w:val="21"/>
          <w:rFonts w:ascii="仿宋" w:hAnsi="仿宋" w:eastAsia="仿宋"/>
          <w:b w:val="0"/>
          <w:bCs w:val="0"/>
          <w:color w:val="auto"/>
          <w:highlight w:val="none"/>
        </w:rPr>
      </w:pPr>
      <w:bookmarkStart w:id="94" w:name="_Toc15396623"/>
      <w:bookmarkStart w:id="95" w:name="_Toc3323"/>
      <w:bookmarkStart w:id="96" w:name="_Toc12345"/>
      <w:r>
        <w:rPr>
          <w:rStyle w:val="21"/>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21"/>
          <w:rFonts w:hint="eastAsia" w:ascii="仿宋" w:hAnsi="仿宋" w:eastAsia="仿宋"/>
          <w:b w:val="0"/>
          <w:bCs w:val="0"/>
          <w:color w:val="auto"/>
          <w:highlight w:val="none"/>
        </w:rPr>
        <w:t>政拨款支出决算明细表</w:t>
      </w:r>
      <w:bookmarkEnd w:id="94"/>
      <w:bookmarkEnd w:id="95"/>
      <w:bookmarkEnd w:id="96"/>
      <w:bookmarkStart w:id="97" w:name="_Toc15396624"/>
    </w:p>
    <w:p>
      <w:pPr>
        <w:pStyle w:val="4"/>
        <w:rPr>
          <w:rFonts w:ascii="仿宋" w:hAnsi="仿宋" w:eastAsia="仿宋"/>
          <w:color w:val="auto"/>
          <w:highlight w:val="none"/>
        </w:rPr>
      </w:pPr>
      <w:bookmarkStart w:id="98" w:name="_Toc19054"/>
      <w:bookmarkStart w:id="99" w:name="_Toc11793"/>
      <w:r>
        <w:rPr>
          <w:rStyle w:val="21"/>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21"/>
          <w:rFonts w:hint="eastAsia" w:ascii="仿宋" w:hAnsi="仿宋" w:eastAsia="仿宋"/>
          <w:b w:val="0"/>
          <w:bCs w:val="0"/>
          <w:color w:val="auto"/>
          <w:highlight w:val="none"/>
        </w:rPr>
        <w:t>般公共预算财政拨款支出决算表</w:t>
      </w:r>
      <w:bookmarkEnd w:id="97"/>
      <w:bookmarkEnd w:id="98"/>
      <w:bookmarkEnd w:id="99"/>
    </w:p>
    <w:p>
      <w:pPr>
        <w:pStyle w:val="4"/>
        <w:rPr>
          <w:rFonts w:ascii="仿宋" w:hAnsi="仿宋" w:eastAsia="仿宋"/>
          <w:color w:val="auto"/>
          <w:highlight w:val="none"/>
        </w:rPr>
      </w:pPr>
      <w:bookmarkStart w:id="100" w:name="_Toc15396625"/>
      <w:bookmarkStart w:id="101" w:name="_Toc31601"/>
      <w:bookmarkStart w:id="102" w:name="_Toc10964"/>
      <w:r>
        <w:rPr>
          <w:rStyle w:val="21"/>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21"/>
          <w:rFonts w:hint="eastAsia" w:ascii="仿宋" w:hAnsi="仿宋" w:eastAsia="仿宋"/>
          <w:b w:val="0"/>
          <w:bCs w:val="0"/>
          <w:color w:val="auto"/>
          <w:highlight w:val="none"/>
        </w:rPr>
        <w:t>般公共预算财政拨款支出决算明细表</w:t>
      </w:r>
      <w:bookmarkEnd w:id="100"/>
      <w:bookmarkEnd w:id="101"/>
      <w:bookmarkEnd w:id="102"/>
    </w:p>
    <w:p>
      <w:pPr>
        <w:pStyle w:val="4"/>
        <w:rPr>
          <w:rFonts w:ascii="仿宋" w:hAnsi="仿宋" w:eastAsia="仿宋"/>
          <w:color w:val="auto"/>
          <w:highlight w:val="none"/>
        </w:rPr>
      </w:pPr>
      <w:bookmarkStart w:id="103" w:name="_Toc15396626"/>
      <w:bookmarkStart w:id="104" w:name="_Toc30014"/>
      <w:bookmarkStart w:id="105" w:name="_Toc21788"/>
      <w:r>
        <w:rPr>
          <w:rStyle w:val="21"/>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21"/>
          <w:rFonts w:hint="eastAsia" w:ascii="仿宋" w:hAnsi="仿宋" w:eastAsia="仿宋"/>
          <w:b w:val="0"/>
          <w:bCs w:val="0"/>
          <w:color w:val="auto"/>
          <w:highlight w:val="none"/>
        </w:rPr>
        <w:t>般公共预算财政拨款基本支出决算表</w:t>
      </w:r>
      <w:bookmarkEnd w:id="103"/>
      <w:bookmarkEnd w:id="104"/>
      <w:bookmarkEnd w:id="105"/>
    </w:p>
    <w:p>
      <w:pPr>
        <w:pStyle w:val="4"/>
        <w:rPr>
          <w:rFonts w:ascii="仿宋" w:hAnsi="仿宋" w:eastAsia="仿宋"/>
          <w:color w:val="auto"/>
          <w:highlight w:val="none"/>
        </w:rPr>
      </w:pPr>
      <w:bookmarkStart w:id="106" w:name="_Toc18343"/>
      <w:bookmarkStart w:id="107" w:name="_Toc15396627"/>
      <w:bookmarkStart w:id="108" w:name="_Toc10523"/>
      <w:r>
        <w:rPr>
          <w:rStyle w:val="21"/>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21"/>
          <w:rFonts w:hint="eastAsia" w:ascii="仿宋" w:hAnsi="仿宋" w:eastAsia="仿宋"/>
          <w:b w:val="0"/>
          <w:bCs w:val="0"/>
          <w:color w:val="auto"/>
          <w:highlight w:val="none"/>
        </w:rPr>
        <w:t>般公共预算财政拨款项目支出决算表</w:t>
      </w:r>
      <w:bookmarkEnd w:id="106"/>
      <w:bookmarkEnd w:id="107"/>
      <w:bookmarkEnd w:id="108"/>
    </w:p>
    <w:p>
      <w:pPr>
        <w:pStyle w:val="4"/>
        <w:rPr>
          <w:rFonts w:ascii="仿宋" w:hAnsi="仿宋" w:eastAsia="仿宋"/>
          <w:color w:val="auto"/>
          <w:highlight w:val="none"/>
        </w:rPr>
      </w:pPr>
      <w:bookmarkStart w:id="109" w:name="_Toc15396628"/>
      <w:bookmarkStart w:id="110" w:name="_Toc4710"/>
      <w:bookmarkStart w:id="111" w:name="_Toc25237"/>
      <w:r>
        <w:rPr>
          <w:rStyle w:val="21"/>
          <w:rFonts w:hint="eastAsia" w:ascii="仿宋" w:hAnsi="仿宋" w:eastAsia="仿宋"/>
          <w:b w:val="0"/>
          <w:bCs w:val="0"/>
          <w:color w:val="auto"/>
          <w:highlight w:val="none"/>
        </w:rPr>
        <w:t>十、</w:t>
      </w:r>
      <w:bookmarkEnd w:id="109"/>
      <w:r>
        <w:rPr>
          <w:rFonts w:hint="eastAsia" w:ascii="仿宋" w:hAnsi="仿宋" w:eastAsia="仿宋"/>
          <w:b w:val="0"/>
          <w:color w:val="auto"/>
          <w:highlight w:val="none"/>
        </w:rPr>
        <w:t>政</w:t>
      </w:r>
      <w:r>
        <w:rPr>
          <w:rStyle w:val="21"/>
          <w:rFonts w:hint="eastAsia" w:ascii="仿宋" w:hAnsi="仿宋" w:eastAsia="仿宋"/>
          <w:b w:val="0"/>
          <w:bCs w:val="0"/>
          <w:color w:val="auto"/>
          <w:highlight w:val="none"/>
        </w:rPr>
        <w:t>府性基金预算财政拨款收入支出决算表</w:t>
      </w:r>
      <w:bookmarkEnd w:id="110"/>
      <w:bookmarkEnd w:id="111"/>
    </w:p>
    <w:p>
      <w:pPr>
        <w:pStyle w:val="4"/>
        <w:rPr>
          <w:rFonts w:ascii="仿宋" w:hAnsi="仿宋" w:eastAsia="仿宋"/>
          <w:color w:val="auto"/>
          <w:highlight w:val="none"/>
        </w:rPr>
      </w:pPr>
      <w:bookmarkStart w:id="112" w:name="_Toc15396629"/>
      <w:bookmarkStart w:id="113" w:name="_Toc9865"/>
      <w:bookmarkStart w:id="114" w:name="_Toc19790"/>
      <w:r>
        <w:rPr>
          <w:rStyle w:val="21"/>
          <w:rFonts w:hint="eastAsia" w:ascii="仿宋" w:hAnsi="仿宋" w:eastAsia="仿宋"/>
          <w:b w:val="0"/>
          <w:bCs w:val="0"/>
          <w:color w:val="auto"/>
          <w:highlight w:val="none"/>
        </w:rPr>
        <w:t>十一、</w:t>
      </w:r>
      <w:bookmarkEnd w:id="112"/>
      <w:r>
        <w:rPr>
          <w:rFonts w:hint="eastAsia" w:ascii="仿宋" w:hAnsi="仿宋" w:eastAsia="仿宋"/>
          <w:b w:val="0"/>
          <w:color w:val="auto"/>
          <w:highlight w:val="none"/>
        </w:rPr>
        <w:t>国</w:t>
      </w:r>
      <w:r>
        <w:rPr>
          <w:rStyle w:val="21"/>
          <w:rFonts w:hint="eastAsia" w:ascii="仿宋" w:hAnsi="仿宋" w:eastAsia="仿宋"/>
          <w:b w:val="0"/>
          <w:bCs w:val="0"/>
          <w:color w:val="auto"/>
          <w:highlight w:val="none"/>
        </w:rPr>
        <w:t>有资本经营预算</w:t>
      </w:r>
      <w:r>
        <w:rPr>
          <w:rStyle w:val="21"/>
          <w:rFonts w:hint="eastAsia" w:ascii="仿宋" w:hAnsi="仿宋" w:eastAsia="仿宋"/>
          <w:b w:val="0"/>
          <w:bCs w:val="0"/>
          <w:color w:val="auto"/>
          <w:highlight w:val="none"/>
          <w:lang w:eastAsia="zh-CN"/>
        </w:rPr>
        <w:t>财政拨款收入</w:t>
      </w:r>
      <w:r>
        <w:rPr>
          <w:rStyle w:val="21"/>
          <w:rFonts w:hint="eastAsia" w:ascii="仿宋" w:hAnsi="仿宋" w:eastAsia="仿宋"/>
          <w:b w:val="0"/>
          <w:bCs w:val="0"/>
          <w:color w:val="auto"/>
          <w:highlight w:val="none"/>
        </w:rPr>
        <w:t>支出决算表</w:t>
      </w:r>
      <w:bookmarkEnd w:id="113"/>
      <w:bookmarkEnd w:id="114"/>
    </w:p>
    <w:p>
      <w:pPr>
        <w:pStyle w:val="4"/>
        <w:rPr>
          <w:rFonts w:ascii="仿宋" w:hAnsi="仿宋" w:eastAsia="仿宋"/>
          <w:color w:val="auto"/>
          <w:highlight w:val="none"/>
        </w:rPr>
      </w:pPr>
      <w:bookmarkStart w:id="115" w:name="_Toc15396630"/>
      <w:bookmarkStart w:id="116" w:name="_Toc5921"/>
      <w:bookmarkStart w:id="117" w:name="_Toc26606"/>
      <w:r>
        <w:rPr>
          <w:rStyle w:val="21"/>
          <w:rFonts w:hint="eastAsia" w:ascii="仿宋" w:hAnsi="仿宋" w:eastAsia="仿宋"/>
          <w:b w:val="0"/>
          <w:bCs w:val="0"/>
          <w:color w:val="auto"/>
          <w:highlight w:val="none"/>
        </w:rPr>
        <w:t>十二、</w:t>
      </w:r>
      <w:bookmarkEnd w:id="115"/>
      <w:r>
        <w:rPr>
          <w:rStyle w:val="21"/>
          <w:rFonts w:hint="eastAsia" w:ascii="仿宋" w:hAnsi="仿宋" w:eastAsia="仿宋"/>
          <w:b w:val="0"/>
          <w:bCs w:val="0"/>
          <w:color w:val="auto"/>
          <w:highlight w:val="none"/>
          <w:lang w:eastAsia="zh-CN"/>
        </w:rPr>
        <w:t>国有资本经营预算财政拨款支出决算表</w:t>
      </w:r>
      <w:bookmarkEnd w:id="116"/>
      <w:bookmarkEnd w:id="117"/>
    </w:p>
    <w:p>
      <w:pPr>
        <w:pStyle w:val="4"/>
        <w:rPr>
          <w:rStyle w:val="21"/>
          <w:rFonts w:hint="eastAsia" w:ascii="仿宋" w:hAnsi="仿宋" w:eastAsia="仿宋"/>
          <w:b w:val="0"/>
          <w:bCs w:val="0"/>
          <w:color w:val="auto"/>
          <w:highlight w:val="none"/>
          <w:lang w:eastAsia="zh-CN"/>
        </w:rPr>
      </w:pPr>
      <w:bookmarkStart w:id="118" w:name="_Toc15396631"/>
      <w:bookmarkStart w:id="119" w:name="_Toc24559"/>
      <w:bookmarkStart w:id="120" w:name="_Toc26358"/>
      <w:r>
        <w:rPr>
          <w:rStyle w:val="21"/>
          <w:rFonts w:hint="eastAsia" w:ascii="仿宋" w:hAnsi="仿宋" w:eastAsia="仿宋"/>
          <w:b w:val="0"/>
          <w:bCs w:val="0"/>
          <w:color w:val="auto"/>
          <w:highlight w:val="none"/>
        </w:rPr>
        <w:t>十三、</w:t>
      </w:r>
      <w:bookmarkEnd w:id="118"/>
      <w:r>
        <w:rPr>
          <w:rStyle w:val="21"/>
          <w:rFonts w:hint="eastAsia" w:ascii="仿宋" w:hAnsi="仿宋" w:eastAsia="仿宋"/>
          <w:b w:val="0"/>
          <w:bCs w:val="0"/>
          <w:color w:val="auto"/>
          <w:highlight w:val="none"/>
          <w:lang w:eastAsia="zh-CN"/>
        </w:rPr>
        <w:t>财政拨款“三公”经费支出决算表</w:t>
      </w:r>
      <w:bookmarkEnd w:id="119"/>
      <w:bookmarkEnd w:id="120"/>
    </w:p>
    <w:p/>
    <w:p/>
    <w:sectPr>
      <w:footerReference r:id="rId5" w:type="default"/>
      <w:pgSz w:w="11906" w:h="16838"/>
      <w:pgMar w:top="1440" w:right="1800" w:bottom="1440" w:left="1800" w:header="720" w:footer="720"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
    <w:altName w:val="文泉驿微米黑"/>
    <w:panose1 w:val="00000000000000000000"/>
    <w:charset w:val="00"/>
    <w:family w:val="roman"/>
    <w:pitch w:val="default"/>
    <w:sig w:usb0="00000000" w:usb1="00000000" w:usb2="00000000" w:usb3="00000000" w:csb0="00040001" w:csb1="00000000"/>
  </w:font>
  <w:font w:name="方正小标宋简体">
    <w:panose1 w:val="03000509000000000000"/>
    <w:charset w:val="86"/>
    <w:family w:val="script"/>
    <w:pitch w:val="default"/>
    <w:sig w:usb0="00000001" w:usb1="080E0000" w:usb2="00000000" w:usb3="00000000" w:csb0="00040000" w:csb1="00000000"/>
  </w:font>
  <w:font w:name="思源黑体 CN Normal">
    <w:altName w:val="黑体"/>
    <w:panose1 w:val="020B0400000000000000"/>
    <w:charset w:val="00"/>
    <w:family w:val="auto"/>
    <w:pitch w:val="default"/>
    <w:sig w:usb0="00000000" w:usb1="00000000" w:usb2="00000016" w:usb3="00000000" w:csb0="60060107"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Dkov7PyAEAAJkDAAAOAAAAAAAA&#10;AAEAIAAAADQBAABkcnMvZTJvRG9jLnhtbFBLBQYAAAAABgAGAFkBAABuBQ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PQJJ5fHAQAAmQMAAA4AAAAAAAAA&#10;AQAgAAAANAEAAGRycy9lMm9Eb2MueG1sUEsFBgAAAAAGAAYAWQEAAG0FA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D528C0"/>
    <w:multiLevelType w:val="singleLevel"/>
    <w:tmpl w:val="9AD528C0"/>
    <w:lvl w:ilvl="0" w:tentative="0">
      <w:start w:val="2"/>
      <w:numFmt w:val="chineseCounting"/>
      <w:suff w:val="nothing"/>
      <w:lvlText w:val="（%1）"/>
      <w:lvlJc w:val="left"/>
      <w:rPr>
        <w:rFonts w:hint="eastAsia"/>
      </w:rPr>
    </w:lvl>
  </w:abstractNum>
  <w:abstractNum w:abstractNumId="1">
    <w:nsid w:val="D6DD02FD"/>
    <w:multiLevelType w:val="singleLevel"/>
    <w:tmpl w:val="D6DD02FD"/>
    <w:lvl w:ilvl="0" w:tentative="0">
      <w:start w:val="3"/>
      <w:numFmt w:val="decimal"/>
      <w:lvlText w:val="%1."/>
      <w:lvlJc w:val="left"/>
      <w:pPr>
        <w:tabs>
          <w:tab w:val="left" w:pos="312"/>
        </w:tabs>
      </w:p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07E781A4"/>
    <w:multiLevelType w:val="singleLevel"/>
    <w:tmpl w:val="07E781A4"/>
    <w:lvl w:ilvl="0" w:tentative="0">
      <w:start w:val="2"/>
      <w:numFmt w:val="chineseCounting"/>
      <w:suff w:val="nothing"/>
      <w:lvlText w:val="（%1）"/>
      <w:lvlJc w:val="left"/>
      <w:pPr>
        <w:ind w:left="0" w:firstLine="0"/>
      </w:pPr>
      <w:rPr>
        <w:rFonts w:hint="eastAsia"/>
      </w:rPr>
    </w:lvl>
  </w:abstractNum>
  <w:abstractNum w:abstractNumId="4">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C40A39"/>
    <w:rsid w:val="0E3E4062"/>
    <w:rsid w:val="15282E67"/>
    <w:rsid w:val="19773670"/>
    <w:rsid w:val="22DD3D55"/>
    <w:rsid w:val="24837624"/>
    <w:rsid w:val="26A1499A"/>
    <w:rsid w:val="2E2C723F"/>
    <w:rsid w:val="32A55DAC"/>
    <w:rsid w:val="34955250"/>
    <w:rsid w:val="3B203A44"/>
    <w:rsid w:val="3CD661C1"/>
    <w:rsid w:val="3EAD4A2A"/>
    <w:rsid w:val="3FFE01A1"/>
    <w:rsid w:val="44B030D9"/>
    <w:rsid w:val="463B15AE"/>
    <w:rsid w:val="515C6A23"/>
    <w:rsid w:val="531C1C3E"/>
    <w:rsid w:val="5D185EC3"/>
    <w:rsid w:val="6646390B"/>
    <w:rsid w:val="67070582"/>
    <w:rsid w:val="6DB8329A"/>
    <w:rsid w:val="73774284"/>
    <w:rsid w:val="73D02F8F"/>
    <w:rsid w:val="75657AC7"/>
    <w:rsid w:val="7595663A"/>
    <w:rsid w:val="764B0538"/>
    <w:rsid w:val="7BDF2C66"/>
    <w:rsid w:val="BFFE69D8"/>
    <w:rsid w:val="FFF5C5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3">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1"/>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5">
    <w:name w:val="Normal Indent"/>
    <w:basedOn w:val="1"/>
    <w:unhideWhenUsed/>
    <w:qFormat/>
    <w:uiPriority w:val="99"/>
    <w:pPr>
      <w:ind w:firstLine="680"/>
    </w:pPr>
  </w:style>
  <w:style w:type="paragraph" w:styleId="6">
    <w:name w:val="Body Text"/>
    <w:basedOn w:val="1"/>
    <w:qFormat/>
    <w:uiPriority w:val="0"/>
    <w:pPr>
      <w:spacing w:before="0" w:after="140" w:line="276" w:lineRule="auto"/>
    </w:p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footer"/>
    <w:basedOn w:val="1"/>
    <w:qFormat/>
    <w:uiPriority w:val="0"/>
    <w:pPr>
      <w:tabs>
        <w:tab w:val="center" w:pos="4153"/>
        <w:tab w:val="right" w:pos="8306"/>
      </w:tabs>
      <w:snapToGrid w:val="0"/>
      <w:jc w:val="left"/>
    </w:pPr>
    <w:rPr>
      <w:rFonts w:eastAsia="宋体"/>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8"/>
    <w:semiHidden/>
    <w:qFormat/>
    <w:uiPriority w:val="0"/>
    <w:pPr>
      <w:snapToGrid w:val="0"/>
      <w:jc w:val="left"/>
    </w:pPr>
    <w:rPr>
      <w:sz w:val="18"/>
      <w:szCs w:val="18"/>
    </w:rPr>
  </w:style>
  <w:style w:type="paragraph" w:styleId="13">
    <w:name w:val="table of figures"/>
    <w:basedOn w:val="1"/>
    <w:next w:val="1"/>
    <w:qFormat/>
    <w:uiPriority w:val="0"/>
    <w:pPr>
      <w:ind w:left="400" w:leftChars="200" w:hanging="200" w:hangingChars="200"/>
    </w:p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100" w:beforeAutospacing="1" w:after="100" w:afterAutospacing="1"/>
      <w:ind w:left="0" w:right="0"/>
      <w:jc w:val="left"/>
    </w:pPr>
    <w:rPr>
      <w:kern w:val="0"/>
      <w:sz w:val="24"/>
      <w:lang w:val="en-US" w:eastAsia="zh-CN"/>
    </w:rPr>
  </w:style>
  <w:style w:type="character" w:styleId="18">
    <w:name w:val="Strong"/>
    <w:basedOn w:val="17"/>
    <w:qFormat/>
    <w:uiPriority w:val="99"/>
    <w:rPr>
      <w:b/>
    </w:rPr>
  </w:style>
  <w:style w:type="paragraph" w:customStyle="1" w:styleId="19">
    <w:name w:val="WPSOffice手动目录 3"/>
    <w:qFormat/>
    <w:uiPriority w:val="0"/>
    <w:pPr>
      <w:ind w:leftChars="400"/>
    </w:pPr>
    <w:rPr>
      <w:rFonts w:ascii="Times New Roman" w:hAnsi="Times New Roman" w:eastAsia="宋体" w:cs="Times New Roman"/>
      <w:sz w:val="20"/>
      <w:szCs w:val="20"/>
    </w:rPr>
  </w:style>
  <w:style w:type="character" w:customStyle="1" w:styleId="20">
    <w:name w:val="标题 1 Char"/>
    <w:basedOn w:val="17"/>
    <w:link w:val="3"/>
    <w:qFormat/>
    <w:uiPriority w:val="9"/>
    <w:rPr>
      <w:b/>
      <w:bCs/>
      <w:kern w:val="44"/>
      <w:sz w:val="44"/>
      <w:szCs w:val="44"/>
    </w:rPr>
  </w:style>
  <w:style w:type="character" w:customStyle="1" w:styleId="21">
    <w:name w:val="标题 2 Char"/>
    <w:basedOn w:val="17"/>
    <w:link w:val="4"/>
    <w:qFormat/>
    <w:uiPriority w:val="9"/>
    <w:rPr>
      <w:rFonts w:ascii="Cambria" w:hAnsi="Cambria" w:eastAsia="宋体" w:cs="Times New Roman"/>
      <w:b/>
      <w:bCs/>
      <w:sz w:val="32"/>
      <w:szCs w:val="32"/>
    </w:rPr>
  </w:style>
  <w:style w:type="paragraph" w:styleId="22">
    <w:name w:val="List Paragraph"/>
    <w:basedOn w:val="1"/>
    <w:qFormat/>
    <w:uiPriority w:val="34"/>
    <w:pPr>
      <w:ind w:firstLine="420" w:firstLineChars="200"/>
    </w:pPr>
  </w:style>
  <w:style w:type="paragraph" w:customStyle="1" w:styleId="2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 Type="http://schemas.openxmlformats.org/officeDocument/2006/relationships/oleObject" Target="embeddings/oleObject4.bin"/><Relationship Id="rId12" Type="http://schemas.openxmlformats.org/officeDocument/2006/relationships/image" Target="media/image3.emf"/><Relationship Id="rId11" Type="http://schemas.openxmlformats.org/officeDocument/2006/relationships/oleObject" Target="embeddings/oleObject3.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Info spid="_x0000_s1027"/>
    <customShpInfo spid="_x0000_s1028"/>
    <customShpInfo spid="_x0000_s1029"/>
    <customShpInfo spid="_x0000_s1030"/>
    <customShpInfo spid="_x0000_s1031"/>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10064</Words>
  <Characters>11206</Characters>
  <Lines>0</Lines>
  <Paragraphs>0</Paragraphs>
  <TotalTime>8</TotalTime>
  <ScaleCrop>false</ScaleCrop>
  <LinksUpToDate>false</LinksUpToDate>
  <CharactersWithSpaces>11286</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2026-09-01T04:35:00Z</dcterms:created>
  <dc:creator>Administrator</dc:creator>
  <cp:lastModifiedBy>user</cp:lastModifiedBy>
  <cp:lastPrinted>2026-09-01T04:42:00Z</cp:lastPrinted>
  <dcterms:modified xsi:type="dcterms:W3CDTF">2026-09-10T16:29:03Z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KSOTemplateDocerSaveRecord">
    <vt:lpwstr>eyJoZGlkIjoiMjM5ZjM3YjY2MzNmY2M3MWZhNWVhNDEwNWUwNTFiYTQiLCJ1c2VySWQiOiI1NDY2NDUxNTkifQ==</vt:lpwstr>
  </property>
  <property fmtid="{D5CDD505-2E9C-101B-9397-08002B2CF9AE}" pid="4" name="ICV">
    <vt:lpwstr>8E363D8D444F47CEB7FFD5C203087183_12</vt:lpwstr>
  </property>
</Properties>
</file>