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9CB2BA">
      <w:pPr>
        <w:rPr>
          <w:rFonts w:hint="eastAsia" w:ascii="思源黑体 CN Normal" w:hAnsi="思源黑体 CN Normal" w:eastAsia="思源黑体 CN Normal" w:cs="思源黑体 CN Normal"/>
          <w:b/>
          <w:color w:val="000000" w:themeColor="text1"/>
          <w:sz w:val="72"/>
          <w:szCs w:val="72"/>
          <w14:textFill>
            <w14:solidFill>
              <w14:schemeClr w14:val="tx1"/>
            </w14:solidFill>
          </w14:textFill>
        </w:rPr>
      </w:pPr>
      <w:bookmarkStart w:id="0" w:name="_Toc15377425"/>
      <w:bookmarkStart w:id="1" w:name="_Toc15396475"/>
      <w:bookmarkStart w:id="2" w:name="_Toc15378441"/>
      <w:bookmarkStart w:id="3" w:name="_Toc15396597"/>
      <w:bookmarkStart w:id="4" w:name="_Toc15377193"/>
      <w:bookmarkStart w:id="5" w:name="_Toc15306267"/>
    </w:p>
    <w:p w14:paraId="63250295">
      <w:pPr>
        <w:pStyle w:val="6"/>
        <w:ind w:firstLine="0"/>
        <w:rPr>
          <w:rFonts w:hint="eastAsia" w:ascii="思源黑体 CN Normal" w:hAnsi="思源黑体 CN Normal" w:eastAsia="思源黑体 CN Normal" w:cs="思源黑体 CN Normal"/>
          <w:color w:val="000000" w:themeColor="text1"/>
          <w14:textFill>
            <w14:solidFill>
              <w14:schemeClr w14:val="tx1"/>
            </w14:solidFill>
          </w14:textFill>
        </w:rPr>
      </w:pPr>
    </w:p>
    <w:p w14:paraId="7A635E12">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b/>
          <w:color w:val="000000" w:themeColor="text1"/>
          <w:sz w:val="52"/>
          <w:szCs w:val="52"/>
          <w14:textFill>
            <w14:solidFill>
              <w14:schemeClr w14:val="tx1"/>
            </w14:solidFill>
          </w14:textFill>
        </w:rPr>
      </w:pPr>
      <w:r>
        <w:rPr>
          <w:rFonts w:hint="eastAsia" w:ascii="方正小标宋简体" w:hAnsi="方正小标宋简体" w:eastAsia="方正小标宋简体" w:cs="方正小标宋简体"/>
          <w:b/>
          <w:color w:val="000000" w:themeColor="text1"/>
          <w:sz w:val="52"/>
          <w:szCs w:val="52"/>
          <w14:textFill>
            <w14:solidFill>
              <w14:schemeClr w14:val="tx1"/>
            </w14:solidFill>
          </w14:textFill>
        </w:rPr>
        <w:t>202</w:t>
      </w:r>
      <w:r>
        <w:rPr>
          <w:rFonts w:hint="eastAsia" w:ascii="方正小标宋简体" w:hAnsi="方正小标宋简体" w:eastAsia="方正小标宋简体" w:cs="方正小标宋简体"/>
          <w:b/>
          <w:color w:val="000000" w:themeColor="text1"/>
          <w:sz w:val="52"/>
          <w:szCs w:val="52"/>
          <w:lang w:val="en-US" w:eastAsia="zh-CN"/>
          <w14:textFill>
            <w14:solidFill>
              <w14:schemeClr w14:val="tx1"/>
            </w14:solidFill>
          </w14:textFill>
        </w:rPr>
        <w:t>5</w:t>
      </w:r>
      <w:r>
        <w:rPr>
          <w:rFonts w:hint="eastAsia" w:ascii="方正小标宋简体" w:hAnsi="方正小标宋简体" w:eastAsia="方正小标宋简体" w:cs="方正小标宋简体"/>
          <w:b/>
          <w:color w:val="000000"/>
          <w:sz w:val="52"/>
          <w:szCs w:val="52"/>
          <w:u w:color="auto"/>
        </w:rPr>
        <w:t>年度</w:t>
      </w:r>
      <w:bookmarkEnd w:id="0"/>
      <w:bookmarkEnd w:id="1"/>
      <w:bookmarkEnd w:id="2"/>
      <w:bookmarkEnd w:id="3"/>
      <w:bookmarkEnd w:id="4"/>
    </w:p>
    <w:bookmarkEnd w:id="5"/>
    <w:p w14:paraId="1F4B0A2E">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b/>
          <w:color w:val="000000" w:themeColor="text1"/>
          <w:sz w:val="52"/>
          <w:szCs w:val="52"/>
          <w14:textFill>
            <w14:solidFill>
              <w14:schemeClr w14:val="tx1"/>
            </w14:solidFill>
          </w14:textFill>
        </w:rPr>
      </w:pPr>
      <w:bookmarkStart w:id="6" w:name="_Toc15396598"/>
      <w:bookmarkStart w:id="7" w:name="_Toc15377194"/>
      <w:bookmarkStart w:id="8" w:name="_Toc15306268"/>
      <w:bookmarkStart w:id="9" w:name="_Toc15396476"/>
      <w:bookmarkStart w:id="10" w:name="_Toc15377426"/>
      <w:bookmarkStart w:id="11" w:name="_Toc15378442"/>
      <w:r>
        <w:rPr>
          <w:rFonts w:hint="eastAsia" w:ascii="方正小标宋简体" w:hAnsi="方正小标宋简体" w:eastAsia="方正小标宋简体" w:cs="方正小标宋简体"/>
          <w:b/>
          <w:color w:val="000000" w:themeColor="text1"/>
          <w:sz w:val="52"/>
          <w:szCs w:val="52"/>
          <w14:textFill>
            <w14:solidFill>
              <w14:schemeClr w14:val="tx1"/>
            </w14:solidFill>
          </w14:textFill>
        </w:rPr>
        <w:t>四川省阿坝藏族羌族自治州</w:t>
      </w:r>
    </w:p>
    <w:p w14:paraId="1E8310A1">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思源黑体 CN Normal" w:hAnsi="思源黑体 CN Normal" w:eastAsia="思源黑体 CN Normal" w:cs="思源黑体 CN Normal"/>
          <w:b/>
          <w:color w:val="000000" w:themeColor="text1"/>
          <w:sz w:val="52"/>
          <w:szCs w:val="52"/>
          <w14:textFill>
            <w14:solidFill>
              <w14:schemeClr w14:val="tx1"/>
            </w14:solidFill>
          </w14:textFill>
        </w:rPr>
      </w:pPr>
      <w:r>
        <w:rPr>
          <w:rFonts w:hint="eastAsia" w:ascii="方正小标宋简体" w:hAnsi="方正小标宋简体" w:eastAsia="方正小标宋简体" w:cs="方正小标宋简体"/>
          <w:b/>
          <w:color w:val="000000" w:themeColor="text1"/>
          <w:sz w:val="52"/>
          <w:szCs w:val="52"/>
          <w14:textFill>
            <w14:solidFill>
              <w14:schemeClr w14:val="tx1"/>
            </w14:solidFill>
          </w14:textFill>
        </w:rPr>
        <w:t>茂县</w:t>
      </w:r>
      <w:r>
        <w:rPr>
          <w:rFonts w:hint="eastAsia" w:ascii="方正小标宋简体" w:hAnsi="方正小标宋简体" w:eastAsia="方正小标宋简体" w:cs="方正小标宋简体"/>
          <w:b/>
          <w:color w:val="000000" w:themeColor="text1"/>
          <w:sz w:val="52"/>
          <w:szCs w:val="52"/>
          <w:lang w:eastAsia="zh-CN"/>
          <w14:textFill>
            <w14:solidFill>
              <w14:schemeClr w14:val="tx1"/>
            </w14:solidFill>
          </w14:textFill>
        </w:rPr>
        <w:t>文学艺术界联合会</w:t>
      </w:r>
      <w:r>
        <w:rPr>
          <w:rFonts w:hint="eastAsia" w:ascii="方正小标宋简体" w:hAnsi="方正小标宋简体" w:eastAsia="方正小标宋简体" w:cs="方正小标宋简体"/>
          <w:b/>
          <w:color w:val="000000"/>
          <w:sz w:val="52"/>
          <w:szCs w:val="52"/>
          <w:u w:color="auto"/>
        </w:rPr>
        <w:t>单位决算</w:t>
      </w:r>
      <w:bookmarkEnd w:id="6"/>
      <w:bookmarkEnd w:id="7"/>
      <w:bookmarkEnd w:id="8"/>
      <w:bookmarkEnd w:id="9"/>
      <w:bookmarkEnd w:id="10"/>
      <w:bookmarkEnd w:id="11"/>
    </w:p>
    <w:p w14:paraId="2466DC84">
      <w:pPr>
        <w:pStyle w:val="6"/>
        <w:rPr>
          <w:rFonts w:hint="eastAsia" w:ascii="思源黑体 CN Normal" w:hAnsi="思源黑体 CN Normal" w:eastAsia="思源黑体 CN Normal" w:cs="思源黑体 CN Normal"/>
          <w:color w:val="000000" w:themeColor="text1"/>
          <w:sz w:val="52"/>
          <w:szCs w:val="52"/>
          <w14:textFill>
            <w14:solidFill>
              <w14:schemeClr w14:val="tx1"/>
            </w14:solidFill>
          </w14:textFill>
        </w:rPr>
      </w:pPr>
    </w:p>
    <w:p w14:paraId="453F660E">
      <w:pPr>
        <w:pStyle w:val="6"/>
        <w:rPr>
          <w:rFonts w:hint="eastAsia" w:ascii="思源黑体 CN Normal" w:hAnsi="思源黑体 CN Normal" w:eastAsia="思源黑体 CN Normal" w:cs="思源黑体 CN Normal"/>
          <w:color w:val="000000" w:themeColor="text1"/>
          <w14:textFill>
            <w14:solidFill>
              <w14:schemeClr w14:val="tx1"/>
            </w14:solidFill>
          </w14:textFill>
        </w:rPr>
      </w:pPr>
    </w:p>
    <w:p w14:paraId="0532FD3F">
      <w:pPr>
        <w:pStyle w:val="6"/>
        <w:rPr>
          <w:rFonts w:hint="eastAsia" w:ascii="思源黑体 CN Normal" w:hAnsi="思源黑体 CN Normal" w:eastAsia="思源黑体 CN Normal" w:cs="思源黑体 CN Normal"/>
          <w:color w:val="000000" w:themeColor="text1"/>
          <w14:textFill>
            <w14:solidFill>
              <w14:schemeClr w14:val="tx1"/>
            </w14:solidFill>
          </w14:textFill>
        </w:rPr>
      </w:pPr>
    </w:p>
    <w:p w14:paraId="53B5B75C">
      <w:pPr>
        <w:pStyle w:val="6"/>
        <w:rPr>
          <w:rFonts w:hint="eastAsia" w:ascii="思源黑体 CN Normal" w:hAnsi="思源黑体 CN Normal" w:eastAsia="思源黑体 CN Normal" w:cs="思源黑体 CN Normal"/>
          <w:color w:val="000000" w:themeColor="text1"/>
          <w14:textFill>
            <w14:solidFill>
              <w14:schemeClr w14:val="tx1"/>
            </w14:solidFill>
          </w14:textFill>
        </w:rPr>
      </w:pPr>
    </w:p>
    <w:p w14:paraId="6F558C7F">
      <w:pPr>
        <w:pStyle w:val="6"/>
        <w:rPr>
          <w:rFonts w:hint="eastAsia" w:ascii="思源黑体 CN Normal" w:hAnsi="思源黑体 CN Normal" w:eastAsia="思源黑体 CN Normal" w:cs="思源黑体 CN Normal"/>
          <w:color w:val="000000" w:themeColor="text1"/>
          <w14:textFill>
            <w14:solidFill>
              <w14:schemeClr w14:val="tx1"/>
            </w14:solidFill>
          </w14:textFill>
        </w:rPr>
      </w:pPr>
    </w:p>
    <w:p w14:paraId="07C9F68A">
      <w:pPr>
        <w:pStyle w:val="6"/>
        <w:rPr>
          <w:rFonts w:hint="eastAsia" w:ascii="思源黑体 CN Normal" w:hAnsi="思源黑体 CN Normal" w:eastAsia="思源黑体 CN Normal" w:cs="思源黑体 CN Normal"/>
          <w:color w:val="000000" w:themeColor="text1"/>
          <w14:textFill>
            <w14:solidFill>
              <w14:schemeClr w14:val="tx1"/>
            </w14:solidFill>
          </w14:textFill>
        </w:rPr>
      </w:pPr>
    </w:p>
    <w:p w14:paraId="4EB090EB">
      <w:pPr>
        <w:pStyle w:val="6"/>
        <w:rPr>
          <w:rFonts w:hint="eastAsia" w:ascii="思源黑体 CN Normal" w:hAnsi="思源黑体 CN Normal" w:eastAsia="思源黑体 CN Normal" w:cs="思源黑体 CN Normal"/>
          <w:color w:val="000000" w:themeColor="text1"/>
          <w14:textFill>
            <w14:solidFill>
              <w14:schemeClr w14:val="tx1"/>
            </w14:solidFill>
          </w14:textFill>
        </w:rPr>
      </w:pPr>
    </w:p>
    <w:p w14:paraId="1F6F4FB1">
      <w:pPr>
        <w:pStyle w:val="6"/>
        <w:rPr>
          <w:rFonts w:hint="eastAsia" w:ascii="思源黑体 CN Normal" w:hAnsi="思源黑体 CN Normal" w:eastAsia="思源黑体 CN Normal" w:cs="思源黑体 CN Normal"/>
          <w:color w:val="000000" w:themeColor="text1"/>
          <w14:textFill>
            <w14:solidFill>
              <w14:schemeClr w14:val="tx1"/>
            </w14:solidFill>
          </w14:textFill>
        </w:rPr>
      </w:pPr>
    </w:p>
    <w:p w14:paraId="1A261D6F">
      <w:pPr>
        <w:pStyle w:val="6"/>
        <w:rPr>
          <w:rFonts w:hint="eastAsia" w:ascii="思源黑体 CN Normal" w:hAnsi="思源黑体 CN Normal" w:eastAsia="思源黑体 CN Normal" w:cs="思源黑体 CN Normal"/>
          <w:color w:val="000000" w:themeColor="text1"/>
          <w14:textFill>
            <w14:solidFill>
              <w14:schemeClr w14:val="tx1"/>
            </w14:solidFill>
          </w14:textFill>
        </w:rPr>
      </w:pPr>
    </w:p>
    <w:p w14:paraId="0DCDAB9A">
      <w:pPr>
        <w:pStyle w:val="6"/>
        <w:tabs>
          <w:tab w:val="left" w:pos="3600"/>
        </w:tabs>
        <w:rPr>
          <w:rFonts w:hint="eastAsia" w:ascii="思源黑体 CN Normal" w:hAnsi="思源黑体 CN Normal" w:eastAsia="思源黑体 CN Normal" w:cs="思源黑体 CN Normal"/>
          <w:color w:val="000000" w:themeColor="text1"/>
          <w14:textFill>
            <w14:solidFill>
              <w14:schemeClr w14:val="tx1"/>
            </w14:solidFill>
          </w14:textFill>
        </w:rPr>
      </w:pPr>
      <w:r>
        <w:rPr>
          <w:rFonts w:hint="eastAsia" w:ascii="思源黑体 CN Normal" w:hAnsi="思源黑体 CN Normal" w:eastAsia="思源黑体 CN Normal" w:cs="思源黑体 CN Normal"/>
          <w:color w:val="000000" w:themeColor="text1"/>
          <w14:textFill>
            <w14:solidFill>
              <w14:schemeClr w14:val="tx1"/>
            </w14:solidFill>
          </w14:textFill>
        </w:rPr>
        <w:tab/>
      </w:r>
    </w:p>
    <w:p w14:paraId="45373957">
      <w:pPr>
        <w:pStyle w:val="6"/>
        <w:rPr>
          <w:rFonts w:hint="eastAsia" w:ascii="思源黑体 CN Normal" w:hAnsi="思源黑体 CN Normal" w:eastAsia="思源黑体 CN Normal" w:cs="思源黑体 CN Normal"/>
          <w:color w:val="000000" w:themeColor="text1"/>
          <w14:textFill>
            <w14:solidFill>
              <w14:schemeClr w14:val="tx1"/>
            </w14:solidFill>
          </w14:textFill>
        </w:rPr>
      </w:pPr>
    </w:p>
    <w:p w14:paraId="4375CF1D">
      <w:pPr>
        <w:pStyle w:val="15"/>
        <w:jc w:val="both"/>
        <w:rPr>
          <w:rFonts w:hint="eastAsia" w:ascii="思源黑体 CN Normal" w:hAnsi="思源黑体 CN Normal" w:eastAsia="思源黑体 CN Normal" w:cs="思源黑体 CN Normal"/>
          <w:color w:val="000000" w:themeColor="text1"/>
          <w:sz w:val="36"/>
          <w:szCs w:val="36"/>
          <w14:textFill>
            <w14:solidFill>
              <w14:schemeClr w14:val="tx1"/>
            </w14:solidFill>
          </w14:textFill>
        </w:rPr>
      </w:pPr>
      <w:r>
        <w:rPr>
          <w:rFonts w:hint="eastAsia" w:ascii="思源黑体 CN Normal" w:hAnsi="思源黑体 CN Normal" w:eastAsia="思源黑体 CN Normal" w:cs="思源黑体 CN Normal"/>
          <w:color w:val="000000" w:themeColor="text1"/>
          <w:sz w:val="36"/>
          <w:szCs w:val="36"/>
          <w14:textFill>
            <w14:solidFill>
              <w14:schemeClr w14:val="tx1"/>
            </w14:solidFill>
          </w14:textFill>
        </w:rPr>
        <w:br w:type="page"/>
      </w:r>
    </w:p>
    <w:p w14:paraId="58DBCFF3">
      <w:pPr>
        <w:widowControl/>
        <w:jc w:val="center"/>
        <w:rPr>
          <w:rFonts w:hint="eastAsia" w:ascii="思源黑体 CN Normal" w:hAnsi="思源黑体 CN Normal" w:eastAsia="思源黑体 CN Normal" w:cs="思源黑体 CN Normal"/>
          <w:color w:val="000000" w:themeColor="text1"/>
          <w:sz w:val="36"/>
          <w:szCs w:val="36"/>
          <w14:textFill>
            <w14:solidFill>
              <w14:schemeClr w14:val="tx1"/>
            </w14:solidFill>
          </w14:textFill>
        </w:rPr>
      </w:pPr>
      <w:r>
        <w:rPr>
          <w:rFonts w:hint="eastAsia" w:ascii="思源黑体 CN Normal" w:hAnsi="思源黑体 CN Normal" w:eastAsia="思源黑体 CN Normal" w:cs="思源黑体 CN Normal"/>
          <w:color w:val="000000" w:themeColor="text1"/>
          <w:sz w:val="48"/>
          <w:szCs w:val="48"/>
          <w14:textFill>
            <w14:solidFill>
              <w14:schemeClr w14:val="tx1"/>
            </w14:solidFill>
          </w14:textFill>
        </w:rPr>
        <w:t>目录</w:t>
      </w:r>
    </w:p>
    <w:p w14:paraId="39EB163F">
      <w:pPr>
        <w:pStyle w:val="1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公开时间：20</w:t>
      </w:r>
      <w:r>
        <w:rPr>
          <w:rFonts w:hint="eastAsia"/>
          <w:color w:val="000000" w:themeColor="text1"/>
          <w:highlight w:val="none"/>
          <w:lang w:val="en-US" w:eastAsia="zh-CN"/>
          <w14:textFill>
            <w14:solidFill>
              <w14:schemeClr w14:val="tx1"/>
            </w14:solidFill>
          </w14:textFill>
        </w:rPr>
        <w:t>26</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 xml:space="preserve">4 </w:t>
      </w:r>
      <w:r>
        <w:rPr>
          <w:rFonts w:hint="eastAsia"/>
          <w:color w:val="000000" w:themeColor="text1"/>
          <w:highlight w:val="none"/>
          <w14:textFill>
            <w14:solidFill>
              <w14:schemeClr w14:val="tx1"/>
            </w14:solidFill>
          </w14:textFill>
        </w:rPr>
        <w:t>日</w:t>
      </w:r>
    </w:p>
    <w:p w14:paraId="53F5674E">
      <w:pPr>
        <w:pStyle w:val="15"/>
        <w:tabs>
          <w:tab w:val="right" w:leader="dot" w:pos="8306"/>
          <w:tab w:val="clear" w:pos="8296"/>
        </w:tabs>
        <w:rPr>
          <w:rFonts w:hint="eastAsia" w:ascii="宋体" w:hAnsi="Times New Roman" w:eastAsia="宋体" w:cs="宋体"/>
          <w:caps w:val="0"/>
          <w:smallCaps/>
          <w:color w:val="000000"/>
          <w:szCs w:val="20"/>
        </w:rPr>
      </w:pPr>
      <w:bookmarkStart w:id="12" w:name="_Toc15377196"/>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TOC \o "1-2" \h \z \u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_Toc1828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第一部分 单位概况</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_Toc1828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4</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295FAB9A">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_Toc21329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一、</w:t>
      </w:r>
      <w:r>
        <w:rPr>
          <w:rFonts w:hint="eastAsia" w:ascii="宋体" w:hAnsi="Times New Roman" w:eastAsia="宋体" w:cs="宋体"/>
          <w:caps w:val="0"/>
          <w:smallCaps/>
          <w:color w:val="000000"/>
          <w:szCs w:val="20"/>
          <w:lang w:val="en-US" w:eastAsia="zh-CN"/>
        </w:rPr>
        <w:t>主要职责</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_Toc21329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4</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50A2AB0A">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_Toc9819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二、机构设置</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_Toc9819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4</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618D9EBC">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_Toc698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第二部分 202</w:t>
      </w:r>
      <w:r>
        <w:rPr>
          <w:rFonts w:hint="eastAsia" w:ascii="宋体" w:hAnsi="Times New Roman" w:eastAsia="宋体" w:cs="宋体"/>
          <w:caps w:val="0"/>
          <w:smallCaps/>
          <w:color w:val="000000"/>
          <w:szCs w:val="20"/>
          <w:lang w:val="en-US" w:eastAsia="zh-CN"/>
        </w:rPr>
        <w:t>5</w:t>
      </w:r>
      <w:r>
        <w:rPr>
          <w:rFonts w:hint="eastAsia" w:ascii="宋体" w:hAnsi="Times New Roman" w:eastAsia="宋体" w:cs="宋体"/>
          <w:caps w:val="0"/>
          <w:smallCaps/>
          <w:color w:val="000000"/>
          <w:szCs w:val="20"/>
        </w:rPr>
        <w:t>年度</w:t>
      </w:r>
      <w:r>
        <w:rPr>
          <w:rFonts w:hint="eastAsia" w:ascii="宋体" w:hAnsi="Times New Roman" w:eastAsia="宋体" w:cs="宋体"/>
          <w:caps w:val="0"/>
          <w:smallCaps/>
          <w:color w:val="000000"/>
          <w:szCs w:val="20"/>
          <w:lang w:val="en-US" w:eastAsia="zh-CN"/>
        </w:rPr>
        <w:t>单位</w:t>
      </w:r>
      <w:r>
        <w:rPr>
          <w:rFonts w:hint="eastAsia" w:ascii="宋体" w:hAnsi="Times New Roman" w:eastAsia="宋体" w:cs="宋体"/>
          <w:caps w:val="0"/>
          <w:smallCaps/>
          <w:color w:val="000000"/>
          <w:szCs w:val="20"/>
        </w:rPr>
        <w:t>决算情况说明</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_Toc698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5</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66588983">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_Toc14488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一、收入支出决算总体情况说明</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_Toc14488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5</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55E5A389">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_Toc5052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二、收入决算情况说明</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_Toc5052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5</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3A489897">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_Toc13065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三、支出决算情况说明</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_Toc13065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6</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0DA4223A">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_Toc3622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四、财政拨款收入支出决算总体情况说明</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_Toc3622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6</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0BEAD3F9">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_Toc12337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五、一般公共预算财政拨款支出决算情况说明</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_Toc12337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7</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41B0D667">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_Toc21659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六、一般公共预算财政拨款基本支出决算情况说明</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_Toc21659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8</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2C4B0D8C">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_Toc6571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七、</w:t>
      </w:r>
      <w:r>
        <w:rPr>
          <w:rFonts w:hint="eastAsia" w:ascii="宋体" w:hAnsi="Times New Roman" w:eastAsia="宋体" w:cs="宋体"/>
          <w:caps w:val="0"/>
          <w:smallCaps/>
          <w:color w:val="000000"/>
          <w:szCs w:val="20"/>
          <w:lang w:eastAsia="zh-CN"/>
        </w:rPr>
        <w:t>财政拨款</w:t>
      </w:r>
      <w:r>
        <w:rPr>
          <w:rFonts w:hint="eastAsia" w:ascii="宋体" w:hAnsi="Times New Roman" w:eastAsia="宋体" w:cs="宋体"/>
          <w:caps w:val="0"/>
          <w:smallCaps/>
          <w:color w:val="000000"/>
          <w:szCs w:val="20"/>
        </w:rPr>
        <w:t>“三公”经费财政拨款支出决算情况说明</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_Toc6571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9</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0DB44D26">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_Toc32197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八、政府性基金预算支出决算情况说明</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_Toc32197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9</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6B4AD734">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_Toc6409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九、国有资本经营预算支出决算情况说明</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_Toc6409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10</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52DD4493">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_Toc3125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十、其他重要事项的情况说明</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_Toc3125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10</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6B9781E3">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_Toc20669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第三部分 名词解释</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_Toc20669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11</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72513026">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_Toc8751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第四部分 附件</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_Toc8751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13</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0A7BA92F">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_Toc9514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第五部分 附表</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_Toc9514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19</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417DF8CC">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_Toc30966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一、收入支出决算总表</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_Toc30966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19</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755F8388">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_Toc24395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二、收入决算表</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_Toc24395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19</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729D8C55">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_Toc24402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三、支出决算表</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_Toc24402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19</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1B2CE95D">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_Toc32153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四、财政拨款收入支出决算总表</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_Toc32153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19</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24F2CB0E">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_Toc24932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五、财政拨款支出决算明细表</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_Toc24932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19</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37DBA1DB">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_Toc27922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六、一般公共预算财政拨款支出决算表</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_Toc27922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19</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281E90FE">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_Toc3081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七、一般公共预算财政拨款支出决算明细表</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_Toc3081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19</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52B25D7B">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_Toc29587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八、一般公共预算财政拨款基本支出决算表</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_Toc29587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19</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3E9A2158">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_Toc4181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九、一般公共预算财政拨款项目支出决算表</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_Toc4181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19</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3DAB8EAC">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_Toc7650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十、政府性基金预算财政拨款收入支出决算表</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_Toc7650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19</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111149AB">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_Toc28657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十一、国有资本经营预算财政拨款收入支出决算表</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_Toc28657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19</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7857C84C">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_Toc22294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十二、国有资本经营预算财政拨款支出决算表</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_Toc22294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19</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2BDC8F58">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HYPERLINK \l _Toc24927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十三、财政拨款“三公”经费支出决算表</w:t>
      </w:r>
      <w:r>
        <w:rPr>
          <w:rFonts w:hint="eastAsia" w:ascii="宋体" w:hAnsi="Times New Roman" w:eastAsia="宋体" w:cs="宋体"/>
          <w:caps w:val="0"/>
          <w:smallCaps/>
          <w:color w:val="000000"/>
          <w:szCs w:val="20"/>
        </w:rPr>
        <w:tab/>
      </w:r>
      <w:r>
        <w:rPr>
          <w:rFonts w:hint="eastAsia" w:ascii="宋体" w:hAnsi="Times New Roman" w:eastAsia="宋体" w:cs="宋体"/>
          <w:caps w:val="0"/>
          <w:smallCaps/>
          <w:color w:val="000000"/>
          <w:szCs w:val="20"/>
        </w:rPr>
        <w:fldChar w:fldCharType="begin"/>
      </w:r>
      <w:r>
        <w:rPr>
          <w:rFonts w:hint="eastAsia" w:ascii="宋体" w:hAnsi="Times New Roman" w:eastAsia="宋体" w:cs="宋体"/>
          <w:caps w:val="0"/>
          <w:smallCaps/>
          <w:color w:val="000000"/>
          <w:szCs w:val="20"/>
        </w:rPr>
        <w:instrText xml:space="preserve"> PAGEREF _Toc24927 \h </w:instrText>
      </w:r>
      <w:r>
        <w:rPr>
          <w:rFonts w:hint="eastAsia" w:ascii="宋体" w:hAnsi="Times New Roman" w:eastAsia="宋体" w:cs="宋体"/>
          <w:caps w:val="0"/>
          <w:smallCaps/>
          <w:color w:val="000000"/>
          <w:szCs w:val="20"/>
        </w:rPr>
        <w:fldChar w:fldCharType="separate"/>
      </w:r>
      <w:r>
        <w:rPr>
          <w:rFonts w:hint="eastAsia" w:ascii="宋体" w:hAnsi="Times New Roman" w:eastAsia="宋体" w:cs="宋体"/>
          <w:caps w:val="0"/>
          <w:smallCaps/>
          <w:color w:val="000000"/>
          <w:szCs w:val="20"/>
        </w:rPr>
        <w:t>19</w:t>
      </w:r>
      <w:r>
        <w:rPr>
          <w:rFonts w:hint="eastAsia" w:ascii="宋体" w:hAnsi="Times New Roman" w:eastAsia="宋体" w:cs="宋体"/>
          <w:caps w:val="0"/>
          <w:smallCaps/>
          <w:color w:val="000000"/>
          <w:szCs w:val="20"/>
        </w:rPr>
        <w:fldChar w:fldCharType="end"/>
      </w:r>
      <w:r>
        <w:rPr>
          <w:rFonts w:hint="eastAsia" w:ascii="宋体" w:hAnsi="Times New Roman" w:eastAsia="宋体" w:cs="宋体"/>
          <w:caps w:val="0"/>
          <w:smallCaps/>
          <w:color w:val="000000"/>
          <w:szCs w:val="20"/>
        </w:rPr>
        <w:fldChar w:fldCharType="end"/>
      </w:r>
    </w:p>
    <w:p w14:paraId="395D6538">
      <w:pPr>
        <w:pStyle w:val="15"/>
        <w:tabs>
          <w:tab w:val="right" w:leader="dot" w:pos="8306"/>
          <w:tab w:val="clear" w:pos="8296"/>
        </w:tabs>
        <w:rPr>
          <w:rFonts w:hint="eastAsia" w:ascii="宋体" w:hAnsi="Times New Roman" w:eastAsia="宋体" w:cs="宋体"/>
          <w:caps w:val="0"/>
          <w:smallCaps/>
          <w:color w:val="000000"/>
          <w:szCs w:val="20"/>
        </w:rPr>
      </w:pPr>
      <w:r>
        <w:rPr>
          <w:rFonts w:hint="eastAsia" w:ascii="宋体" w:hAnsi="Times New Roman" w:eastAsia="宋体" w:cs="宋体"/>
          <w:caps w:val="0"/>
          <w:smallCaps/>
          <w:color w:val="000000"/>
          <w:szCs w:val="20"/>
        </w:rPr>
        <w:fldChar w:fldCharType="end"/>
      </w:r>
    </w:p>
    <w:p w14:paraId="5E7DBA00">
      <w:pPr>
        <w:pStyle w:val="15"/>
        <w:tabs>
          <w:tab w:val="right" w:leader="dot" w:pos="8306"/>
          <w:tab w:val="clear" w:pos="8296"/>
        </w:tabs>
        <w:rPr>
          <w:rFonts w:hint="eastAsia" w:ascii="宋体" w:hAnsi="Times New Roman" w:eastAsia="宋体" w:cs="宋体"/>
          <w:caps w:val="0"/>
          <w:smallCaps/>
          <w:color w:val="000000"/>
          <w:szCs w:val="20"/>
        </w:rPr>
      </w:pPr>
      <w:bookmarkStart w:id="13" w:name="_Toc111208495"/>
      <w:r>
        <w:rPr>
          <w:rFonts w:hint="eastAsia" w:ascii="宋体" w:hAnsi="Times New Roman" w:eastAsia="宋体" w:cs="宋体"/>
          <w:caps w:val="0"/>
          <w:smallCaps/>
          <w:color w:val="000000"/>
          <w:szCs w:val="20"/>
        </w:rPr>
        <w:br w:type="page"/>
      </w:r>
    </w:p>
    <w:p w14:paraId="6CB1F1B0">
      <w:pPr>
        <w:pStyle w:val="3"/>
        <w:pageBreakBefore w:val="0"/>
        <w:kinsoku/>
        <w:wordWrap/>
        <w:overflowPunct/>
        <w:topLinePunct w:val="0"/>
        <w:autoSpaceDE/>
        <w:autoSpaceDN/>
        <w:bidi w:val="0"/>
        <w:adjustRightInd/>
        <w:snapToGrid/>
        <w:spacing w:before="0" w:after="0" w:line="576" w:lineRule="exact"/>
        <w:jc w:val="center"/>
        <w:textAlignment w:val="auto"/>
        <w:rPr>
          <w:rFonts w:hint="eastAsia" w:ascii="黑体" w:hAnsi="黑体" w:eastAsia="黑体" w:cs="黑体"/>
          <w:b w:val="0"/>
          <w:bCs w:val="0"/>
        </w:rPr>
      </w:pPr>
      <w:bookmarkStart w:id="14" w:name="_Toc1828"/>
      <w:r>
        <w:rPr>
          <w:rFonts w:hint="eastAsia" w:ascii="黑体" w:hAnsi="黑体" w:eastAsia="黑体" w:cs="黑体"/>
        </w:rPr>
        <w:t xml:space="preserve">第一部分 </w:t>
      </w:r>
      <w:r>
        <w:rPr>
          <w:rStyle w:val="34"/>
          <w:rFonts w:hint="eastAsia" w:ascii="黑体" w:hAnsi="黑体" w:eastAsia="黑体" w:cs="黑体"/>
          <w:b/>
          <w:bCs w:val="0"/>
        </w:rPr>
        <w:t>单位</w:t>
      </w:r>
      <w:r>
        <w:rPr>
          <w:rStyle w:val="34"/>
          <w:rFonts w:ascii="黑体" w:hAnsi="黑体" w:eastAsia="黑体" w:cs="黑体"/>
          <w:b/>
          <w:bCs w:val="0"/>
          <w:u w:color="auto"/>
        </w:rPr>
        <w:t>概况</w:t>
      </w:r>
      <w:bookmarkEnd w:id="12"/>
      <w:bookmarkEnd w:id="13"/>
      <w:bookmarkEnd w:id="14"/>
    </w:p>
    <w:p w14:paraId="5FCBABC9">
      <w:pPr>
        <w:pStyle w:val="4"/>
        <w:pageBreakBefore w:val="0"/>
        <w:kinsoku/>
        <w:wordWrap/>
        <w:overflowPunct/>
        <w:topLinePunct w:val="0"/>
        <w:autoSpaceDE/>
        <w:autoSpaceDN/>
        <w:bidi w:val="0"/>
        <w:adjustRightInd/>
        <w:snapToGrid/>
        <w:spacing w:before="0" w:after="0" w:line="576" w:lineRule="exact"/>
        <w:ind w:firstLine="643" w:firstLineChars="200"/>
        <w:textAlignment w:val="auto"/>
        <w:rPr>
          <w:rFonts w:hint="eastAsia" w:ascii="黑体" w:hAnsi="黑体" w:eastAsia="黑体" w:cs="黑体"/>
          <w:bCs w:val="0"/>
          <w:color w:val="000000"/>
          <w:lang w:val="en-US" w:eastAsia="zh-CN"/>
        </w:rPr>
      </w:pPr>
      <w:bookmarkStart w:id="15" w:name="_Toc113981010"/>
      <w:bookmarkStart w:id="16" w:name="_Toc111208496"/>
      <w:bookmarkStart w:id="17" w:name="_Toc15377197"/>
      <w:bookmarkStart w:id="18" w:name="_Toc21329"/>
      <w:bookmarkStart w:id="19" w:name="_Toc15377204"/>
      <w:r>
        <w:rPr>
          <w:rFonts w:hint="eastAsia" w:ascii="黑体" w:hAnsi="黑体" w:eastAsia="黑体" w:cs="黑体"/>
          <w:bCs w:val="0"/>
          <w:color w:val="000000"/>
        </w:rPr>
        <w:t>一、</w:t>
      </w:r>
      <w:bookmarkEnd w:id="15"/>
      <w:bookmarkEnd w:id="16"/>
      <w:bookmarkEnd w:id="17"/>
      <w:bookmarkStart w:id="20" w:name="_Toc15378445"/>
      <w:bookmarkStart w:id="21" w:name="_Toc15377198"/>
      <w:r>
        <w:rPr>
          <w:rFonts w:hint="eastAsia" w:ascii="黑体" w:hAnsi="黑体" w:eastAsia="黑体" w:cs="黑体"/>
          <w:bCs w:val="0"/>
          <w:color w:val="000000"/>
          <w:lang w:val="en-US" w:eastAsia="zh-CN"/>
        </w:rPr>
        <w:t>主要职责</w:t>
      </w:r>
      <w:bookmarkEnd w:id="18"/>
    </w:p>
    <w:bookmarkEnd w:id="20"/>
    <w:bookmarkEnd w:id="21"/>
    <w:p w14:paraId="3CC38F55">
      <w:pPr>
        <w:pageBreakBefore w:val="0"/>
        <w:kinsoku/>
        <w:wordWrap/>
        <w:overflowPunct/>
        <w:topLinePunct w:val="0"/>
        <w:autoSpaceDE/>
        <w:autoSpaceDN/>
        <w:bidi w:val="0"/>
        <w:adjustRightInd/>
        <w:snapToGrid/>
        <w:spacing w:line="576" w:lineRule="exact"/>
        <w:ind w:firstLine="640" w:firstLineChars="200"/>
        <w:textAlignment w:val="auto"/>
        <w:rPr>
          <w:rFonts w:ascii="仿宋_GB2312" w:eastAsia="仿宋_GB2312"/>
          <w:sz w:val="32"/>
          <w:szCs w:val="32"/>
        </w:rPr>
      </w:pPr>
      <w:bookmarkStart w:id="22" w:name="_Toc111208497"/>
      <w:bookmarkStart w:id="23" w:name="_Toc15377200"/>
      <w:bookmarkStart w:id="24" w:name="_Toc113981011"/>
      <w:r>
        <w:rPr>
          <w:rFonts w:hint="eastAsia" w:ascii="仿宋_GB2312" w:eastAsia="仿宋_GB2312"/>
          <w:sz w:val="32"/>
          <w:szCs w:val="32"/>
        </w:rPr>
        <w:t>对各团体会员开展联络、协调、服务、指导工作，通过组织学习、文艺采风、学术研讨、理论研究、展览演出、文艺评奖、书刊出版、人才培训、对外交流和权益保障等各项工作，指导团体会员开展业务活动。</w:t>
      </w:r>
    </w:p>
    <w:p w14:paraId="41E568A9">
      <w:pPr>
        <w:pStyle w:val="4"/>
        <w:pageBreakBefore w:val="0"/>
        <w:kinsoku/>
        <w:wordWrap/>
        <w:overflowPunct/>
        <w:topLinePunct w:val="0"/>
        <w:autoSpaceDE/>
        <w:autoSpaceDN/>
        <w:bidi w:val="0"/>
        <w:adjustRightInd/>
        <w:snapToGrid/>
        <w:spacing w:before="0" w:after="0" w:line="576" w:lineRule="exact"/>
        <w:ind w:firstLine="643" w:firstLineChars="200"/>
        <w:textAlignment w:val="auto"/>
        <w:rPr>
          <w:rFonts w:hint="eastAsia" w:ascii="黑体" w:hAnsi="黑体" w:eastAsia="黑体" w:cs="黑体"/>
          <w:bCs w:val="0"/>
          <w:color w:val="000000"/>
        </w:rPr>
      </w:pPr>
      <w:bookmarkStart w:id="25" w:name="_Toc9819"/>
      <w:r>
        <w:rPr>
          <w:rFonts w:hint="eastAsia" w:ascii="黑体" w:hAnsi="黑体" w:eastAsia="黑体" w:cs="黑体"/>
          <w:bCs w:val="0"/>
          <w:color w:val="000000"/>
        </w:rPr>
        <w:t>二、机构设置</w:t>
      </w:r>
      <w:bookmarkEnd w:id="22"/>
      <w:bookmarkEnd w:id="23"/>
      <w:bookmarkEnd w:id="24"/>
      <w:bookmarkEnd w:id="25"/>
    </w:p>
    <w:p w14:paraId="11C814C9">
      <w:pPr>
        <w:pageBreakBefore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eastAsia="zh-CN"/>
        </w:rPr>
        <w:t>文联</w:t>
      </w:r>
      <w:r>
        <w:rPr>
          <w:rFonts w:hint="eastAsia" w:ascii="仿宋_GB2312" w:eastAsia="仿宋_GB2312"/>
          <w:sz w:val="32"/>
          <w:szCs w:val="32"/>
        </w:rPr>
        <w:t>下属二级单位0个，其中行政单位0个，参照公务员法管理的事业单位0个，其他事业单位0个。</w:t>
      </w:r>
    </w:p>
    <w:p w14:paraId="66143CF2">
      <w:pPr>
        <w:pageBreakBefore w:val="0"/>
        <w:widowControl/>
        <w:kinsoku/>
        <w:wordWrap/>
        <w:overflowPunct/>
        <w:topLinePunct w:val="0"/>
        <w:autoSpaceDE/>
        <w:autoSpaceDN/>
        <w:bidi w:val="0"/>
        <w:adjustRightInd/>
        <w:snapToGrid/>
        <w:spacing w:line="576" w:lineRule="exact"/>
        <w:jc w:val="left"/>
        <w:textAlignment w:val="auto"/>
        <w:rPr>
          <w:rFonts w:hint="eastAsia" w:ascii="仿宋_GB2312" w:hAnsi="仿宋_GB2312" w:eastAsia="仿宋_GB2312" w:cs="仿宋_GB2312"/>
          <w:color w:val="000000"/>
          <w:sz w:val="32"/>
          <w:szCs w:val="32"/>
        </w:rPr>
      </w:pPr>
    </w:p>
    <w:p w14:paraId="39947DA0">
      <w:pPr>
        <w:widowControl/>
        <w:jc w:val="left"/>
        <w:rPr>
          <w:rFonts w:hint="eastAsia" w:ascii="思源黑体 CN Normal" w:hAnsi="思源黑体 CN Normal" w:eastAsia="思源黑体 CN Normal" w:cs="思源黑体 CN Normal"/>
          <w:b/>
          <w:bCs/>
          <w:color w:val="000000"/>
          <w:kern w:val="44"/>
          <w:sz w:val="44"/>
          <w:szCs w:val="44"/>
        </w:rPr>
      </w:pPr>
      <w:r>
        <w:rPr>
          <w:rFonts w:hint="eastAsia" w:ascii="思源黑体 CN Normal" w:hAnsi="思源黑体 CN Normal" w:eastAsia="思源黑体 CN Normal" w:cs="思源黑体 CN Normal"/>
          <w:color w:val="000000"/>
        </w:rPr>
        <w:br w:type="page"/>
      </w:r>
    </w:p>
    <w:p w14:paraId="344EEBAD">
      <w:pPr>
        <w:pStyle w:val="3"/>
        <w:pageBreakBefore w:val="0"/>
        <w:widowControl w:val="0"/>
        <w:kinsoku/>
        <w:wordWrap/>
        <w:overflowPunct/>
        <w:topLinePunct w:val="0"/>
        <w:autoSpaceDE/>
        <w:autoSpaceDN/>
        <w:bidi w:val="0"/>
        <w:adjustRightInd/>
        <w:snapToGrid/>
        <w:spacing w:before="0" w:after="0" w:line="576" w:lineRule="exact"/>
        <w:jc w:val="center"/>
        <w:textAlignment w:val="auto"/>
        <w:rPr>
          <w:rFonts w:hint="eastAsia" w:ascii="黑体" w:hAnsi="黑体" w:eastAsia="黑体" w:cs="黑体"/>
        </w:rPr>
      </w:pPr>
      <w:bookmarkStart w:id="26" w:name="_Toc698"/>
      <w:bookmarkStart w:id="27" w:name="_Toc111208498"/>
      <w:r>
        <w:rPr>
          <w:rFonts w:hint="eastAsia" w:ascii="黑体" w:hAnsi="黑体" w:eastAsia="黑体" w:cs="黑体"/>
        </w:rPr>
        <w:t xml:space="preserve">第二部分 </w:t>
      </w:r>
      <w:r>
        <w:rPr>
          <w:rFonts w:ascii="黑体" w:hAnsi="黑体" w:eastAsia="黑体" w:cs="黑体"/>
          <w:u w:color="auto"/>
        </w:rPr>
        <w:t>202</w:t>
      </w:r>
      <w:r>
        <w:rPr>
          <w:rFonts w:hint="eastAsia" w:ascii="黑体" w:hAnsi="黑体" w:eastAsia="黑体" w:cs="黑体"/>
          <w:u w:color="auto"/>
          <w:lang w:val="en-US" w:eastAsia="zh-CN"/>
        </w:rPr>
        <w:t>5</w:t>
      </w:r>
      <w:r>
        <w:rPr>
          <w:rFonts w:ascii="黑体" w:hAnsi="黑体" w:eastAsia="黑体" w:cs="黑体"/>
          <w:u w:color="auto"/>
        </w:rPr>
        <w:t>年度</w:t>
      </w:r>
      <w:r>
        <w:rPr>
          <w:rFonts w:hint="eastAsia" w:ascii="黑体" w:hAnsi="黑体" w:eastAsia="黑体" w:cs="黑体"/>
          <w:lang w:val="en-US" w:eastAsia="zh-CN"/>
        </w:rPr>
        <w:t>单位</w:t>
      </w:r>
      <w:r>
        <w:rPr>
          <w:rFonts w:hint="eastAsia" w:ascii="黑体" w:hAnsi="黑体" w:eastAsia="黑体" w:cs="黑体"/>
        </w:rPr>
        <w:t>决算情况说明</w:t>
      </w:r>
      <w:bookmarkEnd w:id="19"/>
      <w:bookmarkEnd w:id="26"/>
      <w:bookmarkEnd w:id="27"/>
    </w:p>
    <w:p w14:paraId="0AA0DB03">
      <w:pPr>
        <w:pStyle w:val="4"/>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黑体" w:hAnsi="黑体" w:eastAsia="黑体" w:cs="黑体"/>
          <w:bCs w:val="0"/>
          <w:color w:val="000000"/>
        </w:rPr>
      </w:pPr>
      <w:bookmarkStart w:id="28" w:name="_Toc15377205"/>
      <w:bookmarkStart w:id="29" w:name="_Toc14488"/>
      <w:bookmarkStart w:id="30" w:name="_Toc111208499"/>
      <w:bookmarkStart w:id="31" w:name="_Toc111208509"/>
      <w:bookmarkStart w:id="32" w:name="_Toc15377225"/>
      <w:r>
        <w:rPr>
          <w:rFonts w:hint="eastAsia" w:ascii="黑体" w:hAnsi="黑体" w:eastAsia="黑体" w:cs="黑体"/>
          <w:bCs w:val="0"/>
          <w:color w:val="000000"/>
        </w:rPr>
        <w:t>一、收入支出决算总体情况说</w:t>
      </w:r>
      <w:bookmarkEnd w:id="28"/>
      <w:r>
        <w:rPr>
          <w:rFonts w:hint="eastAsia" w:ascii="黑体" w:hAnsi="黑体" w:eastAsia="黑体" w:cs="黑体"/>
          <w:bCs w:val="0"/>
          <w:color w:val="000000"/>
        </w:rPr>
        <w:t>明</w:t>
      </w:r>
      <w:bookmarkEnd w:id="29"/>
      <w:bookmarkEnd w:id="30"/>
    </w:p>
    <w:p w14:paraId="28AC9199">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color w:val="000000"/>
          <w:sz w:val="32"/>
          <w:szCs w:val="32"/>
        </w:rPr>
      </w:pP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lang w:eastAsia="zh-CN"/>
        </w:rPr>
        <w:t>年度收、支总计均为</w:t>
      </w:r>
      <w:r>
        <w:rPr>
          <w:rFonts w:hint="eastAsia" w:ascii="仿宋_GB2312" w:eastAsia="仿宋_GB2312"/>
          <w:sz w:val="32"/>
          <w:szCs w:val="32"/>
          <w:lang w:val="en-US" w:eastAsia="zh-CN"/>
        </w:rPr>
        <w:t>89.99</w:t>
      </w:r>
      <w:r>
        <w:rPr>
          <w:rFonts w:hint="eastAsia" w:ascii="仿宋_GB2312" w:eastAsia="仿宋_GB2312"/>
          <w:sz w:val="32"/>
          <w:szCs w:val="32"/>
          <w:lang w:eastAsia="zh-CN"/>
        </w:rPr>
        <w:t>万元。与202</w:t>
      </w:r>
      <w:r>
        <w:rPr>
          <w:rFonts w:hint="eastAsia" w:ascii="仿宋_GB2312" w:eastAsia="仿宋_GB2312"/>
          <w:sz w:val="32"/>
          <w:szCs w:val="32"/>
          <w:lang w:val="en-US" w:eastAsia="zh-CN"/>
        </w:rPr>
        <w:t>4年度</w:t>
      </w:r>
      <w:r>
        <w:rPr>
          <w:rFonts w:hint="eastAsia" w:ascii="仿宋_GB2312" w:eastAsia="仿宋_GB2312"/>
          <w:sz w:val="32"/>
          <w:szCs w:val="32"/>
          <w:lang w:eastAsia="zh-CN"/>
        </w:rPr>
        <w:t>相比，收入增加</w:t>
      </w:r>
      <w:r>
        <w:rPr>
          <w:rFonts w:hint="eastAsia" w:ascii="仿宋_GB2312" w:eastAsia="仿宋_GB2312"/>
          <w:sz w:val="32"/>
          <w:szCs w:val="32"/>
          <w:lang w:val="en-US" w:eastAsia="zh-CN"/>
        </w:rPr>
        <w:t>2.86</w:t>
      </w:r>
      <w:r>
        <w:rPr>
          <w:rFonts w:hint="eastAsia" w:ascii="仿宋_GB2312" w:eastAsia="仿宋_GB2312"/>
          <w:sz w:val="32"/>
          <w:szCs w:val="32"/>
          <w:lang w:eastAsia="zh-CN"/>
        </w:rPr>
        <w:t>万元。主要变动原因是：工资保险调整及项目增加。</w:t>
      </w:r>
      <w:r>
        <w:rPr>
          <w:rFonts w:hint="eastAsia" w:ascii="仿宋" w:hAnsi="仿宋" w:eastAsia="仿宋" w:cs="仿宋"/>
          <w:color w:val="000000"/>
          <w:sz w:val="32"/>
          <w:szCs w:val="32"/>
        </w:rPr>
        <w:t xml:space="preserve">  </w:t>
      </w:r>
    </w:p>
    <w:p w14:paraId="6A8D5908">
      <w:pPr>
        <w:pStyle w:val="16"/>
        <w:rPr>
          <w:rFonts w:hint="eastAsia"/>
        </w:rPr>
      </w:pPr>
    </w:p>
    <w:p w14:paraId="0D21283F">
      <w:pPr>
        <w:pStyle w:val="6"/>
        <w:rPr>
          <w:rFonts w:hint="eastAsia" w:ascii="黑体" w:hAnsi="黑体" w:eastAsia="黑体" w:cs="黑体"/>
          <w:bCs w:val="0"/>
          <w:color w:val="000000"/>
          <w:lang w:eastAsia="zh-CN"/>
        </w:rPr>
      </w:pPr>
      <w:r>
        <w:drawing>
          <wp:inline distT="0" distB="0" distL="114300" distR="114300">
            <wp:extent cx="5271135" cy="2680335"/>
            <wp:effectExtent l="0" t="0" r="571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71135" cy="2680335"/>
                    </a:xfrm>
                    <a:prstGeom prst="rect">
                      <a:avLst/>
                    </a:prstGeom>
                    <a:noFill/>
                    <a:ln>
                      <a:noFill/>
                    </a:ln>
                  </pic:spPr>
                </pic:pic>
              </a:graphicData>
            </a:graphic>
          </wp:inline>
        </w:drawing>
      </w:r>
      <w:r>
        <w:rPr>
          <w:rFonts w:hint="eastAsia" w:ascii="黑体" w:hAnsi="黑体" w:eastAsia="黑体" w:cs="黑体"/>
          <w:bCs w:val="0"/>
          <w:color w:val="000000"/>
          <w:lang w:val="en-US" w:eastAsia="zh-CN"/>
        </w:rPr>
        <w:t xml:space="preserve">       </w:t>
      </w:r>
    </w:p>
    <w:p w14:paraId="29D8E25C">
      <w:pPr>
        <w:pStyle w:val="4"/>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黑体" w:hAnsi="黑体" w:eastAsia="黑体" w:cs="黑体"/>
          <w:bCs w:val="0"/>
          <w:color w:val="000000"/>
          <w:lang w:eastAsia="zh-CN"/>
        </w:rPr>
      </w:pPr>
      <w:bookmarkStart w:id="33" w:name="_Toc15377206"/>
      <w:bookmarkStart w:id="34" w:name="_Toc5052"/>
      <w:bookmarkStart w:id="35" w:name="_Toc111208500"/>
      <w:r>
        <w:rPr>
          <w:rFonts w:hint="eastAsia" w:ascii="黑体" w:hAnsi="黑体" w:eastAsia="黑体" w:cs="黑体"/>
          <w:bCs w:val="0"/>
          <w:color w:val="000000"/>
        </w:rPr>
        <w:t>二、收入决算情况说明</w:t>
      </w:r>
      <w:bookmarkEnd w:id="33"/>
      <w:bookmarkEnd w:id="34"/>
      <w:bookmarkEnd w:id="35"/>
    </w:p>
    <w:p w14:paraId="127AAD54">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eastAsia="zh-CN"/>
        </w:rPr>
        <w:t>202</w:t>
      </w:r>
      <w:r>
        <w:rPr>
          <w:rFonts w:hint="eastAsia" w:ascii="仿宋_GB2312" w:eastAsia="仿宋_GB2312"/>
          <w:sz w:val="32"/>
          <w:szCs w:val="32"/>
          <w:lang w:val="en-US" w:eastAsia="zh-CN"/>
        </w:rPr>
        <w:t>5年度</w:t>
      </w:r>
      <w:r>
        <w:rPr>
          <w:rFonts w:hint="eastAsia" w:ascii="仿宋_GB2312" w:eastAsia="仿宋_GB2312"/>
          <w:sz w:val="32"/>
          <w:szCs w:val="32"/>
          <w:lang w:eastAsia="zh-CN"/>
        </w:rPr>
        <w:t>本年收入合计</w:t>
      </w:r>
      <w:r>
        <w:rPr>
          <w:rFonts w:hint="eastAsia" w:ascii="仿宋_GB2312" w:eastAsia="仿宋_GB2312"/>
          <w:sz w:val="32"/>
          <w:szCs w:val="32"/>
          <w:lang w:val="en-US" w:eastAsia="zh-CN"/>
        </w:rPr>
        <w:t>89.99</w:t>
      </w:r>
      <w:r>
        <w:rPr>
          <w:rFonts w:hint="eastAsia" w:ascii="仿宋_GB2312" w:eastAsia="仿宋_GB2312"/>
          <w:sz w:val="32"/>
          <w:szCs w:val="32"/>
          <w:lang w:eastAsia="zh-CN"/>
        </w:rPr>
        <w:t>万元</w:t>
      </w:r>
      <w:r>
        <w:rPr>
          <w:rFonts w:hint="eastAsia" w:ascii="仿宋_GB2312" w:eastAsia="仿宋_GB2312"/>
          <w:sz w:val="32"/>
          <w:szCs w:val="32"/>
          <w:lang w:val="en-US" w:eastAsia="zh-CN"/>
        </w:rPr>
        <w:t>，其中：一般公共预算财政拨款收入89.99万元，占100%</w:t>
      </w:r>
      <w:r>
        <w:rPr>
          <w:rFonts w:hint="eastAsia" w:ascii="仿宋_GB2312" w:eastAsia="仿宋_GB2312"/>
          <w:sz w:val="32"/>
          <w:szCs w:val="32"/>
          <w:lang w:eastAsia="zh-CN"/>
        </w:rPr>
        <w:t>。</w:t>
      </w:r>
    </w:p>
    <w:p w14:paraId="7B561E51">
      <w:pPr>
        <w:pStyle w:val="17"/>
        <w:ind w:left="1060" w:hanging="640"/>
        <w:jc w:val="center"/>
        <w:rPr>
          <w:rFonts w:hint="eastAsia" w:ascii="思源黑体 CN Normal" w:hAnsi="思源黑体 CN Normal" w:eastAsia="思源黑体 CN Normal" w:cs="思源黑体 CN Normal"/>
          <w:color w:val="FF0000"/>
          <w:sz w:val="32"/>
          <w:szCs w:val="32"/>
          <w:lang w:eastAsia="zh-CN"/>
        </w:rPr>
      </w:pPr>
      <w:r>
        <w:drawing>
          <wp:inline distT="0" distB="0" distL="114300" distR="114300">
            <wp:extent cx="5274310" cy="2516505"/>
            <wp:effectExtent l="0" t="0" r="254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4310" cy="2516505"/>
                    </a:xfrm>
                    <a:prstGeom prst="rect">
                      <a:avLst/>
                    </a:prstGeom>
                    <a:noFill/>
                    <a:ln>
                      <a:noFill/>
                    </a:ln>
                  </pic:spPr>
                </pic:pic>
              </a:graphicData>
            </a:graphic>
          </wp:inline>
        </w:drawing>
      </w:r>
      <w:r>
        <w:rPr>
          <w:rFonts w:hint="eastAsia" w:ascii="思源黑体 CN Normal" w:hAnsi="思源黑体 CN Normal" w:eastAsia="思源黑体 CN Normal" w:cs="思源黑体 CN Normal"/>
          <w:color w:val="FF0000"/>
          <w:sz w:val="32"/>
          <w:szCs w:val="32"/>
          <w:lang w:val="en-US" w:eastAsia="zh-CN"/>
        </w:rPr>
        <w:t xml:space="preserve">  </w:t>
      </w:r>
    </w:p>
    <w:p w14:paraId="3DDEFCD5">
      <w:pPr>
        <w:pStyle w:val="4"/>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黑体" w:hAnsi="黑体" w:eastAsia="黑体" w:cs="黑体"/>
          <w:bCs w:val="0"/>
          <w:color w:val="000000"/>
        </w:rPr>
      </w:pPr>
      <w:bookmarkStart w:id="36" w:name="_Toc15377207"/>
      <w:bookmarkStart w:id="37" w:name="_Toc13065"/>
      <w:bookmarkStart w:id="38" w:name="_Toc111208501"/>
      <w:r>
        <w:rPr>
          <w:rFonts w:hint="eastAsia" w:ascii="黑体" w:hAnsi="黑体" w:eastAsia="黑体" w:cs="黑体"/>
          <w:bCs w:val="0"/>
          <w:color w:val="000000"/>
        </w:rPr>
        <w:t>三、支出决算情况说明</w:t>
      </w:r>
      <w:bookmarkEnd w:id="36"/>
      <w:bookmarkEnd w:id="37"/>
      <w:bookmarkEnd w:id="38"/>
    </w:p>
    <w:p w14:paraId="13C0B27C">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eastAsia="zh-CN"/>
        </w:rPr>
        <w:t>202</w:t>
      </w:r>
      <w:r>
        <w:rPr>
          <w:rFonts w:hint="eastAsia" w:ascii="仿宋_GB2312" w:eastAsia="仿宋_GB2312"/>
          <w:sz w:val="32"/>
          <w:szCs w:val="32"/>
          <w:lang w:val="en-US" w:eastAsia="zh-CN"/>
        </w:rPr>
        <w:t>5年度</w:t>
      </w:r>
      <w:r>
        <w:rPr>
          <w:rFonts w:hint="eastAsia" w:ascii="仿宋_GB2312" w:eastAsia="仿宋_GB2312"/>
          <w:sz w:val="32"/>
          <w:szCs w:val="32"/>
          <w:lang w:eastAsia="zh-CN"/>
        </w:rPr>
        <w:t>本年支出合计</w:t>
      </w:r>
      <w:r>
        <w:rPr>
          <w:rFonts w:hint="eastAsia" w:ascii="仿宋_GB2312" w:eastAsia="仿宋_GB2312"/>
          <w:sz w:val="32"/>
          <w:szCs w:val="32"/>
          <w:lang w:val="en-US" w:eastAsia="zh-CN"/>
        </w:rPr>
        <w:t>89.99</w:t>
      </w:r>
      <w:r>
        <w:rPr>
          <w:rFonts w:hint="eastAsia" w:ascii="仿宋_GB2312" w:eastAsia="仿宋_GB2312"/>
          <w:sz w:val="32"/>
          <w:szCs w:val="32"/>
          <w:lang w:eastAsia="zh-CN"/>
        </w:rPr>
        <w:t>万元</w:t>
      </w:r>
      <w:r>
        <w:rPr>
          <w:rFonts w:hint="eastAsia" w:ascii="仿宋_GB2312" w:eastAsia="仿宋_GB2312"/>
          <w:sz w:val="32"/>
          <w:szCs w:val="32"/>
          <w:lang w:val="en-US" w:eastAsia="zh-CN"/>
        </w:rPr>
        <w:t>，</w:t>
      </w:r>
      <w:r>
        <w:rPr>
          <w:rFonts w:hint="eastAsia" w:ascii="仿宋_GB2312" w:eastAsia="仿宋_GB2312"/>
          <w:sz w:val="32"/>
          <w:szCs w:val="32"/>
          <w:lang w:eastAsia="zh-CN"/>
        </w:rPr>
        <w:t>其中：基本支出</w:t>
      </w:r>
      <w:r>
        <w:rPr>
          <w:rFonts w:hint="eastAsia" w:ascii="仿宋_GB2312" w:eastAsia="仿宋_GB2312"/>
          <w:sz w:val="32"/>
          <w:szCs w:val="32"/>
          <w:lang w:val="en-US" w:eastAsia="zh-CN"/>
        </w:rPr>
        <w:t>84.99</w:t>
      </w:r>
      <w:r>
        <w:rPr>
          <w:rFonts w:hint="eastAsia" w:ascii="仿宋_GB2312" w:eastAsia="仿宋_GB2312"/>
          <w:sz w:val="32"/>
          <w:szCs w:val="32"/>
          <w:lang w:eastAsia="zh-CN"/>
        </w:rPr>
        <w:t>万元，占</w:t>
      </w:r>
      <w:r>
        <w:rPr>
          <w:rFonts w:hint="eastAsia" w:ascii="仿宋_GB2312" w:eastAsia="仿宋_GB2312"/>
          <w:sz w:val="32"/>
          <w:szCs w:val="32"/>
          <w:lang w:val="en-US" w:eastAsia="zh-CN"/>
        </w:rPr>
        <w:t>94.44</w:t>
      </w:r>
      <w:r>
        <w:rPr>
          <w:rFonts w:hint="eastAsia" w:ascii="仿宋_GB2312" w:eastAsia="仿宋_GB2312"/>
          <w:sz w:val="32"/>
          <w:szCs w:val="32"/>
          <w:lang w:eastAsia="zh-CN"/>
        </w:rPr>
        <w:t>%；项目支出</w:t>
      </w:r>
      <w:r>
        <w:rPr>
          <w:rFonts w:hint="eastAsia" w:ascii="仿宋_GB2312" w:eastAsia="仿宋_GB2312"/>
          <w:sz w:val="32"/>
          <w:szCs w:val="32"/>
          <w:lang w:val="en-US" w:eastAsia="zh-CN"/>
        </w:rPr>
        <w:t>5</w:t>
      </w:r>
      <w:r>
        <w:rPr>
          <w:rFonts w:hint="eastAsia" w:ascii="仿宋_GB2312" w:eastAsia="仿宋_GB2312"/>
          <w:sz w:val="32"/>
          <w:szCs w:val="32"/>
          <w:lang w:eastAsia="zh-CN"/>
        </w:rPr>
        <w:t>万元，占</w:t>
      </w:r>
      <w:r>
        <w:rPr>
          <w:rFonts w:hint="eastAsia" w:ascii="仿宋_GB2312" w:eastAsia="仿宋_GB2312"/>
          <w:sz w:val="32"/>
          <w:szCs w:val="32"/>
          <w:lang w:val="en-US" w:eastAsia="zh-CN"/>
        </w:rPr>
        <w:t>5.56</w:t>
      </w:r>
      <w:r>
        <w:rPr>
          <w:rFonts w:hint="eastAsia" w:ascii="仿宋_GB2312" w:eastAsia="仿宋_GB2312"/>
          <w:sz w:val="32"/>
          <w:szCs w:val="32"/>
          <w:lang w:eastAsia="zh-CN"/>
        </w:rPr>
        <w:t>%。</w:t>
      </w:r>
    </w:p>
    <w:p w14:paraId="555ACF69">
      <w:pPr>
        <w:jc w:val="center"/>
        <w:rPr>
          <w:rFonts w:hint="eastAsia" w:ascii="思源黑体 CN Normal" w:hAnsi="思源黑体 CN Normal" w:eastAsia="思源黑体 CN Normal" w:cs="思源黑体 CN Normal"/>
          <w:color w:val="FF0000"/>
          <w:sz w:val="32"/>
          <w:szCs w:val="32"/>
        </w:rPr>
      </w:pPr>
      <w:r>
        <w:rPr>
          <w:rFonts w:hint="eastAsia" w:ascii="思源黑体 CN Normal" w:hAnsi="思源黑体 CN Normal" w:eastAsia="思源黑体 CN Normal" w:cs="思源黑体 CN Normal"/>
          <w:color w:val="FF0000"/>
          <w:sz w:val="32"/>
          <w:szCs w:val="32"/>
          <w:lang w:eastAsia="zh-CN"/>
        </w:rPr>
        <w:drawing>
          <wp:inline distT="0" distB="0" distL="114300" distR="114300">
            <wp:extent cx="5269865" cy="2470785"/>
            <wp:effectExtent l="0" t="0" r="6985" b="5715"/>
            <wp:docPr id="3" name="图片 3" descr="8e1c3f30-a241-4fab-acf7-bb6cb74edd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e1c3f30-a241-4fab-acf7-bb6cb74edd7d"/>
                    <pic:cNvPicPr>
                      <a:picLocks noChangeAspect="1"/>
                    </pic:cNvPicPr>
                  </pic:nvPicPr>
                  <pic:blipFill>
                    <a:blip r:embed="rId8"/>
                    <a:stretch>
                      <a:fillRect/>
                    </a:stretch>
                  </pic:blipFill>
                  <pic:spPr>
                    <a:xfrm>
                      <a:off x="0" y="0"/>
                      <a:ext cx="5269865" cy="2470785"/>
                    </a:xfrm>
                    <a:prstGeom prst="rect">
                      <a:avLst/>
                    </a:prstGeom>
                  </pic:spPr>
                </pic:pic>
              </a:graphicData>
            </a:graphic>
          </wp:inline>
        </w:drawing>
      </w:r>
    </w:p>
    <w:p w14:paraId="1CD6670E">
      <w:pPr>
        <w:pStyle w:val="4"/>
        <w:pageBreakBefore w:val="0"/>
        <w:widowControl w:val="0"/>
        <w:kinsoku/>
        <w:wordWrap/>
        <w:overflowPunct/>
        <w:topLinePunct w:val="0"/>
        <w:autoSpaceDE/>
        <w:autoSpaceDN/>
        <w:bidi w:val="0"/>
        <w:adjustRightInd/>
        <w:snapToGrid/>
        <w:spacing w:before="0" w:after="0" w:line="576" w:lineRule="exact"/>
        <w:ind w:left="0" w:firstLine="643" w:firstLineChars="200"/>
        <w:textAlignment w:val="auto"/>
        <w:rPr>
          <w:rFonts w:hint="eastAsia" w:ascii="黑体" w:hAnsi="黑体" w:eastAsia="黑体" w:cs="黑体"/>
          <w:bCs w:val="0"/>
          <w:color w:val="000000"/>
        </w:rPr>
      </w:pPr>
      <w:bookmarkStart w:id="39" w:name="_Toc15377208"/>
      <w:bookmarkStart w:id="40" w:name="_Toc3622"/>
      <w:bookmarkStart w:id="41" w:name="_Toc111208502"/>
      <w:r>
        <w:rPr>
          <w:rFonts w:hint="eastAsia" w:ascii="黑体" w:hAnsi="黑体" w:eastAsia="黑体" w:cs="黑体"/>
          <w:bCs w:val="0"/>
          <w:color w:val="000000"/>
        </w:rPr>
        <w:t>四、财政拨款收入支出决算总体情况说明</w:t>
      </w:r>
      <w:bookmarkEnd w:id="39"/>
      <w:bookmarkEnd w:id="40"/>
      <w:bookmarkEnd w:id="41"/>
    </w:p>
    <w:p w14:paraId="2BD3D473">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财政拨款收、支总计均为</w:t>
      </w:r>
      <w:r>
        <w:rPr>
          <w:rFonts w:hint="eastAsia" w:ascii="仿宋_GB2312" w:hAnsi="仿宋_GB2312" w:eastAsia="仿宋_GB2312" w:cs="仿宋_GB2312"/>
          <w:color w:val="000000"/>
          <w:sz w:val="32"/>
          <w:szCs w:val="32"/>
          <w:lang w:val="en-US" w:eastAsia="zh-CN"/>
        </w:rPr>
        <w:t>89.99</w:t>
      </w:r>
      <w:r>
        <w:rPr>
          <w:rFonts w:hint="eastAsia" w:ascii="仿宋_GB2312" w:hAnsi="仿宋_GB2312" w:eastAsia="仿宋_GB2312" w:cs="仿宋_GB2312"/>
          <w:color w:val="000000"/>
          <w:sz w:val="32"/>
          <w:szCs w:val="32"/>
        </w:rPr>
        <w:t>万元。与202</w:t>
      </w:r>
      <w:r>
        <w:rPr>
          <w:rFonts w:hint="eastAsia" w:ascii="仿宋_GB2312" w:hAnsi="仿宋_GB2312" w:eastAsia="仿宋_GB2312" w:cs="仿宋_GB2312"/>
          <w:color w:val="000000"/>
          <w:sz w:val="32"/>
          <w:szCs w:val="32"/>
          <w:lang w:val="en-US" w:eastAsia="zh-CN"/>
        </w:rPr>
        <w:t>4年度</w:t>
      </w:r>
      <w:r>
        <w:rPr>
          <w:rFonts w:hint="eastAsia" w:ascii="仿宋_GB2312" w:hAnsi="仿宋_GB2312" w:eastAsia="仿宋_GB2312" w:cs="仿宋_GB2312"/>
          <w:color w:val="000000"/>
          <w:sz w:val="32"/>
          <w:szCs w:val="32"/>
        </w:rPr>
        <w:t>相比，财政拨款收、支总计</w:t>
      </w:r>
      <w:r>
        <w:rPr>
          <w:rFonts w:hint="eastAsia" w:ascii="仿宋_GB2312" w:hAnsi="仿宋_GB2312" w:eastAsia="仿宋_GB2312" w:cs="仿宋_GB2312"/>
          <w:color w:val="000000"/>
          <w:sz w:val="32"/>
          <w:szCs w:val="32"/>
          <w:lang w:eastAsia="zh-CN"/>
        </w:rPr>
        <w:t>增加</w:t>
      </w:r>
      <w:r>
        <w:rPr>
          <w:rFonts w:hint="eastAsia" w:ascii="仿宋_GB2312" w:hAnsi="仿宋_GB2312" w:eastAsia="仿宋_GB2312" w:cs="仿宋_GB2312"/>
          <w:color w:val="000000"/>
          <w:sz w:val="32"/>
          <w:szCs w:val="32"/>
          <w:lang w:val="en-US" w:eastAsia="zh-CN"/>
        </w:rPr>
        <w:t>2.86</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增长</w:t>
      </w:r>
      <w:r>
        <w:rPr>
          <w:rFonts w:hint="eastAsia" w:ascii="仿宋_GB2312" w:hAnsi="仿宋_GB2312" w:eastAsia="仿宋_GB2312" w:cs="仿宋_GB2312"/>
          <w:color w:val="000000"/>
          <w:sz w:val="32"/>
          <w:szCs w:val="32"/>
          <w:lang w:val="en-US" w:eastAsia="zh-CN"/>
        </w:rPr>
        <w:t>3.28</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主要变动原因是：工资保险调整及项目增加。</w:t>
      </w:r>
    </w:p>
    <w:p w14:paraId="16CB58AD">
      <w:pPr>
        <w:pStyle w:val="6"/>
        <w:ind w:left="630" w:leftChars="0" w:hanging="630" w:hangingChars="300"/>
        <w:jc w:val="left"/>
        <w:rPr>
          <w:rFonts w:hint="eastAsia" w:ascii="思源黑体 CN Normal" w:hAnsi="思源黑体 CN Normal" w:eastAsia="仿宋" w:cs="思源黑体 CN Normal"/>
          <w:color w:val="000000"/>
          <w:sz w:val="32"/>
          <w:szCs w:val="32"/>
          <w:lang w:eastAsia="zh-CN"/>
        </w:rPr>
      </w:pPr>
      <w:r>
        <w:drawing>
          <wp:inline distT="0" distB="0" distL="114300" distR="114300">
            <wp:extent cx="5266690" cy="3018790"/>
            <wp:effectExtent l="0" t="0" r="10160" b="1016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9"/>
                    <a:stretch>
                      <a:fillRect/>
                    </a:stretch>
                  </pic:blipFill>
                  <pic:spPr>
                    <a:xfrm>
                      <a:off x="0" y="0"/>
                      <a:ext cx="5266690" cy="3018790"/>
                    </a:xfrm>
                    <a:prstGeom prst="rect">
                      <a:avLst/>
                    </a:prstGeom>
                    <a:noFill/>
                    <a:ln>
                      <a:noFill/>
                    </a:ln>
                  </pic:spPr>
                </pic:pic>
              </a:graphicData>
            </a:graphic>
          </wp:inline>
        </w:drawing>
      </w:r>
    </w:p>
    <w:p w14:paraId="7A2B944E">
      <w:pPr>
        <w:pStyle w:val="6"/>
        <w:ind w:left="0" w:leftChars="0" w:firstLine="0" w:firstLineChars="0"/>
        <w:jc w:val="left"/>
        <w:rPr>
          <w:rFonts w:hint="eastAsia" w:ascii="思源黑体 CN Normal" w:hAnsi="思源黑体 CN Normal" w:eastAsia="仿宋" w:cs="思源黑体 CN Normal"/>
          <w:color w:val="000000"/>
          <w:sz w:val="32"/>
          <w:szCs w:val="32"/>
          <w:lang w:eastAsia="zh-CN"/>
        </w:rPr>
      </w:pPr>
    </w:p>
    <w:p w14:paraId="0CCB6655">
      <w:pPr>
        <w:pStyle w:val="4"/>
        <w:pageBreakBefore w:val="0"/>
        <w:widowControl w:val="0"/>
        <w:kinsoku/>
        <w:wordWrap/>
        <w:overflowPunct/>
        <w:topLinePunct w:val="0"/>
        <w:autoSpaceDE/>
        <w:autoSpaceDN/>
        <w:bidi w:val="0"/>
        <w:adjustRightInd/>
        <w:snapToGrid/>
        <w:spacing w:before="0" w:after="0" w:line="576" w:lineRule="exact"/>
        <w:ind w:firstLine="321" w:firstLineChars="100"/>
        <w:textAlignment w:val="auto"/>
        <w:rPr>
          <w:rFonts w:hint="eastAsia" w:ascii="黑体" w:hAnsi="黑体" w:eastAsia="黑体" w:cs="黑体"/>
          <w:bCs w:val="0"/>
          <w:color w:val="000000"/>
        </w:rPr>
      </w:pPr>
      <w:bookmarkStart w:id="42" w:name="_Toc15377209"/>
      <w:bookmarkStart w:id="43" w:name="_Toc111208503"/>
      <w:bookmarkStart w:id="44" w:name="_Toc12337"/>
      <w:r>
        <w:rPr>
          <w:rFonts w:hint="eastAsia" w:ascii="黑体" w:hAnsi="黑体" w:eastAsia="黑体" w:cs="黑体"/>
          <w:bCs w:val="0"/>
          <w:color w:val="000000"/>
        </w:rPr>
        <w:t>五、一般公共预算财政拨款支出决算情况说</w:t>
      </w:r>
      <w:bookmarkEnd w:id="42"/>
      <w:r>
        <w:rPr>
          <w:rFonts w:hint="eastAsia" w:ascii="黑体" w:hAnsi="黑体" w:eastAsia="黑体" w:cs="黑体"/>
          <w:bCs w:val="0"/>
          <w:color w:val="000000"/>
        </w:rPr>
        <w:t>明</w:t>
      </w:r>
      <w:bookmarkEnd w:id="43"/>
      <w:bookmarkEnd w:id="44"/>
    </w:p>
    <w:p w14:paraId="57C2E683">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仿宋" w:hAnsi="仿宋" w:eastAsia="仿宋" w:cs="仿宋"/>
          <w:b/>
          <w:color w:val="000000"/>
          <w:sz w:val="32"/>
          <w:szCs w:val="32"/>
        </w:rPr>
      </w:pPr>
      <w:bookmarkStart w:id="45" w:name="_Toc15377210"/>
      <w:r>
        <w:rPr>
          <w:rFonts w:hint="eastAsia" w:ascii="仿宋" w:hAnsi="仿宋" w:eastAsia="仿宋" w:cs="仿宋"/>
          <w:b/>
          <w:color w:val="000000"/>
          <w:sz w:val="32"/>
          <w:szCs w:val="32"/>
        </w:rPr>
        <w:t>（一）一般公共预算财政拨款支出决算总体情况</w:t>
      </w:r>
      <w:bookmarkEnd w:id="45"/>
    </w:p>
    <w:p w14:paraId="5C8D892F">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bookmarkStart w:id="46" w:name="_Toc15377211"/>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一般公共预算财政拨款支出</w:t>
      </w:r>
      <w:r>
        <w:rPr>
          <w:rFonts w:hint="eastAsia" w:ascii="仿宋_GB2312" w:hAnsi="仿宋_GB2312" w:eastAsia="仿宋_GB2312" w:cs="仿宋_GB2312"/>
          <w:color w:val="000000"/>
          <w:sz w:val="32"/>
          <w:szCs w:val="32"/>
          <w:lang w:val="en-US" w:eastAsia="zh-CN"/>
        </w:rPr>
        <w:t>89.99</w:t>
      </w:r>
      <w:r>
        <w:rPr>
          <w:rFonts w:hint="eastAsia" w:ascii="仿宋_GB2312" w:hAnsi="仿宋_GB2312" w:eastAsia="仿宋_GB2312" w:cs="仿宋_GB2312"/>
          <w:color w:val="000000"/>
          <w:sz w:val="32"/>
          <w:szCs w:val="32"/>
        </w:rPr>
        <w:t>万元，占本年支出合计的100%。与202</w:t>
      </w:r>
      <w:r>
        <w:rPr>
          <w:rFonts w:hint="eastAsia" w:ascii="仿宋_GB2312" w:hAnsi="仿宋_GB2312" w:eastAsia="仿宋_GB2312" w:cs="仿宋_GB2312"/>
          <w:color w:val="000000"/>
          <w:sz w:val="32"/>
          <w:szCs w:val="32"/>
          <w:lang w:val="en-US" w:eastAsia="zh-CN"/>
        </w:rPr>
        <w:t>4年度</w:t>
      </w:r>
      <w:r>
        <w:rPr>
          <w:rFonts w:hint="eastAsia" w:ascii="仿宋_GB2312" w:hAnsi="仿宋_GB2312" w:eastAsia="仿宋_GB2312" w:cs="仿宋_GB2312"/>
          <w:color w:val="000000"/>
          <w:sz w:val="32"/>
          <w:szCs w:val="32"/>
        </w:rPr>
        <w:t>相比，一般公共预算财政拨款</w:t>
      </w:r>
      <w:r>
        <w:rPr>
          <w:rFonts w:hint="eastAsia" w:ascii="仿宋_GB2312" w:hAnsi="仿宋_GB2312" w:eastAsia="仿宋_GB2312" w:cs="仿宋_GB2312"/>
          <w:color w:val="000000"/>
          <w:sz w:val="32"/>
          <w:szCs w:val="32"/>
          <w:lang w:eastAsia="zh-CN"/>
        </w:rPr>
        <w:t>增加</w:t>
      </w:r>
      <w:r>
        <w:rPr>
          <w:rFonts w:hint="eastAsia" w:ascii="仿宋_GB2312" w:hAnsi="仿宋_GB2312" w:eastAsia="仿宋_GB2312" w:cs="仿宋_GB2312"/>
          <w:color w:val="000000"/>
          <w:sz w:val="32"/>
          <w:szCs w:val="32"/>
          <w:lang w:val="en-US" w:eastAsia="zh-CN"/>
        </w:rPr>
        <w:t>2.86</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增长</w:t>
      </w:r>
      <w:r>
        <w:rPr>
          <w:rFonts w:hint="eastAsia" w:ascii="仿宋_GB2312" w:hAnsi="仿宋_GB2312" w:eastAsia="仿宋_GB2312" w:cs="仿宋_GB2312"/>
          <w:color w:val="000000"/>
          <w:sz w:val="32"/>
          <w:szCs w:val="32"/>
          <w:lang w:val="en-US" w:eastAsia="zh-CN"/>
        </w:rPr>
        <w:t>3.28</w:t>
      </w:r>
      <w:r>
        <w:rPr>
          <w:rFonts w:hint="eastAsia" w:ascii="仿宋_GB2312" w:hAnsi="仿宋_GB2312" w:eastAsia="仿宋_GB2312" w:cs="仿宋_GB2312"/>
          <w:color w:val="000000"/>
          <w:sz w:val="32"/>
          <w:szCs w:val="32"/>
        </w:rPr>
        <w:t>%。主要变动原因是</w:t>
      </w:r>
      <w:r>
        <w:rPr>
          <w:rFonts w:hint="eastAsia" w:ascii="仿宋_GB2312" w:hAnsi="仿宋_GB2312" w:eastAsia="仿宋_GB2312" w:cs="仿宋_GB2312"/>
          <w:color w:val="000000"/>
          <w:sz w:val="32"/>
          <w:szCs w:val="32"/>
          <w:lang w:eastAsia="zh-CN"/>
        </w:rPr>
        <w:t>：工资保险调整及项目增加。</w:t>
      </w:r>
    </w:p>
    <w:p w14:paraId="7ADFE117">
      <w:pPr>
        <w:pStyle w:val="6"/>
        <w:ind w:firstLine="0"/>
        <w:jc w:val="center"/>
        <w:rPr>
          <w:rFonts w:hint="eastAsia" w:ascii="思源黑体 CN Normal" w:hAnsi="思源黑体 CN Normal" w:eastAsia="思源黑体 CN Normal" w:cs="思源黑体 CN Normal"/>
          <w:b/>
          <w:color w:val="000000"/>
          <w:sz w:val="32"/>
          <w:szCs w:val="32"/>
          <w:lang w:eastAsia="zh-CN"/>
        </w:rPr>
      </w:pPr>
      <w:r>
        <w:drawing>
          <wp:inline distT="0" distB="0" distL="114300" distR="114300">
            <wp:extent cx="3993515" cy="1973580"/>
            <wp:effectExtent l="0" t="0" r="6985" b="762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0"/>
                    <a:stretch>
                      <a:fillRect/>
                    </a:stretch>
                  </pic:blipFill>
                  <pic:spPr>
                    <a:xfrm>
                      <a:off x="0" y="0"/>
                      <a:ext cx="3993515" cy="1973580"/>
                    </a:xfrm>
                    <a:prstGeom prst="rect">
                      <a:avLst/>
                    </a:prstGeom>
                    <a:noFill/>
                    <a:ln>
                      <a:noFill/>
                    </a:ln>
                  </pic:spPr>
                </pic:pic>
              </a:graphicData>
            </a:graphic>
          </wp:inline>
        </w:drawing>
      </w:r>
    </w:p>
    <w:p w14:paraId="37E9C9F5">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仿宋" w:hAnsi="仿宋" w:eastAsia="仿宋" w:cs="仿宋"/>
          <w:b/>
          <w:color w:val="000000"/>
          <w:sz w:val="32"/>
          <w:szCs w:val="32"/>
        </w:rPr>
      </w:pPr>
      <w:r>
        <w:rPr>
          <w:rFonts w:hint="eastAsia" w:ascii="仿宋" w:hAnsi="仿宋" w:eastAsia="仿宋" w:cs="仿宋"/>
          <w:b/>
          <w:color w:val="000000"/>
          <w:sz w:val="32"/>
          <w:szCs w:val="32"/>
        </w:rPr>
        <w:t>（二）一般公共预算财政拨款支出决算结构情况</w:t>
      </w:r>
      <w:bookmarkEnd w:id="46"/>
    </w:p>
    <w:p w14:paraId="77876F8A">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bookmarkStart w:id="47" w:name="_Toc15377212"/>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2025年一般公共预算财政拨款支出89.99万元，主要用于以下方面：一般公共服务支出63.08万元，占70.1%；文化旅游体育与传媒支出5万元，占5.56%；社会保障和就业支出</w:t>
      </w:r>
      <w:r>
        <w:rPr>
          <w:rFonts w:hint="eastAsia" w:ascii="仿宋_GB2312" w:hAnsi="仿宋" w:eastAsia="仿宋_GB2312" w:cs="仿宋"/>
          <w:color w:val="000000" w:themeColor="text1"/>
          <w:sz w:val="32"/>
          <w:szCs w:val="32"/>
          <w:lang w:val="en-US" w:eastAsia="zh-CN"/>
          <w14:textFill>
            <w14:solidFill>
              <w14:schemeClr w14:val="tx1"/>
            </w14:solidFill>
          </w14:textFill>
        </w:rPr>
        <w:t>11.20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万元，占12.45%；卫生健康支出</w:t>
      </w:r>
      <w:r>
        <w:rPr>
          <w:rFonts w:hint="eastAsia" w:ascii="仿宋_GB2312" w:hAnsi="仿宋" w:eastAsia="仿宋_GB2312" w:cs="仿宋"/>
          <w:color w:val="000000" w:themeColor="text1"/>
          <w:sz w:val="32"/>
          <w:szCs w:val="32"/>
          <w:lang w:val="en-US" w:eastAsia="zh-CN"/>
          <w14:textFill>
            <w14:solidFill>
              <w14:schemeClr w14:val="tx1"/>
            </w14:solidFill>
          </w14:textFill>
        </w:rPr>
        <w:t>4.33</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万元，占4.81%；住房保障支出</w:t>
      </w:r>
      <w:r>
        <w:rPr>
          <w:rFonts w:hint="eastAsia" w:ascii="仿宋_GB2312" w:hAnsi="仿宋" w:eastAsia="仿宋_GB2312" w:cs="仿宋"/>
          <w:color w:val="000000" w:themeColor="text1"/>
          <w:sz w:val="32"/>
          <w:szCs w:val="32"/>
          <w:lang w:val="en-US" w:eastAsia="zh-CN"/>
          <w14:textFill>
            <w14:solidFill>
              <w14:schemeClr w14:val="tx1"/>
            </w14:solidFill>
          </w14:textFill>
        </w:rPr>
        <w:t>6.37</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万元，占7.08%。</w:t>
      </w:r>
    </w:p>
    <w:p w14:paraId="13A129BA">
      <w:pPr>
        <w:pStyle w:val="16"/>
        <w:jc w:val="center"/>
        <w:rPr>
          <w:rFonts w:hint="eastAsia" w:ascii="仿宋" w:hAnsi="仿宋" w:eastAsia="仿宋"/>
          <w:color w:val="auto"/>
          <w:sz w:val="32"/>
          <w:szCs w:val="32"/>
          <w:highlight w:val="none"/>
          <w:lang w:eastAsia="zh-CN"/>
        </w:rPr>
      </w:pPr>
      <w:r>
        <w:drawing>
          <wp:inline distT="0" distB="0" distL="114300" distR="114300">
            <wp:extent cx="3864610" cy="2019300"/>
            <wp:effectExtent l="0" t="0" r="2540" b="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1"/>
                    <a:stretch>
                      <a:fillRect/>
                    </a:stretch>
                  </pic:blipFill>
                  <pic:spPr>
                    <a:xfrm>
                      <a:off x="0" y="0"/>
                      <a:ext cx="3864610" cy="2019300"/>
                    </a:xfrm>
                    <a:prstGeom prst="rect">
                      <a:avLst/>
                    </a:prstGeom>
                    <a:noFill/>
                    <a:ln>
                      <a:noFill/>
                    </a:ln>
                  </pic:spPr>
                </pic:pic>
              </a:graphicData>
            </a:graphic>
          </wp:inline>
        </w:drawing>
      </w:r>
    </w:p>
    <w:p w14:paraId="35CD2744">
      <w:pPr>
        <w:pStyle w:val="10"/>
        <w:rPr>
          <w:rFonts w:hint="eastAsia"/>
        </w:rPr>
      </w:pPr>
    </w:p>
    <w:p w14:paraId="4F10FCB8">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仿宋" w:hAnsi="仿宋" w:eastAsia="仿宋" w:cs="仿宋"/>
          <w:b/>
          <w:color w:val="000000"/>
          <w:sz w:val="32"/>
          <w:szCs w:val="32"/>
        </w:rPr>
      </w:pPr>
      <w:r>
        <w:rPr>
          <w:rFonts w:hint="eastAsia" w:ascii="仿宋" w:hAnsi="仿宋" w:eastAsia="仿宋" w:cs="仿宋"/>
          <w:b/>
          <w:color w:val="000000"/>
          <w:sz w:val="32"/>
          <w:szCs w:val="32"/>
        </w:rPr>
        <w:t>（三）一般公共预算财政拨款支出决算具体情况</w:t>
      </w:r>
      <w:bookmarkEnd w:id="47"/>
    </w:p>
    <w:p w14:paraId="4608FA7B">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bookmarkStart w:id="48" w:name="_Toc15378460"/>
      <w:bookmarkStart w:id="49" w:name="_Toc15377444"/>
      <w:bookmarkStart w:id="50" w:name="_Toc15377213"/>
      <w:bookmarkStart w:id="51" w:name="_Toc15377214"/>
      <w:bookmarkStart w:id="52" w:name="_Toc111208504"/>
      <w:r>
        <w:rPr>
          <w:rFonts w:hint="eastAsia" w:ascii="仿宋_GB2312" w:hAnsi="仿宋_GB2312" w:eastAsia="仿宋_GB2312" w:cs="仿宋_GB2312"/>
          <w:color w:val="000000"/>
          <w:sz w:val="32"/>
          <w:szCs w:val="32"/>
          <w:lang w:val="en-US" w:eastAsia="zh-CN"/>
        </w:rPr>
        <w:t>2025年度一般公共预算支出决算数为89.99万元，完成预算100%。其中：</w:t>
      </w:r>
      <w:bookmarkEnd w:id="48"/>
      <w:bookmarkEnd w:id="49"/>
      <w:bookmarkEnd w:id="50"/>
    </w:p>
    <w:p w14:paraId="27325E7F">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1.文化旅游体育与传媒支出（类）其他文化旅游体育与传媒支出（款）其他文化旅游体育与传媒支出（项）支出决算为5万元，完成预算100%，决算数与预算数持平。</w:t>
      </w:r>
    </w:p>
    <w:p w14:paraId="4F0242F0">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2.一般公共服务支出（类）群众团体事务（款）事业运行支出（项）支出决算为63.08万元，完成预算的100%，决算数与预算数持平。</w:t>
      </w:r>
    </w:p>
    <w:p w14:paraId="3B4F59FD">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3.社会保障和就业支出（类）行政事业单位养老支出（款）机关事业单位基本养老保险缴费支出（项）支出决算为7.47万元，完成预算的100%，决算数与预算数持平。</w:t>
      </w:r>
    </w:p>
    <w:p w14:paraId="271C2AF9">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4.社会保障和就业支出（类）行政事业单位养老支出（款）机关事业单位职业年金缴费支出（项）支出决算为3.73万元，完成预算的100%，决算数与预算数持平。</w:t>
      </w:r>
      <w:r>
        <w:rPr>
          <w:rFonts w:hint="eastAsia" w:ascii="仿宋_GB2312" w:hAnsi="仿宋_GB2312" w:eastAsia="仿宋_GB2312" w:cs="仿宋_GB2312"/>
          <w:color w:val="000000"/>
          <w:sz w:val="32"/>
          <w:szCs w:val="32"/>
          <w:lang w:val="en-US" w:eastAsia="zh-CN"/>
        </w:rPr>
        <w:br w:type="textWrapping"/>
      </w:r>
      <w:r>
        <w:rPr>
          <w:rFonts w:hint="eastAsia" w:ascii="仿宋_GB2312" w:hAnsi="仿宋_GB2312" w:eastAsia="仿宋_GB2312" w:cs="仿宋_GB2312"/>
          <w:color w:val="000000"/>
          <w:sz w:val="32"/>
          <w:szCs w:val="32"/>
          <w:lang w:val="en-US" w:eastAsia="zh-CN"/>
        </w:rPr>
        <w:t>　　5.卫生健康支出（类）行政事业单位医疗（款）事业单位医疗支出（项）支出决算为4.33万元，完成预算的100%，决算数与预算数持平。</w:t>
      </w:r>
    </w:p>
    <w:p w14:paraId="29F5CEB6">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6.住房保障支出（类）住房改革支出（款）住房公积金支出（项）支出决算为6.37万元，完成预算的100%，决算数与预算数持平。</w:t>
      </w:r>
    </w:p>
    <w:p w14:paraId="7E48D19F">
      <w:pPr>
        <w:pStyle w:val="4"/>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黑体" w:hAnsi="黑体" w:eastAsia="黑体" w:cs="黑体"/>
          <w:b w:val="0"/>
          <w:color w:val="000000"/>
        </w:rPr>
      </w:pPr>
      <w:bookmarkStart w:id="53" w:name="_Toc21659"/>
      <w:r>
        <w:rPr>
          <w:rFonts w:hint="eastAsia" w:ascii="黑体" w:hAnsi="黑体" w:eastAsia="黑体" w:cs="黑体"/>
          <w:bCs w:val="0"/>
          <w:color w:val="000000"/>
        </w:rPr>
        <w:t>六、一般公共预算财政拨款基本支出决算情况说</w:t>
      </w:r>
      <w:bookmarkEnd w:id="51"/>
      <w:r>
        <w:rPr>
          <w:rFonts w:hint="eastAsia" w:ascii="黑体" w:hAnsi="黑体" w:eastAsia="黑体" w:cs="黑体"/>
          <w:bCs w:val="0"/>
          <w:color w:val="000000"/>
        </w:rPr>
        <w:t>明</w:t>
      </w:r>
      <w:bookmarkEnd w:id="52"/>
      <w:bookmarkEnd w:id="53"/>
    </w:p>
    <w:p w14:paraId="4E985E5F">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bookmarkStart w:id="54" w:name="_Toc111208505"/>
      <w:bookmarkStart w:id="55" w:name="_Toc15377215"/>
      <w:r>
        <w:rPr>
          <w:rFonts w:hint="eastAsia" w:ascii="仿宋_GB2312" w:hAnsi="仿宋_GB2312" w:eastAsia="仿宋_GB2312" w:cs="仿宋_GB2312"/>
          <w:color w:val="000000"/>
          <w:sz w:val="32"/>
          <w:szCs w:val="32"/>
          <w:lang w:val="en-US" w:eastAsia="zh-CN"/>
        </w:rPr>
        <w:t>2025年一般公共预算财政拨款基本支出84.98万元，其中：</w:t>
      </w:r>
    </w:p>
    <w:p w14:paraId="68064AD6">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人员经费81.14万元，主要包括：基本工资、津贴补贴、奖金、绩效工资、机关事业单位基本养老保险缴费、职业年金缴费、职工基本医疗保险、医疗费、其他社会保障缴费、生活补助、医疗费补助、奖励金、住房公积金等。</w:t>
      </w:r>
      <w:r>
        <w:rPr>
          <w:rFonts w:hint="eastAsia" w:ascii="仿宋_GB2312" w:hAnsi="仿宋_GB2312" w:eastAsia="仿宋_GB2312" w:cs="仿宋_GB2312"/>
          <w:color w:val="000000"/>
          <w:sz w:val="32"/>
          <w:szCs w:val="32"/>
          <w:lang w:val="en-US" w:eastAsia="zh-CN"/>
        </w:rPr>
        <w:br w:type="textWrapping"/>
      </w:r>
      <w:r>
        <w:rPr>
          <w:rFonts w:hint="eastAsia" w:ascii="仿宋_GB2312" w:hAnsi="仿宋_GB2312" w:eastAsia="仿宋_GB2312" w:cs="仿宋_GB2312"/>
          <w:color w:val="000000"/>
          <w:sz w:val="32"/>
          <w:szCs w:val="32"/>
          <w:lang w:val="en-US" w:eastAsia="zh-CN"/>
        </w:rPr>
        <w:t xml:space="preserve">    公用经费3.84万元，主要包括：办公费、差旅费。</w:t>
      </w:r>
    </w:p>
    <w:p w14:paraId="4E95C17B">
      <w:pPr>
        <w:pStyle w:val="4"/>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黑体" w:hAnsi="黑体" w:eastAsia="黑体" w:cs="黑体"/>
          <w:bCs w:val="0"/>
          <w:color w:val="000000"/>
        </w:rPr>
      </w:pPr>
      <w:bookmarkStart w:id="56" w:name="_Toc6571"/>
      <w:r>
        <w:rPr>
          <w:rFonts w:hint="eastAsia" w:ascii="黑体" w:hAnsi="黑体" w:eastAsia="黑体" w:cs="黑体"/>
          <w:bCs w:val="0"/>
          <w:color w:val="000000"/>
        </w:rPr>
        <w:t>七、</w:t>
      </w:r>
      <w:r>
        <w:rPr>
          <w:rFonts w:hint="eastAsia" w:ascii="黑体" w:hAnsi="黑体" w:eastAsia="黑体" w:cs="黑体"/>
          <w:bCs w:val="0"/>
          <w:color w:val="000000"/>
          <w:lang w:eastAsia="zh-CN"/>
        </w:rPr>
        <w:t>财政拨款</w:t>
      </w:r>
      <w:r>
        <w:rPr>
          <w:rFonts w:hint="eastAsia" w:ascii="黑体" w:hAnsi="黑体" w:eastAsia="黑体" w:cs="黑体"/>
          <w:bCs w:val="0"/>
          <w:color w:val="000000"/>
        </w:rPr>
        <w:t>“三公”经费财政拨款支出决算情况说明</w:t>
      </w:r>
      <w:bookmarkEnd w:id="54"/>
      <w:bookmarkEnd w:id="55"/>
      <w:bookmarkEnd w:id="56"/>
    </w:p>
    <w:p w14:paraId="4CA97010">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仿宋" w:hAnsi="仿宋" w:eastAsia="仿宋" w:cs="仿宋"/>
          <w:b/>
          <w:color w:val="000000"/>
          <w:sz w:val="32"/>
          <w:szCs w:val="32"/>
        </w:rPr>
      </w:pPr>
      <w:bookmarkStart w:id="57" w:name="_Toc15377216"/>
      <w:r>
        <w:rPr>
          <w:rFonts w:hint="eastAsia" w:ascii="仿宋" w:hAnsi="仿宋" w:eastAsia="仿宋" w:cs="仿宋"/>
          <w:b/>
          <w:color w:val="000000"/>
          <w:sz w:val="32"/>
          <w:szCs w:val="32"/>
        </w:rPr>
        <w:t>（一）“三公”经费财政拨款支出决算总体情况说明</w:t>
      </w:r>
      <w:bookmarkEnd w:id="57"/>
    </w:p>
    <w:p w14:paraId="711F23C9">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2025年度“三公”经费财政拨款支出决算为0万元。</w:t>
      </w:r>
      <w:bookmarkStart w:id="58" w:name="_Toc15377217"/>
    </w:p>
    <w:bookmarkEnd w:id="58"/>
    <w:p w14:paraId="6BBF9648">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仿宋" w:hAnsi="仿宋" w:eastAsia="仿宋" w:cs="仿宋"/>
          <w:b/>
          <w:color w:val="000000"/>
          <w:sz w:val="32"/>
          <w:szCs w:val="32"/>
        </w:rPr>
      </w:pPr>
      <w:bookmarkStart w:id="59" w:name="_Toc111208506"/>
      <w:bookmarkStart w:id="60" w:name="_Toc32197"/>
      <w:bookmarkStart w:id="61" w:name="_Toc15377218"/>
      <w:r>
        <w:rPr>
          <w:rFonts w:hint="eastAsia" w:ascii="仿宋" w:hAnsi="仿宋" w:eastAsia="仿宋" w:cs="仿宋"/>
          <w:b/>
          <w:color w:val="000000"/>
          <w:sz w:val="32"/>
          <w:szCs w:val="32"/>
        </w:rPr>
        <w:t>（二）“三公”经费财政拨款支出决算具体情况说明</w:t>
      </w:r>
    </w:p>
    <w:p w14:paraId="08FA8543">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2025年度“三公”经费支出决算中，因公出国境费支出决算0万元，占0%；公务用车购置及运行维护费支出决算0万元，占0%；公务接待费支出决算0万元，占0%。</w:t>
      </w:r>
    </w:p>
    <w:p w14:paraId="7FB8FB85">
      <w:pPr>
        <w:pStyle w:val="2"/>
        <w:rPr>
          <w:rFonts w:hint="eastAsia"/>
          <w:lang w:val="en-US" w:eastAsia="zh-CN"/>
        </w:rPr>
      </w:pPr>
      <w:r>
        <w:rPr>
          <w:rFonts w:hint="default"/>
          <w:lang w:val="en-US" w:eastAsia="zh-CN"/>
        </w:rPr>
        <w:drawing>
          <wp:inline distT="0" distB="0" distL="114300" distR="114300">
            <wp:extent cx="5289550" cy="2605405"/>
            <wp:effectExtent l="0" t="0" r="6350" b="4445"/>
            <wp:docPr id="5" name="图片 5" descr="bf8be8f57fdbd8b12040c8735fa8e3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bf8be8f57fdbd8b12040c8735fa8e30e"/>
                    <pic:cNvPicPr>
                      <a:picLocks noChangeAspect="1"/>
                    </pic:cNvPicPr>
                  </pic:nvPicPr>
                  <pic:blipFill>
                    <a:blip r:embed="rId12"/>
                    <a:stretch>
                      <a:fillRect/>
                    </a:stretch>
                  </pic:blipFill>
                  <pic:spPr>
                    <a:xfrm>
                      <a:off x="0" y="0"/>
                      <a:ext cx="5289550" cy="2605405"/>
                    </a:xfrm>
                    <a:prstGeom prst="rect">
                      <a:avLst/>
                    </a:prstGeom>
                  </pic:spPr>
                </pic:pic>
              </a:graphicData>
            </a:graphic>
          </wp:inline>
        </w:drawing>
      </w:r>
    </w:p>
    <w:p w14:paraId="5F765652">
      <w:pPr>
        <w:pStyle w:val="4"/>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黑体" w:hAnsi="黑体" w:eastAsia="黑体" w:cs="黑体"/>
          <w:bCs w:val="0"/>
          <w:color w:val="000000"/>
        </w:rPr>
      </w:pPr>
      <w:r>
        <w:rPr>
          <w:rFonts w:hint="eastAsia" w:ascii="黑体" w:hAnsi="黑体" w:eastAsia="黑体" w:cs="黑体"/>
          <w:bCs w:val="0"/>
          <w:color w:val="000000"/>
        </w:rPr>
        <w:t>八、政府性基金预算支出决算情况说明</w:t>
      </w:r>
      <w:bookmarkEnd w:id="59"/>
      <w:bookmarkEnd w:id="60"/>
      <w:bookmarkEnd w:id="61"/>
    </w:p>
    <w:p w14:paraId="01D6A3C4">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bookmarkStart w:id="103" w:name="_GoBack"/>
      <w:r>
        <w:rPr>
          <w:rFonts w:hint="eastAsia" w:ascii="仿宋_GB2312" w:hAnsi="仿宋_GB2312" w:eastAsia="仿宋_GB2312" w:cs="仿宋_GB2312"/>
          <w:color w:val="000000"/>
          <w:sz w:val="32"/>
          <w:szCs w:val="32"/>
          <w:lang w:val="en-US" w:eastAsia="zh-CN"/>
        </w:rPr>
        <w:t>2025年度政府性基金预算拨款支出0万元。</w:t>
      </w:r>
      <w:bookmarkEnd w:id="103"/>
      <w:bookmarkStart w:id="62" w:name="_Toc15377219"/>
    </w:p>
    <w:p w14:paraId="3C15DCEC">
      <w:pPr>
        <w:pStyle w:val="4"/>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黑体" w:hAnsi="黑体" w:eastAsia="黑体" w:cs="黑体"/>
          <w:bCs w:val="0"/>
          <w:color w:val="000000"/>
        </w:rPr>
      </w:pPr>
      <w:bookmarkStart w:id="63" w:name="_Toc111208507"/>
      <w:bookmarkStart w:id="64" w:name="_Toc6409"/>
      <w:r>
        <w:rPr>
          <w:rFonts w:hint="eastAsia" w:ascii="黑体" w:hAnsi="黑体" w:eastAsia="黑体" w:cs="黑体"/>
          <w:bCs w:val="0"/>
          <w:color w:val="000000"/>
        </w:rPr>
        <w:t>九、国有资本经营预算支出决算情况说明</w:t>
      </w:r>
      <w:bookmarkEnd w:id="62"/>
      <w:bookmarkEnd w:id="63"/>
      <w:bookmarkEnd w:id="64"/>
    </w:p>
    <w:p w14:paraId="6CA62FB6">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2025年度国有资本经营预算拨款支出0万元。</w:t>
      </w:r>
    </w:p>
    <w:p w14:paraId="0F9458A6">
      <w:pPr>
        <w:pStyle w:val="4"/>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黑体" w:hAnsi="黑体" w:eastAsia="黑体" w:cs="黑体"/>
          <w:bCs w:val="0"/>
          <w:color w:val="000000"/>
        </w:rPr>
      </w:pPr>
      <w:bookmarkStart w:id="65" w:name="_Toc3125"/>
      <w:bookmarkStart w:id="66" w:name="_Toc15377221"/>
      <w:bookmarkStart w:id="67" w:name="_Toc111208508"/>
      <w:r>
        <w:rPr>
          <w:rFonts w:hint="eastAsia" w:ascii="黑体" w:hAnsi="黑体" w:eastAsia="黑体" w:cs="黑体"/>
          <w:bCs w:val="0"/>
          <w:color w:val="000000"/>
        </w:rPr>
        <w:t>十、其他重要事项的情况说明</w:t>
      </w:r>
      <w:bookmarkEnd w:id="65"/>
      <w:bookmarkEnd w:id="66"/>
      <w:bookmarkEnd w:id="67"/>
    </w:p>
    <w:p w14:paraId="74128605">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仿宋" w:hAnsi="仿宋" w:eastAsia="仿宋" w:cs="仿宋"/>
          <w:b/>
          <w:color w:val="000000"/>
          <w:sz w:val="32"/>
          <w:szCs w:val="32"/>
        </w:rPr>
      </w:pPr>
      <w:bookmarkStart w:id="68" w:name="_Toc15377222"/>
      <w:r>
        <w:rPr>
          <w:rFonts w:hint="eastAsia" w:ascii="仿宋" w:hAnsi="仿宋" w:eastAsia="仿宋" w:cs="仿宋"/>
          <w:b/>
          <w:color w:val="000000"/>
          <w:sz w:val="32"/>
          <w:szCs w:val="32"/>
        </w:rPr>
        <w:t>（一）机关运行经费支出情况</w:t>
      </w:r>
      <w:bookmarkEnd w:id="68"/>
    </w:p>
    <w:p w14:paraId="40605919">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2025年度，机关运行经费0万元。 </w:t>
      </w:r>
    </w:p>
    <w:p w14:paraId="27593E86">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仿宋" w:hAnsi="仿宋" w:eastAsia="仿宋" w:cs="仿宋"/>
          <w:b/>
          <w:color w:val="000000"/>
          <w:sz w:val="32"/>
          <w:szCs w:val="32"/>
        </w:rPr>
      </w:pPr>
      <w:bookmarkStart w:id="69" w:name="_Toc15377223"/>
      <w:r>
        <w:rPr>
          <w:rFonts w:hint="eastAsia" w:ascii="仿宋" w:hAnsi="仿宋" w:eastAsia="仿宋" w:cs="仿宋"/>
          <w:b/>
          <w:color w:val="000000"/>
          <w:sz w:val="32"/>
          <w:szCs w:val="32"/>
        </w:rPr>
        <w:t>（二）政府采购支出情况</w:t>
      </w:r>
      <w:bookmarkEnd w:id="69"/>
    </w:p>
    <w:p w14:paraId="133978B9">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2025年度，政府采购支出总额0万元。</w:t>
      </w:r>
    </w:p>
    <w:p w14:paraId="2D06416E">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仿宋" w:hAnsi="仿宋" w:eastAsia="仿宋" w:cs="仿宋"/>
          <w:b/>
          <w:color w:val="000000"/>
          <w:sz w:val="32"/>
          <w:szCs w:val="32"/>
        </w:rPr>
      </w:pPr>
      <w:bookmarkStart w:id="70" w:name="_Toc15377224"/>
      <w:r>
        <w:rPr>
          <w:rFonts w:hint="eastAsia" w:ascii="仿宋" w:hAnsi="仿宋" w:eastAsia="仿宋" w:cs="仿宋"/>
          <w:b/>
          <w:color w:val="000000"/>
          <w:sz w:val="32"/>
          <w:szCs w:val="32"/>
        </w:rPr>
        <w:t>（三）国有资产占有使用情况</w:t>
      </w:r>
      <w:bookmarkEnd w:id="70"/>
    </w:p>
    <w:p w14:paraId="1E39D9A6">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2025年，国有资本经营预算拨款0万元。</w:t>
      </w:r>
    </w:p>
    <w:p w14:paraId="4E17BC27">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eastAsia" w:ascii="仿宋" w:hAnsi="仿宋" w:eastAsia="仿宋" w:cs="仿宋"/>
          <w:sz w:val="32"/>
          <w:szCs w:val="32"/>
        </w:rPr>
      </w:pPr>
      <w:r>
        <w:rPr>
          <w:rFonts w:hint="eastAsia" w:ascii="仿宋" w:hAnsi="仿宋" w:eastAsia="仿宋" w:cs="仿宋"/>
          <w:b/>
          <w:color w:val="000000"/>
          <w:sz w:val="32"/>
          <w:szCs w:val="32"/>
        </w:rPr>
        <w:t>（四）预算绩效管理情况</w:t>
      </w:r>
    </w:p>
    <w:p w14:paraId="3805F1DC">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根据预算绩效管理要求，本单位在2025年度预算编制阶段，组织对（2025年文联系列活动经费、《九鼎山》第十四期及第十五期出版印刷经费、公共文化服务体系建设补助资金）等3个项目开展了预算事前绩效评估，对3个项目编制了绩效目标，在预算执行过程中，选取3个项目开展绩效监控，组织对3个项目开展绩效自评，绩效自评表详见第四部分附件。</w:t>
      </w:r>
    </w:p>
    <w:p w14:paraId="18459C00">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FF0000"/>
          <w:sz w:val="32"/>
          <w:szCs w:val="32"/>
          <w:lang w:val="en-US" w:eastAsia="zh-CN"/>
        </w:rPr>
      </w:pPr>
    </w:p>
    <w:p w14:paraId="232C495D">
      <w:pPr>
        <w:pStyle w:val="3"/>
        <w:pageBreakBefore w:val="0"/>
        <w:kinsoku/>
        <w:wordWrap/>
        <w:overflowPunct/>
        <w:topLinePunct w:val="0"/>
        <w:autoSpaceDE/>
        <w:autoSpaceDN/>
        <w:bidi w:val="0"/>
        <w:adjustRightInd/>
        <w:snapToGrid/>
        <w:spacing w:before="0" w:after="0" w:line="576" w:lineRule="exact"/>
        <w:jc w:val="center"/>
        <w:textAlignment w:val="auto"/>
        <w:rPr>
          <w:rFonts w:hint="eastAsia" w:ascii="黑体" w:hAnsi="黑体" w:eastAsia="黑体" w:cs="黑体"/>
        </w:rPr>
      </w:pPr>
    </w:p>
    <w:p w14:paraId="47836C3D">
      <w:pPr>
        <w:pStyle w:val="3"/>
        <w:pageBreakBefore w:val="0"/>
        <w:kinsoku/>
        <w:wordWrap/>
        <w:overflowPunct/>
        <w:topLinePunct w:val="0"/>
        <w:autoSpaceDE/>
        <w:autoSpaceDN/>
        <w:bidi w:val="0"/>
        <w:adjustRightInd/>
        <w:snapToGrid/>
        <w:spacing w:before="0" w:after="0" w:line="576" w:lineRule="exact"/>
        <w:jc w:val="center"/>
        <w:textAlignment w:val="auto"/>
        <w:rPr>
          <w:rFonts w:hint="eastAsia" w:ascii="黑体" w:hAnsi="黑体" w:eastAsia="黑体" w:cs="黑体"/>
        </w:rPr>
      </w:pPr>
    </w:p>
    <w:p w14:paraId="469DC755">
      <w:pPr>
        <w:rPr>
          <w:rFonts w:hint="eastAsia" w:ascii="黑体" w:hAnsi="黑体" w:eastAsia="黑体" w:cs="黑体"/>
        </w:rPr>
      </w:pPr>
    </w:p>
    <w:p w14:paraId="06DA1531">
      <w:pPr>
        <w:pStyle w:val="16"/>
        <w:rPr>
          <w:rFonts w:hint="eastAsia" w:ascii="黑体" w:hAnsi="黑体" w:eastAsia="黑体" w:cs="黑体"/>
        </w:rPr>
      </w:pPr>
    </w:p>
    <w:p w14:paraId="2FCCE39B">
      <w:pPr>
        <w:pStyle w:val="10"/>
        <w:rPr>
          <w:rFonts w:hint="eastAsia" w:ascii="黑体" w:hAnsi="黑体" w:eastAsia="黑体" w:cs="黑体"/>
        </w:rPr>
      </w:pPr>
    </w:p>
    <w:p w14:paraId="3A939B72">
      <w:pPr>
        <w:pStyle w:val="10"/>
        <w:rPr>
          <w:rFonts w:hint="eastAsia" w:ascii="黑体" w:hAnsi="黑体" w:eastAsia="黑体" w:cs="黑体"/>
        </w:rPr>
      </w:pPr>
    </w:p>
    <w:p w14:paraId="74BC394E">
      <w:pPr>
        <w:pStyle w:val="10"/>
        <w:rPr>
          <w:rFonts w:hint="eastAsia" w:ascii="黑体" w:hAnsi="黑体" w:eastAsia="黑体" w:cs="黑体"/>
        </w:rPr>
      </w:pPr>
    </w:p>
    <w:p w14:paraId="7563019F">
      <w:pPr>
        <w:pStyle w:val="10"/>
        <w:rPr>
          <w:rFonts w:hint="eastAsia" w:ascii="黑体" w:hAnsi="黑体" w:eastAsia="黑体" w:cs="黑体"/>
        </w:rPr>
      </w:pPr>
    </w:p>
    <w:p w14:paraId="7BC8A442">
      <w:pPr>
        <w:pStyle w:val="10"/>
        <w:ind w:left="0" w:leftChars="0" w:firstLine="0" w:firstLineChars="0"/>
        <w:rPr>
          <w:rFonts w:hint="eastAsia" w:ascii="黑体" w:hAnsi="黑体" w:eastAsia="黑体" w:cs="黑体"/>
        </w:rPr>
      </w:pPr>
    </w:p>
    <w:p w14:paraId="21A19830">
      <w:pPr>
        <w:pStyle w:val="3"/>
        <w:pageBreakBefore w:val="0"/>
        <w:kinsoku/>
        <w:wordWrap/>
        <w:overflowPunct/>
        <w:topLinePunct w:val="0"/>
        <w:autoSpaceDE/>
        <w:autoSpaceDN/>
        <w:bidi w:val="0"/>
        <w:adjustRightInd/>
        <w:snapToGrid/>
        <w:spacing w:before="0" w:after="0" w:line="576" w:lineRule="exact"/>
        <w:jc w:val="center"/>
        <w:textAlignment w:val="auto"/>
        <w:rPr>
          <w:rFonts w:hint="eastAsia" w:ascii="黑体" w:hAnsi="黑体" w:eastAsia="黑体" w:cs="黑体"/>
        </w:rPr>
      </w:pPr>
      <w:bookmarkStart w:id="71" w:name="_Toc20669"/>
      <w:r>
        <w:rPr>
          <w:rFonts w:hint="eastAsia" w:ascii="黑体" w:hAnsi="黑体" w:eastAsia="黑体" w:cs="黑体"/>
        </w:rPr>
        <w:t>第三部分 名词解释</w:t>
      </w:r>
      <w:bookmarkEnd w:id="31"/>
      <w:bookmarkEnd w:id="32"/>
      <w:bookmarkEnd w:id="71"/>
    </w:p>
    <w:p w14:paraId="27FB0886">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1.财政拨款收入：指单位从同级财政部门取得的财政预算资金。</w:t>
      </w:r>
    </w:p>
    <w:p w14:paraId="5536EA5B">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2.事业收入：指事业单位开展专业业务活动及辅助活动取得的收入。</w:t>
      </w:r>
    </w:p>
    <w:p w14:paraId="60C4B16E">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3.经营收入：指事业单位在专业业务活动及其辅助活动之外开展非独立核算经营活动取得的收入</w:t>
      </w:r>
    </w:p>
    <w:p w14:paraId="162B7AAE">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4.其他收入：指单位取得的除上述收入以外的各项收入。</w:t>
      </w:r>
    </w:p>
    <w:p w14:paraId="7FA586AE">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5.使用非财政拨款结余（含专用结余）：指事业单位使用以前年度积累的非财政拨款结余弥补当年收支差额的金额。 </w:t>
      </w:r>
    </w:p>
    <w:p w14:paraId="347F4EE4">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6.年初结转和结余：指以前年度尚未完成、结转到本年按有关规定继续使用的资金。 </w:t>
      </w:r>
    </w:p>
    <w:p w14:paraId="65EDD2F3">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7.结余分配：指事业单位按照会计制度规定缴纳的所得税、提取的专用结余以及转入非财政拨款结余的金额等。</w:t>
      </w:r>
    </w:p>
    <w:p w14:paraId="51DEACE3">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8.年末结转和结余：指单位按有关规定结转到下年或以后年度继续使用的资金。</w:t>
      </w:r>
    </w:p>
    <w:p w14:paraId="064CAC1B">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9.文化旅游体育与传媒支出（类）新闻出版电影（款）出版发行（项）：反映图书、报纸、期刊、音像、电子、网络出版物出版、印刷复制和发行等方面的支出。</w:t>
      </w:r>
    </w:p>
    <w:p w14:paraId="204FD4F6">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10.基本支出：指为保障机构正常运转、完成日常工作任务而发生的人员支出和公用支出。</w:t>
      </w:r>
    </w:p>
    <w:p w14:paraId="288AE777">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11.项目支出：指在基本支出之外为完成特定行政任务和事业发展目标所发生的支出。 </w:t>
      </w:r>
    </w:p>
    <w:p w14:paraId="0E3B58CC">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FEAD648">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br w:type="page"/>
      </w:r>
    </w:p>
    <w:p w14:paraId="10733B07">
      <w:pPr>
        <w:pStyle w:val="3"/>
        <w:jc w:val="center"/>
        <w:rPr>
          <w:rFonts w:hint="eastAsia" w:ascii="黑体" w:hAnsi="黑体" w:eastAsia="黑体" w:cs="黑体"/>
        </w:rPr>
      </w:pPr>
      <w:bookmarkStart w:id="72" w:name="_Toc8751"/>
      <w:bookmarkStart w:id="73" w:name="_Toc111208510"/>
      <w:r>
        <w:rPr>
          <w:rFonts w:hint="eastAsia" w:ascii="黑体" w:hAnsi="黑体" w:eastAsia="黑体" w:cs="黑体"/>
        </w:rPr>
        <w:t>第四部分 附件</w:t>
      </w:r>
      <w:bookmarkEnd w:id="72"/>
      <w:bookmarkEnd w:id="73"/>
    </w:p>
    <w:p w14:paraId="11096BA1">
      <w:pPr>
        <w:pageBreakBefore w:val="0"/>
        <w:widowControl w:val="0"/>
        <w:kinsoku/>
        <w:wordWrap/>
        <w:overflowPunct/>
        <w:topLinePunct w:val="0"/>
        <w:autoSpaceDE/>
        <w:autoSpaceDN/>
        <w:bidi w:val="0"/>
        <w:adjustRightInd/>
        <w:snapToGrid/>
        <w:spacing w:line="576" w:lineRule="exact"/>
        <w:ind w:firstLine="960" w:firstLineChars="300"/>
        <w:textAlignment w:val="auto"/>
        <w:rPr>
          <w:rFonts w:hint="eastAsia" w:eastAsia="仿宋_GB2312"/>
          <w:lang w:eastAsia="zh-CN"/>
        </w:rPr>
      </w:pPr>
      <w:bookmarkStart w:id="74" w:name="_Toc79163635"/>
      <w:bookmarkStart w:id="75" w:name="_Toc111208512"/>
      <w:bookmarkStart w:id="76" w:name="_Toc79163885"/>
      <w:bookmarkStart w:id="77" w:name="_Toc21200"/>
      <w:r>
        <w:rPr>
          <w:rFonts w:hint="eastAsia" w:hAnsi="Times New Roman" w:cs="Times New Roman"/>
          <w:sz w:val="32"/>
          <w:szCs w:val="32"/>
          <w:highlight w:val="none"/>
          <w:lang w:val="en-US" w:eastAsia="zh-CN"/>
        </w:rPr>
        <w:t>单位预算项目支出绩效自评表（202</w:t>
      </w:r>
      <w:r>
        <w:rPr>
          <w:rFonts w:hint="eastAsia" w:cs="Times New Roman"/>
          <w:sz w:val="32"/>
          <w:szCs w:val="32"/>
          <w:highlight w:val="none"/>
          <w:lang w:val="en-US" w:eastAsia="zh-CN"/>
        </w:rPr>
        <w:t>5</w:t>
      </w:r>
      <w:r>
        <w:rPr>
          <w:rFonts w:hint="eastAsia" w:hAnsi="Times New Roman" w:cs="Times New Roman"/>
          <w:sz w:val="32"/>
          <w:szCs w:val="32"/>
          <w:highlight w:val="none"/>
          <w:lang w:val="en-US" w:eastAsia="zh-CN"/>
        </w:rPr>
        <w:t>年度）</w:t>
      </w:r>
    </w:p>
    <w:tbl>
      <w:tblPr>
        <w:tblStyle w:val="20"/>
        <w:tblpPr w:leftFromText="180" w:rightFromText="180" w:vertAnchor="text" w:horzAnchor="page" w:tblpXSpec="center" w:tblpY="741"/>
        <w:tblOverlap w:val="never"/>
        <w:tblW w:w="896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4"/>
        <w:gridCol w:w="223"/>
        <w:gridCol w:w="991"/>
        <w:gridCol w:w="376"/>
        <w:gridCol w:w="597"/>
        <w:gridCol w:w="154"/>
        <w:gridCol w:w="926"/>
        <w:gridCol w:w="446"/>
        <w:gridCol w:w="71"/>
        <w:gridCol w:w="334"/>
        <w:gridCol w:w="355"/>
        <w:gridCol w:w="417"/>
        <w:gridCol w:w="299"/>
        <w:gridCol w:w="335"/>
        <w:gridCol w:w="516"/>
        <w:gridCol w:w="181"/>
        <w:gridCol w:w="236"/>
        <w:gridCol w:w="89"/>
        <w:gridCol w:w="286"/>
        <w:gridCol w:w="358"/>
        <w:gridCol w:w="1240"/>
      </w:tblGrid>
      <w:tr w14:paraId="2595D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896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66EF6513">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1CB9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17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6017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216"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80A79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51322322T000000312705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文联活动费</w:t>
            </w:r>
          </w:p>
        </w:tc>
      </w:tr>
      <w:tr w14:paraId="66841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17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E8F6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3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426BF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茂县文学艺术界联合会本级</w:t>
            </w:r>
          </w:p>
        </w:tc>
        <w:tc>
          <w:tcPr>
            <w:tcW w:w="697" w:type="dxa"/>
            <w:gridSpan w:val="2"/>
            <w:tcBorders>
              <w:top w:val="nil"/>
              <w:left w:val="nil"/>
              <w:bottom w:val="nil"/>
              <w:right w:val="nil"/>
            </w:tcBorders>
            <w:shd w:val="clear" w:color="auto" w:fill="auto"/>
            <w:vAlign w:val="center"/>
          </w:tcPr>
          <w:p w14:paraId="201D0D93">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31E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茂县文学艺术界联合会</w:t>
            </w:r>
          </w:p>
        </w:tc>
      </w:tr>
      <w:tr w14:paraId="6B1E2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2C20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48B1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3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21E4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90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5B801A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9748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BD547">
            <w:pPr>
              <w:rPr>
                <w:rFonts w:hint="eastAsia" w:ascii="宋体" w:hAnsi="宋体" w:eastAsia="宋体" w:cs="宋体"/>
                <w:i w:val="0"/>
                <w:iCs w:val="0"/>
                <w:color w:val="000000"/>
                <w:sz w:val="18"/>
                <w:szCs w:val="18"/>
                <w:u w:val="none"/>
              </w:rPr>
            </w:pPr>
          </w:p>
        </w:tc>
        <w:tc>
          <w:tcPr>
            <w:tcW w:w="12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ED51E">
            <w:pPr>
              <w:rPr>
                <w:rFonts w:hint="eastAsia" w:ascii="宋体" w:hAnsi="宋体" w:eastAsia="宋体" w:cs="宋体"/>
                <w:i w:val="0"/>
                <w:iCs w:val="0"/>
                <w:color w:val="000000"/>
                <w:sz w:val="18"/>
                <w:szCs w:val="18"/>
                <w:u w:val="none"/>
              </w:rPr>
            </w:pPr>
          </w:p>
        </w:tc>
        <w:tc>
          <w:tcPr>
            <w:tcW w:w="43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3AB5F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保障人员经费正常发放，保证我会各项文艺活动顺利完成。</w:t>
            </w:r>
          </w:p>
        </w:tc>
        <w:tc>
          <w:tcPr>
            <w:tcW w:w="290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6DC305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DAA9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8"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1E58E">
            <w:pP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7AF6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216"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BF3C8CF">
            <w:pPr>
              <w:rPr>
                <w:rFonts w:hint="eastAsia" w:ascii="宋体" w:hAnsi="宋体" w:eastAsia="宋体" w:cs="宋体"/>
                <w:i w:val="0"/>
                <w:iCs w:val="0"/>
                <w:color w:val="000000"/>
                <w:sz w:val="18"/>
                <w:szCs w:val="18"/>
                <w:u w:val="none"/>
                <w:lang w:eastAsia="zh-CN"/>
              </w:rPr>
            </w:pPr>
          </w:p>
        </w:tc>
      </w:tr>
      <w:tr w14:paraId="14A88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FFB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F71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3F3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E65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54D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327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1D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C1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BB4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C50E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05F11">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3D6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D8E7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7C44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4.92</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872D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4.92</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B7B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8AA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44545">
            <w:pPr>
              <w:jc w:val="center"/>
              <w:rPr>
                <w:rFonts w:hint="default" w:ascii="宋体" w:hAnsi="宋体" w:eastAsia="宋体" w:cs="宋体"/>
                <w:i w:val="0"/>
                <w:iCs w:val="0"/>
                <w:color w:val="000000"/>
                <w:sz w:val="18"/>
                <w:szCs w:val="18"/>
                <w:u w:val="none"/>
                <w:lang w:val="en-US" w:eastAsia="zh-CN"/>
              </w:rPr>
            </w:pPr>
          </w:p>
        </w:tc>
        <w:tc>
          <w:tcPr>
            <w:tcW w:w="159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69F2D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BAF9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67DAD">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A2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44E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26D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4.92</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CBB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4.92</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C58A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A6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62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3A8B9">
            <w:pPr>
              <w:rPr>
                <w:rFonts w:hint="eastAsia" w:ascii="黑体" w:hAnsi="黑体" w:eastAsia="黑体" w:cs="黑体"/>
                <w:i/>
                <w:iCs/>
                <w:color w:val="000000"/>
                <w:sz w:val="18"/>
                <w:szCs w:val="18"/>
                <w:u w:val="none"/>
              </w:rPr>
            </w:pPr>
          </w:p>
        </w:tc>
      </w:tr>
      <w:tr w14:paraId="3183B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8A32B">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DCD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934A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238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6BC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B53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A97A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B8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B8AB4">
            <w:pPr>
              <w:rPr>
                <w:rFonts w:hint="eastAsia" w:ascii="黑体" w:hAnsi="黑体" w:eastAsia="黑体" w:cs="黑体"/>
                <w:i/>
                <w:iCs/>
                <w:color w:val="000000"/>
                <w:sz w:val="18"/>
                <w:szCs w:val="18"/>
                <w:u w:val="none"/>
              </w:rPr>
            </w:pPr>
          </w:p>
        </w:tc>
      </w:tr>
      <w:tr w14:paraId="6B033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75646">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F58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E8D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45E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9BD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43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6AD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B9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46595">
            <w:pPr>
              <w:rPr>
                <w:rFonts w:hint="eastAsia" w:ascii="黑体" w:hAnsi="黑体" w:eastAsia="黑体" w:cs="黑体"/>
                <w:i/>
                <w:iCs/>
                <w:color w:val="000000"/>
                <w:sz w:val="18"/>
                <w:szCs w:val="18"/>
                <w:u w:val="none"/>
              </w:rPr>
            </w:pPr>
          </w:p>
        </w:tc>
      </w:tr>
      <w:tr w14:paraId="4773D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00D42">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E72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8A16D4">
            <w:pPr>
              <w:jc w:val="center"/>
              <w:rPr>
                <w:rFonts w:hint="eastAsia" w:ascii="微软雅黑" w:hAnsi="微软雅黑" w:eastAsia="微软雅黑" w:cs="微软雅黑"/>
                <w:i/>
                <w:iCs/>
                <w:color w:val="000000"/>
                <w:sz w:val="16"/>
                <w:szCs w:val="16"/>
                <w:u w:val="none"/>
              </w:rPr>
            </w:pP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C62A8E">
            <w:pPr>
              <w:jc w:val="center"/>
              <w:rPr>
                <w:rFonts w:hint="eastAsia" w:ascii="微软雅黑" w:hAnsi="微软雅黑" w:eastAsia="微软雅黑" w:cs="微软雅黑"/>
                <w:i/>
                <w:iCs/>
                <w:color w:val="000000"/>
                <w:sz w:val="16"/>
                <w:szCs w:val="16"/>
                <w:u w:val="none"/>
              </w:rPr>
            </w:pP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27A1C9">
            <w:pPr>
              <w:jc w:val="center"/>
              <w:rPr>
                <w:rFonts w:hint="eastAsia" w:ascii="微软雅黑" w:hAnsi="微软雅黑" w:eastAsia="微软雅黑" w:cs="微软雅黑"/>
                <w:i/>
                <w:iCs/>
                <w:color w:val="000000"/>
                <w:sz w:val="16"/>
                <w:szCs w:val="16"/>
                <w:u w:val="none"/>
              </w:rPr>
            </w:pP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D4BE73">
            <w:pPr>
              <w:jc w:val="center"/>
              <w:rPr>
                <w:rFonts w:hint="eastAsia" w:ascii="微软雅黑" w:hAns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539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19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7736F">
            <w:pPr>
              <w:rPr>
                <w:rFonts w:hint="eastAsia" w:ascii="黑体" w:hAnsi="黑体" w:eastAsia="黑体" w:cs="黑体"/>
                <w:i/>
                <w:iCs/>
                <w:color w:val="000000"/>
                <w:sz w:val="18"/>
                <w:szCs w:val="18"/>
                <w:u w:val="none"/>
              </w:rPr>
            </w:pPr>
          </w:p>
        </w:tc>
      </w:tr>
      <w:tr w14:paraId="3CA22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2" w:hRule="atLeast"/>
          <w:jc w:val="center"/>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D18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217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822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F76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4E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302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0C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166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C3F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614C6">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E3E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150A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3E100">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ADCC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726D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A32A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实施文化惠民活动。主办或协办“新春送福”文化惠民活动，组织书法家现场书写春联、福字免费送给群众</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6D5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 xml:space="preserve">                                   ≥1次</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F93299">
            <w:pPr>
              <w:jc w:val="center"/>
              <w:rPr>
                <w:rFonts w:hint="default" w:ascii="微软雅黑" w:hAnsi="微软雅黑" w:eastAsia="微软雅黑" w:cs="微软雅黑"/>
                <w:i/>
                <w:iCs/>
                <w:color w:val="000000"/>
                <w:sz w:val="16"/>
                <w:szCs w:val="16"/>
                <w:u w:val="none"/>
                <w:lang w:val="en-US" w:eastAsia="zh-CN"/>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DE9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B5FE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20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7C5B4">
            <w:pPr>
              <w:jc w:val="center"/>
              <w:rPr>
                <w:rFonts w:hint="eastAsia" w:ascii="微软雅黑" w:hAnsi="微软雅黑" w:eastAsia="微软雅黑" w:cs="微软雅黑"/>
                <w:i/>
                <w:iCs/>
                <w:color w:val="000000"/>
                <w:sz w:val="16"/>
                <w:szCs w:val="16"/>
                <w:u w:val="none"/>
              </w:rPr>
            </w:pPr>
          </w:p>
        </w:tc>
      </w:tr>
      <w:tr w14:paraId="03940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6"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47E99">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1BA1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效益指标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C147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社会效益指标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AD62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举办的各类活动取得的社会影响</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2BD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较好</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A85F99">
            <w:pPr>
              <w:jc w:val="center"/>
              <w:rPr>
                <w:rFonts w:hint="eastAsia" w:ascii="微软雅黑" w:hAns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A7A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4AD9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20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9B8A14">
            <w:pPr>
              <w:jc w:val="center"/>
              <w:rPr>
                <w:rFonts w:hint="eastAsia" w:ascii="微软雅黑" w:hAnsi="微软雅黑" w:eastAsia="微软雅黑" w:cs="微软雅黑"/>
                <w:i/>
                <w:iCs/>
                <w:color w:val="000000"/>
                <w:sz w:val="16"/>
                <w:szCs w:val="16"/>
                <w:u w:val="none"/>
              </w:rPr>
            </w:pPr>
          </w:p>
        </w:tc>
      </w:tr>
      <w:tr w14:paraId="29B0E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D84CF">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3092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647C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时效指标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7659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各项文艺活动及时完成率</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088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100%</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AE4728">
            <w:pPr>
              <w:jc w:val="center"/>
              <w:rPr>
                <w:rFonts w:hint="eastAsia" w:ascii="微软雅黑" w:hAns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1B9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D405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E9E71C">
            <w:pPr>
              <w:jc w:val="center"/>
              <w:rPr>
                <w:rFonts w:hint="eastAsia" w:ascii="微软雅黑" w:hAnsi="微软雅黑" w:eastAsia="微软雅黑" w:cs="微软雅黑"/>
                <w:i/>
                <w:iCs/>
                <w:color w:val="000000"/>
                <w:sz w:val="16"/>
                <w:szCs w:val="16"/>
                <w:u w:val="none"/>
              </w:rPr>
            </w:pPr>
          </w:p>
        </w:tc>
      </w:tr>
      <w:tr w14:paraId="56215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8"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D4129">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72FE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078F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92E1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编辑出版《九鼎山》专刊</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9DB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 xml:space="preserve">                                     ≥1次</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0178AD">
            <w:pPr>
              <w:jc w:val="center"/>
              <w:rPr>
                <w:rFonts w:hint="eastAsia" w:ascii="微软雅黑" w:hAns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7400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B059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7378A">
            <w:pPr>
              <w:jc w:val="center"/>
              <w:rPr>
                <w:rFonts w:hint="eastAsia" w:ascii="微软雅黑" w:hAnsi="微软雅黑" w:eastAsia="微软雅黑" w:cs="微软雅黑"/>
                <w:i/>
                <w:iCs/>
                <w:color w:val="000000"/>
                <w:sz w:val="16"/>
                <w:szCs w:val="16"/>
                <w:u w:val="none"/>
              </w:rPr>
            </w:pPr>
          </w:p>
        </w:tc>
      </w:tr>
      <w:tr w14:paraId="594E0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8FDFF">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9CA2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5A5D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质量指标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2115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受益群众对文艺活动、专刊及创作等评价较高</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23E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 xml:space="preserve">                                      优</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4457AB">
            <w:pPr>
              <w:jc w:val="center"/>
              <w:rPr>
                <w:rFonts w:hint="eastAsia" w:ascii="微软雅黑" w:hAns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120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E30AB">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70D38">
            <w:pPr>
              <w:jc w:val="center"/>
              <w:rPr>
                <w:rFonts w:hint="eastAsia" w:ascii="微软雅黑" w:hAnsi="微软雅黑" w:eastAsia="微软雅黑" w:cs="微软雅黑"/>
                <w:i/>
                <w:iCs/>
                <w:color w:val="000000"/>
                <w:sz w:val="16"/>
                <w:szCs w:val="16"/>
                <w:u w:val="none"/>
              </w:rPr>
            </w:pPr>
          </w:p>
        </w:tc>
      </w:tr>
      <w:tr w14:paraId="06B2E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F826B">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713D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C8E4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5B7B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举办文化进校园活动次数</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E6F7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≥1次</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E03899">
            <w:pPr>
              <w:jc w:val="center"/>
              <w:rPr>
                <w:rFonts w:hint="eastAsia" w:ascii="微软雅黑" w:hAns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689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8C185">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BF4D2C">
            <w:pPr>
              <w:jc w:val="center"/>
              <w:rPr>
                <w:rFonts w:hint="eastAsia" w:ascii="微软雅黑" w:hAnsi="微软雅黑" w:eastAsia="微软雅黑" w:cs="微软雅黑"/>
                <w:i/>
                <w:iCs/>
                <w:color w:val="000000"/>
                <w:sz w:val="16"/>
                <w:szCs w:val="16"/>
                <w:u w:val="none"/>
              </w:rPr>
            </w:pPr>
          </w:p>
        </w:tc>
      </w:tr>
      <w:tr w14:paraId="636EE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7153D">
            <w:pPr>
              <w:jc w:val="center"/>
              <w:rPr>
                <w:rFonts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CBE728">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285185">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C1BC47">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全年发放文艺活动宣传手册数量</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4F8029">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≥400册</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8E1AFB">
            <w:pPr>
              <w:jc w:val="center"/>
              <w:rPr>
                <w:rFonts w:ascii="宋体" w:hAnsi="宋体" w:eastAsia="宋体" w:cs="宋体"/>
                <w:i w:val="0"/>
                <w:iCs w:val="0"/>
                <w:color w:val="000000"/>
                <w:sz w:val="18"/>
                <w:szCs w:val="18"/>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A4799">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02F6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28F490">
            <w:pPr>
              <w:jc w:val="center"/>
              <w:rPr>
                <w:rFonts w:hint="eastAsia" w:ascii="宋体" w:hAnsi="宋体" w:eastAsia="宋体" w:cs="宋体"/>
                <w:i w:val="0"/>
                <w:iCs w:val="0"/>
                <w:color w:val="000000"/>
                <w:sz w:val="18"/>
                <w:szCs w:val="18"/>
                <w:u w:val="none"/>
              </w:rPr>
            </w:pPr>
          </w:p>
        </w:tc>
      </w:tr>
      <w:tr w14:paraId="5623E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3"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018D6">
            <w:pPr>
              <w:jc w:val="center"/>
              <w:rPr>
                <w:rFonts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D11A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A37780">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F13951">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实施文艺精品创作工程</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4F8069">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 xml:space="preserve">                                    ≥10篇（场）</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812E06">
            <w:pPr>
              <w:jc w:val="cente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2D1DCE">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45C6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AF0B87">
            <w:pPr>
              <w:jc w:val="center"/>
            </w:pPr>
          </w:p>
        </w:tc>
      </w:tr>
      <w:tr w14:paraId="056FE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675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69C3E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F073D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D2961">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100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26748D"/>
        </w:tc>
      </w:tr>
      <w:tr w14:paraId="01438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73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43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0AEF4E7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本项目严格按预算执行，资金使用规范、专款专用，无违规支出。项目按计划完成既定任务，达到预期产出与效果，有效保障单位日常运转与业务开展。管理流程完善，制度执行到位，成本控制合理，社会效益良好，群众满意度较高。总体绩效优良，实现预算绩效目标，建议继续支持并优化细节管理。</w:t>
            </w:r>
          </w:p>
        </w:tc>
      </w:tr>
      <w:tr w14:paraId="4C772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 w:hRule="atLeast"/>
          <w:jc w:val="center"/>
        </w:trPr>
        <w:tc>
          <w:tcPr>
            <w:tcW w:w="424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553BB4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w:t>
            </w:r>
          </w:p>
        </w:tc>
        <w:tc>
          <w:tcPr>
            <w:tcW w:w="4717"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E84C71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财务负责人：</w:t>
            </w:r>
          </w:p>
        </w:tc>
      </w:tr>
      <w:tr w14:paraId="2ECB0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757" w:type="dxa"/>
            <w:gridSpan w:val="2"/>
            <w:tcBorders>
              <w:top w:val="nil"/>
              <w:left w:val="nil"/>
              <w:bottom w:val="nil"/>
              <w:right w:val="nil"/>
            </w:tcBorders>
            <w:shd w:val="clear" w:color="auto" w:fill="auto"/>
            <w:vAlign w:val="center"/>
          </w:tcPr>
          <w:p w14:paraId="72E978B9">
            <w:pPr>
              <w:rPr>
                <w:rFonts w:hint="eastAsia" w:ascii="宋体" w:hAnsi="宋体" w:eastAsia="宋体" w:cs="宋体"/>
                <w:i w:val="0"/>
                <w:iCs w:val="0"/>
                <w:color w:val="000000"/>
                <w:sz w:val="18"/>
                <w:szCs w:val="18"/>
                <w:u w:val="none"/>
              </w:rPr>
            </w:pPr>
          </w:p>
        </w:tc>
        <w:tc>
          <w:tcPr>
            <w:tcW w:w="1367" w:type="dxa"/>
            <w:gridSpan w:val="2"/>
            <w:tcBorders>
              <w:top w:val="nil"/>
              <w:left w:val="nil"/>
              <w:bottom w:val="nil"/>
              <w:right w:val="nil"/>
            </w:tcBorders>
            <w:shd w:val="clear" w:color="auto" w:fill="auto"/>
            <w:vAlign w:val="center"/>
          </w:tcPr>
          <w:p w14:paraId="29E788C3">
            <w:pPr>
              <w:rPr>
                <w:rFonts w:hint="eastAsia" w:ascii="宋体" w:hAnsi="宋体" w:eastAsia="宋体" w:cs="宋体"/>
                <w:i w:val="0"/>
                <w:iCs w:val="0"/>
                <w:color w:val="000000"/>
                <w:sz w:val="18"/>
                <w:szCs w:val="18"/>
                <w:u w:val="none"/>
              </w:rPr>
            </w:pPr>
          </w:p>
        </w:tc>
        <w:tc>
          <w:tcPr>
            <w:tcW w:w="597" w:type="dxa"/>
            <w:tcBorders>
              <w:top w:val="nil"/>
              <w:left w:val="nil"/>
              <w:bottom w:val="nil"/>
              <w:right w:val="nil"/>
            </w:tcBorders>
            <w:shd w:val="clear" w:color="auto" w:fill="auto"/>
            <w:vAlign w:val="center"/>
          </w:tcPr>
          <w:p w14:paraId="56725F6B">
            <w:pPr>
              <w:rPr>
                <w:rFonts w:hint="eastAsia"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vAlign w:val="center"/>
          </w:tcPr>
          <w:p w14:paraId="21E12D13">
            <w:pPr>
              <w:rPr>
                <w:rFonts w:hint="eastAsia" w:ascii="宋体" w:hAnsi="宋体" w:eastAsia="宋体" w:cs="宋体"/>
                <w:i w:val="0"/>
                <w:iCs w:val="0"/>
                <w:color w:val="000000"/>
                <w:sz w:val="18"/>
                <w:szCs w:val="18"/>
                <w:u w:val="none"/>
              </w:rPr>
            </w:pPr>
          </w:p>
        </w:tc>
        <w:tc>
          <w:tcPr>
            <w:tcW w:w="446" w:type="dxa"/>
            <w:tcBorders>
              <w:top w:val="nil"/>
              <w:left w:val="nil"/>
              <w:bottom w:val="nil"/>
              <w:right w:val="nil"/>
            </w:tcBorders>
            <w:shd w:val="clear" w:color="auto" w:fill="auto"/>
            <w:vAlign w:val="center"/>
          </w:tcPr>
          <w:p w14:paraId="28E4D08D">
            <w:pPr>
              <w:rPr>
                <w:rFonts w:hint="eastAsia" w:ascii="宋体" w:hAnsi="宋体" w:eastAsia="宋体" w:cs="宋体"/>
                <w:i w:val="0"/>
                <w:iCs w:val="0"/>
                <w:color w:val="000000"/>
                <w:sz w:val="18"/>
                <w:szCs w:val="18"/>
                <w:u w:val="none"/>
              </w:rPr>
            </w:pPr>
          </w:p>
        </w:tc>
        <w:tc>
          <w:tcPr>
            <w:tcW w:w="760" w:type="dxa"/>
            <w:gridSpan w:val="3"/>
            <w:tcBorders>
              <w:top w:val="nil"/>
              <w:left w:val="nil"/>
              <w:bottom w:val="nil"/>
              <w:right w:val="nil"/>
            </w:tcBorders>
            <w:shd w:val="clear" w:color="auto" w:fill="auto"/>
            <w:vAlign w:val="center"/>
          </w:tcPr>
          <w:p w14:paraId="523414A6">
            <w:pPr>
              <w:rPr>
                <w:rFonts w:hint="eastAsia" w:ascii="宋体" w:hAnsi="宋体" w:eastAsia="宋体" w:cs="宋体"/>
                <w:i w:val="0"/>
                <w:iCs w:val="0"/>
                <w:color w:val="000000"/>
                <w:sz w:val="18"/>
                <w:szCs w:val="18"/>
                <w:u w:val="none"/>
              </w:rPr>
            </w:pPr>
          </w:p>
        </w:tc>
        <w:tc>
          <w:tcPr>
            <w:tcW w:w="417" w:type="dxa"/>
            <w:tcBorders>
              <w:top w:val="nil"/>
              <w:left w:val="nil"/>
              <w:bottom w:val="nil"/>
              <w:right w:val="nil"/>
            </w:tcBorders>
            <w:shd w:val="clear" w:color="auto" w:fill="auto"/>
            <w:vAlign w:val="center"/>
          </w:tcPr>
          <w:p w14:paraId="4406DFFB">
            <w:pPr>
              <w:rPr>
                <w:rFonts w:hint="eastAsia" w:ascii="宋体" w:hAnsi="宋体" w:eastAsia="宋体" w:cs="宋体"/>
                <w:i w:val="0"/>
                <w:iCs w:val="0"/>
                <w:color w:val="000000"/>
                <w:sz w:val="18"/>
                <w:szCs w:val="18"/>
                <w:u w:val="none"/>
              </w:rPr>
            </w:pPr>
          </w:p>
        </w:tc>
        <w:tc>
          <w:tcPr>
            <w:tcW w:w="1150" w:type="dxa"/>
            <w:gridSpan w:val="3"/>
            <w:tcBorders>
              <w:top w:val="nil"/>
              <w:left w:val="nil"/>
              <w:bottom w:val="nil"/>
              <w:right w:val="nil"/>
            </w:tcBorders>
            <w:shd w:val="clear" w:color="auto" w:fill="auto"/>
            <w:vAlign w:val="center"/>
          </w:tcPr>
          <w:p w14:paraId="347BAC87">
            <w:pPr>
              <w:rPr>
                <w:rFonts w:hint="eastAsia" w:ascii="宋体" w:hAnsi="宋体" w:eastAsia="宋体" w:cs="宋体"/>
                <w:i w:val="0"/>
                <w:iCs w:val="0"/>
                <w:color w:val="000000"/>
                <w:sz w:val="18"/>
                <w:szCs w:val="18"/>
                <w:u w:val="none"/>
              </w:rPr>
            </w:pPr>
          </w:p>
        </w:tc>
        <w:tc>
          <w:tcPr>
            <w:tcW w:w="417" w:type="dxa"/>
            <w:gridSpan w:val="2"/>
            <w:tcBorders>
              <w:top w:val="nil"/>
              <w:left w:val="nil"/>
              <w:bottom w:val="nil"/>
              <w:right w:val="nil"/>
            </w:tcBorders>
            <w:shd w:val="clear" w:color="auto" w:fill="auto"/>
            <w:vAlign w:val="center"/>
          </w:tcPr>
          <w:p w14:paraId="4BE8B8D0">
            <w:pPr>
              <w:rPr>
                <w:rFonts w:hint="eastAsia" w:ascii="宋体" w:hAnsi="宋体" w:eastAsia="宋体" w:cs="宋体"/>
                <w:i w:val="0"/>
                <w:iCs w:val="0"/>
                <w:color w:val="000000"/>
                <w:sz w:val="18"/>
                <w:szCs w:val="18"/>
                <w:u w:val="none"/>
              </w:rPr>
            </w:pPr>
          </w:p>
        </w:tc>
        <w:tc>
          <w:tcPr>
            <w:tcW w:w="733" w:type="dxa"/>
            <w:gridSpan w:val="3"/>
            <w:tcBorders>
              <w:top w:val="nil"/>
              <w:left w:val="nil"/>
              <w:bottom w:val="nil"/>
              <w:right w:val="nil"/>
            </w:tcBorders>
            <w:shd w:val="clear" w:color="auto" w:fill="auto"/>
            <w:vAlign w:val="center"/>
          </w:tcPr>
          <w:p w14:paraId="23C2CD8D">
            <w:pPr>
              <w:rPr>
                <w:rFonts w:hint="eastAsia" w:ascii="宋体" w:hAnsi="宋体" w:eastAsia="宋体" w:cs="宋体"/>
                <w:i w:val="0"/>
                <w:iCs w:val="0"/>
                <w:color w:val="000000"/>
                <w:sz w:val="18"/>
                <w:szCs w:val="18"/>
                <w:u w:val="none"/>
              </w:rPr>
            </w:pPr>
          </w:p>
        </w:tc>
        <w:tc>
          <w:tcPr>
            <w:tcW w:w="1240" w:type="dxa"/>
            <w:tcBorders>
              <w:top w:val="nil"/>
              <w:left w:val="nil"/>
              <w:bottom w:val="nil"/>
              <w:right w:val="nil"/>
            </w:tcBorders>
            <w:shd w:val="clear" w:color="auto" w:fill="auto"/>
            <w:vAlign w:val="center"/>
          </w:tcPr>
          <w:p w14:paraId="62428B53">
            <w:pPr>
              <w:rPr>
                <w:rFonts w:hint="eastAsia" w:ascii="宋体" w:hAnsi="宋体" w:eastAsia="宋体" w:cs="宋体"/>
                <w:i w:val="0"/>
                <w:iCs w:val="0"/>
                <w:color w:val="000000"/>
                <w:sz w:val="18"/>
                <w:szCs w:val="18"/>
                <w:u w:val="none"/>
              </w:rPr>
            </w:pPr>
          </w:p>
        </w:tc>
      </w:tr>
      <w:tr w14:paraId="32310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757" w:type="dxa"/>
            <w:gridSpan w:val="2"/>
            <w:tcBorders>
              <w:top w:val="nil"/>
              <w:left w:val="nil"/>
              <w:bottom w:val="nil"/>
              <w:right w:val="nil"/>
            </w:tcBorders>
            <w:shd w:val="clear" w:color="auto" w:fill="auto"/>
            <w:vAlign w:val="center"/>
          </w:tcPr>
          <w:p w14:paraId="29AAC6F8">
            <w:pPr>
              <w:rPr>
                <w:rFonts w:hint="eastAsia"/>
              </w:rPr>
            </w:pPr>
          </w:p>
          <w:p w14:paraId="7403335F">
            <w:pPr>
              <w:pStyle w:val="17"/>
              <w:rPr>
                <w:rFonts w:hint="eastAsia"/>
              </w:rPr>
            </w:pPr>
          </w:p>
          <w:p w14:paraId="2144DF57">
            <w:pPr>
              <w:rPr>
                <w:rFonts w:hint="eastAsia"/>
              </w:rPr>
            </w:pPr>
          </w:p>
          <w:p w14:paraId="79F722CC">
            <w:pPr>
              <w:pStyle w:val="17"/>
              <w:rPr>
                <w:rFonts w:hint="eastAsia"/>
              </w:rPr>
            </w:pPr>
          </w:p>
          <w:p w14:paraId="149BF239">
            <w:pPr>
              <w:pStyle w:val="17"/>
              <w:ind w:left="0" w:leftChars="0" w:firstLine="0" w:firstLineChars="0"/>
              <w:rPr>
                <w:rFonts w:hint="eastAsia"/>
              </w:rPr>
            </w:pPr>
          </w:p>
        </w:tc>
        <w:tc>
          <w:tcPr>
            <w:tcW w:w="1367" w:type="dxa"/>
            <w:gridSpan w:val="2"/>
            <w:tcBorders>
              <w:top w:val="nil"/>
              <w:left w:val="nil"/>
              <w:bottom w:val="nil"/>
              <w:right w:val="nil"/>
            </w:tcBorders>
            <w:shd w:val="clear" w:color="auto" w:fill="auto"/>
            <w:vAlign w:val="center"/>
          </w:tcPr>
          <w:p w14:paraId="2180288E">
            <w:pPr>
              <w:rPr>
                <w:rFonts w:hint="eastAsia" w:ascii="宋体" w:hAnsi="宋体" w:eastAsia="宋体" w:cs="宋体"/>
                <w:i w:val="0"/>
                <w:iCs w:val="0"/>
                <w:color w:val="000000"/>
                <w:sz w:val="18"/>
                <w:szCs w:val="18"/>
                <w:u w:val="none"/>
              </w:rPr>
            </w:pPr>
          </w:p>
        </w:tc>
        <w:tc>
          <w:tcPr>
            <w:tcW w:w="597" w:type="dxa"/>
            <w:tcBorders>
              <w:top w:val="nil"/>
              <w:left w:val="nil"/>
              <w:bottom w:val="nil"/>
              <w:right w:val="nil"/>
            </w:tcBorders>
            <w:shd w:val="clear" w:color="auto" w:fill="auto"/>
            <w:vAlign w:val="center"/>
          </w:tcPr>
          <w:p w14:paraId="6835F06F">
            <w:pPr>
              <w:rPr>
                <w:rFonts w:hint="eastAsia"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vAlign w:val="center"/>
          </w:tcPr>
          <w:p w14:paraId="6FC574B7">
            <w:pPr>
              <w:rPr>
                <w:rFonts w:hint="eastAsia" w:ascii="宋体" w:hAnsi="宋体" w:eastAsia="宋体" w:cs="宋体"/>
                <w:i w:val="0"/>
                <w:iCs w:val="0"/>
                <w:color w:val="000000"/>
                <w:sz w:val="18"/>
                <w:szCs w:val="18"/>
                <w:u w:val="none"/>
              </w:rPr>
            </w:pPr>
          </w:p>
        </w:tc>
        <w:tc>
          <w:tcPr>
            <w:tcW w:w="446" w:type="dxa"/>
            <w:tcBorders>
              <w:top w:val="nil"/>
              <w:left w:val="nil"/>
              <w:bottom w:val="nil"/>
              <w:right w:val="nil"/>
            </w:tcBorders>
            <w:shd w:val="clear" w:color="auto" w:fill="auto"/>
            <w:vAlign w:val="center"/>
          </w:tcPr>
          <w:p w14:paraId="113C095E">
            <w:pPr>
              <w:rPr>
                <w:rFonts w:hint="eastAsia" w:ascii="宋体" w:hAnsi="宋体" w:eastAsia="宋体" w:cs="宋体"/>
                <w:i w:val="0"/>
                <w:iCs w:val="0"/>
                <w:color w:val="000000"/>
                <w:sz w:val="18"/>
                <w:szCs w:val="18"/>
                <w:u w:val="none"/>
              </w:rPr>
            </w:pPr>
          </w:p>
        </w:tc>
        <w:tc>
          <w:tcPr>
            <w:tcW w:w="760" w:type="dxa"/>
            <w:gridSpan w:val="3"/>
            <w:tcBorders>
              <w:top w:val="nil"/>
              <w:left w:val="nil"/>
              <w:bottom w:val="nil"/>
              <w:right w:val="nil"/>
            </w:tcBorders>
            <w:shd w:val="clear" w:color="auto" w:fill="auto"/>
            <w:vAlign w:val="center"/>
          </w:tcPr>
          <w:p w14:paraId="0E44D1BB">
            <w:pPr>
              <w:rPr>
                <w:rFonts w:hint="eastAsia" w:ascii="宋体" w:hAnsi="宋体" w:eastAsia="宋体" w:cs="宋体"/>
                <w:i w:val="0"/>
                <w:iCs w:val="0"/>
                <w:color w:val="000000"/>
                <w:sz w:val="18"/>
                <w:szCs w:val="18"/>
                <w:u w:val="none"/>
              </w:rPr>
            </w:pPr>
          </w:p>
        </w:tc>
        <w:tc>
          <w:tcPr>
            <w:tcW w:w="417" w:type="dxa"/>
            <w:tcBorders>
              <w:top w:val="nil"/>
              <w:left w:val="nil"/>
              <w:bottom w:val="nil"/>
              <w:right w:val="nil"/>
            </w:tcBorders>
            <w:shd w:val="clear" w:color="auto" w:fill="auto"/>
            <w:vAlign w:val="center"/>
          </w:tcPr>
          <w:p w14:paraId="7B6F5741">
            <w:pPr>
              <w:rPr>
                <w:rFonts w:hint="eastAsia" w:ascii="宋体" w:hAnsi="宋体" w:eastAsia="宋体" w:cs="宋体"/>
                <w:i w:val="0"/>
                <w:iCs w:val="0"/>
                <w:color w:val="000000"/>
                <w:sz w:val="18"/>
                <w:szCs w:val="18"/>
                <w:u w:val="none"/>
              </w:rPr>
            </w:pPr>
          </w:p>
        </w:tc>
        <w:tc>
          <w:tcPr>
            <w:tcW w:w="1150" w:type="dxa"/>
            <w:gridSpan w:val="3"/>
            <w:tcBorders>
              <w:top w:val="nil"/>
              <w:left w:val="nil"/>
              <w:bottom w:val="nil"/>
              <w:right w:val="nil"/>
            </w:tcBorders>
            <w:shd w:val="clear" w:color="auto" w:fill="auto"/>
            <w:vAlign w:val="center"/>
          </w:tcPr>
          <w:p w14:paraId="5A49ADB6">
            <w:pPr>
              <w:rPr>
                <w:rFonts w:hint="eastAsia" w:ascii="宋体" w:hAnsi="宋体" w:eastAsia="宋体" w:cs="宋体"/>
                <w:i w:val="0"/>
                <w:iCs w:val="0"/>
                <w:color w:val="000000"/>
                <w:sz w:val="18"/>
                <w:szCs w:val="18"/>
                <w:u w:val="none"/>
              </w:rPr>
            </w:pPr>
          </w:p>
        </w:tc>
        <w:tc>
          <w:tcPr>
            <w:tcW w:w="417" w:type="dxa"/>
            <w:gridSpan w:val="2"/>
            <w:tcBorders>
              <w:top w:val="nil"/>
              <w:left w:val="nil"/>
              <w:bottom w:val="nil"/>
              <w:right w:val="nil"/>
            </w:tcBorders>
            <w:shd w:val="clear" w:color="auto" w:fill="auto"/>
            <w:vAlign w:val="center"/>
          </w:tcPr>
          <w:p w14:paraId="63811770">
            <w:pPr>
              <w:rPr>
                <w:rFonts w:hint="eastAsia" w:ascii="宋体" w:hAnsi="宋体" w:eastAsia="宋体" w:cs="宋体"/>
                <w:i w:val="0"/>
                <w:iCs w:val="0"/>
                <w:color w:val="000000"/>
                <w:sz w:val="18"/>
                <w:szCs w:val="18"/>
                <w:u w:val="none"/>
              </w:rPr>
            </w:pPr>
          </w:p>
        </w:tc>
        <w:tc>
          <w:tcPr>
            <w:tcW w:w="733" w:type="dxa"/>
            <w:gridSpan w:val="3"/>
            <w:tcBorders>
              <w:top w:val="nil"/>
              <w:left w:val="nil"/>
              <w:bottom w:val="nil"/>
              <w:right w:val="nil"/>
            </w:tcBorders>
            <w:shd w:val="clear" w:color="auto" w:fill="auto"/>
            <w:vAlign w:val="center"/>
          </w:tcPr>
          <w:p w14:paraId="7487EE55">
            <w:pPr>
              <w:rPr>
                <w:rFonts w:hint="eastAsia" w:ascii="宋体" w:hAnsi="宋体" w:eastAsia="宋体" w:cs="宋体"/>
                <w:i w:val="0"/>
                <w:iCs w:val="0"/>
                <w:color w:val="000000"/>
                <w:sz w:val="18"/>
                <w:szCs w:val="18"/>
                <w:u w:val="none"/>
              </w:rPr>
            </w:pPr>
          </w:p>
        </w:tc>
        <w:tc>
          <w:tcPr>
            <w:tcW w:w="1240" w:type="dxa"/>
            <w:tcBorders>
              <w:top w:val="nil"/>
              <w:left w:val="nil"/>
              <w:bottom w:val="nil"/>
              <w:right w:val="nil"/>
            </w:tcBorders>
            <w:shd w:val="clear" w:color="auto" w:fill="auto"/>
            <w:vAlign w:val="center"/>
          </w:tcPr>
          <w:p w14:paraId="18276212">
            <w:pPr>
              <w:rPr>
                <w:rFonts w:hint="eastAsia" w:ascii="宋体" w:hAnsi="宋体" w:eastAsia="宋体" w:cs="宋体"/>
                <w:i w:val="0"/>
                <w:iCs w:val="0"/>
                <w:color w:val="000000"/>
                <w:sz w:val="18"/>
                <w:szCs w:val="18"/>
                <w:u w:val="none"/>
              </w:rPr>
            </w:pPr>
          </w:p>
        </w:tc>
      </w:tr>
      <w:tr w14:paraId="03BED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jc w:val="center"/>
        </w:trPr>
        <w:tc>
          <w:tcPr>
            <w:tcW w:w="896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5BC62DC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9CBD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17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DAC1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216"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3D6B7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51322323T000009121754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公共文化服务体系建设资金</w:t>
            </w:r>
          </w:p>
        </w:tc>
      </w:tr>
      <w:tr w14:paraId="3E0A1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17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84CC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3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982A2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茂县文学艺术界联合会本级</w:t>
            </w:r>
          </w:p>
        </w:tc>
        <w:tc>
          <w:tcPr>
            <w:tcW w:w="697" w:type="dxa"/>
            <w:gridSpan w:val="2"/>
            <w:tcBorders>
              <w:top w:val="nil"/>
              <w:left w:val="nil"/>
              <w:bottom w:val="nil"/>
              <w:right w:val="nil"/>
            </w:tcBorders>
            <w:shd w:val="clear" w:color="auto" w:fill="auto"/>
            <w:vAlign w:val="center"/>
          </w:tcPr>
          <w:p w14:paraId="1E7F107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E2AF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茂县文学艺术界联合会</w:t>
            </w:r>
          </w:p>
        </w:tc>
      </w:tr>
      <w:tr w14:paraId="6ABC1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E11B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2F7A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3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FDF63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90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B1DF0A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D3CF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2425D">
            <w:pPr>
              <w:rPr>
                <w:rFonts w:hint="eastAsia" w:ascii="宋体" w:hAnsi="宋体" w:eastAsia="宋体" w:cs="宋体"/>
                <w:i w:val="0"/>
                <w:iCs w:val="0"/>
                <w:color w:val="000000"/>
                <w:sz w:val="18"/>
                <w:szCs w:val="18"/>
                <w:u w:val="none"/>
              </w:rPr>
            </w:pPr>
          </w:p>
        </w:tc>
        <w:tc>
          <w:tcPr>
            <w:tcW w:w="12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17618">
            <w:pPr>
              <w:rPr>
                <w:rFonts w:hint="eastAsia" w:ascii="宋体" w:hAnsi="宋体" w:eastAsia="宋体" w:cs="宋体"/>
                <w:i w:val="0"/>
                <w:iCs w:val="0"/>
                <w:color w:val="000000"/>
                <w:sz w:val="18"/>
                <w:szCs w:val="18"/>
                <w:u w:val="none"/>
              </w:rPr>
            </w:pPr>
          </w:p>
        </w:tc>
        <w:tc>
          <w:tcPr>
            <w:tcW w:w="43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FB3BD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通过资金投入，完成不少于2次公共文化服务活动，普及文化艺术知识和文化艺术交流等活动，群众对公共文化服务的满意度达到85%，有效推动公共文化服务均等化、标准化建设。</w:t>
            </w:r>
          </w:p>
        </w:tc>
        <w:tc>
          <w:tcPr>
            <w:tcW w:w="290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9BDF01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D30C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2BE13">
            <w:pP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65E2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216"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2F82C48">
            <w:pPr>
              <w:rPr>
                <w:rFonts w:hint="eastAsia" w:ascii="宋体" w:hAnsi="宋体" w:eastAsia="宋体" w:cs="宋体"/>
                <w:i w:val="0"/>
                <w:iCs w:val="0"/>
                <w:color w:val="000000"/>
                <w:sz w:val="18"/>
                <w:szCs w:val="18"/>
                <w:u w:val="none"/>
              </w:rPr>
            </w:pPr>
          </w:p>
        </w:tc>
      </w:tr>
      <w:tr w14:paraId="19EE3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1F0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75D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648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E04D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364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748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8E0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17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C924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EB99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9BC7C">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61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710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819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640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52D1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05E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2200C">
            <w:pPr>
              <w:jc w:val="center"/>
              <w:rPr>
                <w:rFonts w:hint="default" w:ascii="宋体" w:hAnsi="宋体" w:eastAsia="宋体" w:cs="宋体"/>
                <w:i w:val="0"/>
                <w:iCs w:val="0"/>
                <w:color w:val="000000"/>
                <w:sz w:val="18"/>
                <w:szCs w:val="18"/>
                <w:u w:val="none"/>
                <w:lang w:val="en-US" w:eastAsia="zh-CN"/>
              </w:rPr>
            </w:pPr>
          </w:p>
        </w:tc>
        <w:tc>
          <w:tcPr>
            <w:tcW w:w="159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E955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1E1F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9DFF4">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188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4E2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802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9CB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B20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7F7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5A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D7AFE">
            <w:pPr>
              <w:rPr>
                <w:rFonts w:hint="eastAsia" w:ascii="黑体" w:hAnsi="黑体" w:eastAsia="黑体" w:cs="黑体"/>
                <w:i/>
                <w:iCs/>
                <w:color w:val="000000"/>
                <w:sz w:val="18"/>
                <w:szCs w:val="18"/>
                <w:u w:val="none"/>
              </w:rPr>
            </w:pPr>
          </w:p>
        </w:tc>
      </w:tr>
      <w:tr w14:paraId="04FBD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874ED">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9EA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EB5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890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F7B3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732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D756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1A6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D9979">
            <w:pPr>
              <w:rPr>
                <w:rFonts w:hint="eastAsia" w:ascii="黑体" w:hAnsi="黑体" w:eastAsia="黑体" w:cs="黑体"/>
                <w:i/>
                <w:iCs/>
                <w:color w:val="000000"/>
                <w:sz w:val="18"/>
                <w:szCs w:val="18"/>
                <w:u w:val="none"/>
              </w:rPr>
            </w:pPr>
          </w:p>
        </w:tc>
      </w:tr>
      <w:tr w14:paraId="0BE5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5AE7A">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A67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17F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E1A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3C0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C17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B1F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59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6332B">
            <w:pPr>
              <w:rPr>
                <w:rFonts w:hint="eastAsia" w:ascii="黑体" w:hAnsi="黑体" w:eastAsia="黑体" w:cs="黑体"/>
                <w:i/>
                <w:iCs/>
                <w:color w:val="000000"/>
                <w:sz w:val="18"/>
                <w:szCs w:val="18"/>
                <w:u w:val="none"/>
              </w:rPr>
            </w:pPr>
          </w:p>
        </w:tc>
      </w:tr>
      <w:tr w14:paraId="3BEF4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FD900">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7AB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17B3C2">
            <w:pPr>
              <w:jc w:val="center"/>
              <w:rPr>
                <w:rFonts w:hint="eastAsia" w:ascii="微软雅黑" w:hAnsi="微软雅黑" w:eastAsia="微软雅黑" w:cs="微软雅黑"/>
                <w:i/>
                <w:iCs/>
                <w:color w:val="000000"/>
                <w:sz w:val="16"/>
                <w:szCs w:val="16"/>
                <w:u w:val="none"/>
              </w:rPr>
            </w:pP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9E4CA8">
            <w:pPr>
              <w:jc w:val="center"/>
              <w:rPr>
                <w:rFonts w:hint="eastAsia" w:ascii="微软雅黑" w:hAnsi="微软雅黑" w:eastAsia="微软雅黑" w:cs="微软雅黑"/>
                <w:i/>
                <w:iCs/>
                <w:color w:val="000000"/>
                <w:sz w:val="16"/>
                <w:szCs w:val="16"/>
                <w:u w:val="none"/>
              </w:rPr>
            </w:pP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FFCDBA">
            <w:pPr>
              <w:jc w:val="center"/>
              <w:rPr>
                <w:rFonts w:hint="eastAsia" w:ascii="微软雅黑" w:hAnsi="微软雅黑" w:eastAsia="微软雅黑" w:cs="微软雅黑"/>
                <w:i/>
                <w:iCs/>
                <w:color w:val="000000"/>
                <w:sz w:val="16"/>
                <w:szCs w:val="16"/>
                <w:u w:val="none"/>
              </w:rPr>
            </w:pP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1BEB6C">
            <w:pPr>
              <w:jc w:val="center"/>
              <w:rPr>
                <w:rFonts w:hint="eastAsia" w:ascii="微软雅黑" w:hAns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FFA6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10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6F485">
            <w:pPr>
              <w:rPr>
                <w:rFonts w:hint="eastAsia" w:ascii="黑体" w:hAnsi="黑体" w:eastAsia="黑体" w:cs="黑体"/>
                <w:i/>
                <w:iCs/>
                <w:color w:val="000000"/>
                <w:sz w:val="18"/>
                <w:szCs w:val="18"/>
                <w:u w:val="none"/>
              </w:rPr>
            </w:pPr>
          </w:p>
        </w:tc>
      </w:tr>
      <w:tr w14:paraId="10517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2" w:hRule="atLeast"/>
          <w:jc w:val="center"/>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EFA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E36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D7C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887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7D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4C9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CB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6D4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A9A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9859F">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1E2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83BA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615DB">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573E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3F65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8E97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实施文化惠民活动。主办或协办“新春送福”文化惠民活动，组织书法家现场书写春联、福字免费送给群众</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07F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 xml:space="preserve">                                   ≥1次</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2B27D">
            <w:pPr>
              <w:jc w:val="center"/>
              <w:rPr>
                <w:rFonts w:hint="eastAsia" w:ascii="微软雅黑" w:hAns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499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859D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20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5324DA">
            <w:pPr>
              <w:jc w:val="center"/>
              <w:rPr>
                <w:rFonts w:hint="eastAsia" w:ascii="微软雅黑" w:hAnsi="微软雅黑" w:eastAsia="微软雅黑" w:cs="微软雅黑"/>
                <w:i/>
                <w:iCs/>
                <w:color w:val="000000"/>
                <w:sz w:val="16"/>
                <w:szCs w:val="16"/>
                <w:u w:val="none"/>
              </w:rPr>
            </w:pPr>
          </w:p>
        </w:tc>
      </w:tr>
      <w:tr w14:paraId="37A49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C80A1">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8549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效益指标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30D6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社会效益指标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8F3A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举办的各类活动取得的社会影响</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E7D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较好</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BAACBD">
            <w:pPr>
              <w:jc w:val="center"/>
              <w:rPr>
                <w:rFonts w:hint="eastAsia" w:ascii="微软雅黑" w:hAns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F14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7D1A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20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DE177C">
            <w:pPr>
              <w:rPr>
                <w:rFonts w:hint="eastAsia" w:ascii="微软雅黑" w:hAnsi="微软雅黑" w:eastAsia="微软雅黑" w:cs="微软雅黑"/>
                <w:i/>
                <w:iCs/>
                <w:color w:val="000000"/>
                <w:sz w:val="16"/>
                <w:szCs w:val="16"/>
                <w:u w:val="none"/>
              </w:rPr>
            </w:pPr>
          </w:p>
        </w:tc>
      </w:tr>
      <w:tr w14:paraId="5E996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6E99B">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5C07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B19F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时效指标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0E57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各项文艺活动及时完成率</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BBF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100%</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74A93E">
            <w:pPr>
              <w:jc w:val="center"/>
              <w:rPr>
                <w:rFonts w:hint="eastAsia" w:ascii="微软雅黑" w:hAns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759A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AE58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0CC623">
            <w:pPr>
              <w:rPr>
                <w:rFonts w:hint="eastAsia" w:ascii="微软雅黑" w:hAnsi="微软雅黑" w:eastAsia="微软雅黑" w:cs="微软雅黑"/>
                <w:i/>
                <w:iCs/>
                <w:color w:val="000000"/>
                <w:sz w:val="16"/>
                <w:szCs w:val="16"/>
                <w:u w:val="none"/>
              </w:rPr>
            </w:pPr>
          </w:p>
        </w:tc>
      </w:tr>
      <w:tr w14:paraId="1491F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67ABF">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7665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6A31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EA95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编辑出版《九鼎山》专刊</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AE7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 xml:space="preserve">                                     ≥1次</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791532">
            <w:pPr>
              <w:jc w:val="center"/>
              <w:rPr>
                <w:rFonts w:hint="eastAsia" w:ascii="微软雅黑" w:hAns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387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4F8F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CE45F0">
            <w:pPr>
              <w:rPr>
                <w:rFonts w:hint="eastAsia" w:ascii="微软雅黑" w:hAnsi="微软雅黑" w:eastAsia="微软雅黑" w:cs="微软雅黑"/>
                <w:i/>
                <w:iCs/>
                <w:color w:val="000000"/>
                <w:sz w:val="16"/>
                <w:szCs w:val="16"/>
                <w:u w:val="none"/>
              </w:rPr>
            </w:pPr>
          </w:p>
        </w:tc>
      </w:tr>
      <w:tr w14:paraId="711C9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88058">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65AA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42A1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质量指标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AC84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受益群众对文艺活动、专刊及创作等评价较高</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58A0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 xml:space="preserve">                                      优</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B63454">
            <w:pPr>
              <w:jc w:val="center"/>
              <w:rPr>
                <w:rFonts w:hint="eastAsia" w:ascii="微软雅黑" w:hAns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8AE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FCF5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41547F">
            <w:pPr>
              <w:rPr>
                <w:rFonts w:hint="eastAsia" w:ascii="微软雅黑" w:hAnsi="微软雅黑" w:eastAsia="微软雅黑" w:cs="微软雅黑"/>
                <w:i/>
                <w:iCs/>
                <w:color w:val="000000"/>
                <w:sz w:val="16"/>
                <w:szCs w:val="16"/>
                <w:u w:val="none"/>
              </w:rPr>
            </w:pPr>
          </w:p>
        </w:tc>
      </w:tr>
      <w:tr w14:paraId="5B9F3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1BF4D">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D19A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1448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AE37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举办文化进校园活动次数</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B52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≥1次</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36745C">
            <w:pPr>
              <w:jc w:val="center"/>
              <w:rPr>
                <w:rFonts w:hint="eastAsia" w:ascii="微软雅黑" w:hAns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187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B076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9B8BCF">
            <w:pPr>
              <w:rPr>
                <w:rFonts w:hint="eastAsia" w:ascii="微软雅黑" w:hAnsi="微软雅黑" w:eastAsia="微软雅黑" w:cs="微软雅黑"/>
                <w:i/>
                <w:iCs/>
                <w:color w:val="000000"/>
                <w:sz w:val="16"/>
                <w:szCs w:val="16"/>
                <w:u w:val="none"/>
              </w:rPr>
            </w:pPr>
          </w:p>
        </w:tc>
      </w:tr>
      <w:tr w14:paraId="2860A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A83E7">
            <w:pPr>
              <w:jc w:val="center"/>
              <w:rPr>
                <w:rFonts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087B84">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B09884">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C1DB9D">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全年发放文艺活动宣传手册数量</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7BA438">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≥400册</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3E752D">
            <w:pPr>
              <w:jc w:val="center"/>
              <w:rPr>
                <w:rFonts w:ascii="宋体" w:hAnsi="宋体" w:eastAsia="宋体" w:cs="宋体"/>
                <w:i w:val="0"/>
                <w:iCs w:val="0"/>
                <w:color w:val="000000"/>
                <w:sz w:val="18"/>
                <w:szCs w:val="18"/>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15A187">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8183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636845">
            <w:pPr>
              <w:rPr>
                <w:rFonts w:hint="eastAsia" w:ascii="宋体" w:hAnsi="宋体" w:eastAsia="宋体" w:cs="宋体"/>
                <w:i w:val="0"/>
                <w:iCs w:val="0"/>
                <w:color w:val="000000"/>
                <w:sz w:val="18"/>
                <w:szCs w:val="18"/>
                <w:u w:val="none"/>
              </w:rPr>
            </w:pPr>
          </w:p>
        </w:tc>
      </w:tr>
      <w:tr w14:paraId="36D91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2" w:hRule="atLeast"/>
          <w:jc w:val="center"/>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5290D">
            <w:pPr>
              <w:rPr>
                <w:rFonts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7291E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5BDF5C">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EAF57F">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实施文艺精品创作工程</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711361">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 xml:space="preserve">                                    ≥10篇（场）</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AD4A0D">
            <w:pPr>
              <w:jc w:val="cente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A47931">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CF07B">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C21724"/>
        </w:tc>
      </w:tr>
      <w:tr w14:paraId="56278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675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9024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656BE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6F0BE">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100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67BE55"/>
        </w:tc>
      </w:tr>
      <w:tr w14:paraId="21C0A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52F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评价结论</w:t>
            </w:r>
          </w:p>
        </w:tc>
        <w:tc>
          <w:tcPr>
            <w:tcW w:w="843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634D595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严格按预算执行，资金使用规范、专款专用，无违规支出。项目按计划完成既定任务，达到预期产出与效果，有效保障单位日常运转与业务开展。管理流程完善，制度执行到位，成本控制合理，社会效益良好，群众满意度较高。总体绩效优良，实现预算绩效目标，建议继续支持并优化细节管理。</w:t>
            </w:r>
          </w:p>
        </w:tc>
      </w:tr>
      <w:tr w14:paraId="5340D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24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DBD568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w:t>
            </w:r>
          </w:p>
        </w:tc>
        <w:tc>
          <w:tcPr>
            <w:tcW w:w="4717"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407D26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财务负责人：</w:t>
            </w:r>
          </w:p>
        </w:tc>
      </w:tr>
      <w:tr w14:paraId="3B6BB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757" w:type="dxa"/>
            <w:gridSpan w:val="2"/>
            <w:tcBorders>
              <w:top w:val="nil"/>
              <w:left w:val="nil"/>
              <w:bottom w:val="nil"/>
              <w:right w:val="nil"/>
            </w:tcBorders>
            <w:shd w:val="clear" w:color="auto" w:fill="auto"/>
            <w:vAlign w:val="center"/>
          </w:tcPr>
          <w:p w14:paraId="17BDEAD6">
            <w:pPr>
              <w:rPr>
                <w:rFonts w:hint="eastAsia"/>
              </w:rPr>
            </w:pPr>
          </w:p>
          <w:p w14:paraId="098CC4B7">
            <w:pPr>
              <w:pStyle w:val="17"/>
              <w:rPr>
                <w:rFonts w:hint="eastAsia"/>
              </w:rPr>
            </w:pPr>
          </w:p>
          <w:p w14:paraId="17A8330A">
            <w:pPr>
              <w:rPr>
                <w:rFonts w:hint="eastAsia"/>
              </w:rPr>
            </w:pPr>
          </w:p>
          <w:p w14:paraId="2F9EDC73">
            <w:pPr>
              <w:pStyle w:val="17"/>
              <w:rPr>
                <w:rFonts w:hint="eastAsia"/>
              </w:rPr>
            </w:pPr>
          </w:p>
        </w:tc>
        <w:tc>
          <w:tcPr>
            <w:tcW w:w="1367" w:type="dxa"/>
            <w:gridSpan w:val="2"/>
            <w:tcBorders>
              <w:top w:val="nil"/>
              <w:left w:val="nil"/>
              <w:bottom w:val="nil"/>
              <w:right w:val="nil"/>
            </w:tcBorders>
            <w:shd w:val="clear" w:color="auto" w:fill="auto"/>
            <w:vAlign w:val="center"/>
          </w:tcPr>
          <w:p w14:paraId="4FE1310D">
            <w:pPr>
              <w:rPr>
                <w:rFonts w:hint="eastAsia"/>
              </w:rPr>
            </w:pPr>
          </w:p>
          <w:p w14:paraId="7B043CB8">
            <w:pPr>
              <w:pStyle w:val="17"/>
              <w:rPr>
                <w:rFonts w:hint="eastAsia"/>
              </w:rPr>
            </w:pPr>
          </w:p>
          <w:p w14:paraId="367A40B6">
            <w:pPr>
              <w:rPr>
                <w:rFonts w:hint="eastAsia"/>
              </w:rPr>
            </w:pPr>
          </w:p>
          <w:p w14:paraId="1207C3E4">
            <w:pPr>
              <w:pStyle w:val="17"/>
              <w:rPr>
                <w:rFonts w:hint="eastAsia"/>
              </w:rPr>
            </w:pPr>
          </w:p>
          <w:p w14:paraId="34065A09">
            <w:pPr>
              <w:rPr>
                <w:rFonts w:hint="eastAsia"/>
              </w:rPr>
            </w:pPr>
          </w:p>
          <w:p w14:paraId="28D4B200">
            <w:pPr>
              <w:pStyle w:val="17"/>
              <w:rPr>
                <w:rFonts w:hint="eastAsia"/>
              </w:rPr>
            </w:pPr>
          </w:p>
          <w:p w14:paraId="08203452">
            <w:pPr>
              <w:rPr>
                <w:rFonts w:hint="eastAsia"/>
              </w:rPr>
            </w:pPr>
          </w:p>
          <w:p w14:paraId="59BB107D">
            <w:pPr>
              <w:pStyle w:val="17"/>
              <w:rPr>
                <w:rFonts w:hint="eastAsia"/>
              </w:rPr>
            </w:pPr>
          </w:p>
          <w:p w14:paraId="4A9BB2BA">
            <w:pPr>
              <w:pStyle w:val="17"/>
              <w:ind w:left="0" w:leftChars="0" w:firstLine="0" w:firstLineChars="0"/>
              <w:rPr>
                <w:rFonts w:hint="eastAsia"/>
              </w:rPr>
            </w:pPr>
          </w:p>
        </w:tc>
        <w:tc>
          <w:tcPr>
            <w:tcW w:w="597" w:type="dxa"/>
            <w:tcBorders>
              <w:top w:val="nil"/>
              <w:left w:val="nil"/>
              <w:bottom w:val="nil"/>
              <w:right w:val="nil"/>
            </w:tcBorders>
            <w:shd w:val="clear" w:color="auto" w:fill="auto"/>
            <w:vAlign w:val="center"/>
          </w:tcPr>
          <w:p w14:paraId="4FF7ACF9">
            <w:pPr>
              <w:rPr>
                <w:rFonts w:hint="eastAsia" w:ascii="宋体" w:hAnsi="宋体" w:eastAsia="宋体" w:cs="宋体"/>
                <w:i w:val="0"/>
                <w:iCs w:val="0"/>
                <w:color w:val="000000"/>
                <w:sz w:val="18"/>
                <w:szCs w:val="18"/>
                <w:u w:val="none"/>
              </w:rPr>
            </w:pPr>
          </w:p>
        </w:tc>
        <w:tc>
          <w:tcPr>
            <w:tcW w:w="1080" w:type="dxa"/>
            <w:gridSpan w:val="2"/>
            <w:tcBorders>
              <w:top w:val="nil"/>
              <w:left w:val="nil"/>
              <w:bottom w:val="nil"/>
              <w:right w:val="nil"/>
            </w:tcBorders>
            <w:shd w:val="clear" w:color="auto" w:fill="auto"/>
            <w:vAlign w:val="center"/>
          </w:tcPr>
          <w:p w14:paraId="4B169019">
            <w:pPr>
              <w:rPr>
                <w:rFonts w:hint="eastAsia" w:ascii="宋体" w:hAnsi="宋体" w:eastAsia="宋体" w:cs="宋体"/>
                <w:i w:val="0"/>
                <w:iCs w:val="0"/>
                <w:color w:val="000000"/>
                <w:sz w:val="18"/>
                <w:szCs w:val="18"/>
                <w:u w:val="none"/>
              </w:rPr>
            </w:pPr>
          </w:p>
          <w:p w14:paraId="3A7AD228">
            <w:pPr>
              <w:pStyle w:val="2"/>
              <w:rPr>
                <w:rFonts w:hint="eastAsia" w:ascii="宋体" w:hAnsi="宋体" w:eastAsia="宋体" w:cs="宋体"/>
                <w:i w:val="0"/>
                <w:iCs w:val="0"/>
                <w:color w:val="000000"/>
                <w:sz w:val="18"/>
                <w:szCs w:val="18"/>
                <w:u w:val="none"/>
              </w:rPr>
            </w:pPr>
          </w:p>
          <w:p w14:paraId="003710DD">
            <w:pPr>
              <w:rPr>
                <w:rFonts w:hint="eastAsia" w:ascii="宋体" w:hAnsi="宋体" w:eastAsia="宋体" w:cs="宋体"/>
                <w:i w:val="0"/>
                <w:iCs w:val="0"/>
                <w:color w:val="000000"/>
                <w:sz w:val="18"/>
                <w:szCs w:val="18"/>
                <w:u w:val="none"/>
              </w:rPr>
            </w:pPr>
          </w:p>
          <w:p w14:paraId="187E5291">
            <w:pPr>
              <w:pStyle w:val="2"/>
              <w:rPr>
                <w:rFonts w:hint="eastAsia" w:ascii="宋体" w:hAnsi="宋体" w:eastAsia="宋体" w:cs="宋体"/>
                <w:i w:val="0"/>
                <w:iCs w:val="0"/>
                <w:color w:val="000000"/>
                <w:sz w:val="18"/>
                <w:szCs w:val="18"/>
                <w:u w:val="none"/>
              </w:rPr>
            </w:pPr>
          </w:p>
          <w:p w14:paraId="00194432">
            <w:pPr>
              <w:rPr>
                <w:rFonts w:hint="eastAsia" w:ascii="宋体" w:hAnsi="宋体" w:eastAsia="宋体" w:cs="宋体"/>
                <w:i w:val="0"/>
                <w:iCs w:val="0"/>
                <w:color w:val="000000"/>
                <w:sz w:val="18"/>
                <w:szCs w:val="18"/>
                <w:u w:val="none"/>
              </w:rPr>
            </w:pPr>
          </w:p>
          <w:p w14:paraId="2FD3A3C7">
            <w:pPr>
              <w:pStyle w:val="2"/>
              <w:rPr>
                <w:rFonts w:hint="eastAsia" w:ascii="宋体" w:hAnsi="宋体" w:eastAsia="宋体" w:cs="宋体"/>
                <w:i w:val="0"/>
                <w:iCs w:val="0"/>
                <w:color w:val="000000"/>
                <w:sz w:val="18"/>
                <w:szCs w:val="18"/>
                <w:u w:val="none"/>
              </w:rPr>
            </w:pPr>
          </w:p>
          <w:p w14:paraId="52AD8065">
            <w:pPr>
              <w:rPr>
                <w:rFonts w:hint="eastAsia" w:ascii="宋体" w:hAnsi="宋体" w:eastAsia="宋体" w:cs="宋体"/>
                <w:i w:val="0"/>
                <w:iCs w:val="0"/>
                <w:color w:val="000000"/>
                <w:sz w:val="18"/>
                <w:szCs w:val="18"/>
                <w:u w:val="none"/>
              </w:rPr>
            </w:pPr>
          </w:p>
          <w:p w14:paraId="213F063F">
            <w:pPr>
              <w:pStyle w:val="2"/>
              <w:rPr>
                <w:rFonts w:hint="eastAsia"/>
              </w:rPr>
            </w:pPr>
          </w:p>
        </w:tc>
        <w:tc>
          <w:tcPr>
            <w:tcW w:w="446" w:type="dxa"/>
            <w:tcBorders>
              <w:top w:val="nil"/>
              <w:left w:val="nil"/>
              <w:bottom w:val="nil"/>
              <w:right w:val="nil"/>
            </w:tcBorders>
            <w:shd w:val="clear" w:color="auto" w:fill="auto"/>
            <w:vAlign w:val="center"/>
          </w:tcPr>
          <w:p w14:paraId="552FB8B8">
            <w:pPr>
              <w:rPr>
                <w:rFonts w:hint="eastAsia" w:ascii="宋体" w:hAnsi="宋体" w:eastAsia="宋体" w:cs="宋体"/>
                <w:i w:val="0"/>
                <w:iCs w:val="0"/>
                <w:color w:val="000000"/>
                <w:sz w:val="18"/>
                <w:szCs w:val="18"/>
                <w:u w:val="none"/>
              </w:rPr>
            </w:pPr>
          </w:p>
        </w:tc>
        <w:tc>
          <w:tcPr>
            <w:tcW w:w="760" w:type="dxa"/>
            <w:gridSpan w:val="3"/>
            <w:tcBorders>
              <w:top w:val="nil"/>
              <w:left w:val="nil"/>
              <w:bottom w:val="nil"/>
              <w:right w:val="nil"/>
            </w:tcBorders>
            <w:shd w:val="clear" w:color="auto" w:fill="auto"/>
            <w:vAlign w:val="center"/>
          </w:tcPr>
          <w:p w14:paraId="397D7DC8">
            <w:pPr>
              <w:rPr>
                <w:rFonts w:hint="eastAsia" w:ascii="宋体" w:hAnsi="宋体" w:eastAsia="宋体" w:cs="宋体"/>
                <w:i w:val="0"/>
                <w:iCs w:val="0"/>
                <w:color w:val="000000"/>
                <w:sz w:val="18"/>
                <w:szCs w:val="18"/>
                <w:u w:val="none"/>
              </w:rPr>
            </w:pPr>
          </w:p>
        </w:tc>
        <w:tc>
          <w:tcPr>
            <w:tcW w:w="417" w:type="dxa"/>
            <w:tcBorders>
              <w:top w:val="nil"/>
              <w:left w:val="nil"/>
              <w:bottom w:val="nil"/>
              <w:right w:val="nil"/>
            </w:tcBorders>
            <w:shd w:val="clear" w:color="auto" w:fill="auto"/>
            <w:vAlign w:val="center"/>
          </w:tcPr>
          <w:p w14:paraId="72B5E9E5">
            <w:pPr>
              <w:rPr>
                <w:rFonts w:hint="eastAsia" w:ascii="宋体" w:hAnsi="宋体" w:eastAsia="宋体" w:cs="宋体"/>
                <w:i w:val="0"/>
                <w:iCs w:val="0"/>
                <w:color w:val="000000"/>
                <w:sz w:val="18"/>
                <w:szCs w:val="18"/>
                <w:u w:val="none"/>
              </w:rPr>
            </w:pPr>
          </w:p>
        </w:tc>
        <w:tc>
          <w:tcPr>
            <w:tcW w:w="1150" w:type="dxa"/>
            <w:gridSpan w:val="3"/>
            <w:tcBorders>
              <w:top w:val="nil"/>
              <w:left w:val="nil"/>
              <w:bottom w:val="nil"/>
              <w:right w:val="nil"/>
            </w:tcBorders>
            <w:shd w:val="clear" w:color="auto" w:fill="auto"/>
            <w:vAlign w:val="center"/>
          </w:tcPr>
          <w:p w14:paraId="0617A702">
            <w:pPr>
              <w:rPr>
                <w:rFonts w:hint="eastAsia" w:ascii="宋体" w:hAnsi="宋体" w:eastAsia="宋体" w:cs="宋体"/>
                <w:i w:val="0"/>
                <w:iCs w:val="0"/>
                <w:color w:val="000000"/>
                <w:sz w:val="18"/>
                <w:szCs w:val="18"/>
                <w:u w:val="none"/>
              </w:rPr>
            </w:pPr>
          </w:p>
        </w:tc>
        <w:tc>
          <w:tcPr>
            <w:tcW w:w="417" w:type="dxa"/>
            <w:gridSpan w:val="2"/>
            <w:tcBorders>
              <w:top w:val="nil"/>
              <w:left w:val="nil"/>
              <w:bottom w:val="nil"/>
              <w:right w:val="nil"/>
            </w:tcBorders>
            <w:shd w:val="clear" w:color="auto" w:fill="auto"/>
            <w:vAlign w:val="center"/>
          </w:tcPr>
          <w:p w14:paraId="3727C08F">
            <w:pPr>
              <w:rPr>
                <w:rFonts w:hint="eastAsia" w:ascii="宋体" w:hAnsi="宋体" w:eastAsia="宋体" w:cs="宋体"/>
                <w:i w:val="0"/>
                <w:iCs w:val="0"/>
                <w:color w:val="000000"/>
                <w:sz w:val="18"/>
                <w:szCs w:val="18"/>
                <w:u w:val="none"/>
              </w:rPr>
            </w:pPr>
          </w:p>
        </w:tc>
        <w:tc>
          <w:tcPr>
            <w:tcW w:w="733" w:type="dxa"/>
            <w:gridSpan w:val="3"/>
            <w:tcBorders>
              <w:top w:val="nil"/>
              <w:left w:val="nil"/>
              <w:bottom w:val="nil"/>
              <w:right w:val="nil"/>
            </w:tcBorders>
            <w:shd w:val="clear" w:color="auto" w:fill="auto"/>
            <w:vAlign w:val="center"/>
          </w:tcPr>
          <w:p w14:paraId="41AE6DAB">
            <w:pPr>
              <w:rPr>
                <w:rFonts w:hint="eastAsia" w:ascii="宋体" w:hAnsi="宋体" w:eastAsia="宋体" w:cs="宋体"/>
                <w:i w:val="0"/>
                <w:iCs w:val="0"/>
                <w:color w:val="000000"/>
                <w:sz w:val="18"/>
                <w:szCs w:val="18"/>
                <w:u w:val="none"/>
              </w:rPr>
            </w:pPr>
          </w:p>
        </w:tc>
        <w:tc>
          <w:tcPr>
            <w:tcW w:w="1240" w:type="dxa"/>
            <w:tcBorders>
              <w:top w:val="nil"/>
              <w:left w:val="nil"/>
              <w:bottom w:val="nil"/>
              <w:right w:val="nil"/>
            </w:tcBorders>
            <w:shd w:val="clear" w:color="auto" w:fill="auto"/>
            <w:vAlign w:val="center"/>
          </w:tcPr>
          <w:p w14:paraId="0393AACD">
            <w:pPr>
              <w:rPr>
                <w:rFonts w:hint="eastAsia" w:ascii="宋体" w:hAnsi="宋体" w:eastAsia="宋体" w:cs="宋体"/>
                <w:i w:val="0"/>
                <w:iCs w:val="0"/>
                <w:color w:val="000000"/>
                <w:sz w:val="18"/>
                <w:szCs w:val="18"/>
                <w:u w:val="none"/>
              </w:rPr>
            </w:pPr>
          </w:p>
        </w:tc>
      </w:tr>
      <w:tr w14:paraId="338C5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jc w:val="center"/>
        </w:trPr>
        <w:tc>
          <w:tcPr>
            <w:tcW w:w="8964"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0820F68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16B2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17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7886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216"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9F26F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51322324T000011919474-九鼎山农文旅杂志印刷费</w:t>
            </w:r>
          </w:p>
        </w:tc>
      </w:tr>
      <w:tr w14:paraId="11CA8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17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913C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3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F0B99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茂县文学艺术界联合会本级</w:t>
            </w:r>
          </w:p>
        </w:tc>
        <w:tc>
          <w:tcPr>
            <w:tcW w:w="697" w:type="dxa"/>
            <w:gridSpan w:val="2"/>
            <w:tcBorders>
              <w:top w:val="nil"/>
              <w:left w:val="nil"/>
              <w:bottom w:val="nil"/>
              <w:right w:val="nil"/>
            </w:tcBorders>
            <w:shd w:val="clear" w:color="auto" w:fill="auto"/>
            <w:vAlign w:val="center"/>
          </w:tcPr>
          <w:p w14:paraId="20A8CE4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2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32E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茂县文学艺术界联合会</w:t>
            </w:r>
          </w:p>
        </w:tc>
      </w:tr>
      <w:tr w14:paraId="59481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B087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04EC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3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525E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90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A88988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DDD3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EC4BD">
            <w:pPr>
              <w:rPr>
                <w:rFonts w:hint="eastAsia" w:ascii="宋体" w:hAnsi="宋体" w:eastAsia="宋体" w:cs="宋体"/>
                <w:i w:val="0"/>
                <w:iCs w:val="0"/>
                <w:color w:val="000000"/>
                <w:sz w:val="18"/>
                <w:szCs w:val="18"/>
                <w:u w:val="none"/>
              </w:rPr>
            </w:pPr>
          </w:p>
        </w:tc>
        <w:tc>
          <w:tcPr>
            <w:tcW w:w="12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12704">
            <w:pPr>
              <w:rPr>
                <w:rFonts w:hint="eastAsia" w:ascii="宋体" w:hAnsi="宋体" w:eastAsia="宋体" w:cs="宋体"/>
                <w:i w:val="0"/>
                <w:iCs w:val="0"/>
                <w:color w:val="000000"/>
                <w:sz w:val="18"/>
                <w:szCs w:val="18"/>
                <w:u w:val="none"/>
              </w:rPr>
            </w:pPr>
          </w:p>
        </w:tc>
        <w:tc>
          <w:tcPr>
            <w:tcW w:w="43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E011A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组织全县广大文艺工作者紧扣时代主题，围绕中心工作，深入挖掘红色文化和民族文化，积极创作出高质量的文艺精品，进一步提升《九鼎山》杂志影响力。</w:t>
            </w:r>
          </w:p>
        </w:tc>
        <w:tc>
          <w:tcPr>
            <w:tcW w:w="290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6AECAA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1F8B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55195">
            <w:pP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F2C8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216"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2BBCA3D">
            <w:pPr>
              <w:rPr>
                <w:rFonts w:hint="eastAsia" w:ascii="宋体" w:hAnsi="宋体" w:eastAsia="宋体" w:cs="宋体"/>
                <w:i w:val="0"/>
                <w:iCs w:val="0"/>
                <w:color w:val="000000"/>
                <w:sz w:val="18"/>
                <w:szCs w:val="18"/>
                <w:u w:val="none"/>
              </w:rPr>
            </w:pPr>
          </w:p>
        </w:tc>
      </w:tr>
      <w:tr w14:paraId="7C3D8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A84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D290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1EE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311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826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FFB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DF5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8D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92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5CA4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FD4B3">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524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9E9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541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6.73</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B0F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6.73</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0E0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672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E8B31">
            <w:pPr>
              <w:jc w:val="center"/>
              <w:rPr>
                <w:rFonts w:hint="default" w:ascii="宋体" w:hAnsi="宋体" w:eastAsia="宋体" w:cs="宋体"/>
                <w:i w:val="0"/>
                <w:iCs w:val="0"/>
                <w:color w:val="000000"/>
                <w:sz w:val="18"/>
                <w:szCs w:val="18"/>
                <w:u w:val="none"/>
                <w:lang w:val="en-US" w:eastAsia="zh-CN"/>
              </w:rPr>
            </w:pPr>
          </w:p>
        </w:tc>
        <w:tc>
          <w:tcPr>
            <w:tcW w:w="159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770BE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F1F5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408F9">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60E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C3D7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657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6.73</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932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6.73</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5916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3E7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93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9EC22">
            <w:pPr>
              <w:rPr>
                <w:rFonts w:hint="eastAsia" w:ascii="黑体" w:hAnsi="黑体" w:eastAsia="黑体" w:cs="黑体"/>
                <w:i/>
                <w:iCs/>
                <w:color w:val="000000"/>
                <w:sz w:val="18"/>
                <w:szCs w:val="18"/>
                <w:u w:val="none"/>
              </w:rPr>
            </w:pPr>
          </w:p>
        </w:tc>
      </w:tr>
      <w:tr w14:paraId="42B5C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CF483">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5CF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99C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03A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992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2E4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D3A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5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34A76">
            <w:pPr>
              <w:rPr>
                <w:rFonts w:hint="eastAsia" w:ascii="黑体" w:hAnsi="黑体" w:eastAsia="黑体" w:cs="黑体"/>
                <w:i/>
                <w:iCs/>
                <w:color w:val="000000"/>
                <w:sz w:val="18"/>
                <w:szCs w:val="18"/>
                <w:u w:val="none"/>
              </w:rPr>
            </w:pPr>
          </w:p>
        </w:tc>
      </w:tr>
      <w:tr w14:paraId="7BBFD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F87DF">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F4D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A20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69C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5B0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F0C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8B0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7D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F28EF">
            <w:pPr>
              <w:rPr>
                <w:rFonts w:hint="eastAsia" w:ascii="黑体" w:hAnsi="黑体" w:eastAsia="黑体" w:cs="黑体"/>
                <w:i/>
                <w:iCs/>
                <w:color w:val="000000"/>
                <w:sz w:val="18"/>
                <w:szCs w:val="18"/>
                <w:u w:val="none"/>
              </w:rPr>
            </w:pPr>
          </w:p>
        </w:tc>
      </w:tr>
      <w:tr w14:paraId="6CCA4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DA345">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11B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E3DFA4">
            <w:pPr>
              <w:jc w:val="center"/>
              <w:rPr>
                <w:rFonts w:hint="eastAsia" w:ascii="微软雅黑" w:hAnsi="微软雅黑" w:eastAsia="微软雅黑" w:cs="微软雅黑"/>
                <w:i/>
                <w:iCs/>
                <w:color w:val="000000"/>
                <w:sz w:val="16"/>
                <w:szCs w:val="16"/>
                <w:u w:val="none"/>
              </w:rPr>
            </w:pP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414DAA">
            <w:pPr>
              <w:jc w:val="center"/>
              <w:rPr>
                <w:rFonts w:hint="eastAsia" w:ascii="微软雅黑" w:hAnsi="微软雅黑" w:eastAsia="微软雅黑" w:cs="微软雅黑"/>
                <w:i/>
                <w:iCs/>
                <w:color w:val="000000"/>
                <w:sz w:val="16"/>
                <w:szCs w:val="16"/>
                <w:u w:val="none"/>
              </w:rPr>
            </w:pP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6F15DE">
            <w:pPr>
              <w:jc w:val="center"/>
              <w:rPr>
                <w:rFonts w:hint="eastAsia" w:ascii="微软雅黑" w:hAnsi="微软雅黑" w:eastAsia="微软雅黑" w:cs="微软雅黑"/>
                <w:i/>
                <w:iCs/>
                <w:color w:val="000000"/>
                <w:sz w:val="16"/>
                <w:szCs w:val="16"/>
                <w:u w:val="none"/>
              </w:rPr>
            </w:pP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0949FB">
            <w:pPr>
              <w:jc w:val="center"/>
              <w:rPr>
                <w:rFonts w:hint="eastAsia" w:ascii="微软雅黑" w:hAns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6B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87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3F8BF">
            <w:pPr>
              <w:rPr>
                <w:rFonts w:hint="eastAsia" w:ascii="黑体" w:hAnsi="黑体" w:eastAsia="黑体" w:cs="黑体"/>
                <w:i/>
                <w:iCs/>
                <w:color w:val="000000"/>
                <w:sz w:val="18"/>
                <w:szCs w:val="18"/>
                <w:u w:val="none"/>
              </w:rPr>
            </w:pPr>
          </w:p>
        </w:tc>
      </w:tr>
      <w:tr w14:paraId="146CE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2" w:hRule="atLeast"/>
          <w:jc w:val="center"/>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8ACD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CC25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EEE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1A0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76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950A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A1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5AD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3D0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7E67">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802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8EA7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0D5BF">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04CE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6929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B635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实施文化惠民活动。主办或协办“新春送福”文化惠民活动，组织书法家现场书写春联、福字免费送给群众</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7D6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 xml:space="preserve">                                   ≥1次</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47EE4E">
            <w:pPr>
              <w:jc w:val="center"/>
              <w:rPr>
                <w:rFonts w:hint="default" w:ascii="微软雅黑" w:hAnsi="微软雅黑" w:eastAsia="微软雅黑" w:cs="微软雅黑"/>
                <w:i/>
                <w:iCs/>
                <w:color w:val="000000"/>
                <w:sz w:val="16"/>
                <w:szCs w:val="16"/>
                <w:u w:val="none"/>
                <w:lang w:val="en-US" w:eastAsia="zh-CN"/>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3DA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593B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20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AB40BE">
            <w:pPr>
              <w:jc w:val="center"/>
              <w:rPr>
                <w:rFonts w:hint="eastAsia" w:ascii="微软雅黑" w:hAnsi="微软雅黑" w:eastAsia="微软雅黑" w:cs="微软雅黑"/>
                <w:i/>
                <w:iCs/>
                <w:color w:val="000000"/>
                <w:sz w:val="16"/>
                <w:szCs w:val="16"/>
                <w:u w:val="none"/>
              </w:rPr>
            </w:pPr>
          </w:p>
        </w:tc>
      </w:tr>
      <w:tr w14:paraId="1434D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3"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9C6CE">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53D8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效益指标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01B7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社会效益指标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FFC9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举办的各类活动取得的社会影响</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CC3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较好</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A4A63E">
            <w:pPr>
              <w:jc w:val="center"/>
              <w:rPr>
                <w:rFonts w:hint="eastAsia" w:ascii="微软雅黑" w:hAns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6B4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A957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20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1FC4F5">
            <w:pPr>
              <w:jc w:val="center"/>
              <w:rPr>
                <w:rFonts w:hint="eastAsia" w:ascii="微软雅黑" w:hAnsi="微软雅黑" w:eastAsia="微软雅黑" w:cs="微软雅黑"/>
                <w:i/>
                <w:iCs/>
                <w:color w:val="000000"/>
                <w:sz w:val="16"/>
                <w:szCs w:val="16"/>
                <w:u w:val="none"/>
              </w:rPr>
            </w:pPr>
          </w:p>
        </w:tc>
      </w:tr>
      <w:tr w14:paraId="6C902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D1D77">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3ED8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8DFD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时效指标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1739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各项文艺活动及时完成率</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F82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100%</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124A6">
            <w:pPr>
              <w:jc w:val="center"/>
              <w:rPr>
                <w:rFonts w:hint="eastAsia" w:ascii="微软雅黑" w:hAns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79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ADF3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497777">
            <w:pPr>
              <w:jc w:val="center"/>
              <w:rPr>
                <w:rFonts w:hint="eastAsia" w:ascii="微软雅黑" w:hAnsi="微软雅黑" w:eastAsia="微软雅黑" w:cs="微软雅黑"/>
                <w:i/>
                <w:iCs/>
                <w:color w:val="000000"/>
                <w:sz w:val="16"/>
                <w:szCs w:val="16"/>
                <w:u w:val="none"/>
              </w:rPr>
            </w:pPr>
          </w:p>
        </w:tc>
      </w:tr>
      <w:tr w14:paraId="036FA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2"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73269">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31E4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5794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BB32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编辑出版《九鼎山》专刊</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E81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 xml:space="preserve">                                     ≥1次</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3402B8">
            <w:pPr>
              <w:jc w:val="center"/>
              <w:rPr>
                <w:rFonts w:hint="eastAsia" w:ascii="微软雅黑" w:hAns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D0CA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D808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3E4297">
            <w:pPr>
              <w:jc w:val="center"/>
              <w:rPr>
                <w:rFonts w:hint="eastAsia" w:ascii="微软雅黑" w:hAnsi="微软雅黑" w:eastAsia="微软雅黑" w:cs="微软雅黑"/>
                <w:i/>
                <w:iCs/>
                <w:color w:val="000000"/>
                <w:sz w:val="16"/>
                <w:szCs w:val="16"/>
                <w:u w:val="none"/>
              </w:rPr>
            </w:pPr>
          </w:p>
        </w:tc>
      </w:tr>
      <w:tr w14:paraId="00003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3"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8E121">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2AC5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D138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质量指标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F529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受益群众对文艺活动、专刊及创作等评价较高</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E53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 xml:space="preserve">                                      优</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4C071B">
            <w:pPr>
              <w:jc w:val="center"/>
              <w:rPr>
                <w:rFonts w:hint="eastAsia" w:ascii="微软雅黑" w:hAns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C00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011F9">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1A769E">
            <w:pPr>
              <w:jc w:val="center"/>
              <w:rPr>
                <w:rFonts w:hint="eastAsia" w:ascii="微软雅黑" w:hAnsi="微软雅黑" w:eastAsia="微软雅黑" w:cs="微软雅黑"/>
                <w:i/>
                <w:iCs/>
                <w:color w:val="000000"/>
                <w:sz w:val="16"/>
                <w:szCs w:val="16"/>
                <w:u w:val="none"/>
              </w:rPr>
            </w:pPr>
          </w:p>
        </w:tc>
      </w:tr>
      <w:tr w14:paraId="6C109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64B2B">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0102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D35E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3323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举办文化进校园活动次数</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8FCB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≥1次</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21A5ED">
            <w:pPr>
              <w:jc w:val="center"/>
              <w:rPr>
                <w:rFonts w:hint="eastAsia" w:ascii="微软雅黑" w:hAns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138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581BB">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94DCDE">
            <w:pPr>
              <w:jc w:val="center"/>
              <w:rPr>
                <w:rFonts w:hint="eastAsia" w:ascii="微软雅黑" w:hAnsi="微软雅黑" w:eastAsia="微软雅黑" w:cs="微软雅黑"/>
                <w:i/>
                <w:iCs/>
                <w:color w:val="000000"/>
                <w:sz w:val="16"/>
                <w:szCs w:val="16"/>
                <w:u w:val="none"/>
              </w:rPr>
            </w:pPr>
          </w:p>
        </w:tc>
      </w:tr>
      <w:tr w14:paraId="13F3E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A320E">
            <w:pPr>
              <w:jc w:val="center"/>
              <w:rPr>
                <w:rFonts w:hint="eastAsia"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3F75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93C3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F5D1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全年发放文艺活动宣传手册数量</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C60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≥400册</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37244E">
            <w:pPr>
              <w:jc w:val="center"/>
              <w:rPr>
                <w:rFonts w:hint="eastAsia" w:ascii="微软雅黑" w:hAnsi="微软雅黑" w:eastAsia="微软雅黑" w:cs="微软雅黑"/>
                <w:i/>
                <w:iCs/>
                <w:color w:val="000000"/>
                <w:sz w:val="16"/>
                <w:szCs w:val="16"/>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CA87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0947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D1C52B">
            <w:pPr>
              <w:jc w:val="center"/>
              <w:rPr>
                <w:rFonts w:hint="eastAsia" w:ascii="微软雅黑" w:hAnsi="微软雅黑" w:eastAsia="微软雅黑" w:cs="微软雅黑"/>
                <w:i/>
                <w:iCs/>
                <w:color w:val="000000"/>
                <w:sz w:val="16"/>
                <w:szCs w:val="16"/>
                <w:u w:val="none"/>
              </w:rPr>
            </w:pPr>
          </w:p>
        </w:tc>
      </w:tr>
      <w:tr w14:paraId="7247A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C423E">
            <w:pPr>
              <w:jc w:val="center"/>
              <w:rPr>
                <w:rFonts w:ascii="宋体" w:hAnsi="宋体" w:eastAsia="宋体" w:cs="宋体"/>
                <w:i w:val="0"/>
                <w:iCs w:val="0"/>
                <w:color w:val="000000"/>
                <w:sz w:val="18"/>
                <w:szCs w:val="18"/>
                <w:u w:val="none"/>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A8DAB0">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产出指标</w:t>
            </w:r>
          </w:p>
        </w:tc>
        <w:tc>
          <w:tcPr>
            <w:tcW w:w="11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39DD4F">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数量指标</w:t>
            </w:r>
          </w:p>
        </w:tc>
        <w:tc>
          <w:tcPr>
            <w:tcW w:w="14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98D8BE">
            <w:pPr>
              <w:keepNext w:val="0"/>
              <w:keepLines w:val="0"/>
              <w:widowControl/>
              <w:suppressLineNumbers w:val="0"/>
              <w:jc w:val="left"/>
              <w:textAlignment w:val="center"/>
            </w:pPr>
            <w:r>
              <w:rPr>
                <w:rFonts w:hint="eastAsia" w:ascii="宋体" w:hAnsi="宋体" w:eastAsia="宋体" w:cs="宋体"/>
                <w:i w:val="0"/>
                <w:iCs w:val="0"/>
                <w:color w:val="000000"/>
                <w:kern w:val="0"/>
                <w:sz w:val="16"/>
                <w:szCs w:val="16"/>
                <w:u w:val="none"/>
                <w:lang w:val="en-US" w:eastAsia="zh-CN" w:bidi="ar"/>
              </w:rPr>
              <w:t>实施文艺精品创作工程</w:t>
            </w:r>
          </w:p>
        </w:tc>
        <w:tc>
          <w:tcPr>
            <w:tcW w:w="17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488605">
            <w:pPr>
              <w:keepNext w:val="0"/>
              <w:keepLines w:val="0"/>
              <w:widowControl/>
              <w:suppressLineNumbers w:val="0"/>
              <w:jc w:val="center"/>
              <w:textAlignment w:val="center"/>
            </w:pPr>
            <w:r>
              <w:rPr>
                <w:rFonts w:hint="eastAsia" w:ascii="宋体" w:hAnsi="宋体" w:eastAsia="宋体" w:cs="宋体"/>
                <w:i w:val="0"/>
                <w:iCs w:val="0"/>
                <w:color w:val="000000"/>
                <w:kern w:val="0"/>
                <w:sz w:val="16"/>
                <w:szCs w:val="16"/>
                <w:u w:val="none"/>
                <w:lang w:val="en-US" w:eastAsia="zh-CN" w:bidi="ar"/>
              </w:rPr>
              <w:t xml:space="preserve">                                    ≥10篇（场）</w:t>
            </w:r>
          </w:p>
        </w:tc>
        <w:tc>
          <w:tcPr>
            <w:tcW w:w="6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E491F">
            <w:pPr>
              <w:jc w:val="center"/>
              <w:rPr>
                <w:rFonts w:ascii="宋体" w:hAnsi="宋体" w:eastAsia="宋体" w:cs="宋体"/>
                <w:i w:val="0"/>
                <w:iCs w:val="0"/>
                <w:color w:val="000000"/>
                <w:sz w:val="18"/>
                <w:szCs w:val="18"/>
                <w:u w:val="none"/>
              </w:rPr>
            </w:pP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02C4E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ascii="宋体" w:hAnsi="宋体" w:eastAsia="宋体" w:cs="宋体"/>
                <w:i w:val="0"/>
                <w:iCs w:val="0"/>
                <w:color w:val="000000"/>
                <w:kern w:val="0"/>
                <w:sz w:val="18"/>
                <w:szCs w:val="18"/>
                <w:u w:val="none"/>
                <w:lang w:val="en-US" w:eastAsia="zh-CN" w:bidi="ar"/>
              </w:rPr>
              <w:t>10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01B1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32199E">
            <w:pPr>
              <w:jc w:val="center"/>
              <w:rPr>
                <w:rFonts w:hint="eastAsia" w:ascii="宋体" w:hAnsi="宋体" w:eastAsia="宋体" w:cs="宋体"/>
                <w:i w:val="0"/>
                <w:iCs w:val="0"/>
                <w:color w:val="000000"/>
                <w:sz w:val="18"/>
                <w:szCs w:val="18"/>
                <w:u w:val="none"/>
              </w:rPr>
            </w:pPr>
          </w:p>
        </w:tc>
      </w:tr>
      <w:tr w14:paraId="3A677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6755"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2A8E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D78BF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100</w:t>
            </w:r>
          </w:p>
        </w:tc>
        <w:tc>
          <w:tcPr>
            <w:tcW w:w="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EF5C">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100</w:t>
            </w:r>
          </w:p>
        </w:tc>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F48A97"/>
        </w:tc>
      </w:tr>
      <w:tr w14:paraId="1DCFC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6" w:hRule="atLeast"/>
          <w:jc w:val="center"/>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6D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43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402AC7A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严格按预算执行，资金使用规范、专款专用，无违规支出。项目按计划完成既定任务，达到预期产出与效果，有效保障单位日常运转与业务开展。管理流程完善，制度执行到位，成本控制合理，社会效益良好，群众满意度较高。总体绩效优良，实现预算绩效目标，建议继续支持并优化细节管理。</w:t>
            </w:r>
          </w:p>
        </w:tc>
      </w:tr>
      <w:tr w14:paraId="70828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1" w:hRule="atLeast"/>
          <w:jc w:val="center"/>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9B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43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6629544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9FB1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jc w:val="center"/>
        </w:trPr>
        <w:tc>
          <w:tcPr>
            <w:tcW w:w="424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49D1FD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w:t>
            </w:r>
          </w:p>
        </w:tc>
        <w:tc>
          <w:tcPr>
            <w:tcW w:w="4717"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99BA93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财务负责人：</w:t>
            </w:r>
          </w:p>
        </w:tc>
      </w:tr>
    </w:tbl>
    <w:p w14:paraId="10D36231">
      <w:pPr>
        <w:pStyle w:val="3"/>
        <w:jc w:val="center"/>
        <w:rPr>
          <w:rFonts w:hint="eastAsia" w:ascii="思源黑体 CN Normal" w:hAnsi="思源黑体 CN Normal" w:eastAsia="思源黑体 CN Normal" w:cs="思源黑体 CN Normal"/>
        </w:rPr>
      </w:pPr>
      <w:bookmarkStart w:id="78" w:name="_Toc9514"/>
      <w:r>
        <w:rPr>
          <w:rFonts w:hint="eastAsia" w:ascii="思源黑体 CN Normal" w:hAnsi="思源黑体 CN Normal" w:eastAsia="思源黑体 CN Normal" w:cs="思源黑体 CN Normal"/>
        </w:rPr>
        <w:t>第五部分 附表</w:t>
      </w:r>
      <w:bookmarkEnd w:id="74"/>
      <w:bookmarkEnd w:id="75"/>
      <w:bookmarkEnd w:id="76"/>
      <w:bookmarkEnd w:id="77"/>
      <w:bookmarkEnd w:id="78"/>
    </w:p>
    <w:p w14:paraId="75109402">
      <w:pPr>
        <w:pStyle w:val="4"/>
        <w:ind w:firstLine="643" w:firstLineChars="200"/>
        <w:rPr>
          <w:rFonts w:hint="eastAsia" w:ascii="思源黑体 CN Normal" w:hAnsi="思源黑体 CN Normal" w:eastAsia="思源黑体 CN Normal" w:cs="思源黑体 CN Normal"/>
          <w:bCs w:val="0"/>
          <w:color w:val="000000"/>
        </w:rPr>
      </w:pPr>
      <w:bookmarkStart w:id="79" w:name="_Toc30966"/>
      <w:r>
        <w:rPr>
          <w:rFonts w:hint="eastAsia" w:ascii="思源黑体 CN Normal" w:hAnsi="思源黑体 CN Normal" w:eastAsia="思源黑体 CN Normal" w:cs="思源黑体 CN Normal"/>
          <w:bCs w:val="0"/>
          <w:color w:val="000000"/>
        </w:rPr>
        <w:t>一、收入支出决算总表</w:t>
      </w:r>
      <w:bookmarkEnd w:id="79"/>
    </w:p>
    <w:p w14:paraId="13248AF9">
      <w:pPr>
        <w:pStyle w:val="4"/>
        <w:ind w:firstLine="643" w:firstLineChars="200"/>
        <w:rPr>
          <w:rFonts w:hint="eastAsia" w:ascii="思源黑体 CN Normal" w:hAnsi="思源黑体 CN Normal" w:eastAsia="思源黑体 CN Normal" w:cs="思源黑体 CN Normal"/>
          <w:bCs w:val="0"/>
          <w:color w:val="000000"/>
        </w:rPr>
      </w:pPr>
      <w:bookmarkStart w:id="80" w:name="_Toc24395"/>
      <w:bookmarkStart w:id="81" w:name="_Toc25389"/>
      <w:r>
        <w:rPr>
          <w:rFonts w:hint="eastAsia" w:ascii="思源黑体 CN Normal" w:hAnsi="思源黑体 CN Normal" w:eastAsia="思源黑体 CN Normal" w:cs="思源黑体 CN Normal"/>
          <w:bCs w:val="0"/>
          <w:color w:val="000000"/>
        </w:rPr>
        <w:t>二、收入决算表</w:t>
      </w:r>
      <w:bookmarkEnd w:id="80"/>
      <w:bookmarkEnd w:id="81"/>
    </w:p>
    <w:p w14:paraId="11754E41">
      <w:pPr>
        <w:pStyle w:val="4"/>
        <w:ind w:firstLine="643" w:firstLineChars="200"/>
        <w:rPr>
          <w:rFonts w:hint="eastAsia" w:ascii="思源黑体 CN Normal" w:hAnsi="思源黑体 CN Normal" w:eastAsia="思源黑体 CN Normal" w:cs="思源黑体 CN Normal"/>
          <w:bCs w:val="0"/>
          <w:color w:val="000000"/>
        </w:rPr>
      </w:pPr>
      <w:bookmarkStart w:id="82" w:name="_Toc10450"/>
      <w:bookmarkStart w:id="83" w:name="_Toc24402"/>
      <w:r>
        <w:rPr>
          <w:rFonts w:hint="eastAsia" w:ascii="思源黑体 CN Normal" w:hAnsi="思源黑体 CN Normal" w:eastAsia="思源黑体 CN Normal" w:cs="思源黑体 CN Normal"/>
          <w:bCs w:val="0"/>
          <w:color w:val="000000"/>
        </w:rPr>
        <w:t>三、支出决算表</w:t>
      </w:r>
      <w:bookmarkEnd w:id="82"/>
      <w:bookmarkEnd w:id="83"/>
    </w:p>
    <w:p w14:paraId="4A197746">
      <w:pPr>
        <w:pStyle w:val="4"/>
        <w:ind w:firstLine="643" w:firstLineChars="200"/>
        <w:rPr>
          <w:rFonts w:hint="eastAsia" w:ascii="思源黑体 CN Normal" w:hAnsi="思源黑体 CN Normal" w:eastAsia="思源黑体 CN Normal" w:cs="思源黑体 CN Normal"/>
          <w:bCs w:val="0"/>
          <w:color w:val="000000"/>
        </w:rPr>
      </w:pPr>
      <w:bookmarkStart w:id="84" w:name="_Toc32153"/>
      <w:r>
        <w:rPr>
          <w:rFonts w:hint="eastAsia" w:ascii="思源黑体 CN Normal" w:hAnsi="思源黑体 CN Normal" w:eastAsia="思源黑体 CN Normal" w:cs="思源黑体 CN Normal"/>
          <w:bCs w:val="0"/>
          <w:color w:val="000000"/>
        </w:rPr>
        <w:t>四、财政拨款收入支出决算总表</w:t>
      </w:r>
      <w:bookmarkEnd w:id="84"/>
    </w:p>
    <w:p w14:paraId="4AE9B6B8">
      <w:pPr>
        <w:pStyle w:val="4"/>
        <w:ind w:firstLine="643" w:firstLineChars="200"/>
        <w:rPr>
          <w:rFonts w:hint="eastAsia" w:ascii="思源黑体 CN Normal" w:hAnsi="思源黑体 CN Normal" w:eastAsia="思源黑体 CN Normal" w:cs="思源黑体 CN Normal"/>
          <w:bCs w:val="0"/>
          <w:color w:val="000000"/>
        </w:rPr>
      </w:pPr>
      <w:bookmarkStart w:id="85" w:name="_Toc24932"/>
      <w:bookmarkStart w:id="86" w:name="_Toc17530"/>
      <w:r>
        <w:rPr>
          <w:rFonts w:hint="eastAsia" w:ascii="思源黑体 CN Normal" w:hAnsi="思源黑体 CN Normal" w:eastAsia="思源黑体 CN Normal" w:cs="思源黑体 CN Normal"/>
          <w:bCs w:val="0"/>
          <w:color w:val="000000"/>
        </w:rPr>
        <w:t>五、财政拨款支出决算明细表</w:t>
      </w:r>
      <w:bookmarkEnd w:id="85"/>
      <w:bookmarkEnd w:id="86"/>
    </w:p>
    <w:p w14:paraId="58497B35">
      <w:pPr>
        <w:pStyle w:val="4"/>
        <w:ind w:firstLine="643" w:firstLineChars="200"/>
        <w:rPr>
          <w:rFonts w:hint="eastAsia" w:ascii="思源黑体 CN Normal" w:hAnsi="思源黑体 CN Normal" w:eastAsia="思源黑体 CN Normal" w:cs="思源黑体 CN Normal"/>
          <w:bCs w:val="0"/>
          <w:color w:val="000000"/>
        </w:rPr>
      </w:pPr>
      <w:bookmarkStart w:id="87" w:name="_Toc27922"/>
      <w:bookmarkStart w:id="88" w:name="_Toc22032"/>
      <w:r>
        <w:rPr>
          <w:rFonts w:hint="eastAsia" w:ascii="思源黑体 CN Normal" w:hAnsi="思源黑体 CN Normal" w:eastAsia="思源黑体 CN Normal" w:cs="思源黑体 CN Normal"/>
          <w:bCs w:val="0"/>
          <w:color w:val="000000"/>
        </w:rPr>
        <w:t>六、一般公共预算财政拨款支出决算表</w:t>
      </w:r>
      <w:bookmarkEnd w:id="87"/>
      <w:bookmarkEnd w:id="88"/>
    </w:p>
    <w:p w14:paraId="32B85805">
      <w:pPr>
        <w:pStyle w:val="4"/>
        <w:ind w:firstLine="643" w:firstLineChars="200"/>
        <w:rPr>
          <w:rFonts w:hint="eastAsia" w:ascii="思源黑体 CN Normal" w:hAnsi="思源黑体 CN Normal" w:eastAsia="思源黑体 CN Normal" w:cs="思源黑体 CN Normal"/>
          <w:bCs w:val="0"/>
          <w:color w:val="000000"/>
        </w:rPr>
      </w:pPr>
      <w:bookmarkStart w:id="89" w:name="_Toc3364"/>
      <w:bookmarkStart w:id="90" w:name="_Toc3081"/>
      <w:r>
        <w:rPr>
          <w:rFonts w:hint="eastAsia" w:ascii="思源黑体 CN Normal" w:hAnsi="思源黑体 CN Normal" w:eastAsia="思源黑体 CN Normal" w:cs="思源黑体 CN Normal"/>
          <w:bCs w:val="0"/>
          <w:color w:val="000000"/>
        </w:rPr>
        <w:t>七、一般公共预算财政拨款支出决算明细表</w:t>
      </w:r>
      <w:bookmarkEnd w:id="89"/>
      <w:bookmarkEnd w:id="90"/>
    </w:p>
    <w:p w14:paraId="2448BCD1">
      <w:pPr>
        <w:pStyle w:val="4"/>
        <w:ind w:firstLine="643" w:firstLineChars="200"/>
        <w:rPr>
          <w:rFonts w:hint="eastAsia" w:ascii="思源黑体 CN Normal" w:hAnsi="思源黑体 CN Normal" w:eastAsia="思源黑体 CN Normal" w:cs="思源黑体 CN Normal"/>
          <w:bCs w:val="0"/>
          <w:color w:val="000000"/>
        </w:rPr>
      </w:pPr>
      <w:bookmarkStart w:id="91" w:name="_Toc29587"/>
      <w:bookmarkStart w:id="92" w:name="_Toc9110"/>
      <w:r>
        <w:rPr>
          <w:rFonts w:hint="eastAsia" w:ascii="思源黑体 CN Normal" w:hAnsi="思源黑体 CN Normal" w:eastAsia="思源黑体 CN Normal" w:cs="思源黑体 CN Normal"/>
          <w:bCs w:val="0"/>
          <w:color w:val="000000"/>
        </w:rPr>
        <w:t>八、一般公共预算财政拨款基本支出决算表</w:t>
      </w:r>
      <w:bookmarkEnd w:id="91"/>
      <w:bookmarkEnd w:id="92"/>
    </w:p>
    <w:p w14:paraId="07BC4481">
      <w:pPr>
        <w:pStyle w:val="4"/>
        <w:ind w:firstLine="643" w:firstLineChars="200"/>
        <w:rPr>
          <w:rFonts w:hint="eastAsia" w:ascii="思源黑体 CN Normal" w:hAnsi="思源黑体 CN Normal" w:eastAsia="思源黑体 CN Normal" w:cs="思源黑体 CN Normal"/>
          <w:bCs w:val="0"/>
          <w:color w:val="000000"/>
        </w:rPr>
      </w:pPr>
      <w:bookmarkStart w:id="93" w:name="_Toc4181"/>
      <w:bookmarkStart w:id="94" w:name="_Toc28582"/>
      <w:r>
        <w:rPr>
          <w:rFonts w:hint="eastAsia" w:ascii="思源黑体 CN Normal" w:hAnsi="思源黑体 CN Normal" w:eastAsia="思源黑体 CN Normal" w:cs="思源黑体 CN Normal"/>
          <w:bCs w:val="0"/>
          <w:color w:val="000000"/>
        </w:rPr>
        <w:t>九、一般公共预算财政拨款项目支出决算表</w:t>
      </w:r>
      <w:bookmarkEnd w:id="93"/>
      <w:bookmarkEnd w:id="94"/>
    </w:p>
    <w:p w14:paraId="3290EC55">
      <w:pPr>
        <w:pStyle w:val="4"/>
        <w:ind w:firstLine="643" w:firstLineChars="200"/>
        <w:rPr>
          <w:rFonts w:hint="eastAsia" w:ascii="思源黑体 CN Normal" w:hAnsi="思源黑体 CN Normal" w:eastAsia="思源黑体 CN Normal" w:cs="思源黑体 CN Normal"/>
          <w:bCs w:val="0"/>
          <w:color w:val="000000"/>
        </w:rPr>
      </w:pPr>
      <w:bookmarkStart w:id="95" w:name="_Toc7650"/>
      <w:bookmarkStart w:id="96" w:name="_Toc22001"/>
      <w:r>
        <w:rPr>
          <w:rFonts w:hint="eastAsia" w:ascii="思源黑体 CN Normal" w:hAnsi="思源黑体 CN Normal" w:eastAsia="思源黑体 CN Normal" w:cs="思源黑体 CN Normal"/>
          <w:bCs w:val="0"/>
          <w:color w:val="000000"/>
        </w:rPr>
        <w:t>十、政府性基金预算财政拨款收入支出决算表</w:t>
      </w:r>
      <w:bookmarkEnd w:id="95"/>
      <w:bookmarkEnd w:id="96"/>
    </w:p>
    <w:p w14:paraId="3926E99E">
      <w:pPr>
        <w:pStyle w:val="4"/>
        <w:ind w:firstLine="643" w:firstLineChars="200"/>
        <w:rPr>
          <w:rFonts w:hint="eastAsia" w:ascii="思源黑体 CN Normal" w:hAnsi="思源黑体 CN Normal" w:eastAsia="思源黑体 CN Normal" w:cs="思源黑体 CN Normal"/>
          <w:bCs w:val="0"/>
          <w:color w:val="000000"/>
        </w:rPr>
      </w:pPr>
      <w:bookmarkStart w:id="97" w:name="_Toc28657"/>
      <w:bookmarkStart w:id="98" w:name="_Toc6538"/>
      <w:r>
        <w:rPr>
          <w:rFonts w:hint="eastAsia" w:ascii="思源黑体 CN Normal" w:hAnsi="思源黑体 CN Normal" w:eastAsia="思源黑体 CN Normal" w:cs="思源黑体 CN Normal"/>
          <w:bCs w:val="0"/>
          <w:color w:val="000000"/>
        </w:rPr>
        <w:t>十一、国有资本经营预算财政拨款收入支出决算表</w:t>
      </w:r>
      <w:bookmarkEnd w:id="97"/>
      <w:bookmarkEnd w:id="98"/>
    </w:p>
    <w:p w14:paraId="1B9B1102">
      <w:pPr>
        <w:pStyle w:val="4"/>
        <w:ind w:firstLine="643" w:firstLineChars="200"/>
        <w:rPr>
          <w:rFonts w:hint="eastAsia" w:ascii="思源黑体 CN Normal" w:hAnsi="思源黑体 CN Normal" w:eastAsia="思源黑体 CN Normal" w:cs="思源黑体 CN Normal"/>
          <w:bCs w:val="0"/>
          <w:color w:val="000000"/>
        </w:rPr>
      </w:pPr>
      <w:bookmarkStart w:id="99" w:name="_Toc10625"/>
      <w:bookmarkStart w:id="100" w:name="_Toc22294"/>
      <w:r>
        <w:rPr>
          <w:rFonts w:hint="eastAsia" w:ascii="思源黑体 CN Normal" w:hAnsi="思源黑体 CN Normal" w:eastAsia="思源黑体 CN Normal" w:cs="思源黑体 CN Normal"/>
          <w:bCs w:val="0"/>
          <w:color w:val="000000"/>
        </w:rPr>
        <w:t>十二、国有资本经营预算财政拨款支出决算表</w:t>
      </w:r>
      <w:bookmarkEnd w:id="99"/>
      <w:bookmarkEnd w:id="100"/>
    </w:p>
    <w:p w14:paraId="01119565">
      <w:pPr>
        <w:pStyle w:val="4"/>
        <w:ind w:firstLine="643" w:firstLineChars="200"/>
        <w:rPr>
          <w:rFonts w:hint="eastAsia" w:ascii="思源黑体 CN Normal" w:hAnsi="思源黑体 CN Normal" w:eastAsia="思源黑体 CN Normal" w:cs="思源黑体 CN Normal"/>
          <w:b w:val="0"/>
          <w:color w:val="000000"/>
        </w:rPr>
      </w:pPr>
      <w:bookmarkStart w:id="101" w:name="_Toc24927"/>
      <w:bookmarkStart w:id="102" w:name="_Toc28356"/>
      <w:r>
        <w:rPr>
          <w:rFonts w:hint="eastAsia" w:ascii="思源黑体 CN Normal" w:hAnsi="思源黑体 CN Normal" w:eastAsia="思源黑体 CN Normal" w:cs="思源黑体 CN Normal"/>
          <w:bCs w:val="0"/>
          <w:color w:val="000000"/>
        </w:rPr>
        <w:t>十三、财政拨款“三公”经费支出决算表</w:t>
      </w:r>
      <w:bookmarkEnd w:id="101"/>
      <w:bookmarkEnd w:id="102"/>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思源黑体 CN Normal">
    <w:altName w:val="方正黑体_GBK"/>
    <w:panose1 w:val="020B0400000000000000"/>
    <w:charset w:val="86"/>
    <w:family w:val="auto"/>
    <w:pitch w:val="default"/>
    <w:sig w:usb0="00000000" w:usb1="00000000" w:usb2="00000016" w:usb3="00000000" w:csb0="60060107" w:csb1="00000000"/>
  </w:font>
  <w:font w:name="方正黑体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50687E0C">
        <w:pPr>
          <w:pStyle w:val="13"/>
          <w:jc w:val="center"/>
        </w:pPr>
        <w:r>
          <w:fldChar w:fldCharType="begin"/>
        </w:r>
        <w:r>
          <w:instrText xml:space="preserve">PAGE   \* MERGEFORMAT</w:instrText>
        </w:r>
        <w:r>
          <w:fldChar w:fldCharType="separate"/>
        </w:r>
        <w:r>
          <w:rPr>
            <w:lang w:val="zh-CN"/>
          </w:rPr>
          <w:t>4</w:t>
        </w:r>
        <w:r>
          <w:fldChar w:fldCharType="end"/>
        </w:r>
      </w:p>
    </w:sdtContent>
  </w:sdt>
  <w:p w14:paraId="26250666">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94D2D">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zNjk0YjczNGYyYmM2YzZlMDdkNWQ4MTg0ZTE4ZTYifQ=="/>
  </w:docVars>
  <w:rsids>
    <w:rsidRoot w:val="00F1361C"/>
    <w:rsid w:val="000000BC"/>
    <w:rsid w:val="00000665"/>
    <w:rsid w:val="00000B38"/>
    <w:rsid w:val="000015A2"/>
    <w:rsid w:val="00002628"/>
    <w:rsid w:val="00003E5B"/>
    <w:rsid w:val="00004806"/>
    <w:rsid w:val="00007EA6"/>
    <w:rsid w:val="00012FB7"/>
    <w:rsid w:val="00013357"/>
    <w:rsid w:val="00013C9E"/>
    <w:rsid w:val="00015450"/>
    <w:rsid w:val="000175E6"/>
    <w:rsid w:val="00017F98"/>
    <w:rsid w:val="00020F07"/>
    <w:rsid w:val="000222C6"/>
    <w:rsid w:val="00022FC0"/>
    <w:rsid w:val="000230B2"/>
    <w:rsid w:val="0002359B"/>
    <w:rsid w:val="00023DEB"/>
    <w:rsid w:val="00025226"/>
    <w:rsid w:val="0002549F"/>
    <w:rsid w:val="00025F1E"/>
    <w:rsid w:val="0002749D"/>
    <w:rsid w:val="0003013F"/>
    <w:rsid w:val="00031598"/>
    <w:rsid w:val="00031926"/>
    <w:rsid w:val="000326D5"/>
    <w:rsid w:val="00033414"/>
    <w:rsid w:val="00034ABC"/>
    <w:rsid w:val="00034D1D"/>
    <w:rsid w:val="00034D24"/>
    <w:rsid w:val="00035A69"/>
    <w:rsid w:val="000366B3"/>
    <w:rsid w:val="00036E57"/>
    <w:rsid w:val="00047195"/>
    <w:rsid w:val="00047C09"/>
    <w:rsid w:val="00052D93"/>
    <w:rsid w:val="000551CF"/>
    <w:rsid w:val="000571AC"/>
    <w:rsid w:val="00063AA8"/>
    <w:rsid w:val="0006487A"/>
    <w:rsid w:val="00065F8F"/>
    <w:rsid w:val="00066365"/>
    <w:rsid w:val="00066A65"/>
    <w:rsid w:val="00070C93"/>
    <w:rsid w:val="00070D58"/>
    <w:rsid w:val="00070F40"/>
    <w:rsid w:val="00071796"/>
    <w:rsid w:val="00072BEC"/>
    <w:rsid w:val="00073345"/>
    <w:rsid w:val="000768F2"/>
    <w:rsid w:val="00077C80"/>
    <w:rsid w:val="00081156"/>
    <w:rsid w:val="000815F6"/>
    <w:rsid w:val="00083B72"/>
    <w:rsid w:val="000846FF"/>
    <w:rsid w:val="0008503A"/>
    <w:rsid w:val="000851B4"/>
    <w:rsid w:val="000859F0"/>
    <w:rsid w:val="00087C06"/>
    <w:rsid w:val="00090134"/>
    <w:rsid w:val="00090DB7"/>
    <w:rsid w:val="0009184B"/>
    <w:rsid w:val="00091AAC"/>
    <w:rsid w:val="000921CB"/>
    <w:rsid w:val="000925CB"/>
    <w:rsid w:val="0009389E"/>
    <w:rsid w:val="0009593C"/>
    <w:rsid w:val="000A1370"/>
    <w:rsid w:val="000A17C4"/>
    <w:rsid w:val="000A37A2"/>
    <w:rsid w:val="000A500C"/>
    <w:rsid w:val="000B007F"/>
    <w:rsid w:val="000B047F"/>
    <w:rsid w:val="000B071C"/>
    <w:rsid w:val="000B1716"/>
    <w:rsid w:val="000B202D"/>
    <w:rsid w:val="000B26BE"/>
    <w:rsid w:val="000B2D44"/>
    <w:rsid w:val="000B2FD8"/>
    <w:rsid w:val="000B44F0"/>
    <w:rsid w:val="000B5923"/>
    <w:rsid w:val="000B5A48"/>
    <w:rsid w:val="000B6FF3"/>
    <w:rsid w:val="000C0A06"/>
    <w:rsid w:val="000C148A"/>
    <w:rsid w:val="000C2B6A"/>
    <w:rsid w:val="000C3467"/>
    <w:rsid w:val="000C3CA6"/>
    <w:rsid w:val="000C4E3D"/>
    <w:rsid w:val="000C7136"/>
    <w:rsid w:val="000D1267"/>
    <w:rsid w:val="000D17A8"/>
    <w:rsid w:val="000D1D50"/>
    <w:rsid w:val="000D304F"/>
    <w:rsid w:val="000D4033"/>
    <w:rsid w:val="000D5782"/>
    <w:rsid w:val="000D620F"/>
    <w:rsid w:val="000D74AA"/>
    <w:rsid w:val="000E3AC5"/>
    <w:rsid w:val="000E4C84"/>
    <w:rsid w:val="000E6613"/>
    <w:rsid w:val="000E6663"/>
    <w:rsid w:val="000E7119"/>
    <w:rsid w:val="000E75B2"/>
    <w:rsid w:val="000F0D1B"/>
    <w:rsid w:val="000F3E1D"/>
    <w:rsid w:val="000F7336"/>
    <w:rsid w:val="00101546"/>
    <w:rsid w:val="00106B75"/>
    <w:rsid w:val="0010727E"/>
    <w:rsid w:val="00107CCA"/>
    <w:rsid w:val="00110310"/>
    <w:rsid w:val="0011211B"/>
    <w:rsid w:val="00112787"/>
    <w:rsid w:val="00114E9B"/>
    <w:rsid w:val="0011649B"/>
    <w:rsid w:val="00116E5E"/>
    <w:rsid w:val="0012218E"/>
    <w:rsid w:val="0012398F"/>
    <w:rsid w:val="00124113"/>
    <w:rsid w:val="00124BFE"/>
    <w:rsid w:val="0012516D"/>
    <w:rsid w:val="00125224"/>
    <w:rsid w:val="00130F18"/>
    <w:rsid w:val="00133C7A"/>
    <w:rsid w:val="0013434B"/>
    <w:rsid w:val="00137E3C"/>
    <w:rsid w:val="001418EE"/>
    <w:rsid w:val="00142F42"/>
    <w:rsid w:val="00143AE1"/>
    <w:rsid w:val="00143C8F"/>
    <w:rsid w:val="001446FE"/>
    <w:rsid w:val="00144A59"/>
    <w:rsid w:val="00146A3D"/>
    <w:rsid w:val="0014729F"/>
    <w:rsid w:val="00147410"/>
    <w:rsid w:val="001506F6"/>
    <w:rsid w:val="00151128"/>
    <w:rsid w:val="0015213E"/>
    <w:rsid w:val="001544D9"/>
    <w:rsid w:val="00156D25"/>
    <w:rsid w:val="00156D5D"/>
    <w:rsid w:val="00157BAB"/>
    <w:rsid w:val="0016151A"/>
    <w:rsid w:val="00163B54"/>
    <w:rsid w:val="00163F03"/>
    <w:rsid w:val="001654D1"/>
    <w:rsid w:val="00166A14"/>
    <w:rsid w:val="00166F25"/>
    <w:rsid w:val="0016730C"/>
    <w:rsid w:val="00167FD7"/>
    <w:rsid w:val="0017190C"/>
    <w:rsid w:val="00174145"/>
    <w:rsid w:val="0018106D"/>
    <w:rsid w:val="0018125C"/>
    <w:rsid w:val="00181856"/>
    <w:rsid w:val="00183B64"/>
    <w:rsid w:val="00184B52"/>
    <w:rsid w:val="001877A7"/>
    <w:rsid w:val="00187CD2"/>
    <w:rsid w:val="00191536"/>
    <w:rsid w:val="00191B2C"/>
    <w:rsid w:val="001927B3"/>
    <w:rsid w:val="00193E73"/>
    <w:rsid w:val="00193FE2"/>
    <w:rsid w:val="001959D9"/>
    <w:rsid w:val="00195AB7"/>
    <w:rsid w:val="00196687"/>
    <w:rsid w:val="001A0107"/>
    <w:rsid w:val="001A0B9F"/>
    <w:rsid w:val="001A0EA2"/>
    <w:rsid w:val="001A1DBF"/>
    <w:rsid w:val="001A41F1"/>
    <w:rsid w:val="001A5CF3"/>
    <w:rsid w:val="001A63BB"/>
    <w:rsid w:val="001B1840"/>
    <w:rsid w:val="001B1FA9"/>
    <w:rsid w:val="001B2FB3"/>
    <w:rsid w:val="001B5F65"/>
    <w:rsid w:val="001B6640"/>
    <w:rsid w:val="001B7FF7"/>
    <w:rsid w:val="001C0962"/>
    <w:rsid w:val="001C1941"/>
    <w:rsid w:val="001C1A81"/>
    <w:rsid w:val="001C38A5"/>
    <w:rsid w:val="001C597C"/>
    <w:rsid w:val="001C6464"/>
    <w:rsid w:val="001C746B"/>
    <w:rsid w:val="001D14B6"/>
    <w:rsid w:val="001D342B"/>
    <w:rsid w:val="001D6C1E"/>
    <w:rsid w:val="001D7531"/>
    <w:rsid w:val="001E0A1B"/>
    <w:rsid w:val="001E1402"/>
    <w:rsid w:val="001E2922"/>
    <w:rsid w:val="001E3680"/>
    <w:rsid w:val="001E6926"/>
    <w:rsid w:val="001E737D"/>
    <w:rsid w:val="001F0592"/>
    <w:rsid w:val="001F0C89"/>
    <w:rsid w:val="001F7506"/>
    <w:rsid w:val="002006CD"/>
    <w:rsid w:val="0020075A"/>
    <w:rsid w:val="00202B36"/>
    <w:rsid w:val="00202C44"/>
    <w:rsid w:val="00202F80"/>
    <w:rsid w:val="002030A5"/>
    <w:rsid w:val="00204B7A"/>
    <w:rsid w:val="00206616"/>
    <w:rsid w:val="0020689D"/>
    <w:rsid w:val="00206B0E"/>
    <w:rsid w:val="00207949"/>
    <w:rsid w:val="0021101A"/>
    <w:rsid w:val="0021190F"/>
    <w:rsid w:val="0021334C"/>
    <w:rsid w:val="00216B50"/>
    <w:rsid w:val="00220536"/>
    <w:rsid w:val="00220C02"/>
    <w:rsid w:val="00224F1D"/>
    <w:rsid w:val="00225CB7"/>
    <w:rsid w:val="0023060C"/>
    <w:rsid w:val="00234E40"/>
    <w:rsid w:val="00235629"/>
    <w:rsid w:val="00237409"/>
    <w:rsid w:val="00237AE4"/>
    <w:rsid w:val="00240C43"/>
    <w:rsid w:val="00240C5D"/>
    <w:rsid w:val="00243589"/>
    <w:rsid w:val="002527B1"/>
    <w:rsid w:val="0025301B"/>
    <w:rsid w:val="00253FF8"/>
    <w:rsid w:val="00260A32"/>
    <w:rsid w:val="00260C38"/>
    <w:rsid w:val="00260F84"/>
    <w:rsid w:val="002616C0"/>
    <w:rsid w:val="002620C0"/>
    <w:rsid w:val="002662AA"/>
    <w:rsid w:val="00267E1C"/>
    <w:rsid w:val="00272FB2"/>
    <w:rsid w:val="0027313F"/>
    <w:rsid w:val="00273F8B"/>
    <w:rsid w:val="002740FA"/>
    <w:rsid w:val="0027692F"/>
    <w:rsid w:val="0027703A"/>
    <w:rsid w:val="00277BF4"/>
    <w:rsid w:val="002803BD"/>
    <w:rsid w:val="00280496"/>
    <w:rsid w:val="00283D63"/>
    <w:rsid w:val="00283E91"/>
    <w:rsid w:val="002856F9"/>
    <w:rsid w:val="002866CA"/>
    <w:rsid w:val="00286C21"/>
    <w:rsid w:val="002875BF"/>
    <w:rsid w:val="0029076F"/>
    <w:rsid w:val="0029094E"/>
    <w:rsid w:val="00291DC2"/>
    <w:rsid w:val="00292626"/>
    <w:rsid w:val="00292E6B"/>
    <w:rsid w:val="00295495"/>
    <w:rsid w:val="002A0D55"/>
    <w:rsid w:val="002A0E88"/>
    <w:rsid w:val="002A1940"/>
    <w:rsid w:val="002A3F4C"/>
    <w:rsid w:val="002A70D7"/>
    <w:rsid w:val="002A77B7"/>
    <w:rsid w:val="002A7AE1"/>
    <w:rsid w:val="002B133E"/>
    <w:rsid w:val="002B1B6D"/>
    <w:rsid w:val="002B2613"/>
    <w:rsid w:val="002B2C2A"/>
    <w:rsid w:val="002B2F51"/>
    <w:rsid w:val="002B44FC"/>
    <w:rsid w:val="002B5438"/>
    <w:rsid w:val="002B544A"/>
    <w:rsid w:val="002B5F40"/>
    <w:rsid w:val="002B79B7"/>
    <w:rsid w:val="002C00BF"/>
    <w:rsid w:val="002C0137"/>
    <w:rsid w:val="002C1004"/>
    <w:rsid w:val="002C1E97"/>
    <w:rsid w:val="002C4022"/>
    <w:rsid w:val="002C5275"/>
    <w:rsid w:val="002C6074"/>
    <w:rsid w:val="002D1F9E"/>
    <w:rsid w:val="002D30E8"/>
    <w:rsid w:val="002E0F9C"/>
    <w:rsid w:val="002E1F75"/>
    <w:rsid w:val="002E202A"/>
    <w:rsid w:val="002E5C3A"/>
    <w:rsid w:val="002E64D0"/>
    <w:rsid w:val="002F1818"/>
    <w:rsid w:val="002F1A28"/>
    <w:rsid w:val="002F2C84"/>
    <w:rsid w:val="002F335F"/>
    <w:rsid w:val="002F567B"/>
    <w:rsid w:val="002F66D8"/>
    <w:rsid w:val="002F7353"/>
    <w:rsid w:val="0030080A"/>
    <w:rsid w:val="0030298F"/>
    <w:rsid w:val="00302AF1"/>
    <w:rsid w:val="00305126"/>
    <w:rsid w:val="0030593B"/>
    <w:rsid w:val="00310306"/>
    <w:rsid w:val="0031156F"/>
    <w:rsid w:val="00317FD1"/>
    <w:rsid w:val="00321358"/>
    <w:rsid w:val="003216A9"/>
    <w:rsid w:val="00322D89"/>
    <w:rsid w:val="00325332"/>
    <w:rsid w:val="00325856"/>
    <w:rsid w:val="00325985"/>
    <w:rsid w:val="003278AA"/>
    <w:rsid w:val="00332726"/>
    <w:rsid w:val="0033309F"/>
    <w:rsid w:val="00335ED6"/>
    <w:rsid w:val="00337694"/>
    <w:rsid w:val="003431B7"/>
    <w:rsid w:val="0034381A"/>
    <w:rsid w:val="003440C6"/>
    <w:rsid w:val="00350C26"/>
    <w:rsid w:val="003515CF"/>
    <w:rsid w:val="00353569"/>
    <w:rsid w:val="00354D51"/>
    <w:rsid w:val="0035612F"/>
    <w:rsid w:val="00356A32"/>
    <w:rsid w:val="0035779A"/>
    <w:rsid w:val="00360394"/>
    <w:rsid w:val="0036392A"/>
    <w:rsid w:val="003663FE"/>
    <w:rsid w:val="0036688B"/>
    <w:rsid w:val="00366A86"/>
    <w:rsid w:val="00367683"/>
    <w:rsid w:val="00367B91"/>
    <w:rsid w:val="0037013F"/>
    <w:rsid w:val="00373FCE"/>
    <w:rsid w:val="00377A4C"/>
    <w:rsid w:val="003802FF"/>
    <w:rsid w:val="00380C92"/>
    <w:rsid w:val="00383877"/>
    <w:rsid w:val="00385025"/>
    <w:rsid w:val="00386455"/>
    <w:rsid w:val="00390D36"/>
    <w:rsid w:val="00390F3B"/>
    <w:rsid w:val="0039111A"/>
    <w:rsid w:val="003936B4"/>
    <w:rsid w:val="00393AFD"/>
    <w:rsid w:val="003A079E"/>
    <w:rsid w:val="003A10FA"/>
    <w:rsid w:val="003A163E"/>
    <w:rsid w:val="003A32EC"/>
    <w:rsid w:val="003A36AE"/>
    <w:rsid w:val="003A3ACA"/>
    <w:rsid w:val="003A4404"/>
    <w:rsid w:val="003A484F"/>
    <w:rsid w:val="003A4F96"/>
    <w:rsid w:val="003A5540"/>
    <w:rsid w:val="003B0BE0"/>
    <w:rsid w:val="003B0C1A"/>
    <w:rsid w:val="003B0C1B"/>
    <w:rsid w:val="003B5601"/>
    <w:rsid w:val="003B688C"/>
    <w:rsid w:val="003C0291"/>
    <w:rsid w:val="003C2ECB"/>
    <w:rsid w:val="003C350E"/>
    <w:rsid w:val="003C39AE"/>
    <w:rsid w:val="003C6D0D"/>
    <w:rsid w:val="003C76CC"/>
    <w:rsid w:val="003C7B60"/>
    <w:rsid w:val="003D0821"/>
    <w:rsid w:val="003D1FB2"/>
    <w:rsid w:val="003D2303"/>
    <w:rsid w:val="003D3CC9"/>
    <w:rsid w:val="003D4221"/>
    <w:rsid w:val="003D644D"/>
    <w:rsid w:val="003D66DA"/>
    <w:rsid w:val="003E10D3"/>
    <w:rsid w:val="003E1310"/>
    <w:rsid w:val="003E2E1C"/>
    <w:rsid w:val="003E5BD3"/>
    <w:rsid w:val="003E6348"/>
    <w:rsid w:val="003E6F55"/>
    <w:rsid w:val="003F133D"/>
    <w:rsid w:val="003F2794"/>
    <w:rsid w:val="003F339D"/>
    <w:rsid w:val="003F363F"/>
    <w:rsid w:val="003F3A2A"/>
    <w:rsid w:val="003F3DED"/>
    <w:rsid w:val="003F3E94"/>
    <w:rsid w:val="003F44B8"/>
    <w:rsid w:val="003F7CD6"/>
    <w:rsid w:val="00400549"/>
    <w:rsid w:val="00401C71"/>
    <w:rsid w:val="004026F9"/>
    <w:rsid w:val="00402FCE"/>
    <w:rsid w:val="00405639"/>
    <w:rsid w:val="00406254"/>
    <w:rsid w:val="004071E0"/>
    <w:rsid w:val="00407AD0"/>
    <w:rsid w:val="00410C16"/>
    <w:rsid w:val="00422023"/>
    <w:rsid w:val="004223DE"/>
    <w:rsid w:val="004234B2"/>
    <w:rsid w:val="00426FA8"/>
    <w:rsid w:val="00427162"/>
    <w:rsid w:val="0043341C"/>
    <w:rsid w:val="004343F3"/>
    <w:rsid w:val="00434489"/>
    <w:rsid w:val="0043475E"/>
    <w:rsid w:val="0043497B"/>
    <w:rsid w:val="00435137"/>
    <w:rsid w:val="00436E88"/>
    <w:rsid w:val="00437085"/>
    <w:rsid w:val="004370D1"/>
    <w:rsid w:val="00440872"/>
    <w:rsid w:val="00440A29"/>
    <w:rsid w:val="00441C18"/>
    <w:rsid w:val="004422EF"/>
    <w:rsid w:val="00443880"/>
    <w:rsid w:val="00444CE1"/>
    <w:rsid w:val="0044578E"/>
    <w:rsid w:val="0044581C"/>
    <w:rsid w:val="004464F4"/>
    <w:rsid w:val="00446FA9"/>
    <w:rsid w:val="00447035"/>
    <w:rsid w:val="00450BFF"/>
    <w:rsid w:val="00454FA9"/>
    <w:rsid w:val="004571F2"/>
    <w:rsid w:val="0045723A"/>
    <w:rsid w:val="00460A67"/>
    <w:rsid w:val="00461A98"/>
    <w:rsid w:val="00462B33"/>
    <w:rsid w:val="0046346E"/>
    <w:rsid w:val="004700E2"/>
    <w:rsid w:val="004708B9"/>
    <w:rsid w:val="00471401"/>
    <w:rsid w:val="00471CBB"/>
    <w:rsid w:val="00473F31"/>
    <w:rsid w:val="00474218"/>
    <w:rsid w:val="004750E8"/>
    <w:rsid w:val="00476F1B"/>
    <w:rsid w:val="0047729B"/>
    <w:rsid w:val="0048263A"/>
    <w:rsid w:val="0048368B"/>
    <w:rsid w:val="0048372E"/>
    <w:rsid w:val="00483F46"/>
    <w:rsid w:val="00484CD3"/>
    <w:rsid w:val="004857E4"/>
    <w:rsid w:val="00486073"/>
    <w:rsid w:val="0048694C"/>
    <w:rsid w:val="00486E3E"/>
    <w:rsid w:val="00487E5D"/>
    <w:rsid w:val="00491181"/>
    <w:rsid w:val="00492070"/>
    <w:rsid w:val="004941B6"/>
    <w:rsid w:val="00497E59"/>
    <w:rsid w:val="004A2A48"/>
    <w:rsid w:val="004A4A66"/>
    <w:rsid w:val="004A4B01"/>
    <w:rsid w:val="004A5576"/>
    <w:rsid w:val="004A6B85"/>
    <w:rsid w:val="004A711F"/>
    <w:rsid w:val="004A7B2B"/>
    <w:rsid w:val="004B01AE"/>
    <w:rsid w:val="004B199D"/>
    <w:rsid w:val="004B2279"/>
    <w:rsid w:val="004B25B9"/>
    <w:rsid w:val="004B3F00"/>
    <w:rsid w:val="004B4690"/>
    <w:rsid w:val="004B7108"/>
    <w:rsid w:val="004B778F"/>
    <w:rsid w:val="004B785F"/>
    <w:rsid w:val="004C01B1"/>
    <w:rsid w:val="004C062D"/>
    <w:rsid w:val="004C4638"/>
    <w:rsid w:val="004C5745"/>
    <w:rsid w:val="004C5DBD"/>
    <w:rsid w:val="004C62FA"/>
    <w:rsid w:val="004C6FB9"/>
    <w:rsid w:val="004D1DC6"/>
    <w:rsid w:val="004D31FB"/>
    <w:rsid w:val="004D4BB1"/>
    <w:rsid w:val="004D4D6E"/>
    <w:rsid w:val="004D4DA3"/>
    <w:rsid w:val="004D798C"/>
    <w:rsid w:val="004D7AEF"/>
    <w:rsid w:val="004E028C"/>
    <w:rsid w:val="004E0815"/>
    <w:rsid w:val="004E0A2D"/>
    <w:rsid w:val="004E206B"/>
    <w:rsid w:val="004E3DEC"/>
    <w:rsid w:val="004E67E0"/>
    <w:rsid w:val="004E6DF7"/>
    <w:rsid w:val="004F0FBD"/>
    <w:rsid w:val="00501436"/>
    <w:rsid w:val="00501B3E"/>
    <w:rsid w:val="00502053"/>
    <w:rsid w:val="005020BB"/>
    <w:rsid w:val="00505843"/>
    <w:rsid w:val="00505A47"/>
    <w:rsid w:val="0050679E"/>
    <w:rsid w:val="0051166F"/>
    <w:rsid w:val="0051173A"/>
    <w:rsid w:val="00512FDA"/>
    <w:rsid w:val="00513ED7"/>
    <w:rsid w:val="0051467D"/>
    <w:rsid w:val="00520DA0"/>
    <w:rsid w:val="005225FC"/>
    <w:rsid w:val="00524AC4"/>
    <w:rsid w:val="0052729E"/>
    <w:rsid w:val="0052733D"/>
    <w:rsid w:val="00530E19"/>
    <w:rsid w:val="00530F71"/>
    <w:rsid w:val="005322EB"/>
    <w:rsid w:val="0053459C"/>
    <w:rsid w:val="00550726"/>
    <w:rsid w:val="00550F95"/>
    <w:rsid w:val="0055106D"/>
    <w:rsid w:val="005559A4"/>
    <w:rsid w:val="0056304B"/>
    <w:rsid w:val="005651E3"/>
    <w:rsid w:val="00565D17"/>
    <w:rsid w:val="005664BB"/>
    <w:rsid w:val="00566C08"/>
    <w:rsid w:val="0056722F"/>
    <w:rsid w:val="00567B67"/>
    <w:rsid w:val="00570C62"/>
    <w:rsid w:val="00572EB1"/>
    <w:rsid w:val="00572EC9"/>
    <w:rsid w:val="00573576"/>
    <w:rsid w:val="0057481D"/>
    <w:rsid w:val="0057798B"/>
    <w:rsid w:val="00577A75"/>
    <w:rsid w:val="00577DF2"/>
    <w:rsid w:val="00580D35"/>
    <w:rsid w:val="0058486E"/>
    <w:rsid w:val="00584F2B"/>
    <w:rsid w:val="005935E9"/>
    <w:rsid w:val="005939BC"/>
    <w:rsid w:val="00593D4E"/>
    <w:rsid w:val="005975DB"/>
    <w:rsid w:val="00597919"/>
    <w:rsid w:val="005A0204"/>
    <w:rsid w:val="005A0CF8"/>
    <w:rsid w:val="005A324B"/>
    <w:rsid w:val="005B186A"/>
    <w:rsid w:val="005B553C"/>
    <w:rsid w:val="005B57DB"/>
    <w:rsid w:val="005B58F9"/>
    <w:rsid w:val="005B5ACB"/>
    <w:rsid w:val="005B76E6"/>
    <w:rsid w:val="005C0AF7"/>
    <w:rsid w:val="005C0B82"/>
    <w:rsid w:val="005C0D5C"/>
    <w:rsid w:val="005C4A4C"/>
    <w:rsid w:val="005C52C6"/>
    <w:rsid w:val="005C7204"/>
    <w:rsid w:val="005D1C8B"/>
    <w:rsid w:val="005D5CED"/>
    <w:rsid w:val="005D6054"/>
    <w:rsid w:val="005E1522"/>
    <w:rsid w:val="005E3365"/>
    <w:rsid w:val="005E5517"/>
    <w:rsid w:val="005F0705"/>
    <w:rsid w:val="005F0C83"/>
    <w:rsid w:val="005F1A4C"/>
    <w:rsid w:val="005F1F76"/>
    <w:rsid w:val="005F2C70"/>
    <w:rsid w:val="005F32B6"/>
    <w:rsid w:val="005F4162"/>
    <w:rsid w:val="005F44C7"/>
    <w:rsid w:val="005F632F"/>
    <w:rsid w:val="00600946"/>
    <w:rsid w:val="006044AC"/>
    <w:rsid w:val="00604551"/>
    <w:rsid w:val="00605688"/>
    <w:rsid w:val="006070AF"/>
    <w:rsid w:val="00607816"/>
    <w:rsid w:val="00607E6C"/>
    <w:rsid w:val="006101B1"/>
    <w:rsid w:val="00611AD3"/>
    <w:rsid w:val="00612209"/>
    <w:rsid w:val="00614423"/>
    <w:rsid w:val="00614E44"/>
    <w:rsid w:val="006155B0"/>
    <w:rsid w:val="006205F4"/>
    <w:rsid w:val="00620717"/>
    <w:rsid w:val="00622830"/>
    <w:rsid w:val="006256DB"/>
    <w:rsid w:val="00630AEF"/>
    <w:rsid w:val="00630BB3"/>
    <w:rsid w:val="006325F8"/>
    <w:rsid w:val="00633AE4"/>
    <w:rsid w:val="006348B1"/>
    <w:rsid w:val="00634C9A"/>
    <w:rsid w:val="00635FC7"/>
    <w:rsid w:val="00636040"/>
    <w:rsid w:val="00642529"/>
    <w:rsid w:val="0064301E"/>
    <w:rsid w:val="00643322"/>
    <w:rsid w:val="00643C0A"/>
    <w:rsid w:val="006440E4"/>
    <w:rsid w:val="00645301"/>
    <w:rsid w:val="00645F78"/>
    <w:rsid w:val="0064753B"/>
    <w:rsid w:val="00650D36"/>
    <w:rsid w:val="00650F17"/>
    <w:rsid w:val="006511E7"/>
    <w:rsid w:val="0065182B"/>
    <w:rsid w:val="00660339"/>
    <w:rsid w:val="00660F57"/>
    <w:rsid w:val="00661830"/>
    <w:rsid w:val="0066343B"/>
    <w:rsid w:val="00663BDD"/>
    <w:rsid w:val="00664777"/>
    <w:rsid w:val="00664ED7"/>
    <w:rsid w:val="0066615D"/>
    <w:rsid w:val="00666366"/>
    <w:rsid w:val="0066748A"/>
    <w:rsid w:val="0067155A"/>
    <w:rsid w:val="00671D25"/>
    <w:rsid w:val="00672345"/>
    <w:rsid w:val="00673381"/>
    <w:rsid w:val="006740AB"/>
    <w:rsid w:val="00674446"/>
    <w:rsid w:val="006748A4"/>
    <w:rsid w:val="006757D8"/>
    <w:rsid w:val="00680EF7"/>
    <w:rsid w:val="00683E73"/>
    <w:rsid w:val="0068590F"/>
    <w:rsid w:val="00686CF0"/>
    <w:rsid w:val="00687CAC"/>
    <w:rsid w:val="00691D82"/>
    <w:rsid w:val="006931FE"/>
    <w:rsid w:val="006947FC"/>
    <w:rsid w:val="006950FD"/>
    <w:rsid w:val="00695AD3"/>
    <w:rsid w:val="00696ACE"/>
    <w:rsid w:val="006A01D3"/>
    <w:rsid w:val="006A04FE"/>
    <w:rsid w:val="006A0C2C"/>
    <w:rsid w:val="006A0C51"/>
    <w:rsid w:val="006A1E7E"/>
    <w:rsid w:val="006A2BCD"/>
    <w:rsid w:val="006A3141"/>
    <w:rsid w:val="006A5E34"/>
    <w:rsid w:val="006A75B7"/>
    <w:rsid w:val="006B0ABA"/>
    <w:rsid w:val="006B2422"/>
    <w:rsid w:val="006B2B9A"/>
    <w:rsid w:val="006B2E2F"/>
    <w:rsid w:val="006B471C"/>
    <w:rsid w:val="006B4C59"/>
    <w:rsid w:val="006B533E"/>
    <w:rsid w:val="006C04D7"/>
    <w:rsid w:val="006C1937"/>
    <w:rsid w:val="006C397F"/>
    <w:rsid w:val="006C6427"/>
    <w:rsid w:val="006C76DB"/>
    <w:rsid w:val="006D1F0B"/>
    <w:rsid w:val="006D42C6"/>
    <w:rsid w:val="006E0081"/>
    <w:rsid w:val="006E0706"/>
    <w:rsid w:val="006E3700"/>
    <w:rsid w:val="006E6C66"/>
    <w:rsid w:val="006F020C"/>
    <w:rsid w:val="006F3DF7"/>
    <w:rsid w:val="006F7849"/>
    <w:rsid w:val="006F7CBD"/>
    <w:rsid w:val="0070094B"/>
    <w:rsid w:val="007040F2"/>
    <w:rsid w:val="00705B7C"/>
    <w:rsid w:val="00705E24"/>
    <w:rsid w:val="00707EEC"/>
    <w:rsid w:val="007115FE"/>
    <w:rsid w:val="007127B7"/>
    <w:rsid w:val="00713977"/>
    <w:rsid w:val="00714DBE"/>
    <w:rsid w:val="007220F2"/>
    <w:rsid w:val="007231D9"/>
    <w:rsid w:val="007244D2"/>
    <w:rsid w:val="00725B08"/>
    <w:rsid w:val="007355BA"/>
    <w:rsid w:val="0074019B"/>
    <w:rsid w:val="007403C2"/>
    <w:rsid w:val="007410FA"/>
    <w:rsid w:val="007416B6"/>
    <w:rsid w:val="007426C0"/>
    <w:rsid w:val="00746F48"/>
    <w:rsid w:val="0074730D"/>
    <w:rsid w:val="0075129E"/>
    <w:rsid w:val="00751951"/>
    <w:rsid w:val="00751EE9"/>
    <w:rsid w:val="007522D6"/>
    <w:rsid w:val="007525C3"/>
    <w:rsid w:val="007537B3"/>
    <w:rsid w:val="00753DC2"/>
    <w:rsid w:val="0075404D"/>
    <w:rsid w:val="0075503D"/>
    <w:rsid w:val="0076078E"/>
    <w:rsid w:val="00760D5E"/>
    <w:rsid w:val="0076182A"/>
    <w:rsid w:val="00763BC1"/>
    <w:rsid w:val="0076499D"/>
    <w:rsid w:val="007656DB"/>
    <w:rsid w:val="007676D8"/>
    <w:rsid w:val="00767A7D"/>
    <w:rsid w:val="00767B7E"/>
    <w:rsid w:val="00767BE6"/>
    <w:rsid w:val="00775A39"/>
    <w:rsid w:val="00776900"/>
    <w:rsid w:val="007770C3"/>
    <w:rsid w:val="00780AAA"/>
    <w:rsid w:val="00781060"/>
    <w:rsid w:val="0078143E"/>
    <w:rsid w:val="0078201F"/>
    <w:rsid w:val="007820E1"/>
    <w:rsid w:val="00784D24"/>
    <w:rsid w:val="00784D4C"/>
    <w:rsid w:val="00784E42"/>
    <w:rsid w:val="00785FBA"/>
    <w:rsid w:val="00786E4A"/>
    <w:rsid w:val="007875EB"/>
    <w:rsid w:val="00787E51"/>
    <w:rsid w:val="00792C26"/>
    <w:rsid w:val="0079426B"/>
    <w:rsid w:val="00794D8C"/>
    <w:rsid w:val="00794F74"/>
    <w:rsid w:val="0079655C"/>
    <w:rsid w:val="007A0619"/>
    <w:rsid w:val="007A762F"/>
    <w:rsid w:val="007B0CA2"/>
    <w:rsid w:val="007B5C15"/>
    <w:rsid w:val="007B6032"/>
    <w:rsid w:val="007B6B9B"/>
    <w:rsid w:val="007C014E"/>
    <w:rsid w:val="007C0C20"/>
    <w:rsid w:val="007C0E0A"/>
    <w:rsid w:val="007C2008"/>
    <w:rsid w:val="007C26C9"/>
    <w:rsid w:val="007C57E7"/>
    <w:rsid w:val="007C6362"/>
    <w:rsid w:val="007C70B5"/>
    <w:rsid w:val="007C72D0"/>
    <w:rsid w:val="007D028D"/>
    <w:rsid w:val="007D0AE2"/>
    <w:rsid w:val="007D0C80"/>
    <w:rsid w:val="007D312A"/>
    <w:rsid w:val="007D3F19"/>
    <w:rsid w:val="007D40BF"/>
    <w:rsid w:val="007D598F"/>
    <w:rsid w:val="007D7F29"/>
    <w:rsid w:val="007E0391"/>
    <w:rsid w:val="007E2118"/>
    <w:rsid w:val="007E23B0"/>
    <w:rsid w:val="007E30F0"/>
    <w:rsid w:val="007E4E9E"/>
    <w:rsid w:val="007E4F63"/>
    <w:rsid w:val="007E5C1C"/>
    <w:rsid w:val="007E6821"/>
    <w:rsid w:val="007E6A33"/>
    <w:rsid w:val="007E6D1B"/>
    <w:rsid w:val="007F0CD6"/>
    <w:rsid w:val="007F0EAA"/>
    <w:rsid w:val="007F1991"/>
    <w:rsid w:val="007F1E4C"/>
    <w:rsid w:val="007F2C2F"/>
    <w:rsid w:val="007F2D6D"/>
    <w:rsid w:val="007F55FC"/>
    <w:rsid w:val="007F5665"/>
    <w:rsid w:val="007F57B1"/>
    <w:rsid w:val="007F5B1E"/>
    <w:rsid w:val="007F703A"/>
    <w:rsid w:val="007F772D"/>
    <w:rsid w:val="007F78DE"/>
    <w:rsid w:val="00800112"/>
    <w:rsid w:val="0080112E"/>
    <w:rsid w:val="008014B3"/>
    <w:rsid w:val="008031B0"/>
    <w:rsid w:val="008068DA"/>
    <w:rsid w:val="00806B6F"/>
    <w:rsid w:val="00807797"/>
    <w:rsid w:val="0081195D"/>
    <w:rsid w:val="00811C29"/>
    <w:rsid w:val="00812255"/>
    <w:rsid w:val="00813AEF"/>
    <w:rsid w:val="00815AF8"/>
    <w:rsid w:val="008169F8"/>
    <w:rsid w:val="00820AF4"/>
    <w:rsid w:val="008212F9"/>
    <w:rsid w:val="008244FA"/>
    <w:rsid w:val="008248EC"/>
    <w:rsid w:val="00824C90"/>
    <w:rsid w:val="00824CEE"/>
    <w:rsid w:val="008253BB"/>
    <w:rsid w:val="008273C2"/>
    <w:rsid w:val="00830A33"/>
    <w:rsid w:val="00830F24"/>
    <w:rsid w:val="0083234B"/>
    <w:rsid w:val="00833D7A"/>
    <w:rsid w:val="008347A0"/>
    <w:rsid w:val="00835B31"/>
    <w:rsid w:val="00836025"/>
    <w:rsid w:val="0083706E"/>
    <w:rsid w:val="00840550"/>
    <w:rsid w:val="008423A5"/>
    <w:rsid w:val="00843431"/>
    <w:rsid w:val="00845501"/>
    <w:rsid w:val="008503A5"/>
    <w:rsid w:val="00850625"/>
    <w:rsid w:val="008511F3"/>
    <w:rsid w:val="00851894"/>
    <w:rsid w:val="0085265B"/>
    <w:rsid w:val="00852C5C"/>
    <w:rsid w:val="00853718"/>
    <w:rsid w:val="00855221"/>
    <w:rsid w:val="00855AF5"/>
    <w:rsid w:val="00855E16"/>
    <w:rsid w:val="00857B79"/>
    <w:rsid w:val="00860645"/>
    <w:rsid w:val="00860C44"/>
    <w:rsid w:val="0086131A"/>
    <w:rsid w:val="00862A9D"/>
    <w:rsid w:val="00863483"/>
    <w:rsid w:val="00863CF0"/>
    <w:rsid w:val="00863D72"/>
    <w:rsid w:val="00865F20"/>
    <w:rsid w:val="00867695"/>
    <w:rsid w:val="00870000"/>
    <w:rsid w:val="00870C33"/>
    <w:rsid w:val="00871F71"/>
    <w:rsid w:val="008722FB"/>
    <w:rsid w:val="00872F95"/>
    <w:rsid w:val="00873D8F"/>
    <w:rsid w:val="0087464B"/>
    <w:rsid w:val="00875814"/>
    <w:rsid w:val="00877427"/>
    <w:rsid w:val="0088122F"/>
    <w:rsid w:val="00885AF4"/>
    <w:rsid w:val="00886435"/>
    <w:rsid w:val="008875FA"/>
    <w:rsid w:val="00887A58"/>
    <w:rsid w:val="008918AA"/>
    <w:rsid w:val="008918C9"/>
    <w:rsid w:val="008920D1"/>
    <w:rsid w:val="008939CD"/>
    <w:rsid w:val="00893E7C"/>
    <w:rsid w:val="00895862"/>
    <w:rsid w:val="00896814"/>
    <w:rsid w:val="00897199"/>
    <w:rsid w:val="008A04BB"/>
    <w:rsid w:val="008A6293"/>
    <w:rsid w:val="008A6BC0"/>
    <w:rsid w:val="008A7CE3"/>
    <w:rsid w:val="008B045D"/>
    <w:rsid w:val="008B2B26"/>
    <w:rsid w:val="008B5614"/>
    <w:rsid w:val="008B6287"/>
    <w:rsid w:val="008B69A5"/>
    <w:rsid w:val="008B768C"/>
    <w:rsid w:val="008B7992"/>
    <w:rsid w:val="008C1D33"/>
    <w:rsid w:val="008C33D9"/>
    <w:rsid w:val="008C4DB1"/>
    <w:rsid w:val="008C4EAF"/>
    <w:rsid w:val="008C5176"/>
    <w:rsid w:val="008C7FD0"/>
    <w:rsid w:val="008D06D5"/>
    <w:rsid w:val="008D08E5"/>
    <w:rsid w:val="008D2C92"/>
    <w:rsid w:val="008D2DE2"/>
    <w:rsid w:val="008D55A6"/>
    <w:rsid w:val="008E0EF3"/>
    <w:rsid w:val="008E1DC6"/>
    <w:rsid w:val="008E1DE7"/>
    <w:rsid w:val="008E2847"/>
    <w:rsid w:val="008E380B"/>
    <w:rsid w:val="008E707C"/>
    <w:rsid w:val="008E7651"/>
    <w:rsid w:val="008F24AB"/>
    <w:rsid w:val="00900B08"/>
    <w:rsid w:val="00901E1C"/>
    <w:rsid w:val="00902155"/>
    <w:rsid w:val="00902BCF"/>
    <w:rsid w:val="00902FA3"/>
    <w:rsid w:val="009109D0"/>
    <w:rsid w:val="00910FAA"/>
    <w:rsid w:val="00912DEB"/>
    <w:rsid w:val="00913706"/>
    <w:rsid w:val="00913A29"/>
    <w:rsid w:val="00915BE4"/>
    <w:rsid w:val="009205F5"/>
    <w:rsid w:val="009215C3"/>
    <w:rsid w:val="00923564"/>
    <w:rsid w:val="0092392E"/>
    <w:rsid w:val="00923F58"/>
    <w:rsid w:val="00924FB0"/>
    <w:rsid w:val="00930109"/>
    <w:rsid w:val="00930E8F"/>
    <w:rsid w:val="009315F9"/>
    <w:rsid w:val="009337F3"/>
    <w:rsid w:val="009339C3"/>
    <w:rsid w:val="00934AB8"/>
    <w:rsid w:val="00935D57"/>
    <w:rsid w:val="00936283"/>
    <w:rsid w:val="00940B88"/>
    <w:rsid w:val="00940F73"/>
    <w:rsid w:val="0094526A"/>
    <w:rsid w:val="00945399"/>
    <w:rsid w:val="00945492"/>
    <w:rsid w:val="00945EEC"/>
    <w:rsid w:val="009461EE"/>
    <w:rsid w:val="00946945"/>
    <w:rsid w:val="00947929"/>
    <w:rsid w:val="00947BF1"/>
    <w:rsid w:val="009500E2"/>
    <w:rsid w:val="00951248"/>
    <w:rsid w:val="0095152F"/>
    <w:rsid w:val="009534A8"/>
    <w:rsid w:val="009540C0"/>
    <w:rsid w:val="00954C49"/>
    <w:rsid w:val="00955EAD"/>
    <w:rsid w:val="0095708C"/>
    <w:rsid w:val="00957098"/>
    <w:rsid w:val="00960F20"/>
    <w:rsid w:val="009620B2"/>
    <w:rsid w:val="00962131"/>
    <w:rsid w:val="00962556"/>
    <w:rsid w:val="00964305"/>
    <w:rsid w:val="0096477D"/>
    <w:rsid w:val="00964EBA"/>
    <w:rsid w:val="0097099F"/>
    <w:rsid w:val="009710DA"/>
    <w:rsid w:val="00971997"/>
    <w:rsid w:val="00971FFC"/>
    <w:rsid w:val="00972A49"/>
    <w:rsid w:val="00973726"/>
    <w:rsid w:val="00974188"/>
    <w:rsid w:val="0098033F"/>
    <w:rsid w:val="00985645"/>
    <w:rsid w:val="0098595E"/>
    <w:rsid w:val="00985C49"/>
    <w:rsid w:val="0098660A"/>
    <w:rsid w:val="009869AA"/>
    <w:rsid w:val="009931C3"/>
    <w:rsid w:val="00995CE3"/>
    <w:rsid w:val="009B2C43"/>
    <w:rsid w:val="009B4EAE"/>
    <w:rsid w:val="009B6C92"/>
    <w:rsid w:val="009B7573"/>
    <w:rsid w:val="009C0EF0"/>
    <w:rsid w:val="009C1B2D"/>
    <w:rsid w:val="009C22F4"/>
    <w:rsid w:val="009C2AE3"/>
    <w:rsid w:val="009C2E98"/>
    <w:rsid w:val="009C5896"/>
    <w:rsid w:val="009C6399"/>
    <w:rsid w:val="009D3447"/>
    <w:rsid w:val="009D3AA6"/>
    <w:rsid w:val="009D4711"/>
    <w:rsid w:val="009D5EF4"/>
    <w:rsid w:val="009E0018"/>
    <w:rsid w:val="009E2320"/>
    <w:rsid w:val="009E2C7B"/>
    <w:rsid w:val="009E576A"/>
    <w:rsid w:val="009E7FBF"/>
    <w:rsid w:val="009F1185"/>
    <w:rsid w:val="009F178D"/>
    <w:rsid w:val="009F18CD"/>
    <w:rsid w:val="009F2021"/>
    <w:rsid w:val="009F2A13"/>
    <w:rsid w:val="009F4A42"/>
    <w:rsid w:val="009F4D78"/>
    <w:rsid w:val="009F6A87"/>
    <w:rsid w:val="009F6B63"/>
    <w:rsid w:val="009F6F4A"/>
    <w:rsid w:val="00A02DD4"/>
    <w:rsid w:val="00A04EB0"/>
    <w:rsid w:val="00A05E7E"/>
    <w:rsid w:val="00A06741"/>
    <w:rsid w:val="00A06EF8"/>
    <w:rsid w:val="00A07DE7"/>
    <w:rsid w:val="00A07E24"/>
    <w:rsid w:val="00A1247B"/>
    <w:rsid w:val="00A13443"/>
    <w:rsid w:val="00A13CC1"/>
    <w:rsid w:val="00A15286"/>
    <w:rsid w:val="00A1571F"/>
    <w:rsid w:val="00A1637E"/>
    <w:rsid w:val="00A16684"/>
    <w:rsid w:val="00A16847"/>
    <w:rsid w:val="00A1745F"/>
    <w:rsid w:val="00A2301F"/>
    <w:rsid w:val="00A237D8"/>
    <w:rsid w:val="00A25634"/>
    <w:rsid w:val="00A268C4"/>
    <w:rsid w:val="00A27771"/>
    <w:rsid w:val="00A300FE"/>
    <w:rsid w:val="00A307CD"/>
    <w:rsid w:val="00A3233A"/>
    <w:rsid w:val="00A35068"/>
    <w:rsid w:val="00A3556D"/>
    <w:rsid w:val="00A35870"/>
    <w:rsid w:val="00A35FE0"/>
    <w:rsid w:val="00A40A00"/>
    <w:rsid w:val="00A4142F"/>
    <w:rsid w:val="00A41D4A"/>
    <w:rsid w:val="00A43522"/>
    <w:rsid w:val="00A4622C"/>
    <w:rsid w:val="00A462AA"/>
    <w:rsid w:val="00A46A63"/>
    <w:rsid w:val="00A47A0F"/>
    <w:rsid w:val="00A50F96"/>
    <w:rsid w:val="00A514F8"/>
    <w:rsid w:val="00A52260"/>
    <w:rsid w:val="00A53D20"/>
    <w:rsid w:val="00A54687"/>
    <w:rsid w:val="00A54CE0"/>
    <w:rsid w:val="00A55073"/>
    <w:rsid w:val="00A55447"/>
    <w:rsid w:val="00A55ED8"/>
    <w:rsid w:val="00A56DF2"/>
    <w:rsid w:val="00A56E1B"/>
    <w:rsid w:val="00A57F63"/>
    <w:rsid w:val="00A61738"/>
    <w:rsid w:val="00A62ECF"/>
    <w:rsid w:val="00A63814"/>
    <w:rsid w:val="00A64138"/>
    <w:rsid w:val="00A64421"/>
    <w:rsid w:val="00A659FC"/>
    <w:rsid w:val="00A65DE6"/>
    <w:rsid w:val="00A66D73"/>
    <w:rsid w:val="00A67AB5"/>
    <w:rsid w:val="00A70317"/>
    <w:rsid w:val="00A72FA8"/>
    <w:rsid w:val="00A76B3A"/>
    <w:rsid w:val="00A77CB7"/>
    <w:rsid w:val="00A804D8"/>
    <w:rsid w:val="00A85003"/>
    <w:rsid w:val="00A85A0C"/>
    <w:rsid w:val="00A91460"/>
    <w:rsid w:val="00A91760"/>
    <w:rsid w:val="00A93902"/>
    <w:rsid w:val="00A93B00"/>
    <w:rsid w:val="00A93C21"/>
    <w:rsid w:val="00A94004"/>
    <w:rsid w:val="00A95D33"/>
    <w:rsid w:val="00A96D42"/>
    <w:rsid w:val="00AA1212"/>
    <w:rsid w:val="00AA14EC"/>
    <w:rsid w:val="00AA2E83"/>
    <w:rsid w:val="00AA6693"/>
    <w:rsid w:val="00AA6D23"/>
    <w:rsid w:val="00AA7B07"/>
    <w:rsid w:val="00AB1A65"/>
    <w:rsid w:val="00AB26EC"/>
    <w:rsid w:val="00AB2A36"/>
    <w:rsid w:val="00AB5E60"/>
    <w:rsid w:val="00AB5E86"/>
    <w:rsid w:val="00AB6DD7"/>
    <w:rsid w:val="00AC20D9"/>
    <w:rsid w:val="00AC3237"/>
    <w:rsid w:val="00AC3A9E"/>
    <w:rsid w:val="00AC3C6A"/>
    <w:rsid w:val="00AC40DA"/>
    <w:rsid w:val="00AC6A20"/>
    <w:rsid w:val="00AD013F"/>
    <w:rsid w:val="00AD1561"/>
    <w:rsid w:val="00AD1E04"/>
    <w:rsid w:val="00AD4E89"/>
    <w:rsid w:val="00AD5090"/>
    <w:rsid w:val="00AD55F4"/>
    <w:rsid w:val="00AD5620"/>
    <w:rsid w:val="00AD654C"/>
    <w:rsid w:val="00AD712A"/>
    <w:rsid w:val="00AD7C1B"/>
    <w:rsid w:val="00AE16BA"/>
    <w:rsid w:val="00AE1B18"/>
    <w:rsid w:val="00AE1EBE"/>
    <w:rsid w:val="00AE3F47"/>
    <w:rsid w:val="00AE5217"/>
    <w:rsid w:val="00AE57E5"/>
    <w:rsid w:val="00AE5ACD"/>
    <w:rsid w:val="00AE7003"/>
    <w:rsid w:val="00AE78D4"/>
    <w:rsid w:val="00AF334F"/>
    <w:rsid w:val="00AF567D"/>
    <w:rsid w:val="00B03C9D"/>
    <w:rsid w:val="00B03D45"/>
    <w:rsid w:val="00B03DEF"/>
    <w:rsid w:val="00B04041"/>
    <w:rsid w:val="00B046DB"/>
    <w:rsid w:val="00B059FA"/>
    <w:rsid w:val="00B060AE"/>
    <w:rsid w:val="00B06286"/>
    <w:rsid w:val="00B06EEB"/>
    <w:rsid w:val="00B07376"/>
    <w:rsid w:val="00B10406"/>
    <w:rsid w:val="00B10517"/>
    <w:rsid w:val="00B1323D"/>
    <w:rsid w:val="00B1364D"/>
    <w:rsid w:val="00B13D51"/>
    <w:rsid w:val="00B13F34"/>
    <w:rsid w:val="00B14E76"/>
    <w:rsid w:val="00B15718"/>
    <w:rsid w:val="00B15757"/>
    <w:rsid w:val="00B161B8"/>
    <w:rsid w:val="00B2048C"/>
    <w:rsid w:val="00B22224"/>
    <w:rsid w:val="00B22E19"/>
    <w:rsid w:val="00B268D9"/>
    <w:rsid w:val="00B30B06"/>
    <w:rsid w:val="00B310B9"/>
    <w:rsid w:val="00B3183E"/>
    <w:rsid w:val="00B330FA"/>
    <w:rsid w:val="00B35211"/>
    <w:rsid w:val="00B35F3F"/>
    <w:rsid w:val="00B36CBB"/>
    <w:rsid w:val="00B370EB"/>
    <w:rsid w:val="00B40532"/>
    <w:rsid w:val="00B425E0"/>
    <w:rsid w:val="00B440AA"/>
    <w:rsid w:val="00B44B70"/>
    <w:rsid w:val="00B47B8F"/>
    <w:rsid w:val="00B50563"/>
    <w:rsid w:val="00B507B7"/>
    <w:rsid w:val="00B51BBE"/>
    <w:rsid w:val="00B53703"/>
    <w:rsid w:val="00B53C56"/>
    <w:rsid w:val="00B53E4F"/>
    <w:rsid w:val="00B54341"/>
    <w:rsid w:val="00B545A6"/>
    <w:rsid w:val="00B5556B"/>
    <w:rsid w:val="00B60A7E"/>
    <w:rsid w:val="00B6427E"/>
    <w:rsid w:val="00B67CE3"/>
    <w:rsid w:val="00B706F1"/>
    <w:rsid w:val="00B725E6"/>
    <w:rsid w:val="00B736DE"/>
    <w:rsid w:val="00B74FE7"/>
    <w:rsid w:val="00B753E0"/>
    <w:rsid w:val="00B7569F"/>
    <w:rsid w:val="00B75C09"/>
    <w:rsid w:val="00B76674"/>
    <w:rsid w:val="00B77EA6"/>
    <w:rsid w:val="00B80439"/>
    <w:rsid w:val="00B80BAB"/>
    <w:rsid w:val="00B81598"/>
    <w:rsid w:val="00B82F7D"/>
    <w:rsid w:val="00B839DA"/>
    <w:rsid w:val="00B83EE2"/>
    <w:rsid w:val="00B841F1"/>
    <w:rsid w:val="00B8480B"/>
    <w:rsid w:val="00B91D3E"/>
    <w:rsid w:val="00B92400"/>
    <w:rsid w:val="00B93AA8"/>
    <w:rsid w:val="00B944D6"/>
    <w:rsid w:val="00B96CD2"/>
    <w:rsid w:val="00BA054C"/>
    <w:rsid w:val="00BA0777"/>
    <w:rsid w:val="00BA0AED"/>
    <w:rsid w:val="00BA22CD"/>
    <w:rsid w:val="00BA3028"/>
    <w:rsid w:val="00BA3356"/>
    <w:rsid w:val="00BA49E7"/>
    <w:rsid w:val="00BA5298"/>
    <w:rsid w:val="00BB1990"/>
    <w:rsid w:val="00BB2D7E"/>
    <w:rsid w:val="00BB4C52"/>
    <w:rsid w:val="00BB4DF0"/>
    <w:rsid w:val="00BC0AE4"/>
    <w:rsid w:val="00BC1202"/>
    <w:rsid w:val="00BC1A97"/>
    <w:rsid w:val="00BC2731"/>
    <w:rsid w:val="00BC289F"/>
    <w:rsid w:val="00BC5361"/>
    <w:rsid w:val="00BC5460"/>
    <w:rsid w:val="00BC6B50"/>
    <w:rsid w:val="00BD0E25"/>
    <w:rsid w:val="00BD2458"/>
    <w:rsid w:val="00BD5121"/>
    <w:rsid w:val="00BD6D67"/>
    <w:rsid w:val="00BD6E57"/>
    <w:rsid w:val="00BE01DE"/>
    <w:rsid w:val="00BE218A"/>
    <w:rsid w:val="00BE39F0"/>
    <w:rsid w:val="00BE5FB5"/>
    <w:rsid w:val="00BE7259"/>
    <w:rsid w:val="00BF060C"/>
    <w:rsid w:val="00BF2962"/>
    <w:rsid w:val="00BF2E85"/>
    <w:rsid w:val="00BF5BD6"/>
    <w:rsid w:val="00BF6316"/>
    <w:rsid w:val="00BF718F"/>
    <w:rsid w:val="00C01DBE"/>
    <w:rsid w:val="00C03E31"/>
    <w:rsid w:val="00C05BAF"/>
    <w:rsid w:val="00C05CAD"/>
    <w:rsid w:val="00C05F29"/>
    <w:rsid w:val="00C06A2B"/>
    <w:rsid w:val="00C11626"/>
    <w:rsid w:val="00C137AD"/>
    <w:rsid w:val="00C13B26"/>
    <w:rsid w:val="00C1480D"/>
    <w:rsid w:val="00C1658B"/>
    <w:rsid w:val="00C23BFD"/>
    <w:rsid w:val="00C24603"/>
    <w:rsid w:val="00C259D0"/>
    <w:rsid w:val="00C30983"/>
    <w:rsid w:val="00C30D73"/>
    <w:rsid w:val="00C313B9"/>
    <w:rsid w:val="00C31B41"/>
    <w:rsid w:val="00C33276"/>
    <w:rsid w:val="00C33E72"/>
    <w:rsid w:val="00C3423D"/>
    <w:rsid w:val="00C342CE"/>
    <w:rsid w:val="00C34C84"/>
    <w:rsid w:val="00C34EED"/>
    <w:rsid w:val="00C354B2"/>
    <w:rsid w:val="00C35554"/>
    <w:rsid w:val="00C36831"/>
    <w:rsid w:val="00C4133E"/>
    <w:rsid w:val="00C41611"/>
    <w:rsid w:val="00C41EB1"/>
    <w:rsid w:val="00C426CE"/>
    <w:rsid w:val="00C42709"/>
    <w:rsid w:val="00C516E5"/>
    <w:rsid w:val="00C5216D"/>
    <w:rsid w:val="00C533CC"/>
    <w:rsid w:val="00C54531"/>
    <w:rsid w:val="00C5751C"/>
    <w:rsid w:val="00C61BFC"/>
    <w:rsid w:val="00C62B85"/>
    <w:rsid w:val="00C634C6"/>
    <w:rsid w:val="00C63DE6"/>
    <w:rsid w:val="00C65438"/>
    <w:rsid w:val="00C65FA1"/>
    <w:rsid w:val="00C663B4"/>
    <w:rsid w:val="00C66789"/>
    <w:rsid w:val="00C677E0"/>
    <w:rsid w:val="00C71C3C"/>
    <w:rsid w:val="00C73C9E"/>
    <w:rsid w:val="00C77033"/>
    <w:rsid w:val="00C77575"/>
    <w:rsid w:val="00C77955"/>
    <w:rsid w:val="00C77D11"/>
    <w:rsid w:val="00C80BE1"/>
    <w:rsid w:val="00C80E5E"/>
    <w:rsid w:val="00C87773"/>
    <w:rsid w:val="00C91BEF"/>
    <w:rsid w:val="00C91CBB"/>
    <w:rsid w:val="00C94460"/>
    <w:rsid w:val="00C94755"/>
    <w:rsid w:val="00C9494C"/>
    <w:rsid w:val="00C976D8"/>
    <w:rsid w:val="00C9779E"/>
    <w:rsid w:val="00CA1D7E"/>
    <w:rsid w:val="00CA4889"/>
    <w:rsid w:val="00CA6417"/>
    <w:rsid w:val="00CA7A47"/>
    <w:rsid w:val="00CA7CBE"/>
    <w:rsid w:val="00CB2258"/>
    <w:rsid w:val="00CB37D6"/>
    <w:rsid w:val="00CB5AA7"/>
    <w:rsid w:val="00CC09B6"/>
    <w:rsid w:val="00CC2ECC"/>
    <w:rsid w:val="00CC42AE"/>
    <w:rsid w:val="00CC5828"/>
    <w:rsid w:val="00CC666F"/>
    <w:rsid w:val="00CD0159"/>
    <w:rsid w:val="00CD1E3F"/>
    <w:rsid w:val="00CD2CD4"/>
    <w:rsid w:val="00CD2F8E"/>
    <w:rsid w:val="00CD33CA"/>
    <w:rsid w:val="00CD41F7"/>
    <w:rsid w:val="00CD7039"/>
    <w:rsid w:val="00CE07D1"/>
    <w:rsid w:val="00CE10F5"/>
    <w:rsid w:val="00CE245D"/>
    <w:rsid w:val="00CE298B"/>
    <w:rsid w:val="00CE41E9"/>
    <w:rsid w:val="00CE4476"/>
    <w:rsid w:val="00CE44F6"/>
    <w:rsid w:val="00CE49DA"/>
    <w:rsid w:val="00CE6166"/>
    <w:rsid w:val="00CE7B61"/>
    <w:rsid w:val="00CF0C95"/>
    <w:rsid w:val="00CF303D"/>
    <w:rsid w:val="00CF32A8"/>
    <w:rsid w:val="00CF47D0"/>
    <w:rsid w:val="00CF537A"/>
    <w:rsid w:val="00CF5A38"/>
    <w:rsid w:val="00D00095"/>
    <w:rsid w:val="00D007A3"/>
    <w:rsid w:val="00D00CD9"/>
    <w:rsid w:val="00D01872"/>
    <w:rsid w:val="00D01D1C"/>
    <w:rsid w:val="00D03F76"/>
    <w:rsid w:val="00D07457"/>
    <w:rsid w:val="00D120DF"/>
    <w:rsid w:val="00D12260"/>
    <w:rsid w:val="00D14981"/>
    <w:rsid w:val="00D17582"/>
    <w:rsid w:val="00D20620"/>
    <w:rsid w:val="00D21AB8"/>
    <w:rsid w:val="00D21B96"/>
    <w:rsid w:val="00D21FCA"/>
    <w:rsid w:val="00D23CC1"/>
    <w:rsid w:val="00D253CD"/>
    <w:rsid w:val="00D26091"/>
    <w:rsid w:val="00D26765"/>
    <w:rsid w:val="00D30031"/>
    <w:rsid w:val="00D34E7C"/>
    <w:rsid w:val="00D35489"/>
    <w:rsid w:val="00D41FB4"/>
    <w:rsid w:val="00D42D3C"/>
    <w:rsid w:val="00D43BB3"/>
    <w:rsid w:val="00D4531F"/>
    <w:rsid w:val="00D5056E"/>
    <w:rsid w:val="00D51276"/>
    <w:rsid w:val="00D577F9"/>
    <w:rsid w:val="00D6086D"/>
    <w:rsid w:val="00D60B63"/>
    <w:rsid w:val="00D6672E"/>
    <w:rsid w:val="00D66F3E"/>
    <w:rsid w:val="00D67949"/>
    <w:rsid w:val="00D70080"/>
    <w:rsid w:val="00D7035F"/>
    <w:rsid w:val="00D70D9E"/>
    <w:rsid w:val="00D7255A"/>
    <w:rsid w:val="00D729A5"/>
    <w:rsid w:val="00D7311E"/>
    <w:rsid w:val="00D74434"/>
    <w:rsid w:val="00D74948"/>
    <w:rsid w:val="00D75E52"/>
    <w:rsid w:val="00D769DB"/>
    <w:rsid w:val="00D8058B"/>
    <w:rsid w:val="00D811F1"/>
    <w:rsid w:val="00D81CF0"/>
    <w:rsid w:val="00D86259"/>
    <w:rsid w:val="00D87885"/>
    <w:rsid w:val="00D9128F"/>
    <w:rsid w:val="00D938FB"/>
    <w:rsid w:val="00D95A81"/>
    <w:rsid w:val="00DA2414"/>
    <w:rsid w:val="00DA2E7B"/>
    <w:rsid w:val="00DA376F"/>
    <w:rsid w:val="00DA4CF4"/>
    <w:rsid w:val="00DA517E"/>
    <w:rsid w:val="00DA64CE"/>
    <w:rsid w:val="00DA65AC"/>
    <w:rsid w:val="00DA73F4"/>
    <w:rsid w:val="00DB1913"/>
    <w:rsid w:val="00DB23A2"/>
    <w:rsid w:val="00DB31AE"/>
    <w:rsid w:val="00DB469B"/>
    <w:rsid w:val="00DB6217"/>
    <w:rsid w:val="00DB6D81"/>
    <w:rsid w:val="00DB7682"/>
    <w:rsid w:val="00DB774B"/>
    <w:rsid w:val="00DB7B27"/>
    <w:rsid w:val="00DB7ED3"/>
    <w:rsid w:val="00DC1D19"/>
    <w:rsid w:val="00DC29F0"/>
    <w:rsid w:val="00DC410D"/>
    <w:rsid w:val="00DC482F"/>
    <w:rsid w:val="00DC4E3B"/>
    <w:rsid w:val="00DC53AB"/>
    <w:rsid w:val="00DC68CA"/>
    <w:rsid w:val="00DC7CBA"/>
    <w:rsid w:val="00DD0F4D"/>
    <w:rsid w:val="00DD109B"/>
    <w:rsid w:val="00DD2D64"/>
    <w:rsid w:val="00DD73B7"/>
    <w:rsid w:val="00DE28E8"/>
    <w:rsid w:val="00DE57ED"/>
    <w:rsid w:val="00DE6D3D"/>
    <w:rsid w:val="00DF0369"/>
    <w:rsid w:val="00DF256A"/>
    <w:rsid w:val="00DF28BC"/>
    <w:rsid w:val="00DF2BBE"/>
    <w:rsid w:val="00DF34B9"/>
    <w:rsid w:val="00DF36DA"/>
    <w:rsid w:val="00DF4EE4"/>
    <w:rsid w:val="00DF69F2"/>
    <w:rsid w:val="00E00C0C"/>
    <w:rsid w:val="00E01053"/>
    <w:rsid w:val="00E032C4"/>
    <w:rsid w:val="00E03AB5"/>
    <w:rsid w:val="00E04FF6"/>
    <w:rsid w:val="00E07ACF"/>
    <w:rsid w:val="00E07C49"/>
    <w:rsid w:val="00E1142E"/>
    <w:rsid w:val="00E11EA9"/>
    <w:rsid w:val="00E13C23"/>
    <w:rsid w:val="00E17451"/>
    <w:rsid w:val="00E176E0"/>
    <w:rsid w:val="00E20F23"/>
    <w:rsid w:val="00E21189"/>
    <w:rsid w:val="00E22344"/>
    <w:rsid w:val="00E22D73"/>
    <w:rsid w:val="00E24A28"/>
    <w:rsid w:val="00E2598A"/>
    <w:rsid w:val="00E26D43"/>
    <w:rsid w:val="00E2719A"/>
    <w:rsid w:val="00E331A1"/>
    <w:rsid w:val="00E33202"/>
    <w:rsid w:val="00E336A9"/>
    <w:rsid w:val="00E339F9"/>
    <w:rsid w:val="00E34D61"/>
    <w:rsid w:val="00E352AD"/>
    <w:rsid w:val="00E35DF9"/>
    <w:rsid w:val="00E36162"/>
    <w:rsid w:val="00E4020E"/>
    <w:rsid w:val="00E41572"/>
    <w:rsid w:val="00E42E24"/>
    <w:rsid w:val="00E4326C"/>
    <w:rsid w:val="00E43716"/>
    <w:rsid w:val="00E43E83"/>
    <w:rsid w:val="00E4418C"/>
    <w:rsid w:val="00E442E7"/>
    <w:rsid w:val="00E47FEC"/>
    <w:rsid w:val="00E50624"/>
    <w:rsid w:val="00E50EC1"/>
    <w:rsid w:val="00E559C8"/>
    <w:rsid w:val="00E559F4"/>
    <w:rsid w:val="00E568DF"/>
    <w:rsid w:val="00E6091E"/>
    <w:rsid w:val="00E63E1C"/>
    <w:rsid w:val="00E64269"/>
    <w:rsid w:val="00E648BF"/>
    <w:rsid w:val="00E67B9B"/>
    <w:rsid w:val="00E70395"/>
    <w:rsid w:val="00E71182"/>
    <w:rsid w:val="00E7180C"/>
    <w:rsid w:val="00E71EE8"/>
    <w:rsid w:val="00E759C7"/>
    <w:rsid w:val="00E778AF"/>
    <w:rsid w:val="00E82267"/>
    <w:rsid w:val="00E82D19"/>
    <w:rsid w:val="00E8382C"/>
    <w:rsid w:val="00E84714"/>
    <w:rsid w:val="00E879E6"/>
    <w:rsid w:val="00E9375F"/>
    <w:rsid w:val="00E938AA"/>
    <w:rsid w:val="00E95984"/>
    <w:rsid w:val="00E96D03"/>
    <w:rsid w:val="00EA010F"/>
    <w:rsid w:val="00EA039B"/>
    <w:rsid w:val="00EA2455"/>
    <w:rsid w:val="00EA262D"/>
    <w:rsid w:val="00EA4AA3"/>
    <w:rsid w:val="00EA4BCA"/>
    <w:rsid w:val="00EA545A"/>
    <w:rsid w:val="00EA5E4F"/>
    <w:rsid w:val="00EB2461"/>
    <w:rsid w:val="00EC1C2C"/>
    <w:rsid w:val="00EC25B6"/>
    <w:rsid w:val="00EC38BD"/>
    <w:rsid w:val="00EC3F04"/>
    <w:rsid w:val="00ED1B63"/>
    <w:rsid w:val="00ED29E6"/>
    <w:rsid w:val="00ED29EA"/>
    <w:rsid w:val="00ED360C"/>
    <w:rsid w:val="00ED3C1F"/>
    <w:rsid w:val="00ED4085"/>
    <w:rsid w:val="00ED420E"/>
    <w:rsid w:val="00ED6AD8"/>
    <w:rsid w:val="00ED71DF"/>
    <w:rsid w:val="00EE0963"/>
    <w:rsid w:val="00EE1FC9"/>
    <w:rsid w:val="00EE24E3"/>
    <w:rsid w:val="00EE2F57"/>
    <w:rsid w:val="00EE6332"/>
    <w:rsid w:val="00EF132A"/>
    <w:rsid w:val="00EF4C34"/>
    <w:rsid w:val="00EF5291"/>
    <w:rsid w:val="00EF64E8"/>
    <w:rsid w:val="00EF659B"/>
    <w:rsid w:val="00EF77C6"/>
    <w:rsid w:val="00EF7BDE"/>
    <w:rsid w:val="00EF7CA7"/>
    <w:rsid w:val="00F022B4"/>
    <w:rsid w:val="00F0292C"/>
    <w:rsid w:val="00F05438"/>
    <w:rsid w:val="00F0746A"/>
    <w:rsid w:val="00F110A1"/>
    <w:rsid w:val="00F113D8"/>
    <w:rsid w:val="00F118C3"/>
    <w:rsid w:val="00F1361C"/>
    <w:rsid w:val="00F14902"/>
    <w:rsid w:val="00F160C7"/>
    <w:rsid w:val="00F16FDE"/>
    <w:rsid w:val="00F20320"/>
    <w:rsid w:val="00F20532"/>
    <w:rsid w:val="00F21001"/>
    <w:rsid w:val="00F228F9"/>
    <w:rsid w:val="00F248A8"/>
    <w:rsid w:val="00F24E3F"/>
    <w:rsid w:val="00F26D60"/>
    <w:rsid w:val="00F30138"/>
    <w:rsid w:val="00F301B6"/>
    <w:rsid w:val="00F31EA1"/>
    <w:rsid w:val="00F3294D"/>
    <w:rsid w:val="00F354A9"/>
    <w:rsid w:val="00F36D8F"/>
    <w:rsid w:val="00F3744E"/>
    <w:rsid w:val="00F40698"/>
    <w:rsid w:val="00F406E9"/>
    <w:rsid w:val="00F417B1"/>
    <w:rsid w:val="00F460AB"/>
    <w:rsid w:val="00F50AC5"/>
    <w:rsid w:val="00F53E68"/>
    <w:rsid w:val="00F5454E"/>
    <w:rsid w:val="00F559FA"/>
    <w:rsid w:val="00F57903"/>
    <w:rsid w:val="00F602DF"/>
    <w:rsid w:val="00F6390A"/>
    <w:rsid w:val="00F6529E"/>
    <w:rsid w:val="00F6641D"/>
    <w:rsid w:val="00F75CC0"/>
    <w:rsid w:val="00F75CCC"/>
    <w:rsid w:val="00F75F9D"/>
    <w:rsid w:val="00F81FD9"/>
    <w:rsid w:val="00F82490"/>
    <w:rsid w:val="00F8281D"/>
    <w:rsid w:val="00F835D4"/>
    <w:rsid w:val="00F841AA"/>
    <w:rsid w:val="00F845B5"/>
    <w:rsid w:val="00F86932"/>
    <w:rsid w:val="00F875DB"/>
    <w:rsid w:val="00F87E73"/>
    <w:rsid w:val="00F905A4"/>
    <w:rsid w:val="00F92C70"/>
    <w:rsid w:val="00F93633"/>
    <w:rsid w:val="00F93DF5"/>
    <w:rsid w:val="00FA0947"/>
    <w:rsid w:val="00FA23E8"/>
    <w:rsid w:val="00FA2F5B"/>
    <w:rsid w:val="00FA4421"/>
    <w:rsid w:val="00FA4B00"/>
    <w:rsid w:val="00FA525F"/>
    <w:rsid w:val="00FA77AD"/>
    <w:rsid w:val="00FB0BBA"/>
    <w:rsid w:val="00FB1FF4"/>
    <w:rsid w:val="00FB55E6"/>
    <w:rsid w:val="00FC124C"/>
    <w:rsid w:val="00FC1E02"/>
    <w:rsid w:val="00FC3048"/>
    <w:rsid w:val="00FC4660"/>
    <w:rsid w:val="00FC46BC"/>
    <w:rsid w:val="00FC7DEF"/>
    <w:rsid w:val="00FD020D"/>
    <w:rsid w:val="00FD3016"/>
    <w:rsid w:val="00FD3828"/>
    <w:rsid w:val="00FD3CC1"/>
    <w:rsid w:val="00FD5BFE"/>
    <w:rsid w:val="00FE17BC"/>
    <w:rsid w:val="00FE2AD1"/>
    <w:rsid w:val="00FE4DB0"/>
    <w:rsid w:val="00FE5493"/>
    <w:rsid w:val="00FE625C"/>
    <w:rsid w:val="00FF1E02"/>
    <w:rsid w:val="00FF30B4"/>
    <w:rsid w:val="00FF66E8"/>
    <w:rsid w:val="012F3CEB"/>
    <w:rsid w:val="01B354EA"/>
    <w:rsid w:val="01CF32DE"/>
    <w:rsid w:val="01D74DB7"/>
    <w:rsid w:val="01D86637"/>
    <w:rsid w:val="01F04616"/>
    <w:rsid w:val="037A757D"/>
    <w:rsid w:val="03F359AA"/>
    <w:rsid w:val="045647CC"/>
    <w:rsid w:val="0463543B"/>
    <w:rsid w:val="048D6B52"/>
    <w:rsid w:val="04A56E6E"/>
    <w:rsid w:val="04D45254"/>
    <w:rsid w:val="04D550AF"/>
    <w:rsid w:val="051A6F96"/>
    <w:rsid w:val="05C25E8C"/>
    <w:rsid w:val="065A1D10"/>
    <w:rsid w:val="06951176"/>
    <w:rsid w:val="07001BE1"/>
    <w:rsid w:val="07267DE7"/>
    <w:rsid w:val="088F55D5"/>
    <w:rsid w:val="089C4B49"/>
    <w:rsid w:val="09081517"/>
    <w:rsid w:val="090C37B7"/>
    <w:rsid w:val="091B747D"/>
    <w:rsid w:val="093525C0"/>
    <w:rsid w:val="095B13FF"/>
    <w:rsid w:val="09A572B6"/>
    <w:rsid w:val="0A19737C"/>
    <w:rsid w:val="0A6826E8"/>
    <w:rsid w:val="0B7218AA"/>
    <w:rsid w:val="0B99373B"/>
    <w:rsid w:val="0BA37CB5"/>
    <w:rsid w:val="0CB56F3D"/>
    <w:rsid w:val="0D0429D6"/>
    <w:rsid w:val="0D093B48"/>
    <w:rsid w:val="0D322E51"/>
    <w:rsid w:val="0D6C338E"/>
    <w:rsid w:val="0DB37F58"/>
    <w:rsid w:val="0E6D2010"/>
    <w:rsid w:val="0ECF2B6F"/>
    <w:rsid w:val="0F5E6610"/>
    <w:rsid w:val="0F9D7E2F"/>
    <w:rsid w:val="0FB52B86"/>
    <w:rsid w:val="0FDB629D"/>
    <w:rsid w:val="0FDC2C20"/>
    <w:rsid w:val="0FFD0B0D"/>
    <w:rsid w:val="103747CF"/>
    <w:rsid w:val="10C055FF"/>
    <w:rsid w:val="116A6D7C"/>
    <w:rsid w:val="11761AF6"/>
    <w:rsid w:val="11851C0B"/>
    <w:rsid w:val="11D56DF6"/>
    <w:rsid w:val="11ED6591"/>
    <w:rsid w:val="13367661"/>
    <w:rsid w:val="14D728AA"/>
    <w:rsid w:val="15F1786F"/>
    <w:rsid w:val="16BB723D"/>
    <w:rsid w:val="17283764"/>
    <w:rsid w:val="174F484D"/>
    <w:rsid w:val="176127D3"/>
    <w:rsid w:val="177907CB"/>
    <w:rsid w:val="17BC7656"/>
    <w:rsid w:val="17EA348C"/>
    <w:rsid w:val="1840212F"/>
    <w:rsid w:val="184656CF"/>
    <w:rsid w:val="18F2402A"/>
    <w:rsid w:val="193C261A"/>
    <w:rsid w:val="19934117"/>
    <w:rsid w:val="19943114"/>
    <w:rsid w:val="19DE22C0"/>
    <w:rsid w:val="19F921B0"/>
    <w:rsid w:val="1AB026BC"/>
    <w:rsid w:val="1ABB32B6"/>
    <w:rsid w:val="1B787B60"/>
    <w:rsid w:val="1BF70747"/>
    <w:rsid w:val="1C06153F"/>
    <w:rsid w:val="1C3D736A"/>
    <w:rsid w:val="1C986C96"/>
    <w:rsid w:val="1D7371C3"/>
    <w:rsid w:val="1DDC2BB3"/>
    <w:rsid w:val="1E34479D"/>
    <w:rsid w:val="1EF81F78"/>
    <w:rsid w:val="1F620905"/>
    <w:rsid w:val="1FD12B34"/>
    <w:rsid w:val="201A6AB0"/>
    <w:rsid w:val="203B66A0"/>
    <w:rsid w:val="206D278F"/>
    <w:rsid w:val="20851859"/>
    <w:rsid w:val="211A679A"/>
    <w:rsid w:val="21253DA0"/>
    <w:rsid w:val="21262F02"/>
    <w:rsid w:val="22857975"/>
    <w:rsid w:val="23890CA8"/>
    <w:rsid w:val="23902475"/>
    <w:rsid w:val="23FA0B3C"/>
    <w:rsid w:val="240371BF"/>
    <w:rsid w:val="2435534E"/>
    <w:rsid w:val="24534F10"/>
    <w:rsid w:val="24DF6C66"/>
    <w:rsid w:val="253D03DB"/>
    <w:rsid w:val="253F66D1"/>
    <w:rsid w:val="25A20B86"/>
    <w:rsid w:val="25B1070F"/>
    <w:rsid w:val="25C5001A"/>
    <w:rsid w:val="25DD571A"/>
    <w:rsid w:val="265C1D1F"/>
    <w:rsid w:val="26BB36DB"/>
    <w:rsid w:val="271C5A93"/>
    <w:rsid w:val="276F1834"/>
    <w:rsid w:val="27B459F9"/>
    <w:rsid w:val="27C51E91"/>
    <w:rsid w:val="280173B2"/>
    <w:rsid w:val="28513369"/>
    <w:rsid w:val="28BF6D42"/>
    <w:rsid w:val="28C822A0"/>
    <w:rsid w:val="28F20637"/>
    <w:rsid w:val="292E058E"/>
    <w:rsid w:val="29FD04D3"/>
    <w:rsid w:val="2B190DD8"/>
    <w:rsid w:val="2C1E1BB4"/>
    <w:rsid w:val="2CAE1BBE"/>
    <w:rsid w:val="2CCF04B2"/>
    <w:rsid w:val="2DC301AF"/>
    <w:rsid w:val="2DF079DB"/>
    <w:rsid w:val="2E4C04E0"/>
    <w:rsid w:val="2E67588F"/>
    <w:rsid w:val="2EAE76A8"/>
    <w:rsid w:val="2F1D43BA"/>
    <w:rsid w:val="2F803D16"/>
    <w:rsid w:val="2FF22B1D"/>
    <w:rsid w:val="30CB71E3"/>
    <w:rsid w:val="30E36C85"/>
    <w:rsid w:val="31810DA9"/>
    <w:rsid w:val="31903F88"/>
    <w:rsid w:val="319F7F4E"/>
    <w:rsid w:val="32004B5E"/>
    <w:rsid w:val="323A1C2F"/>
    <w:rsid w:val="329448A6"/>
    <w:rsid w:val="32BD54F9"/>
    <w:rsid w:val="32F45598"/>
    <w:rsid w:val="33204932"/>
    <w:rsid w:val="33447C07"/>
    <w:rsid w:val="35244754"/>
    <w:rsid w:val="364D41F6"/>
    <w:rsid w:val="36FD0156"/>
    <w:rsid w:val="38207F4E"/>
    <w:rsid w:val="38A65E3F"/>
    <w:rsid w:val="38F8371D"/>
    <w:rsid w:val="39226F5F"/>
    <w:rsid w:val="39902098"/>
    <w:rsid w:val="39FD5F33"/>
    <w:rsid w:val="3A3A0F35"/>
    <w:rsid w:val="3A4E1148"/>
    <w:rsid w:val="3AEB6AD7"/>
    <w:rsid w:val="3AF15A98"/>
    <w:rsid w:val="3B040500"/>
    <w:rsid w:val="3B547DD5"/>
    <w:rsid w:val="3C8D2F9D"/>
    <w:rsid w:val="3CE0510E"/>
    <w:rsid w:val="3D0E3B71"/>
    <w:rsid w:val="3D1927CA"/>
    <w:rsid w:val="3D1E4B3E"/>
    <w:rsid w:val="3D6F2272"/>
    <w:rsid w:val="3D8344ED"/>
    <w:rsid w:val="3DE36A6A"/>
    <w:rsid w:val="3E03620E"/>
    <w:rsid w:val="3E343C22"/>
    <w:rsid w:val="3F512FA9"/>
    <w:rsid w:val="3F7C601F"/>
    <w:rsid w:val="3FAC4683"/>
    <w:rsid w:val="3FEA5DFB"/>
    <w:rsid w:val="401C35B7"/>
    <w:rsid w:val="4119235A"/>
    <w:rsid w:val="41677310"/>
    <w:rsid w:val="422C2C46"/>
    <w:rsid w:val="4251506E"/>
    <w:rsid w:val="42B75819"/>
    <w:rsid w:val="43684120"/>
    <w:rsid w:val="43D909E6"/>
    <w:rsid w:val="44250560"/>
    <w:rsid w:val="444F07DA"/>
    <w:rsid w:val="44601E28"/>
    <w:rsid w:val="471843AC"/>
    <w:rsid w:val="472E4611"/>
    <w:rsid w:val="475E72DC"/>
    <w:rsid w:val="47F514AF"/>
    <w:rsid w:val="4839282C"/>
    <w:rsid w:val="48FD75BD"/>
    <w:rsid w:val="49243056"/>
    <w:rsid w:val="494C4A06"/>
    <w:rsid w:val="4A113668"/>
    <w:rsid w:val="4A745623"/>
    <w:rsid w:val="4B187071"/>
    <w:rsid w:val="4B2B2DCB"/>
    <w:rsid w:val="4B6A5BC2"/>
    <w:rsid w:val="4BA35D3B"/>
    <w:rsid w:val="4C7555EC"/>
    <w:rsid w:val="4D135D42"/>
    <w:rsid w:val="4D846266"/>
    <w:rsid w:val="4D8D78A2"/>
    <w:rsid w:val="4DF123A8"/>
    <w:rsid w:val="4E235768"/>
    <w:rsid w:val="4E290981"/>
    <w:rsid w:val="4E832A53"/>
    <w:rsid w:val="4E9E44C2"/>
    <w:rsid w:val="4EBC1A30"/>
    <w:rsid w:val="4F3B530F"/>
    <w:rsid w:val="4F6F7A34"/>
    <w:rsid w:val="4FD74194"/>
    <w:rsid w:val="4FDA49F5"/>
    <w:rsid w:val="504564CA"/>
    <w:rsid w:val="50AE413E"/>
    <w:rsid w:val="50B11AF9"/>
    <w:rsid w:val="51912F44"/>
    <w:rsid w:val="51E1640E"/>
    <w:rsid w:val="51EE42CA"/>
    <w:rsid w:val="52195E38"/>
    <w:rsid w:val="52302EF2"/>
    <w:rsid w:val="52600AD7"/>
    <w:rsid w:val="52ED6284"/>
    <w:rsid w:val="5322283B"/>
    <w:rsid w:val="532B0C13"/>
    <w:rsid w:val="53BA6F17"/>
    <w:rsid w:val="53BE2B80"/>
    <w:rsid w:val="541505F1"/>
    <w:rsid w:val="54992FD0"/>
    <w:rsid w:val="551B5793"/>
    <w:rsid w:val="55872E29"/>
    <w:rsid w:val="56D0674C"/>
    <w:rsid w:val="575658A4"/>
    <w:rsid w:val="57D23F06"/>
    <w:rsid w:val="58845D45"/>
    <w:rsid w:val="58BA52C3"/>
    <w:rsid w:val="58BC5D23"/>
    <w:rsid w:val="59E040FC"/>
    <w:rsid w:val="59E11CD3"/>
    <w:rsid w:val="5A857BDE"/>
    <w:rsid w:val="5B2A4567"/>
    <w:rsid w:val="5BE202EA"/>
    <w:rsid w:val="5CE95B0C"/>
    <w:rsid w:val="5CFA7F1D"/>
    <w:rsid w:val="5D577E65"/>
    <w:rsid w:val="5D6F6B2F"/>
    <w:rsid w:val="5E2506F8"/>
    <w:rsid w:val="5E5E7F75"/>
    <w:rsid w:val="5EA316D6"/>
    <w:rsid w:val="5ECE1AC8"/>
    <w:rsid w:val="5EF556B7"/>
    <w:rsid w:val="5F3A07D2"/>
    <w:rsid w:val="5F593A88"/>
    <w:rsid w:val="5FF901AE"/>
    <w:rsid w:val="60651EAC"/>
    <w:rsid w:val="60BB3927"/>
    <w:rsid w:val="61E45C16"/>
    <w:rsid w:val="6200749A"/>
    <w:rsid w:val="620F0B35"/>
    <w:rsid w:val="6240022D"/>
    <w:rsid w:val="62A42EE2"/>
    <w:rsid w:val="62F14F12"/>
    <w:rsid w:val="630D013F"/>
    <w:rsid w:val="63347FC4"/>
    <w:rsid w:val="635767A5"/>
    <w:rsid w:val="63604CB9"/>
    <w:rsid w:val="64A36D0B"/>
    <w:rsid w:val="64C656C1"/>
    <w:rsid w:val="64F77166"/>
    <w:rsid w:val="657F4183"/>
    <w:rsid w:val="658466A7"/>
    <w:rsid w:val="6596487B"/>
    <w:rsid w:val="65DF63C9"/>
    <w:rsid w:val="662A7F2C"/>
    <w:rsid w:val="66627873"/>
    <w:rsid w:val="66D65FFA"/>
    <w:rsid w:val="670F2C7E"/>
    <w:rsid w:val="67C24194"/>
    <w:rsid w:val="67EB36EB"/>
    <w:rsid w:val="6861575B"/>
    <w:rsid w:val="68DA2DB6"/>
    <w:rsid w:val="69725134"/>
    <w:rsid w:val="6AD83F60"/>
    <w:rsid w:val="6B4666B6"/>
    <w:rsid w:val="6CC85DA9"/>
    <w:rsid w:val="6D2A5F93"/>
    <w:rsid w:val="6D8F2D6B"/>
    <w:rsid w:val="6DB91990"/>
    <w:rsid w:val="6DC31436"/>
    <w:rsid w:val="6DF130DE"/>
    <w:rsid w:val="6E6F4E2B"/>
    <w:rsid w:val="6ECB49CF"/>
    <w:rsid w:val="6ECB5A2B"/>
    <w:rsid w:val="6F2C456C"/>
    <w:rsid w:val="6F725CC4"/>
    <w:rsid w:val="6F806E0F"/>
    <w:rsid w:val="70202A42"/>
    <w:rsid w:val="70ED3F4C"/>
    <w:rsid w:val="72227D09"/>
    <w:rsid w:val="72E476B5"/>
    <w:rsid w:val="72F22338"/>
    <w:rsid w:val="733572FD"/>
    <w:rsid w:val="73BE3A62"/>
    <w:rsid w:val="746C7E4B"/>
    <w:rsid w:val="750E6C6B"/>
    <w:rsid w:val="755E374E"/>
    <w:rsid w:val="75B310E7"/>
    <w:rsid w:val="75B318F4"/>
    <w:rsid w:val="761A4623"/>
    <w:rsid w:val="76377F56"/>
    <w:rsid w:val="764B35A7"/>
    <w:rsid w:val="769E6A57"/>
    <w:rsid w:val="77B238DE"/>
    <w:rsid w:val="78A4106B"/>
    <w:rsid w:val="79975481"/>
    <w:rsid w:val="79B4511D"/>
    <w:rsid w:val="79F60BE5"/>
    <w:rsid w:val="7A1B4027"/>
    <w:rsid w:val="7A965738"/>
    <w:rsid w:val="7ABC1C9C"/>
    <w:rsid w:val="7B022DCE"/>
    <w:rsid w:val="7B272834"/>
    <w:rsid w:val="7B8F71DF"/>
    <w:rsid w:val="7C1568F9"/>
    <w:rsid w:val="7C3B4B70"/>
    <w:rsid w:val="7C743857"/>
    <w:rsid w:val="7CB2612E"/>
    <w:rsid w:val="7CC25607"/>
    <w:rsid w:val="7CE556B8"/>
    <w:rsid w:val="7DE859ED"/>
    <w:rsid w:val="7E4C610E"/>
    <w:rsid w:val="7F09108F"/>
    <w:rsid w:val="7FDC49A0"/>
    <w:rsid w:val="DBDF86CC"/>
    <w:rsid w:val="DFEA930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4"/>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25"/>
    <w:unhideWhenUsed/>
    <w:qFormat/>
    <w:uiPriority w:val="9"/>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Normal Indent"/>
    <w:basedOn w:val="1"/>
    <w:unhideWhenUsed/>
    <w:qFormat/>
    <w:uiPriority w:val="99"/>
    <w:pPr>
      <w:ind w:firstLine="680"/>
    </w:pPr>
  </w:style>
  <w:style w:type="paragraph" w:styleId="7">
    <w:name w:val="annotation text"/>
    <w:basedOn w:val="1"/>
    <w:semiHidden/>
    <w:unhideWhenUsed/>
    <w:qFormat/>
    <w:uiPriority w:val="99"/>
    <w:pPr>
      <w:jc w:val="left"/>
    </w:pPr>
  </w:style>
  <w:style w:type="paragraph" w:styleId="8">
    <w:name w:val="Body Text"/>
    <w:basedOn w:val="1"/>
    <w:link w:val="32"/>
    <w:qFormat/>
    <w:uiPriority w:val="99"/>
    <w:pPr>
      <w:spacing w:beforeLines="30"/>
    </w:pPr>
    <w:rPr>
      <w:rFonts w:ascii="仿宋_GB2312" w:eastAsia="仿宋_GB2312"/>
      <w:kern w:val="0"/>
      <w:sz w:val="30"/>
    </w:rPr>
  </w:style>
  <w:style w:type="paragraph" w:styleId="9">
    <w:name w:val="Body Text Indent"/>
    <w:basedOn w:val="1"/>
    <w:next w:val="10"/>
    <w:qFormat/>
    <w:uiPriority w:val="0"/>
    <w:pPr>
      <w:spacing w:after="120"/>
      <w:ind w:leftChars="200"/>
    </w:pPr>
    <w:rPr>
      <w:rFonts w:ascii="仿宋_GB2312"/>
      <w:szCs w:val="32"/>
    </w:rPr>
  </w:style>
  <w:style w:type="paragraph" w:styleId="10">
    <w:name w:val="Body Text First Indent 2"/>
    <w:basedOn w:val="9"/>
    <w:unhideWhenUsed/>
    <w:qFormat/>
    <w:uiPriority w:val="99"/>
    <w:pPr>
      <w:ind w:firstLine="420" w:firstLineChars="200"/>
    </w:pPr>
  </w:style>
  <w:style w:type="paragraph" w:styleId="11">
    <w:name w:val="toc 3"/>
    <w:basedOn w:val="1"/>
    <w:next w:val="1"/>
    <w:unhideWhenUsed/>
    <w:qFormat/>
    <w:uiPriority w:val="39"/>
    <w:pPr>
      <w:tabs>
        <w:tab w:val="right" w:leader="dot" w:pos="8296"/>
      </w:tabs>
      <w:ind w:left="840" w:leftChars="400"/>
    </w:pPr>
  </w:style>
  <w:style w:type="paragraph" w:styleId="12">
    <w:name w:val="Balloon Text"/>
    <w:basedOn w:val="1"/>
    <w:link w:val="37"/>
    <w:semiHidden/>
    <w:unhideWhenUsed/>
    <w:qFormat/>
    <w:uiPriority w:val="99"/>
    <w:rPr>
      <w:sz w:val="18"/>
      <w:szCs w:val="18"/>
    </w:rPr>
  </w:style>
  <w:style w:type="paragraph" w:styleId="13">
    <w:name w:val="footer"/>
    <w:basedOn w:val="1"/>
    <w:link w:val="30"/>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8"/>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footnote text"/>
    <w:basedOn w:val="1"/>
    <w:next w:val="10"/>
    <w:semiHidden/>
    <w:qFormat/>
    <w:uiPriority w:val="0"/>
    <w:pPr>
      <w:snapToGrid w:val="0"/>
      <w:jc w:val="left"/>
    </w:pPr>
    <w:rPr>
      <w:sz w:val="18"/>
      <w:szCs w:val="18"/>
    </w:rPr>
  </w:style>
  <w:style w:type="paragraph" w:styleId="17">
    <w:name w:val="table of figures"/>
    <w:basedOn w:val="1"/>
    <w:next w:val="1"/>
    <w:qFormat/>
    <w:uiPriority w:val="0"/>
    <w:pPr>
      <w:ind w:left="200" w:leftChars="200" w:hanging="200" w:hangingChars="200"/>
    </w:pPr>
  </w:style>
  <w:style w:type="paragraph" w:styleId="18">
    <w:name w:val="toc 2"/>
    <w:basedOn w:val="1"/>
    <w:next w:val="1"/>
    <w:unhideWhenUsed/>
    <w:qFormat/>
    <w:uiPriority w:val="39"/>
    <w:pPr>
      <w:tabs>
        <w:tab w:val="right" w:leader="dot" w:pos="8296"/>
      </w:tabs>
      <w:ind w:left="420" w:leftChars="200"/>
    </w:pPr>
  </w:style>
  <w:style w:type="paragraph" w:styleId="19">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22">
    <w:name w:val="Strong"/>
    <w:basedOn w:val="21"/>
    <w:qFormat/>
    <w:uiPriority w:val="99"/>
    <w:rPr>
      <w:b/>
    </w:rPr>
  </w:style>
  <w:style w:type="character" w:styleId="23">
    <w:name w:val="Hyperlink"/>
    <w:basedOn w:val="21"/>
    <w:unhideWhenUsed/>
    <w:qFormat/>
    <w:uiPriority w:val="99"/>
    <w:rPr>
      <w:color w:val="0000FF" w:themeColor="hyperlink"/>
      <w:u w:val="single"/>
      <w14:textFill>
        <w14:solidFill>
          <w14:schemeClr w14:val="hlink"/>
        </w14:solidFill>
      </w14:textFill>
    </w:rPr>
  </w:style>
  <w:style w:type="character" w:styleId="24">
    <w:name w:val="annotation reference"/>
    <w:basedOn w:val="21"/>
    <w:semiHidden/>
    <w:unhideWhenUsed/>
    <w:qFormat/>
    <w:uiPriority w:val="99"/>
    <w:rPr>
      <w:sz w:val="21"/>
      <w:szCs w:val="21"/>
    </w:rPr>
  </w:style>
  <w:style w:type="character" w:customStyle="1" w:styleId="25">
    <w:name w:val="标题 3 字符"/>
    <w:basedOn w:val="21"/>
    <w:link w:val="5"/>
    <w:qFormat/>
    <w:uiPriority w:val="9"/>
    <w:rPr>
      <w:rFonts w:ascii="Times New Roman" w:hAnsi="Times New Roman"/>
      <w:b/>
      <w:bCs/>
      <w:kern w:val="2"/>
      <w:sz w:val="32"/>
      <w:szCs w:val="32"/>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27">
    <w:name w:val="Header Char"/>
    <w:basedOn w:val="21"/>
    <w:semiHidden/>
    <w:qFormat/>
    <w:uiPriority w:val="99"/>
    <w:rPr>
      <w:rFonts w:ascii="Times New Roman" w:hAnsi="Times New Roman"/>
      <w:sz w:val="18"/>
      <w:szCs w:val="18"/>
    </w:rPr>
  </w:style>
  <w:style w:type="character" w:customStyle="1" w:styleId="28">
    <w:name w:val="页眉 字符"/>
    <w:link w:val="14"/>
    <w:semiHidden/>
    <w:qFormat/>
    <w:locked/>
    <w:uiPriority w:val="99"/>
    <w:rPr>
      <w:sz w:val="18"/>
    </w:rPr>
  </w:style>
  <w:style w:type="character" w:customStyle="1" w:styleId="29">
    <w:name w:val="Footer Char"/>
    <w:basedOn w:val="21"/>
    <w:semiHidden/>
    <w:qFormat/>
    <w:uiPriority w:val="99"/>
    <w:rPr>
      <w:rFonts w:ascii="Times New Roman" w:hAnsi="Times New Roman"/>
      <w:sz w:val="18"/>
      <w:szCs w:val="18"/>
    </w:rPr>
  </w:style>
  <w:style w:type="character" w:customStyle="1" w:styleId="30">
    <w:name w:val="页脚 字符"/>
    <w:link w:val="13"/>
    <w:qFormat/>
    <w:locked/>
    <w:uiPriority w:val="99"/>
    <w:rPr>
      <w:sz w:val="18"/>
    </w:rPr>
  </w:style>
  <w:style w:type="character" w:customStyle="1" w:styleId="31">
    <w:name w:val="Body Text Char"/>
    <w:basedOn w:val="21"/>
    <w:semiHidden/>
    <w:qFormat/>
    <w:uiPriority w:val="99"/>
    <w:rPr>
      <w:rFonts w:ascii="Times New Roman" w:hAnsi="Times New Roman"/>
      <w:szCs w:val="24"/>
    </w:rPr>
  </w:style>
  <w:style w:type="character" w:customStyle="1" w:styleId="32">
    <w:name w:val="正文文本 字符"/>
    <w:link w:val="8"/>
    <w:qFormat/>
    <w:locked/>
    <w:uiPriority w:val="99"/>
    <w:rPr>
      <w:rFonts w:ascii="仿宋_GB2312" w:hAnsi="Times New Roman" w:eastAsia="仿宋_GB2312"/>
      <w:sz w:val="24"/>
    </w:rPr>
  </w:style>
  <w:style w:type="paragraph" w:styleId="33">
    <w:name w:val="List Paragraph"/>
    <w:basedOn w:val="1"/>
    <w:qFormat/>
    <w:uiPriority w:val="34"/>
    <w:pPr>
      <w:ind w:firstLine="420" w:firstLineChars="200"/>
    </w:pPr>
  </w:style>
  <w:style w:type="character" w:customStyle="1" w:styleId="34">
    <w:name w:val="标题 1 字符"/>
    <w:basedOn w:val="21"/>
    <w:link w:val="3"/>
    <w:qFormat/>
    <w:uiPriority w:val="9"/>
    <w:rPr>
      <w:rFonts w:ascii="Times New Roman" w:hAnsi="Times New Roman"/>
      <w:b/>
      <w:bCs/>
      <w:kern w:val="44"/>
      <w:sz w:val="44"/>
      <w:szCs w:val="44"/>
    </w:rPr>
  </w:style>
  <w:style w:type="character" w:customStyle="1" w:styleId="35">
    <w:name w:val="标题 2 字符"/>
    <w:basedOn w:val="21"/>
    <w:link w:val="4"/>
    <w:qFormat/>
    <w:uiPriority w:val="9"/>
    <w:rPr>
      <w:rFonts w:asciiTheme="majorHAnsi" w:hAnsiTheme="majorHAnsi" w:eastAsiaTheme="majorEastAsia" w:cstheme="majorBidi"/>
      <w:b/>
      <w:bCs/>
      <w:kern w:val="2"/>
      <w:sz w:val="32"/>
      <w:szCs w:val="32"/>
    </w:rPr>
  </w:style>
  <w:style w:type="paragraph" w:customStyle="1" w:styleId="36">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7">
    <w:name w:val="批注框文本 字符"/>
    <w:basedOn w:val="21"/>
    <w:link w:val="12"/>
    <w:semiHidden/>
    <w:qFormat/>
    <w:uiPriority w:val="99"/>
    <w:rPr>
      <w:rFonts w:ascii="Times New Roman" w:hAnsi="Times New Roman"/>
      <w:kern w:val="2"/>
      <w:sz w:val="18"/>
      <w:szCs w:val="18"/>
    </w:rPr>
  </w:style>
  <w:style w:type="character" w:customStyle="1" w:styleId="38">
    <w:name w:val="text-tag"/>
    <w:basedOn w:val="21"/>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5362</Words>
  <Characters>5990</Characters>
  <Lines>48</Lines>
  <Paragraphs>13</Paragraphs>
  <TotalTime>8</TotalTime>
  <ScaleCrop>false</ScaleCrop>
  <LinksUpToDate>false</LinksUpToDate>
  <CharactersWithSpaces>6494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2023-08-18T23:28:00Z</dcterms:created>
  <dc:creator>pjf</dc:creator>
  <cp:lastModifiedBy>暖暖か、</cp:lastModifiedBy>
  <cp:lastPrinted>2025-09-17T01:04:00Z</cp:lastPrinted>
  <dcterms:modified xsi:type="dcterms:W3CDTF">2026-08-27T01:24:33Z</dcterms:modified>
  <dc:title>四川省决算编制说明</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87477D6CFAD244AA92AB4C986A1F2AB8_13</vt:lpwstr>
  </property>
  <property fmtid="{D5CDD505-2E9C-101B-9397-08002B2CF9AE}" pid="4" name="KSOTemplateDocerSaveRecord">
    <vt:lpwstr>eyJoZGlkIjoiZDAzNjk0YjczNGYyYmM2YzZlMDdkNWQ4MTg0ZTE4ZTYiLCJ1c2VySWQiOiI0MzkwODAyMDEifQ==</vt:lpwstr>
  </property>
</Properties>
</file>