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10FD0">
      <w:pPr>
        <w:rPr>
          <w:rFonts w:hint="eastAsia" w:ascii="思源黑体 CN Normal" w:eastAsia="思源黑体 CN Normal" w:cs="思源黑体 CN Normal"/>
          <w:b/>
          <w:color w:val="000000"/>
          <w:sz w:val="72"/>
          <w:szCs w:val="72"/>
          <w:lang w:val="en-US" w:eastAsia="zh-CN"/>
        </w:rPr>
      </w:pPr>
      <w:bookmarkStart w:id="0" w:name="_Toc15396475"/>
      <w:bookmarkStart w:id="1" w:name="_Toc15377425"/>
      <w:bookmarkStart w:id="2" w:name="_Toc15396597"/>
      <w:bookmarkStart w:id="3" w:name="_Toc15377193"/>
      <w:bookmarkStart w:id="4" w:name="_Toc15378441"/>
      <w:bookmarkStart w:id="5" w:name="_Toc15306267"/>
      <w:r>
        <w:rPr>
          <w:rFonts w:hint="eastAsia" w:ascii="思源黑体 CN Normal" w:eastAsia="思源黑体 CN Normal" w:cs="思源黑体 CN Normal"/>
          <w:b/>
          <w:color w:val="000000"/>
          <w:sz w:val="72"/>
          <w:szCs w:val="72"/>
          <w:lang w:val="en-US" w:eastAsia="zh-CN"/>
        </w:rPr>
        <w:t xml:space="preserve"> </w:t>
      </w:r>
    </w:p>
    <w:p w14:paraId="10FD1390">
      <w:pPr>
        <w:pStyle w:val="6"/>
        <w:ind w:firstLine="0"/>
        <w:rPr>
          <w:rFonts w:hint="eastAsia" w:ascii="思源黑体 CN Normal" w:eastAsia="思源黑体 CN Normal" w:cs="思源黑体 CN Normal"/>
          <w:color w:val="000000"/>
        </w:rPr>
      </w:pPr>
    </w:p>
    <w:p w14:paraId="3BA5C51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eastAsia="方正小标宋简体" w:cs="方正小标宋简体"/>
          <w:b/>
          <w:bCs w:val="0"/>
          <w:color w:val="000000"/>
          <w:sz w:val="52"/>
          <w:szCs w:val="52"/>
        </w:rPr>
      </w:pPr>
      <w:r>
        <w:rPr>
          <w:rFonts w:hint="eastAsia" w:ascii="方正小标宋简体" w:eastAsia="方正小标宋简体" w:cs="方正小标宋简体"/>
          <w:b/>
          <w:bCs w:val="0"/>
          <w:color w:val="000000"/>
          <w:sz w:val="52"/>
          <w:szCs w:val="52"/>
        </w:rPr>
        <w:t>202</w:t>
      </w:r>
      <w:r>
        <w:rPr>
          <w:rFonts w:hint="eastAsia" w:ascii="方正小标宋简体" w:eastAsia="方正小标宋简体" w:cs="方正小标宋简体"/>
          <w:b/>
          <w:bCs w:val="0"/>
          <w:color w:val="000000"/>
          <w:sz w:val="52"/>
          <w:szCs w:val="52"/>
          <w:lang w:val="en-US" w:eastAsia="zh-CN"/>
        </w:rPr>
        <w:t>5</w:t>
      </w:r>
      <w:r>
        <w:rPr>
          <w:rFonts w:hint="eastAsia" w:ascii="方正小标宋简体" w:eastAsia="方正小标宋简体" w:cs="方正小标宋简体"/>
          <w:b/>
          <w:bCs w:val="0"/>
          <w:color w:val="000000"/>
          <w:sz w:val="52"/>
          <w:szCs w:val="52"/>
          <w:u w:color="auto"/>
        </w:rPr>
        <w:t>年度</w:t>
      </w:r>
      <w:bookmarkEnd w:id="0"/>
      <w:bookmarkEnd w:id="1"/>
      <w:bookmarkEnd w:id="2"/>
      <w:bookmarkEnd w:id="3"/>
      <w:bookmarkEnd w:id="4"/>
    </w:p>
    <w:bookmarkEnd w:id="5"/>
    <w:p w14:paraId="6E81505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eastAsia="方正小标宋简体" w:cs="方正小标宋简体"/>
          <w:b/>
          <w:bCs w:val="0"/>
          <w:color w:val="000000"/>
          <w:sz w:val="52"/>
          <w:szCs w:val="52"/>
        </w:rPr>
      </w:pPr>
      <w:bookmarkStart w:id="6" w:name="_Toc15306268"/>
      <w:bookmarkStart w:id="7" w:name="_Toc15396476"/>
      <w:bookmarkStart w:id="8" w:name="_Toc15378442"/>
      <w:bookmarkStart w:id="9" w:name="_Toc15396598"/>
      <w:bookmarkStart w:id="10" w:name="_Toc15377194"/>
      <w:bookmarkStart w:id="11" w:name="_Toc15377426"/>
      <w:r>
        <w:rPr>
          <w:rFonts w:hint="eastAsia" w:ascii="方正小标宋简体" w:eastAsia="方正小标宋简体" w:cs="方正小标宋简体"/>
          <w:b/>
          <w:bCs w:val="0"/>
          <w:color w:val="000000"/>
          <w:sz w:val="52"/>
          <w:szCs w:val="52"/>
        </w:rPr>
        <w:t>四川省阿坝藏族羌族自治州</w:t>
      </w:r>
    </w:p>
    <w:p w14:paraId="1CD05B6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eastAsia="方正小标宋简体" w:cs="方正小标宋简体"/>
          <w:b/>
          <w:bCs w:val="0"/>
          <w:color w:val="000000"/>
          <w:sz w:val="72"/>
          <w:szCs w:val="72"/>
        </w:rPr>
      </w:pPr>
      <w:r>
        <w:rPr>
          <w:rFonts w:hint="eastAsia" w:ascii="方正小标宋简体" w:eastAsia="方正小标宋简体" w:cs="方正小标宋简体"/>
          <w:b/>
          <w:bCs w:val="0"/>
          <w:color w:val="000000"/>
          <w:sz w:val="52"/>
          <w:szCs w:val="52"/>
        </w:rPr>
        <w:t>茂县</w:t>
      </w:r>
      <w:r>
        <w:rPr>
          <w:rFonts w:hint="eastAsia" w:ascii="方正小标宋简体" w:eastAsia="方正小标宋简体" w:cs="方正小标宋简体"/>
          <w:b/>
          <w:bCs w:val="0"/>
          <w:color w:val="000000"/>
          <w:sz w:val="52"/>
          <w:szCs w:val="52"/>
          <w:lang w:eastAsia="zh-CN"/>
        </w:rPr>
        <w:t>文学艺术界联合会</w:t>
      </w:r>
      <w:r>
        <w:rPr>
          <w:rFonts w:hint="eastAsia" w:ascii="方正小标宋简体" w:eastAsia="方正小标宋简体" w:cs="方正小标宋简体"/>
          <w:b/>
          <w:bCs w:val="0"/>
          <w:color w:val="000000"/>
          <w:sz w:val="52"/>
          <w:szCs w:val="52"/>
          <w:u w:color="auto"/>
        </w:rPr>
        <w:t>部门决算</w:t>
      </w:r>
      <w:bookmarkEnd w:id="6"/>
      <w:bookmarkEnd w:id="7"/>
      <w:bookmarkEnd w:id="8"/>
      <w:bookmarkEnd w:id="9"/>
      <w:bookmarkEnd w:id="10"/>
      <w:bookmarkEnd w:id="11"/>
    </w:p>
    <w:p w14:paraId="53069896">
      <w:pPr>
        <w:pStyle w:val="6"/>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方正小标宋简体" w:eastAsia="方正小标宋简体" w:cs="方正小标宋简体"/>
          <w:color w:val="000000"/>
        </w:rPr>
      </w:pPr>
    </w:p>
    <w:p w14:paraId="122E458C">
      <w:pPr>
        <w:pStyle w:val="6"/>
        <w:rPr>
          <w:rFonts w:hint="eastAsia" w:ascii="思源黑体 CN Normal" w:eastAsia="思源黑体 CN Normal" w:cs="思源黑体 CN Normal"/>
          <w:color w:val="000000"/>
        </w:rPr>
      </w:pPr>
    </w:p>
    <w:p w14:paraId="06808FAB">
      <w:pPr>
        <w:pStyle w:val="6"/>
        <w:rPr>
          <w:rFonts w:hint="eastAsia" w:ascii="思源黑体 CN Normal" w:eastAsia="思源黑体 CN Normal" w:cs="思源黑体 CN Normal"/>
          <w:color w:val="000000"/>
        </w:rPr>
      </w:pPr>
    </w:p>
    <w:p w14:paraId="2BB806D8">
      <w:pPr>
        <w:pStyle w:val="6"/>
        <w:rPr>
          <w:rFonts w:hint="eastAsia" w:ascii="思源黑体 CN Normal" w:eastAsia="思源黑体 CN Normal" w:cs="思源黑体 CN Normal"/>
          <w:color w:val="000000"/>
        </w:rPr>
      </w:pPr>
    </w:p>
    <w:p w14:paraId="40691430">
      <w:pPr>
        <w:pStyle w:val="6"/>
        <w:rPr>
          <w:rFonts w:hint="eastAsia" w:ascii="思源黑体 CN Normal" w:eastAsia="思源黑体 CN Normal" w:cs="思源黑体 CN Normal"/>
          <w:color w:val="000000"/>
        </w:rPr>
      </w:pPr>
    </w:p>
    <w:p w14:paraId="6C7027C1">
      <w:pPr>
        <w:pStyle w:val="6"/>
        <w:rPr>
          <w:rFonts w:hint="eastAsia" w:ascii="思源黑体 CN Normal" w:eastAsia="思源黑体 CN Normal" w:cs="思源黑体 CN Normal"/>
          <w:color w:val="000000"/>
        </w:rPr>
      </w:pPr>
    </w:p>
    <w:p w14:paraId="15B19FE4">
      <w:pPr>
        <w:pStyle w:val="6"/>
        <w:rPr>
          <w:rFonts w:hint="eastAsia" w:ascii="思源黑体 CN Normal" w:eastAsia="思源黑体 CN Normal" w:cs="思源黑体 CN Normal"/>
          <w:color w:val="000000"/>
        </w:rPr>
      </w:pPr>
    </w:p>
    <w:p w14:paraId="44E57647">
      <w:pPr>
        <w:pStyle w:val="6"/>
        <w:rPr>
          <w:rFonts w:hint="eastAsia" w:ascii="思源黑体 CN Normal" w:eastAsia="思源黑体 CN Normal" w:cs="思源黑体 CN Normal"/>
          <w:color w:val="000000"/>
        </w:rPr>
      </w:pPr>
    </w:p>
    <w:p w14:paraId="76A67838">
      <w:pPr>
        <w:pStyle w:val="6"/>
        <w:rPr>
          <w:rFonts w:hint="eastAsia" w:ascii="思源黑体 CN Normal" w:eastAsia="思源黑体 CN Normal" w:cs="思源黑体 CN Normal"/>
          <w:color w:val="000000"/>
        </w:rPr>
      </w:pPr>
    </w:p>
    <w:p w14:paraId="386E80EC">
      <w:pPr>
        <w:pStyle w:val="6"/>
        <w:tabs>
          <w:tab w:val="left" w:pos="3600"/>
        </w:tabs>
        <w:rPr>
          <w:rFonts w:hint="eastAsia" w:ascii="思源黑体 CN Normal" w:eastAsia="思源黑体 CN Normal" w:cs="思源黑体 CN Normal"/>
          <w:color w:val="000000"/>
        </w:rPr>
      </w:pPr>
      <w:r>
        <w:rPr>
          <w:rFonts w:hint="eastAsia" w:ascii="思源黑体 CN Normal" w:eastAsia="思源黑体 CN Normal" w:cs="思源黑体 CN Normal"/>
          <w:color w:val="000000"/>
        </w:rPr>
        <w:tab/>
      </w:r>
    </w:p>
    <w:p w14:paraId="50F7F615">
      <w:pPr>
        <w:pStyle w:val="6"/>
        <w:rPr>
          <w:rFonts w:hint="eastAsia" w:ascii="思源黑体 CN Normal" w:eastAsia="思源黑体 CN Normal" w:cs="思源黑体 CN Normal"/>
          <w:color w:val="000000"/>
        </w:rPr>
      </w:pPr>
    </w:p>
    <w:p w14:paraId="512090E7">
      <w:pPr>
        <w:pStyle w:val="15"/>
        <w:jc w:val="both"/>
        <w:rPr>
          <w:rFonts w:hint="eastAsia" w:ascii="思源黑体 CN Normal" w:eastAsia="思源黑体 CN Normal" w:cs="思源黑体 CN Normal"/>
          <w:color w:val="000000"/>
          <w:sz w:val="36"/>
          <w:szCs w:val="36"/>
        </w:rPr>
      </w:pPr>
      <w:r>
        <w:rPr>
          <w:rFonts w:hint="eastAsia" w:ascii="思源黑体 CN Normal" w:eastAsia="思源黑体 CN Normal" w:cs="思源黑体 CN Normal"/>
          <w:color w:val="000000"/>
          <w:sz w:val="36"/>
          <w:szCs w:val="36"/>
        </w:rPr>
        <w:br w:type="page"/>
      </w:r>
    </w:p>
    <w:p w14:paraId="778DA124">
      <w:pPr>
        <w:widowControl/>
        <w:jc w:val="center"/>
        <w:rPr>
          <w:rFonts w:hint="eastAsia" w:ascii="思源黑体 CN Normal" w:eastAsia="思源黑体 CN Normal" w:cs="思源黑体 CN Normal"/>
          <w:color w:val="000000"/>
          <w:sz w:val="36"/>
          <w:szCs w:val="36"/>
        </w:rPr>
      </w:pPr>
      <w:r>
        <w:rPr>
          <w:rFonts w:hint="eastAsia" w:ascii="思源黑体 CN Normal" w:eastAsia="思源黑体 CN Normal" w:cs="思源黑体 CN Normal"/>
          <w:color w:val="000000"/>
          <w:sz w:val="48"/>
          <w:szCs w:val="48"/>
        </w:rPr>
        <w:t>目录</w:t>
      </w:r>
    </w:p>
    <w:p w14:paraId="755D2917">
      <w:pPr>
        <w:pStyle w:val="15"/>
        <w:rPr>
          <w:color w:val="000000"/>
          <w:highlight w:val="none"/>
        </w:rPr>
      </w:pPr>
      <w:r>
        <w:rPr>
          <w:rFonts w:hint="eastAsia"/>
          <w:color w:val="000000"/>
          <w:highlight w:val="none"/>
        </w:rPr>
        <w:t>公开时间：20</w:t>
      </w:r>
      <w:r>
        <w:rPr>
          <w:rFonts w:hint="eastAsia"/>
          <w:color w:val="000000"/>
          <w:highlight w:val="none"/>
          <w:lang w:val="en-US" w:eastAsia="zh-CN"/>
        </w:rPr>
        <w:t>26</w:t>
      </w:r>
      <w:r>
        <w:rPr>
          <w:rFonts w:hint="eastAsia"/>
          <w:color w:val="000000"/>
          <w:highlight w:val="none"/>
        </w:rPr>
        <w:t>年</w:t>
      </w:r>
      <w:r>
        <w:rPr>
          <w:rFonts w:hint="eastAsia"/>
          <w:color w:val="000000"/>
          <w:highlight w:val="none"/>
          <w:lang w:val="en-US" w:eastAsia="zh-CN"/>
        </w:rPr>
        <w:t>9</w:t>
      </w:r>
      <w:r>
        <w:rPr>
          <w:rFonts w:hint="eastAsia"/>
          <w:color w:val="000000"/>
          <w:highlight w:val="none"/>
        </w:rPr>
        <w:t>月</w:t>
      </w:r>
      <w:r>
        <w:rPr>
          <w:rFonts w:hint="eastAsia"/>
          <w:color w:val="000000"/>
          <w:highlight w:val="none"/>
          <w:lang w:val="en-US" w:eastAsia="zh-CN"/>
        </w:rPr>
        <w:t>4</w:t>
      </w:r>
      <w:r>
        <w:rPr>
          <w:rFonts w:hint="eastAsia"/>
          <w:color w:val="000000"/>
          <w:highlight w:val="none"/>
        </w:rPr>
        <w:t>日</w:t>
      </w:r>
    </w:p>
    <w:p w14:paraId="468C1551">
      <w:pPr>
        <w:pStyle w:val="15"/>
        <w:tabs>
          <w:tab w:val="right" w:leader="dot" w:pos="8306"/>
          <w:tab w:val="clear" w:pos="8296"/>
        </w:tabs>
        <w:rPr>
          <w:rFonts w:hint="eastAsia" w:ascii="宋体" w:hAnsi="宋体" w:eastAsia="宋体" w:cs="宋体"/>
          <w:sz w:val="28"/>
          <w:szCs w:val="28"/>
        </w:rPr>
      </w:pPr>
      <w:bookmarkStart w:id="12" w:name="_Toc15377196"/>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color w:val="000000"/>
          <w:sz w:val="28"/>
          <w:szCs w:val="28"/>
        </w:rPr>
        <w:instrText xml:space="preserve"> TOC \o "1-2" \h \z \u </w:instrText>
      </w:r>
      <w:r>
        <w:rPr>
          <w:rFonts w:hint="eastAsia" w:ascii="宋体" w:hAnsi="宋体" w:eastAsia="宋体" w:cs="宋体"/>
          <w:caps w:val="0"/>
          <w:smallCaps/>
          <w:color w:val="000000"/>
          <w:sz w:val="28"/>
          <w:szCs w:val="28"/>
        </w:rPr>
        <w:fldChar w:fldCharType="separate"/>
      </w: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_Toc29120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第一部分 部门概况</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_Toc29120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4C9B8DEA">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_Toc16061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一、</w:t>
      </w:r>
      <w:r>
        <w:rPr>
          <w:rFonts w:hint="eastAsia" w:ascii="宋体" w:hAnsi="宋体" w:eastAsia="宋体" w:cs="宋体"/>
          <w:bCs w:val="0"/>
          <w:sz w:val="28"/>
          <w:szCs w:val="28"/>
          <w:lang w:val="en-US" w:eastAsia="zh-CN"/>
        </w:rPr>
        <w:t>部门职责</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_Toc16061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008B7189">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_Toc15816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二、机构设置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_Toc15816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247ECBBA">
      <w:pPr>
        <w:pStyle w:val="15"/>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_Toc23827 </w:instrText>
      </w:r>
      <w:r>
        <w:rPr>
          <w:rFonts w:hint="eastAsia" w:ascii="宋体" w:hAnsi="宋体" w:eastAsia="宋体" w:cs="宋体"/>
          <w:caps w:val="0"/>
          <w:smallCaps/>
          <w:sz w:val="28"/>
          <w:szCs w:val="28"/>
        </w:rPr>
        <w:fldChar w:fldCharType="separate"/>
      </w:r>
      <w:r>
        <w:rPr>
          <w:rFonts w:hint="eastAsia" w:ascii="宋体" w:hAnsi="宋体" w:eastAsia="宋体" w:cs="宋体"/>
          <w:sz w:val="28"/>
          <w:szCs w:val="28"/>
        </w:rPr>
        <w:t>第二部分 202</w:t>
      </w:r>
      <w:r>
        <w:rPr>
          <w:rFonts w:hint="eastAsia" w:ascii="宋体" w:hAnsi="宋体" w:eastAsia="宋体" w:cs="宋体"/>
          <w:sz w:val="28"/>
          <w:szCs w:val="28"/>
          <w:lang w:val="en-US" w:eastAsia="zh-CN"/>
        </w:rPr>
        <w:t>5</w:t>
      </w:r>
      <w:r>
        <w:rPr>
          <w:rFonts w:hint="eastAsia" w:ascii="宋体" w:hAnsi="宋体" w:eastAsia="宋体" w:cs="宋体"/>
          <w:sz w:val="28"/>
          <w:szCs w:val="28"/>
        </w:rPr>
        <w:t>年度</w:t>
      </w:r>
      <w:r>
        <w:rPr>
          <w:rFonts w:hint="eastAsia" w:ascii="宋体" w:hAnsi="宋体" w:eastAsia="宋体" w:cs="宋体"/>
          <w:sz w:val="28"/>
          <w:szCs w:val="28"/>
          <w:lang w:val="en-US" w:eastAsia="zh-CN"/>
        </w:rPr>
        <w:t>单位</w:t>
      </w:r>
      <w:r>
        <w:rPr>
          <w:rFonts w:hint="eastAsia" w:ascii="宋体" w:hAnsi="宋体" w:eastAsia="宋体" w:cs="宋体"/>
          <w:sz w:val="28"/>
          <w:szCs w:val="28"/>
        </w:rPr>
        <w:t>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_Toc23827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0C6F5007">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_Toc32410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一、收入支出决算总体情况说明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_Toc32410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7BB3B681">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_Toc23998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二、收入决算情况说明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_Toc23998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681F36EF">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_Toc28505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三、支出决算情况说明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_Toc28505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623B53A9">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_Toc32486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四、财政拨款收入支出决算总体情况说明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_Toc32486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6B5130A9">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_Toc20177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五、一般公共预算财政拨款支出决算情况说明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_Toc20177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010D321A">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_Toc16457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六、一般公共预算财政拨款基本支出决算情况说明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_Toc16457 \h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087BB54A">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_Toc29032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七、</w:t>
      </w:r>
      <w:r>
        <w:rPr>
          <w:rFonts w:hint="eastAsia" w:ascii="宋体" w:hAnsi="宋体" w:eastAsia="宋体" w:cs="宋体"/>
          <w:bCs w:val="0"/>
          <w:sz w:val="28"/>
          <w:szCs w:val="28"/>
          <w:lang w:eastAsia="zh-CN"/>
        </w:rPr>
        <w:t>财政拨款</w:t>
      </w:r>
      <w:r>
        <w:rPr>
          <w:rFonts w:hint="eastAsia" w:ascii="宋体" w:hAnsi="宋体" w:eastAsia="宋体" w:cs="宋体"/>
          <w:bCs w:val="0"/>
          <w:sz w:val="28"/>
          <w:szCs w:val="28"/>
        </w:rPr>
        <w:t>“三公”经费财政拨款支出决算情况说明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_Toc29032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59977FBF">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_Toc4582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九、国有资本经营预算支出决算情况说明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_Toc4582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4B163335">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_Toc1925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十、其他重要事项的情况说明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_Toc1925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086D069B">
      <w:pPr>
        <w:pStyle w:val="15"/>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_Toc2381 </w:instrText>
      </w:r>
      <w:r>
        <w:rPr>
          <w:rFonts w:hint="eastAsia" w:ascii="宋体" w:hAnsi="宋体" w:eastAsia="宋体" w:cs="宋体"/>
          <w:caps w:val="0"/>
          <w:smallCaps/>
          <w:sz w:val="28"/>
          <w:szCs w:val="28"/>
        </w:rPr>
        <w:fldChar w:fldCharType="separate"/>
      </w:r>
      <w:r>
        <w:rPr>
          <w:rFonts w:hint="eastAsia" w:ascii="宋体" w:hAnsi="宋体" w:eastAsia="宋体" w:cs="宋体"/>
          <w:sz w:val="28"/>
          <w:szCs w:val="28"/>
        </w:rPr>
        <w:t>第</w:t>
      </w:r>
      <w:r>
        <w:rPr>
          <w:rFonts w:hint="eastAsia" w:ascii="宋体" w:hAnsi="宋体" w:eastAsia="宋体" w:cs="宋体"/>
          <w:sz w:val="28"/>
          <w:szCs w:val="28"/>
          <w:lang w:eastAsia="zh-CN"/>
        </w:rPr>
        <w:t>四</w:t>
      </w:r>
      <w:r>
        <w:rPr>
          <w:rFonts w:hint="eastAsia" w:ascii="宋体" w:hAnsi="宋体" w:eastAsia="宋体" w:cs="宋体"/>
          <w:sz w:val="28"/>
          <w:szCs w:val="28"/>
        </w:rPr>
        <w:t xml:space="preserve">部分 </w:t>
      </w:r>
      <w:r>
        <w:rPr>
          <w:rFonts w:hint="eastAsia" w:ascii="宋体" w:hAnsi="宋体" w:eastAsia="宋体" w:cs="宋体"/>
          <w:sz w:val="28"/>
          <w:szCs w:val="28"/>
          <w:lang w:eastAsia="zh-CN"/>
        </w:rPr>
        <w:t>附件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_Toc2381 \h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0B162DB2">
      <w:pPr>
        <w:pStyle w:val="15"/>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_Toc25657 </w:instrText>
      </w:r>
      <w:r>
        <w:rPr>
          <w:rFonts w:hint="eastAsia" w:ascii="宋体" w:hAnsi="宋体" w:eastAsia="宋体" w:cs="宋体"/>
          <w:caps w:val="0"/>
          <w:smallCaps/>
          <w:sz w:val="28"/>
          <w:szCs w:val="28"/>
        </w:rPr>
        <w:fldChar w:fldCharType="separate"/>
      </w:r>
      <w:r>
        <w:rPr>
          <w:rFonts w:hint="eastAsia" w:ascii="宋体" w:hAnsi="宋体" w:eastAsia="宋体" w:cs="宋体"/>
          <w:sz w:val="28"/>
          <w:szCs w:val="28"/>
        </w:rPr>
        <w:t>第五部分 附表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_Toc25657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0865CBA9">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_Toc23067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一、收入支出决算总表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_Toc23067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1BA16136">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_Toc11825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二、收入决算表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_Toc11825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70A6B5F7">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_Toc29611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三、支出决算表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_Toc29611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68C8E925">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_Toc30011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四、财政拨款收入支出决算总表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_Toc30011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07B5C713">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_Toc29959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五、财政拨款支出决算明细表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_Toc29959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5BF48C9F">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_Toc14558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六、一般公共预算财政拨款支出决算表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_Toc14558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5B8A5F73">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_Toc29079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七、一般公共预算财政拨款支出决算明细表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_Toc29079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4F938353">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_Toc4317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八、一般公共预算财政拨款基本支出决算表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_Toc4317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4591DDCD">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_Toc5162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九、一般公共预算财政拨款项目支出决算表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_Toc5162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4EDBB0E0">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_Toc28311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十、政府性基金预算财政拨款收入支出决算表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_Toc28311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632F5DC8">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_Toc23361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十一、国有资本经营预算财政拨款收入支出决算表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_Toc23361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3B0657D6">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_Toc26274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十二、国有资本经营预算财政拨款支出决算表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_Toc26274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6481CBA0">
      <w:pPr>
        <w:pStyle w:val="18"/>
        <w:tabs>
          <w:tab w:val="right" w:leader="dot" w:pos="8306"/>
          <w:tab w:val="clear" w:pos="8296"/>
        </w:tabs>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begin"/>
      </w:r>
      <w:r>
        <w:rPr>
          <w:rFonts w:hint="eastAsia" w:ascii="宋体" w:hAnsi="宋体" w:eastAsia="宋体" w:cs="宋体"/>
          <w:caps w:val="0"/>
          <w:smallCaps/>
          <w:sz w:val="28"/>
          <w:szCs w:val="28"/>
        </w:rPr>
        <w:instrText xml:space="preserve"> HYPERLINK \l _Toc16588 </w:instrText>
      </w:r>
      <w:r>
        <w:rPr>
          <w:rFonts w:hint="eastAsia" w:ascii="宋体" w:hAnsi="宋体" w:eastAsia="宋体" w:cs="宋体"/>
          <w:caps w:val="0"/>
          <w:smallCaps/>
          <w:sz w:val="28"/>
          <w:szCs w:val="28"/>
        </w:rPr>
        <w:fldChar w:fldCharType="separate"/>
      </w:r>
      <w:r>
        <w:rPr>
          <w:rFonts w:hint="eastAsia" w:ascii="宋体" w:hAnsi="宋体" w:eastAsia="宋体" w:cs="宋体"/>
          <w:bCs w:val="0"/>
          <w:sz w:val="28"/>
          <w:szCs w:val="28"/>
        </w:rPr>
        <w:t>十三、财政拨款“三公”经费支出决算表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_Toc16588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caps w:val="0"/>
          <w:smallCaps/>
          <w:color w:val="000000"/>
          <w:sz w:val="28"/>
          <w:szCs w:val="28"/>
        </w:rPr>
        <w:fldChar w:fldCharType="end"/>
      </w:r>
    </w:p>
    <w:p w14:paraId="08EBB7EF">
      <w:pPr>
        <w:pStyle w:val="6"/>
        <w:rPr>
          <w:rFonts w:hint="eastAsia" w:ascii="宋体" w:hAnsi="宋体" w:eastAsia="宋体" w:cs="宋体"/>
          <w:sz w:val="28"/>
          <w:szCs w:val="28"/>
        </w:rPr>
      </w:pPr>
      <w:r>
        <w:rPr>
          <w:rFonts w:hint="eastAsia" w:ascii="宋体" w:hAnsi="宋体" w:eastAsia="宋体" w:cs="宋体"/>
          <w:caps w:val="0"/>
          <w:smallCaps/>
          <w:color w:val="000000"/>
          <w:sz w:val="28"/>
          <w:szCs w:val="28"/>
        </w:rPr>
        <w:fldChar w:fldCharType="end"/>
      </w:r>
    </w:p>
    <w:p w14:paraId="2A9F40DE">
      <w:pPr>
        <w:ind w:firstLine="2209" w:firstLineChars="500"/>
        <w:rPr>
          <w:rStyle w:val="26"/>
          <w:rFonts w:hint="eastAsia" w:ascii="黑体" w:eastAsia="黑体" w:cs="黑体"/>
          <w:b/>
          <w:bCs w:val="0"/>
        </w:rPr>
      </w:pPr>
      <w:bookmarkStart w:id="13" w:name="_Toc111208495"/>
    </w:p>
    <w:p w14:paraId="6E79200A">
      <w:pPr>
        <w:ind w:firstLine="2209" w:firstLineChars="500"/>
        <w:rPr>
          <w:rStyle w:val="26"/>
          <w:rFonts w:hint="eastAsia" w:ascii="黑体" w:eastAsia="黑体" w:cs="黑体"/>
          <w:b/>
          <w:bCs w:val="0"/>
        </w:rPr>
      </w:pPr>
    </w:p>
    <w:p w14:paraId="074DAEAF">
      <w:pPr>
        <w:ind w:firstLine="2209" w:firstLineChars="500"/>
        <w:rPr>
          <w:rStyle w:val="26"/>
          <w:rFonts w:hint="eastAsia" w:ascii="黑体" w:eastAsia="黑体" w:cs="黑体"/>
          <w:b/>
          <w:bCs w:val="0"/>
        </w:rPr>
      </w:pPr>
    </w:p>
    <w:p w14:paraId="175C332E">
      <w:pPr>
        <w:rPr>
          <w:rStyle w:val="26"/>
          <w:rFonts w:hint="eastAsia" w:ascii="黑体" w:eastAsia="黑体" w:cs="黑体"/>
          <w:b/>
          <w:bCs w:val="0"/>
        </w:rPr>
      </w:pPr>
    </w:p>
    <w:p w14:paraId="4A02CFF6">
      <w:pPr>
        <w:pStyle w:val="2"/>
        <w:rPr>
          <w:rStyle w:val="26"/>
          <w:rFonts w:hint="eastAsia" w:ascii="黑体" w:eastAsia="黑体" w:cs="黑体"/>
          <w:b/>
          <w:bCs w:val="0"/>
        </w:rPr>
      </w:pPr>
    </w:p>
    <w:p w14:paraId="395ADE2C">
      <w:pPr>
        <w:rPr>
          <w:rStyle w:val="26"/>
          <w:rFonts w:hint="eastAsia" w:ascii="黑体" w:eastAsia="黑体" w:cs="黑体"/>
          <w:b/>
          <w:bCs w:val="0"/>
        </w:rPr>
      </w:pPr>
    </w:p>
    <w:p w14:paraId="22C02C17">
      <w:pPr>
        <w:pStyle w:val="2"/>
        <w:rPr>
          <w:rStyle w:val="26"/>
          <w:rFonts w:hint="eastAsia" w:ascii="黑体" w:eastAsia="黑体" w:cs="黑体"/>
          <w:b/>
          <w:bCs w:val="0"/>
        </w:rPr>
      </w:pPr>
    </w:p>
    <w:p w14:paraId="33846A2D">
      <w:pPr>
        <w:rPr>
          <w:rStyle w:val="26"/>
          <w:rFonts w:hint="eastAsia" w:ascii="黑体" w:eastAsia="黑体" w:cs="黑体"/>
          <w:b/>
          <w:bCs w:val="0"/>
        </w:rPr>
      </w:pPr>
    </w:p>
    <w:p w14:paraId="52D73F40">
      <w:pPr>
        <w:pStyle w:val="2"/>
        <w:rPr>
          <w:rStyle w:val="26"/>
          <w:rFonts w:hint="eastAsia" w:ascii="黑体" w:eastAsia="黑体" w:cs="黑体"/>
          <w:b/>
          <w:bCs w:val="0"/>
        </w:rPr>
      </w:pPr>
    </w:p>
    <w:p w14:paraId="55BC608A">
      <w:pPr>
        <w:rPr>
          <w:rFonts w:hint="eastAsia"/>
        </w:rPr>
      </w:pPr>
    </w:p>
    <w:p w14:paraId="3C4B084A">
      <w:pPr>
        <w:rPr>
          <w:rFonts w:hint="eastAsia"/>
        </w:rPr>
      </w:pPr>
    </w:p>
    <w:p w14:paraId="21848BC9">
      <w:pPr>
        <w:ind w:firstLine="2209" w:firstLineChars="500"/>
        <w:rPr>
          <w:rFonts w:hint="eastAsia" w:ascii="黑体" w:eastAsia="黑体" w:cs="黑体"/>
          <w:b w:val="0"/>
          <w:bCs w:val="0"/>
        </w:rPr>
      </w:pPr>
      <w:bookmarkStart w:id="14" w:name="_Toc29120"/>
      <w:r>
        <w:rPr>
          <w:rStyle w:val="26"/>
          <w:rFonts w:hint="eastAsia" w:ascii="黑体" w:eastAsia="黑体" w:cs="黑体"/>
          <w:b/>
          <w:bCs w:val="0"/>
        </w:rPr>
        <w:t>第一部分 部门</w:t>
      </w:r>
      <w:r>
        <w:rPr>
          <w:rStyle w:val="26"/>
          <w:rFonts w:ascii="黑体" w:eastAsia="黑体" w:cs="黑体"/>
          <w:b/>
          <w:bCs w:val="0"/>
          <w:u w:color="auto"/>
        </w:rPr>
        <w:t>概况</w:t>
      </w:r>
      <w:bookmarkEnd w:id="12"/>
      <w:bookmarkEnd w:id="13"/>
      <w:bookmarkEnd w:id="14"/>
    </w:p>
    <w:p w14:paraId="4D5488A7">
      <w:pPr>
        <w:pStyle w:val="4"/>
        <w:keepNext/>
        <w:keepLines/>
        <w:pageBreakBefore w:val="0"/>
        <w:widowControl w:val="0"/>
        <w:kinsoku/>
        <w:wordWrap/>
        <w:overflowPunct/>
        <w:topLinePunct w:val="0"/>
        <w:autoSpaceDE/>
        <w:autoSpaceDN/>
        <w:bidi w:val="0"/>
        <w:spacing w:before="0" w:after="0" w:line="576" w:lineRule="exact"/>
        <w:ind w:firstLine="643" w:firstLineChars="200"/>
        <w:textAlignment w:val="auto"/>
        <w:rPr>
          <w:rFonts w:hint="eastAsia" w:ascii="黑体" w:eastAsia="黑体" w:cs="黑体"/>
          <w:bCs w:val="0"/>
          <w:color w:val="000000"/>
          <w:lang w:val="en-US" w:eastAsia="zh-CN"/>
        </w:rPr>
      </w:pPr>
      <w:bookmarkStart w:id="15" w:name="_Toc113981010"/>
      <w:bookmarkStart w:id="16" w:name="_Toc111208496"/>
      <w:bookmarkStart w:id="17" w:name="_Toc15377197"/>
      <w:bookmarkStart w:id="18" w:name="_Toc16061"/>
      <w:bookmarkStart w:id="19" w:name="_Toc15377204"/>
      <w:r>
        <w:rPr>
          <w:rFonts w:hint="eastAsia" w:ascii="黑体" w:eastAsia="黑体" w:cs="黑体"/>
          <w:bCs w:val="0"/>
          <w:color w:val="000000"/>
        </w:rPr>
        <w:t>一、</w:t>
      </w:r>
      <w:bookmarkEnd w:id="15"/>
      <w:bookmarkEnd w:id="16"/>
      <w:bookmarkEnd w:id="17"/>
      <w:bookmarkStart w:id="20" w:name="_Toc15378445"/>
      <w:bookmarkStart w:id="21" w:name="_Toc15377198"/>
      <w:r>
        <w:rPr>
          <w:rFonts w:hint="eastAsia" w:ascii="黑体" w:eastAsia="黑体" w:cs="黑体"/>
          <w:bCs w:val="0"/>
          <w:color w:val="000000"/>
          <w:lang w:val="en-US" w:eastAsia="zh-CN"/>
        </w:rPr>
        <w:t>部门职责</w:t>
      </w:r>
      <w:bookmarkEnd w:id="18"/>
    </w:p>
    <w:bookmarkEnd w:id="20"/>
    <w:bookmarkEnd w:id="21"/>
    <w:p w14:paraId="46252752">
      <w:pPr>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对各团体会员开展联络、协调、服务、指导工作，通过组织学习、文艺采风、学术研讨、理论研究、展览演出、文艺评奖、书刊出版、人才培训、对外交流和权益保障等各项工作，指导团体会员开展业务活动。</w:t>
      </w:r>
    </w:p>
    <w:p w14:paraId="026BAC5D">
      <w:pPr>
        <w:pStyle w:val="4"/>
        <w:keepNext/>
        <w:keepLines/>
        <w:pageBreakBefore w:val="0"/>
        <w:widowControl w:val="0"/>
        <w:kinsoku/>
        <w:wordWrap/>
        <w:overflowPunct/>
        <w:topLinePunct w:val="0"/>
        <w:autoSpaceDE/>
        <w:autoSpaceDN/>
        <w:bidi w:val="0"/>
        <w:spacing w:before="0" w:after="0" w:line="576" w:lineRule="exact"/>
        <w:ind w:firstLine="643" w:firstLineChars="200"/>
        <w:textAlignment w:val="auto"/>
        <w:rPr>
          <w:rFonts w:hint="eastAsia" w:ascii="黑体" w:eastAsia="黑体" w:cs="黑体"/>
          <w:bCs w:val="0"/>
          <w:color w:val="000000"/>
        </w:rPr>
      </w:pPr>
      <w:bookmarkStart w:id="22" w:name="_Toc113981011"/>
      <w:bookmarkStart w:id="23" w:name="_Toc15377200"/>
      <w:bookmarkStart w:id="24" w:name="_Toc111208497"/>
      <w:bookmarkStart w:id="25" w:name="_Toc15816"/>
      <w:r>
        <w:rPr>
          <w:rFonts w:hint="eastAsia" w:ascii="黑体" w:eastAsia="黑体" w:cs="黑体"/>
          <w:bCs w:val="0"/>
          <w:color w:val="000000"/>
        </w:rPr>
        <w:t>二、机构设置</w:t>
      </w:r>
      <w:bookmarkEnd w:id="22"/>
      <w:bookmarkEnd w:id="23"/>
      <w:bookmarkEnd w:id="24"/>
      <w:bookmarkEnd w:id="25"/>
    </w:p>
    <w:p w14:paraId="5E2FBA1C">
      <w:pPr>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文联下属二级单位0个，其中行政单位0个，参照公务员法管理的事业单位0个，其他事业单位0个。</w:t>
      </w:r>
    </w:p>
    <w:p w14:paraId="111BCE1A">
      <w:pPr>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bookmarkEnd w:id="19"/>
    <w:p w14:paraId="7C0359AA">
      <w:pPr>
        <w:pStyle w:val="3"/>
        <w:pageBreakBefore w:val="0"/>
        <w:widowControl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cs="黑体"/>
        </w:rPr>
      </w:pPr>
      <w:bookmarkStart w:id="26" w:name="_Toc698"/>
      <w:bookmarkStart w:id="27" w:name="_Toc111208498"/>
      <w:bookmarkStart w:id="28" w:name="_Toc23827"/>
      <w:r>
        <w:rPr>
          <w:rFonts w:hint="eastAsia" w:ascii="黑体" w:hAnsi="黑体" w:eastAsia="黑体" w:cs="黑体"/>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lang w:val="en-US" w:eastAsia="zh-CN"/>
        </w:rPr>
        <w:t>单位</w:t>
      </w:r>
      <w:r>
        <w:rPr>
          <w:rFonts w:hint="eastAsia" w:ascii="黑体" w:hAnsi="黑体" w:eastAsia="黑体" w:cs="黑体"/>
        </w:rPr>
        <w:t>决算情况说明</w:t>
      </w:r>
      <w:bookmarkEnd w:id="26"/>
      <w:bookmarkEnd w:id="27"/>
      <w:bookmarkEnd w:id="28"/>
    </w:p>
    <w:p w14:paraId="5BCB4C71">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29" w:name="_Toc15377205"/>
      <w:bookmarkStart w:id="30" w:name="_Toc14488"/>
      <w:bookmarkStart w:id="31" w:name="_Toc111208499"/>
      <w:bookmarkStart w:id="32" w:name="_Toc32410"/>
      <w:r>
        <w:rPr>
          <w:rFonts w:hint="eastAsia" w:ascii="黑体" w:hAnsi="黑体" w:eastAsia="黑体" w:cs="黑体"/>
          <w:bCs w:val="0"/>
          <w:color w:val="000000"/>
        </w:rPr>
        <w:t>一、收入支出决算总体情况说</w:t>
      </w:r>
      <w:bookmarkEnd w:id="29"/>
      <w:r>
        <w:rPr>
          <w:rFonts w:hint="eastAsia" w:ascii="黑体" w:hAnsi="黑体" w:eastAsia="黑体" w:cs="黑体"/>
          <w:bCs w:val="0"/>
          <w:color w:val="000000"/>
        </w:rPr>
        <w:t>明</w:t>
      </w:r>
      <w:bookmarkEnd w:id="30"/>
      <w:bookmarkEnd w:id="31"/>
      <w:bookmarkEnd w:id="32"/>
    </w:p>
    <w:p w14:paraId="12B649FB">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color w:val="000000"/>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年度收、支总计均为</w:t>
      </w:r>
      <w:r>
        <w:rPr>
          <w:rFonts w:hint="eastAsia" w:ascii="仿宋_GB2312" w:hAnsi="仿宋_GB2312" w:eastAsia="仿宋_GB2312" w:cs="仿宋_GB2312"/>
          <w:sz w:val="32"/>
          <w:szCs w:val="32"/>
          <w:lang w:val="en-US" w:eastAsia="zh-CN"/>
        </w:rPr>
        <w:t>89.99</w:t>
      </w:r>
      <w:r>
        <w:rPr>
          <w:rFonts w:hint="eastAsia" w:ascii="仿宋_GB2312" w:hAnsi="仿宋_GB2312" w:eastAsia="仿宋_GB2312" w:cs="仿宋_GB2312"/>
          <w:sz w:val="32"/>
          <w:szCs w:val="32"/>
          <w:lang w:eastAsia="zh-CN"/>
        </w:rPr>
        <w:t>万元。与202</w:t>
      </w:r>
      <w:r>
        <w:rPr>
          <w:rFonts w:hint="eastAsia" w:ascii="仿宋_GB2312" w:hAnsi="仿宋_GB2312" w:eastAsia="仿宋_GB2312" w:cs="仿宋_GB2312"/>
          <w:sz w:val="32"/>
          <w:szCs w:val="32"/>
          <w:lang w:val="en-US" w:eastAsia="zh-CN"/>
        </w:rPr>
        <w:t>4年度</w:t>
      </w:r>
      <w:r>
        <w:rPr>
          <w:rFonts w:hint="eastAsia" w:ascii="仿宋_GB2312" w:hAnsi="仿宋_GB2312" w:eastAsia="仿宋_GB2312" w:cs="仿宋_GB2312"/>
          <w:sz w:val="32"/>
          <w:szCs w:val="32"/>
          <w:lang w:eastAsia="zh-CN"/>
        </w:rPr>
        <w:t>相比，收入增加</w:t>
      </w:r>
      <w:r>
        <w:rPr>
          <w:rFonts w:hint="eastAsia" w:ascii="仿宋_GB2312" w:hAnsi="仿宋_GB2312" w:eastAsia="仿宋_GB2312" w:cs="仿宋_GB2312"/>
          <w:sz w:val="32"/>
          <w:szCs w:val="32"/>
          <w:lang w:val="en-US" w:eastAsia="zh-CN"/>
        </w:rPr>
        <w:t>2.86</w:t>
      </w:r>
      <w:r>
        <w:rPr>
          <w:rFonts w:hint="eastAsia" w:ascii="仿宋_GB2312" w:hAnsi="仿宋_GB2312" w:eastAsia="仿宋_GB2312" w:cs="仿宋_GB2312"/>
          <w:sz w:val="32"/>
          <w:szCs w:val="32"/>
          <w:lang w:eastAsia="zh-CN"/>
        </w:rPr>
        <w:t>万元。主要变动原因是：工资保险调整及项目增加。</w:t>
      </w:r>
      <w:r>
        <w:rPr>
          <w:rFonts w:hint="eastAsia" w:ascii="仿宋_GB2312" w:hAnsi="仿宋_GB2312" w:eastAsia="仿宋_GB2312" w:cs="仿宋_GB2312"/>
          <w:color w:val="000000"/>
          <w:sz w:val="32"/>
          <w:szCs w:val="32"/>
        </w:rPr>
        <w:t xml:space="preserve"> </w:t>
      </w:r>
      <w:r>
        <w:rPr>
          <w:rFonts w:hint="eastAsia" w:ascii="仿宋" w:hAnsi="仿宋" w:eastAsia="仿宋" w:cs="仿宋"/>
          <w:color w:val="000000"/>
          <w:sz w:val="32"/>
          <w:szCs w:val="32"/>
        </w:rPr>
        <w:t xml:space="preserve"> </w:t>
      </w:r>
    </w:p>
    <w:p w14:paraId="03F7DABD">
      <w:pPr>
        <w:pStyle w:val="16"/>
        <w:rPr>
          <w:rFonts w:hint="eastAsia"/>
        </w:rPr>
      </w:pPr>
      <w:r>
        <w:drawing>
          <wp:inline distT="0" distB="0" distL="114300" distR="114300">
            <wp:extent cx="5271135" cy="2680335"/>
            <wp:effectExtent l="0" t="0" r="571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71135" cy="2680335"/>
                    </a:xfrm>
                    <a:prstGeom prst="rect">
                      <a:avLst/>
                    </a:prstGeom>
                    <a:noFill/>
                    <a:ln>
                      <a:noFill/>
                    </a:ln>
                  </pic:spPr>
                </pic:pic>
              </a:graphicData>
            </a:graphic>
          </wp:inline>
        </w:drawing>
      </w:r>
    </w:p>
    <w:p w14:paraId="31AF5630">
      <w:pPr>
        <w:pStyle w:val="6"/>
        <w:rPr>
          <w:rFonts w:hint="eastAsia" w:ascii="黑体" w:hAnsi="黑体" w:eastAsia="黑体" w:cs="黑体"/>
          <w:bCs w:val="0"/>
          <w:color w:val="000000"/>
          <w:lang w:eastAsia="zh-CN"/>
        </w:rPr>
      </w:pPr>
      <w:r>
        <w:rPr>
          <w:rFonts w:hint="eastAsia" w:ascii="黑体" w:hAnsi="黑体" w:eastAsia="黑体" w:cs="黑体"/>
          <w:bCs w:val="0"/>
          <w:color w:val="000000"/>
          <w:lang w:val="en-US" w:eastAsia="zh-CN"/>
        </w:rPr>
        <w:t xml:space="preserve">       </w:t>
      </w:r>
    </w:p>
    <w:p w14:paraId="4AC66D6E">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lang w:eastAsia="zh-CN"/>
        </w:rPr>
      </w:pPr>
      <w:bookmarkStart w:id="33" w:name="_Toc111208500"/>
      <w:bookmarkStart w:id="34" w:name="_Toc23998"/>
      <w:bookmarkStart w:id="35" w:name="_Toc5052"/>
      <w:bookmarkStart w:id="36" w:name="_Toc15377206"/>
      <w:r>
        <w:rPr>
          <w:rFonts w:hint="eastAsia" w:ascii="黑体" w:hAnsi="黑体" w:eastAsia="黑体" w:cs="黑体"/>
          <w:bCs w:val="0"/>
          <w:color w:val="000000"/>
        </w:rPr>
        <w:t>二、收入决算情况说明</w:t>
      </w:r>
      <w:bookmarkEnd w:id="33"/>
      <w:bookmarkEnd w:id="34"/>
      <w:bookmarkEnd w:id="35"/>
      <w:bookmarkEnd w:id="36"/>
    </w:p>
    <w:p w14:paraId="3B1CA9E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5年度</w:t>
      </w:r>
      <w:r>
        <w:rPr>
          <w:rFonts w:hint="eastAsia" w:ascii="仿宋_GB2312" w:hAnsi="仿宋_GB2312" w:eastAsia="仿宋_GB2312" w:cs="仿宋_GB2312"/>
          <w:sz w:val="32"/>
          <w:szCs w:val="32"/>
          <w:lang w:eastAsia="zh-CN"/>
        </w:rPr>
        <w:t>本年收入合计</w:t>
      </w:r>
      <w:r>
        <w:rPr>
          <w:rFonts w:hint="eastAsia" w:ascii="仿宋_GB2312" w:hAnsi="仿宋_GB2312" w:eastAsia="仿宋_GB2312" w:cs="仿宋_GB2312"/>
          <w:sz w:val="32"/>
          <w:szCs w:val="32"/>
          <w:lang w:val="en-US" w:eastAsia="zh-CN"/>
        </w:rPr>
        <w:t>89.99</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，其中：一般公共预算财政拨款收入89.99万元，占100%</w:t>
      </w:r>
      <w:r>
        <w:rPr>
          <w:rFonts w:hint="eastAsia" w:ascii="仿宋_GB2312" w:hAnsi="仿宋_GB2312" w:eastAsia="仿宋_GB2312" w:cs="仿宋_GB2312"/>
          <w:sz w:val="32"/>
          <w:szCs w:val="32"/>
          <w:lang w:eastAsia="zh-CN"/>
        </w:rPr>
        <w:t>。</w:t>
      </w:r>
    </w:p>
    <w:p w14:paraId="5645182D">
      <w:pPr>
        <w:pStyle w:val="17"/>
        <w:ind w:left="0" w:leftChars="0" w:firstLine="0" w:firstLineChars="0"/>
        <w:jc w:val="left"/>
        <w:rPr>
          <w:rFonts w:hint="eastAsia" w:ascii="思源黑体 CN Normal" w:hAnsi="思源黑体 CN Normal" w:eastAsia="思源黑体 CN Normal" w:cs="思源黑体 CN Normal"/>
          <w:color w:val="FF0000"/>
          <w:sz w:val="32"/>
          <w:szCs w:val="32"/>
          <w:lang w:eastAsia="zh-CN"/>
        </w:rPr>
      </w:pPr>
      <w:r>
        <w:drawing>
          <wp:inline distT="0" distB="0" distL="114300" distR="114300">
            <wp:extent cx="5274310" cy="2516505"/>
            <wp:effectExtent l="0" t="0" r="254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4310" cy="2516505"/>
                    </a:xfrm>
                    <a:prstGeom prst="rect">
                      <a:avLst/>
                    </a:prstGeom>
                    <a:noFill/>
                    <a:ln>
                      <a:noFill/>
                    </a:ln>
                  </pic:spPr>
                </pic:pic>
              </a:graphicData>
            </a:graphic>
          </wp:inline>
        </w:drawing>
      </w:r>
      <w:r>
        <w:rPr>
          <w:rFonts w:hint="eastAsia" w:ascii="思源黑体 CN Normal" w:hAnsi="思源黑体 CN Normal" w:eastAsia="思源黑体 CN Normal" w:cs="思源黑体 CN Normal"/>
          <w:color w:val="FF0000"/>
          <w:sz w:val="32"/>
          <w:szCs w:val="32"/>
          <w:lang w:val="en-US" w:eastAsia="zh-CN"/>
        </w:rPr>
        <w:t xml:space="preserve">  </w:t>
      </w:r>
    </w:p>
    <w:p w14:paraId="1360AB9D">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37" w:name="_Toc28505"/>
      <w:bookmarkStart w:id="38" w:name="_Toc15377207"/>
      <w:bookmarkStart w:id="39" w:name="_Toc13065"/>
      <w:bookmarkStart w:id="40" w:name="_Toc111208501"/>
      <w:r>
        <w:rPr>
          <w:rFonts w:hint="eastAsia" w:ascii="黑体" w:hAnsi="黑体" w:eastAsia="黑体" w:cs="黑体"/>
          <w:bCs w:val="0"/>
          <w:color w:val="000000"/>
        </w:rPr>
        <w:t>三、支出决算情况说明</w:t>
      </w:r>
      <w:bookmarkEnd w:id="37"/>
      <w:bookmarkEnd w:id="38"/>
      <w:bookmarkEnd w:id="39"/>
      <w:bookmarkEnd w:id="40"/>
    </w:p>
    <w:p w14:paraId="1E023D0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5年度</w:t>
      </w:r>
      <w:r>
        <w:rPr>
          <w:rFonts w:hint="eastAsia" w:ascii="仿宋_GB2312" w:hAnsi="仿宋_GB2312" w:eastAsia="仿宋_GB2312" w:cs="仿宋_GB2312"/>
          <w:sz w:val="32"/>
          <w:szCs w:val="32"/>
          <w:lang w:eastAsia="zh-CN"/>
        </w:rPr>
        <w:t>本年支出合计</w:t>
      </w:r>
      <w:r>
        <w:rPr>
          <w:rFonts w:hint="eastAsia" w:ascii="仿宋_GB2312" w:hAnsi="仿宋_GB2312" w:eastAsia="仿宋_GB2312" w:cs="仿宋_GB2312"/>
          <w:sz w:val="32"/>
          <w:szCs w:val="32"/>
          <w:lang w:val="en-US" w:eastAsia="zh-CN"/>
        </w:rPr>
        <w:t>89.99</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其中：基本支出</w:t>
      </w:r>
      <w:r>
        <w:rPr>
          <w:rFonts w:hint="eastAsia" w:ascii="仿宋_GB2312" w:hAnsi="仿宋_GB2312" w:eastAsia="仿宋_GB2312" w:cs="仿宋_GB2312"/>
          <w:sz w:val="32"/>
          <w:szCs w:val="32"/>
          <w:lang w:val="en-US" w:eastAsia="zh-CN"/>
        </w:rPr>
        <w:t>84.99</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94.44</w:t>
      </w:r>
      <w:r>
        <w:rPr>
          <w:rFonts w:hint="eastAsia" w:ascii="仿宋_GB2312" w:hAnsi="仿宋_GB2312" w:eastAsia="仿宋_GB2312" w:cs="仿宋_GB2312"/>
          <w:sz w:val="32"/>
          <w:szCs w:val="32"/>
          <w:lang w:eastAsia="zh-CN"/>
        </w:rPr>
        <w:t>%；项目支出</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5.56</w:t>
      </w:r>
      <w:r>
        <w:rPr>
          <w:rFonts w:hint="eastAsia" w:ascii="仿宋_GB2312" w:hAnsi="仿宋_GB2312" w:eastAsia="仿宋_GB2312" w:cs="仿宋_GB2312"/>
          <w:sz w:val="32"/>
          <w:szCs w:val="32"/>
          <w:lang w:eastAsia="zh-CN"/>
        </w:rPr>
        <w:t>%。</w:t>
      </w:r>
    </w:p>
    <w:p w14:paraId="625BC3FD">
      <w:pPr>
        <w:jc w:val="center"/>
        <w:rPr>
          <w:rFonts w:hint="eastAsia" w:ascii="思源黑体 CN Normal" w:hAnsi="思源黑体 CN Normal" w:eastAsia="思源黑体 CN Normal" w:cs="思源黑体 CN Normal"/>
          <w:color w:val="FF0000"/>
          <w:sz w:val="32"/>
          <w:szCs w:val="32"/>
          <w:lang w:eastAsia="zh-CN"/>
        </w:rPr>
      </w:pPr>
      <w:r>
        <w:rPr>
          <w:rFonts w:hint="eastAsia" w:ascii="思源黑体 CN Normal" w:hAnsi="思源黑体 CN Normal" w:eastAsia="思源黑体 CN Normal" w:cs="思源黑体 CN Normal"/>
          <w:color w:val="FF0000"/>
          <w:sz w:val="32"/>
          <w:szCs w:val="32"/>
          <w:lang w:eastAsia="zh-CN"/>
        </w:rPr>
        <w:drawing>
          <wp:inline distT="0" distB="0" distL="114300" distR="114300">
            <wp:extent cx="5269865" cy="2470785"/>
            <wp:effectExtent l="0" t="0" r="6985" b="5715"/>
            <wp:docPr id="3" name="图片 3" descr="8e1c3f30-a241-4fab-acf7-bb6cb74edd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e1c3f30-a241-4fab-acf7-bb6cb74edd7d"/>
                    <pic:cNvPicPr>
                      <a:picLocks noChangeAspect="1"/>
                    </pic:cNvPicPr>
                  </pic:nvPicPr>
                  <pic:blipFill>
                    <a:blip r:embed="rId8"/>
                    <a:stretch>
                      <a:fillRect/>
                    </a:stretch>
                  </pic:blipFill>
                  <pic:spPr>
                    <a:xfrm>
                      <a:off x="0" y="0"/>
                      <a:ext cx="5269865" cy="2470785"/>
                    </a:xfrm>
                    <a:prstGeom prst="rect">
                      <a:avLst/>
                    </a:prstGeom>
                  </pic:spPr>
                </pic:pic>
              </a:graphicData>
            </a:graphic>
          </wp:inline>
        </w:drawing>
      </w:r>
    </w:p>
    <w:p w14:paraId="119A07BB">
      <w:pPr>
        <w:pStyle w:val="4"/>
        <w:pageBreakBefore w:val="0"/>
        <w:widowControl w:val="0"/>
        <w:kinsoku/>
        <w:wordWrap/>
        <w:overflowPunct/>
        <w:topLinePunct w:val="0"/>
        <w:autoSpaceDE/>
        <w:autoSpaceDN/>
        <w:bidi w:val="0"/>
        <w:adjustRightInd/>
        <w:snapToGrid/>
        <w:spacing w:before="0" w:after="0" w:line="576" w:lineRule="exact"/>
        <w:ind w:left="0" w:firstLine="643" w:firstLineChars="200"/>
        <w:textAlignment w:val="auto"/>
        <w:rPr>
          <w:rFonts w:hint="eastAsia" w:ascii="黑体" w:hAnsi="黑体" w:eastAsia="黑体" w:cs="黑体"/>
          <w:bCs w:val="0"/>
          <w:color w:val="000000"/>
        </w:rPr>
      </w:pPr>
      <w:bookmarkStart w:id="41" w:name="_Toc111208502"/>
      <w:bookmarkStart w:id="42" w:name="_Toc32486"/>
      <w:bookmarkStart w:id="43" w:name="_Toc15377208"/>
      <w:bookmarkStart w:id="44" w:name="_Toc3622"/>
      <w:r>
        <w:rPr>
          <w:rFonts w:hint="eastAsia" w:ascii="黑体" w:hAnsi="黑体" w:eastAsia="黑体" w:cs="黑体"/>
          <w:bCs w:val="0"/>
          <w:color w:val="000000"/>
        </w:rPr>
        <w:t>四、财政拨款收入支出决算总体情况说明</w:t>
      </w:r>
      <w:bookmarkEnd w:id="41"/>
      <w:bookmarkEnd w:id="42"/>
      <w:bookmarkEnd w:id="43"/>
      <w:bookmarkEnd w:id="44"/>
    </w:p>
    <w:p w14:paraId="5DCF1247">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财政拨款收、支总计均为</w:t>
      </w:r>
      <w:r>
        <w:rPr>
          <w:rFonts w:hint="eastAsia" w:ascii="仿宋_GB2312" w:hAnsi="仿宋_GB2312" w:eastAsia="仿宋_GB2312" w:cs="仿宋_GB2312"/>
          <w:color w:val="000000"/>
          <w:sz w:val="32"/>
          <w:szCs w:val="32"/>
          <w:lang w:val="en-US" w:eastAsia="zh-CN"/>
        </w:rPr>
        <w:t>89.99</w:t>
      </w:r>
      <w:r>
        <w:rPr>
          <w:rFonts w:hint="eastAsia" w:ascii="仿宋_GB2312" w:hAnsi="仿宋_GB2312" w:eastAsia="仿宋_GB2312" w:cs="仿宋_GB2312"/>
          <w:color w:val="000000"/>
          <w:sz w:val="32"/>
          <w:szCs w:val="32"/>
        </w:rPr>
        <w:t>万元。与202</w:t>
      </w:r>
      <w:r>
        <w:rPr>
          <w:rFonts w:hint="eastAsia" w:ascii="仿宋_GB2312" w:hAnsi="仿宋_GB2312" w:eastAsia="仿宋_GB2312" w:cs="仿宋_GB2312"/>
          <w:color w:val="000000"/>
          <w:sz w:val="32"/>
          <w:szCs w:val="32"/>
          <w:lang w:val="en-US" w:eastAsia="zh-CN"/>
        </w:rPr>
        <w:t>4年度</w:t>
      </w:r>
      <w:r>
        <w:rPr>
          <w:rFonts w:hint="eastAsia" w:ascii="仿宋_GB2312" w:hAnsi="仿宋_GB2312" w:eastAsia="仿宋_GB2312" w:cs="仿宋_GB2312"/>
          <w:color w:val="000000"/>
          <w:sz w:val="32"/>
          <w:szCs w:val="32"/>
        </w:rPr>
        <w:t>相比，财政拨款收、支总计</w:t>
      </w:r>
      <w:r>
        <w:rPr>
          <w:rFonts w:hint="eastAsia" w:ascii="仿宋_GB2312" w:hAnsi="仿宋_GB2312" w:eastAsia="仿宋_GB2312" w:cs="仿宋_GB2312"/>
          <w:color w:val="000000"/>
          <w:sz w:val="32"/>
          <w:szCs w:val="32"/>
          <w:lang w:eastAsia="zh-CN"/>
        </w:rPr>
        <w:t>增加</w:t>
      </w:r>
      <w:r>
        <w:rPr>
          <w:rFonts w:hint="eastAsia" w:ascii="仿宋_GB2312" w:hAnsi="仿宋_GB2312" w:eastAsia="仿宋_GB2312" w:cs="仿宋_GB2312"/>
          <w:color w:val="000000"/>
          <w:sz w:val="32"/>
          <w:szCs w:val="32"/>
          <w:lang w:val="en-US" w:eastAsia="zh-CN"/>
        </w:rPr>
        <w:t>2.86</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增长</w:t>
      </w:r>
      <w:r>
        <w:rPr>
          <w:rFonts w:hint="eastAsia" w:ascii="仿宋_GB2312" w:hAnsi="仿宋_GB2312" w:eastAsia="仿宋_GB2312" w:cs="仿宋_GB2312"/>
          <w:color w:val="000000"/>
          <w:sz w:val="32"/>
          <w:szCs w:val="32"/>
          <w:lang w:val="en-US" w:eastAsia="zh-CN"/>
        </w:rPr>
        <w:t>3.28</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主要变动原因是：工资保险调整及项目增加。</w:t>
      </w:r>
    </w:p>
    <w:p w14:paraId="2936D8A8">
      <w:pPr>
        <w:pStyle w:val="6"/>
        <w:ind w:left="630" w:leftChars="0" w:hanging="630" w:hangingChars="300"/>
        <w:jc w:val="left"/>
        <w:rPr>
          <w:rFonts w:hint="eastAsia" w:ascii="思源黑体 CN Normal" w:hAnsi="思源黑体 CN Normal" w:eastAsia="仿宋" w:cs="思源黑体 CN Normal"/>
          <w:color w:val="000000"/>
          <w:sz w:val="32"/>
          <w:szCs w:val="32"/>
          <w:lang w:eastAsia="zh-CN"/>
        </w:rPr>
      </w:pPr>
      <w:r>
        <w:drawing>
          <wp:inline distT="0" distB="0" distL="114300" distR="114300">
            <wp:extent cx="5266690" cy="3018790"/>
            <wp:effectExtent l="0" t="0" r="10160" b="1016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5266690" cy="3018790"/>
                    </a:xfrm>
                    <a:prstGeom prst="rect">
                      <a:avLst/>
                    </a:prstGeom>
                    <a:noFill/>
                    <a:ln>
                      <a:noFill/>
                    </a:ln>
                  </pic:spPr>
                </pic:pic>
              </a:graphicData>
            </a:graphic>
          </wp:inline>
        </w:drawing>
      </w:r>
    </w:p>
    <w:p w14:paraId="239C505D">
      <w:pPr>
        <w:pStyle w:val="6"/>
        <w:ind w:left="0" w:leftChars="0" w:firstLine="0" w:firstLineChars="0"/>
        <w:jc w:val="left"/>
        <w:rPr>
          <w:rFonts w:hint="eastAsia" w:ascii="思源黑体 CN Normal" w:hAnsi="思源黑体 CN Normal" w:eastAsia="仿宋" w:cs="思源黑体 CN Normal"/>
          <w:color w:val="000000"/>
          <w:sz w:val="32"/>
          <w:szCs w:val="32"/>
          <w:lang w:eastAsia="zh-CN"/>
        </w:rPr>
      </w:pPr>
    </w:p>
    <w:p w14:paraId="6CC4F6BE">
      <w:pPr>
        <w:pStyle w:val="4"/>
        <w:pageBreakBefore w:val="0"/>
        <w:widowControl w:val="0"/>
        <w:kinsoku/>
        <w:wordWrap/>
        <w:overflowPunct/>
        <w:topLinePunct w:val="0"/>
        <w:autoSpaceDE/>
        <w:autoSpaceDN/>
        <w:bidi w:val="0"/>
        <w:adjustRightInd/>
        <w:snapToGrid/>
        <w:spacing w:before="0" w:after="0" w:line="576" w:lineRule="exact"/>
        <w:ind w:firstLine="321" w:firstLineChars="100"/>
        <w:textAlignment w:val="auto"/>
        <w:rPr>
          <w:rFonts w:hint="eastAsia" w:ascii="黑体" w:hAnsi="黑体" w:eastAsia="黑体" w:cs="黑体"/>
          <w:bCs w:val="0"/>
          <w:color w:val="000000"/>
        </w:rPr>
      </w:pPr>
      <w:bookmarkStart w:id="45" w:name="_Toc15377209"/>
      <w:bookmarkStart w:id="46" w:name="_Toc12337"/>
      <w:bookmarkStart w:id="47" w:name="_Toc20177"/>
      <w:bookmarkStart w:id="48" w:name="_Toc111208503"/>
      <w:r>
        <w:rPr>
          <w:rFonts w:hint="eastAsia" w:ascii="黑体" w:hAnsi="黑体" w:eastAsia="黑体" w:cs="黑体"/>
          <w:bCs w:val="0"/>
          <w:color w:val="000000"/>
        </w:rPr>
        <w:t>五、一般公共预算财政拨款支出决算情况说</w:t>
      </w:r>
      <w:bookmarkEnd w:id="45"/>
      <w:r>
        <w:rPr>
          <w:rFonts w:hint="eastAsia" w:ascii="黑体" w:hAnsi="黑体" w:eastAsia="黑体" w:cs="黑体"/>
          <w:bCs w:val="0"/>
          <w:color w:val="000000"/>
        </w:rPr>
        <w:t>明</w:t>
      </w:r>
      <w:bookmarkEnd w:id="46"/>
      <w:bookmarkEnd w:id="47"/>
      <w:bookmarkEnd w:id="48"/>
    </w:p>
    <w:p w14:paraId="21C00D6C">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49" w:name="_Toc15377210"/>
      <w:r>
        <w:rPr>
          <w:rFonts w:hint="eastAsia" w:ascii="仿宋" w:hAnsi="仿宋" w:eastAsia="仿宋" w:cs="仿宋"/>
          <w:b/>
          <w:color w:val="000000"/>
          <w:sz w:val="32"/>
          <w:szCs w:val="32"/>
        </w:rPr>
        <w:t>（一）一般公共预算财政拨款支出决算总体情况</w:t>
      </w:r>
      <w:bookmarkEnd w:id="49"/>
    </w:p>
    <w:p w14:paraId="5074BAC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bookmarkStart w:id="50" w:name="_Toc15377211"/>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szCs w:val="32"/>
          <w:lang w:val="en-US" w:eastAsia="zh-CN"/>
        </w:rPr>
        <w:t>89.99</w:t>
      </w:r>
      <w:r>
        <w:rPr>
          <w:rFonts w:hint="eastAsia" w:ascii="仿宋_GB2312" w:hAnsi="仿宋_GB2312" w:eastAsia="仿宋_GB2312" w:cs="仿宋_GB2312"/>
          <w:color w:val="000000"/>
          <w:sz w:val="32"/>
          <w:szCs w:val="32"/>
        </w:rPr>
        <w:t>万元，占本年支出合计的100%。与202</w:t>
      </w:r>
      <w:r>
        <w:rPr>
          <w:rFonts w:hint="eastAsia" w:ascii="仿宋_GB2312" w:hAnsi="仿宋_GB2312" w:eastAsia="仿宋_GB2312" w:cs="仿宋_GB2312"/>
          <w:color w:val="000000"/>
          <w:sz w:val="32"/>
          <w:szCs w:val="32"/>
          <w:lang w:val="en-US" w:eastAsia="zh-CN"/>
        </w:rPr>
        <w:t>4年度</w:t>
      </w:r>
      <w:r>
        <w:rPr>
          <w:rFonts w:hint="eastAsia" w:ascii="仿宋_GB2312" w:hAnsi="仿宋_GB2312" w:eastAsia="仿宋_GB2312" w:cs="仿宋_GB2312"/>
          <w:color w:val="000000"/>
          <w:sz w:val="32"/>
          <w:szCs w:val="32"/>
        </w:rPr>
        <w:t>相比，一般公共预算财政拨款</w:t>
      </w:r>
      <w:r>
        <w:rPr>
          <w:rFonts w:hint="eastAsia" w:ascii="仿宋_GB2312" w:hAnsi="仿宋_GB2312" w:eastAsia="仿宋_GB2312" w:cs="仿宋_GB2312"/>
          <w:color w:val="000000"/>
          <w:sz w:val="32"/>
          <w:szCs w:val="32"/>
          <w:lang w:eastAsia="zh-CN"/>
        </w:rPr>
        <w:t>增加</w:t>
      </w:r>
      <w:r>
        <w:rPr>
          <w:rFonts w:hint="eastAsia" w:ascii="仿宋_GB2312" w:hAnsi="仿宋_GB2312" w:eastAsia="仿宋_GB2312" w:cs="仿宋_GB2312"/>
          <w:color w:val="000000"/>
          <w:sz w:val="32"/>
          <w:szCs w:val="32"/>
          <w:lang w:val="en-US" w:eastAsia="zh-CN"/>
        </w:rPr>
        <w:t>2.86</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增长</w:t>
      </w:r>
      <w:r>
        <w:rPr>
          <w:rFonts w:hint="eastAsia" w:ascii="仿宋_GB2312" w:hAnsi="仿宋_GB2312" w:eastAsia="仿宋_GB2312" w:cs="仿宋_GB2312"/>
          <w:color w:val="000000"/>
          <w:sz w:val="32"/>
          <w:szCs w:val="32"/>
          <w:lang w:val="en-US" w:eastAsia="zh-CN"/>
        </w:rPr>
        <w:t>3.28</w:t>
      </w:r>
      <w:r>
        <w:rPr>
          <w:rFonts w:hint="eastAsia" w:ascii="仿宋_GB2312" w:hAnsi="仿宋_GB2312" w:eastAsia="仿宋_GB2312" w:cs="仿宋_GB2312"/>
          <w:color w:val="000000"/>
          <w:sz w:val="32"/>
          <w:szCs w:val="32"/>
        </w:rPr>
        <w:t>%。主要变动原因是</w:t>
      </w:r>
      <w:r>
        <w:rPr>
          <w:rFonts w:hint="eastAsia" w:ascii="仿宋_GB2312" w:hAnsi="仿宋_GB2312" w:eastAsia="仿宋_GB2312" w:cs="仿宋_GB2312"/>
          <w:color w:val="000000"/>
          <w:sz w:val="32"/>
          <w:szCs w:val="32"/>
          <w:lang w:eastAsia="zh-CN"/>
        </w:rPr>
        <w:t>：工资保险调整及项目增加。</w:t>
      </w:r>
    </w:p>
    <w:p w14:paraId="15CB716D">
      <w:pPr>
        <w:pStyle w:val="6"/>
        <w:ind w:firstLine="0"/>
        <w:jc w:val="center"/>
        <w:rPr>
          <w:rFonts w:hint="eastAsia" w:ascii="思源黑体 CN Normal" w:hAnsi="思源黑体 CN Normal" w:eastAsia="思源黑体 CN Normal" w:cs="思源黑体 CN Normal"/>
          <w:b/>
          <w:color w:val="000000"/>
          <w:sz w:val="32"/>
          <w:szCs w:val="32"/>
          <w:lang w:eastAsia="zh-CN"/>
        </w:rPr>
      </w:pPr>
      <w:r>
        <w:drawing>
          <wp:inline distT="0" distB="0" distL="114300" distR="114300">
            <wp:extent cx="3993515" cy="1973580"/>
            <wp:effectExtent l="0" t="0" r="6985" b="762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0"/>
                    <a:stretch>
                      <a:fillRect/>
                    </a:stretch>
                  </pic:blipFill>
                  <pic:spPr>
                    <a:xfrm>
                      <a:off x="0" y="0"/>
                      <a:ext cx="3993515" cy="1973580"/>
                    </a:xfrm>
                    <a:prstGeom prst="rect">
                      <a:avLst/>
                    </a:prstGeom>
                    <a:noFill/>
                    <a:ln>
                      <a:noFill/>
                    </a:ln>
                  </pic:spPr>
                </pic:pic>
              </a:graphicData>
            </a:graphic>
          </wp:inline>
        </w:drawing>
      </w:r>
    </w:p>
    <w:p w14:paraId="1BA35CB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（二）一般公共预算财政拨款支出决算结构情况</w:t>
      </w:r>
      <w:bookmarkEnd w:id="50"/>
    </w:p>
    <w:p w14:paraId="2DA7172B">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olor w:val="auto"/>
          <w:sz w:val="32"/>
          <w:szCs w:val="32"/>
          <w:highlight w:val="none"/>
          <w:lang w:eastAsia="zh-CN"/>
        </w:rPr>
      </w:pPr>
      <w:bookmarkStart w:id="51" w:name="_Toc15377212"/>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2025年一般公共预算财政拨款支出89.99万元，主要用于以下方面：一般公共服务支出63.08万元，占70.1%；文化旅游体育与传媒支出5万元，占5.56%；社会保障和就业支出</w:t>
      </w:r>
      <w:r>
        <w:rPr>
          <w:rFonts w:hint="eastAsia" w:ascii="仿宋_GB2312" w:hAnsi="仿宋" w:eastAsia="仿宋_GB2312" w:cs="仿宋"/>
          <w:color w:val="000000" w:themeColor="text1"/>
          <w:sz w:val="32"/>
          <w:szCs w:val="32"/>
          <w:lang w:val="en-US" w:eastAsia="zh-CN"/>
          <w14:textFill>
            <w14:solidFill>
              <w14:schemeClr w14:val="tx1"/>
            </w14:solidFill>
          </w14:textFill>
        </w:rPr>
        <w:t>11.20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万元，占12.45%；卫生健康支出</w:t>
      </w:r>
      <w:r>
        <w:rPr>
          <w:rFonts w:hint="eastAsia" w:ascii="仿宋_GB2312" w:hAnsi="仿宋" w:eastAsia="仿宋_GB2312" w:cs="仿宋"/>
          <w:color w:val="000000" w:themeColor="text1"/>
          <w:sz w:val="32"/>
          <w:szCs w:val="32"/>
          <w:lang w:val="en-US" w:eastAsia="zh-CN"/>
          <w14:textFill>
            <w14:solidFill>
              <w14:schemeClr w14:val="tx1"/>
            </w14:solidFill>
          </w14:textFill>
        </w:rPr>
        <w:t>4.33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万元，占4.81%；住房保障支出</w:t>
      </w:r>
      <w:r>
        <w:rPr>
          <w:rFonts w:hint="eastAsia" w:ascii="仿宋_GB2312" w:hAnsi="仿宋" w:eastAsia="仿宋_GB2312" w:cs="仿宋"/>
          <w:color w:val="000000" w:themeColor="text1"/>
          <w:sz w:val="32"/>
          <w:szCs w:val="32"/>
          <w:lang w:val="en-US" w:eastAsia="zh-CN"/>
          <w14:textFill>
            <w14:solidFill>
              <w14:schemeClr w14:val="tx1"/>
            </w14:solidFill>
          </w14:textFill>
        </w:rPr>
        <w:t>6.37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万元，占7.08%。</w:t>
      </w:r>
    </w:p>
    <w:p w14:paraId="73E581CA">
      <w:pPr>
        <w:pStyle w:val="10"/>
        <w:ind w:left="0" w:leftChars="0" w:firstLine="0" w:firstLineChars="0"/>
        <w:jc w:val="center"/>
        <w:rPr>
          <w:rFonts w:hint="eastAsia"/>
        </w:rPr>
      </w:pPr>
      <w:r>
        <w:drawing>
          <wp:inline distT="0" distB="0" distL="114300" distR="114300">
            <wp:extent cx="3602355" cy="2286000"/>
            <wp:effectExtent l="0" t="0" r="17145"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1"/>
                    <a:stretch>
                      <a:fillRect/>
                    </a:stretch>
                  </pic:blipFill>
                  <pic:spPr>
                    <a:xfrm>
                      <a:off x="0" y="0"/>
                      <a:ext cx="3602355" cy="2286000"/>
                    </a:xfrm>
                    <a:prstGeom prst="rect">
                      <a:avLst/>
                    </a:prstGeom>
                    <a:noFill/>
                    <a:ln>
                      <a:noFill/>
                    </a:ln>
                  </pic:spPr>
                </pic:pic>
              </a:graphicData>
            </a:graphic>
          </wp:inline>
        </w:drawing>
      </w:r>
    </w:p>
    <w:p w14:paraId="73488BE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（三）一般公共预算财政拨款支出决算具体情况</w:t>
      </w:r>
      <w:bookmarkEnd w:id="51"/>
    </w:p>
    <w:p w14:paraId="534D5959">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bookmarkStart w:id="52" w:name="_Toc15378460"/>
      <w:bookmarkStart w:id="53" w:name="_Toc15377213"/>
      <w:bookmarkStart w:id="54" w:name="_Toc15377444"/>
      <w:bookmarkStart w:id="55" w:name="_Toc15377214"/>
      <w:bookmarkStart w:id="56" w:name="_Toc111208504"/>
      <w:r>
        <w:rPr>
          <w:rFonts w:hint="eastAsia" w:ascii="仿宋_GB2312" w:hAnsi="仿宋_GB2312" w:eastAsia="仿宋_GB2312" w:cs="仿宋_GB2312"/>
          <w:color w:val="000000"/>
          <w:sz w:val="32"/>
          <w:szCs w:val="32"/>
          <w:lang w:val="en-US" w:eastAsia="zh-CN"/>
        </w:rPr>
        <w:t>2025年度一般公共预算支出决算数为89.99万元，完成预算100%。其中：</w:t>
      </w:r>
      <w:bookmarkEnd w:id="52"/>
      <w:bookmarkEnd w:id="53"/>
      <w:bookmarkEnd w:id="54"/>
    </w:p>
    <w:p w14:paraId="5747A2F3">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1.文化旅游体育与传媒支出（类）其他文化旅游体育与传媒支出（款）其他文化旅游体育与传媒支出（项）支出决算为5万元，完成预算100%，决算数与预算数持平。</w:t>
      </w:r>
    </w:p>
    <w:p w14:paraId="6E73F5A3">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2.一般公共服务支出（类）群众团体事务（款）事业运行支出（项）支出决算为63.08万元，完成预算的100%，决算数与预算数持平。</w:t>
      </w:r>
    </w:p>
    <w:p w14:paraId="770F40C2">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3.社会保障和就业支出（类）行政事业单位养老支出（款）机关事业单位基本养老保险缴费支出（项）支出决算为7.47万元，完成预算的100%，决算数与预算数持平。</w:t>
      </w:r>
    </w:p>
    <w:p w14:paraId="2FECF59D">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4.社会保障和就业支出（类）行政事业单位养老支出（款）机关事业单位职业年金缴费支出（项）支出决算为3.73万元，完成预算的100%，决算数与预算数持平。</w:t>
      </w:r>
      <w:r>
        <w:rPr>
          <w:rFonts w:hint="eastAsia" w:ascii="仿宋_GB2312" w:hAnsi="仿宋_GB2312" w:eastAsia="仿宋_GB2312" w:cs="仿宋_GB2312"/>
          <w:color w:val="000000"/>
          <w:sz w:val="32"/>
          <w:szCs w:val="32"/>
          <w:lang w:val="en-US" w:eastAsia="zh-CN"/>
        </w:rPr>
        <w:br w:type="textWrapping"/>
      </w:r>
      <w:r>
        <w:rPr>
          <w:rFonts w:hint="eastAsia" w:ascii="仿宋_GB2312" w:hAnsi="仿宋_GB2312" w:eastAsia="仿宋_GB2312" w:cs="仿宋_GB2312"/>
          <w:color w:val="000000"/>
          <w:sz w:val="32"/>
          <w:szCs w:val="32"/>
          <w:lang w:val="en-US" w:eastAsia="zh-CN"/>
        </w:rPr>
        <w:t>　　5.卫生健康支出（类）行政事业单位医疗（款）事业单位医疗支出（项）支出决算为4.33万元，完成预算的100%，决算数与预算数持平。</w:t>
      </w:r>
    </w:p>
    <w:p w14:paraId="09B34609">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6.住房保障支出（类）住房改革支出（款）住房公积金支出（项）支出决算为6.37万元，完成预算的100%，决算数与预算数持平。</w:t>
      </w:r>
    </w:p>
    <w:p w14:paraId="64D48645">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 w:val="0"/>
          <w:color w:val="000000"/>
        </w:rPr>
      </w:pPr>
      <w:bookmarkStart w:id="57" w:name="_Toc21659"/>
      <w:bookmarkStart w:id="58" w:name="_Toc16457"/>
      <w:r>
        <w:rPr>
          <w:rFonts w:hint="eastAsia" w:ascii="黑体" w:hAnsi="黑体" w:eastAsia="黑体" w:cs="黑体"/>
          <w:bCs w:val="0"/>
          <w:color w:val="000000"/>
        </w:rPr>
        <w:t>六、一般公共预算财政拨款基本支出决算情况说</w:t>
      </w:r>
      <w:bookmarkEnd w:id="55"/>
      <w:r>
        <w:rPr>
          <w:rFonts w:hint="eastAsia" w:ascii="黑体" w:hAnsi="黑体" w:eastAsia="黑体" w:cs="黑体"/>
          <w:bCs w:val="0"/>
          <w:color w:val="000000"/>
        </w:rPr>
        <w:t>明</w:t>
      </w:r>
      <w:bookmarkEnd w:id="56"/>
      <w:bookmarkEnd w:id="57"/>
      <w:bookmarkEnd w:id="58"/>
    </w:p>
    <w:p w14:paraId="4556B702">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bookmarkStart w:id="59" w:name="_Toc15377215"/>
      <w:bookmarkStart w:id="60" w:name="_Toc111208505"/>
      <w:r>
        <w:rPr>
          <w:rFonts w:hint="eastAsia" w:ascii="仿宋_GB2312" w:hAnsi="仿宋_GB2312" w:eastAsia="仿宋_GB2312" w:cs="仿宋_GB2312"/>
          <w:color w:val="000000"/>
          <w:sz w:val="32"/>
          <w:szCs w:val="32"/>
          <w:lang w:val="en-US" w:eastAsia="zh-CN"/>
        </w:rPr>
        <w:t>2025年一般公共预算财政拨款基本支出84.98万元，其中：</w:t>
      </w:r>
    </w:p>
    <w:p w14:paraId="22C78621">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人员经费81.14万元，主要包括：基本工资、津贴补贴、奖金、绩效工资、机关事业单位基本养老保险缴费、职业年金缴费、职工基本医疗保险、医疗费、其他社会保障缴费、生活补助、医疗费补助、奖励金、住房公积金等。</w:t>
      </w:r>
      <w:r>
        <w:rPr>
          <w:rFonts w:hint="eastAsia" w:ascii="仿宋_GB2312" w:hAnsi="仿宋_GB2312" w:eastAsia="仿宋_GB2312" w:cs="仿宋_GB2312"/>
          <w:color w:val="000000"/>
          <w:sz w:val="32"/>
          <w:szCs w:val="32"/>
          <w:lang w:val="en-US" w:eastAsia="zh-CN"/>
        </w:rPr>
        <w:br w:type="textWrapping"/>
      </w:r>
      <w:r>
        <w:rPr>
          <w:rFonts w:hint="eastAsia" w:ascii="仿宋_GB2312" w:hAnsi="仿宋_GB2312" w:eastAsia="仿宋_GB2312" w:cs="仿宋_GB2312"/>
          <w:color w:val="000000"/>
          <w:sz w:val="32"/>
          <w:szCs w:val="32"/>
          <w:lang w:val="en-US" w:eastAsia="zh-CN"/>
        </w:rPr>
        <w:t xml:space="preserve">    公用经费3.84万元，主要包括：办公费、差旅费。</w:t>
      </w:r>
    </w:p>
    <w:p w14:paraId="440E7B9D">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61" w:name="_Toc6571"/>
      <w:bookmarkStart w:id="62" w:name="_Toc29032"/>
      <w:r>
        <w:rPr>
          <w:rFonts w:hint="eastAsia" w:ascii="黑体" w:hAnsi="黑体" w:eastAsia="黑体" w:cs="黑体"/>
          <w:bCs w:val="0"/>
          <w:color w:val="000000"/>
        </w:rPr>
        <w:t>七、</w:t>
      </w:r>
      <w:r>
        <w:rPr>
          <w:rFonts w:hint="eastAsia" w:ascii="黑体" w:hAnsi="黑体" w:eastAsia="黑体" w:cs="黑体"/>
          <w:bCs w:val="0"/>
          <w:color w:val="000000"/>
          <w:lang w:eastAsia="zh-CN"/>
        </w:rPr>
        <w:t>财政拨款</w:t>
      </w:r>
      <w:r>
        <w:rPr>
          <w:rFonts w:hint="eastAsia" w:ascii="黑体" w:hAnsi="黑体" w:eastAsia="黑体" w:cs="黑体"/>
          <w:bCs w:val="0"/>
          <w:color w:val="000000"/>
        </w:rPr>
        <w:t>“三公”经费财政拨款支出决算情况说明</w:t>
      </w:r>
      <w:bookmarkEnd w:id="59"/>
      <w:bookmarkEnd w:id="60"/>
      <w:bookmarkEnd w:id="61"/>
      <w:bookmarkEnd w:id="62"/>
    </w:p>
    <w:p w14:paraId="1CED769E">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63" w:name="_Toc15377216"/>
      <w:r>
        <w:rPr>
          <w:rFonts w:hint="eastAsia" w:ascii="仿宋" w:hAnsi="仿宋" w:eastAsia="仿宋" w:cs="仿宋"/>
          <w:b/>
          <w:color w:val="000000"/>
          <w:sz w:val="32"/>
          <w:szCs w:val="32"/>
        </w:rPr>
        <w:t>（一）“三公”经费财政拨款支出决算总体情况说明</w:t>
      </w:r>
      <w:bookmarkEnd w:id="63"/>
    </w:p>
    <w:p w14:paraId="4C05B49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2025年度“三公”经费财政拨款支出决算为0万元。</w:t>
      </w:r>
      <w:bookmarkStart w:id="64" w:name="_Toc15377217"/>
    </w:p>
    <w:p w14:paraId="167DC3CD">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（二）“三公”经费财政拨款支出决算具体情况说明</w:t>
      </w:r>
      <w:bookmarkEnd w:id="64"/>
    </w:p>
    <w:p w14:paraId="500501F2">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2025年度“三公”经费支出决算中，因公出国境费支出决算0万元，占0%；公务用车购置及运行维护费支出决算0万元，占</w:t>
      </w:r>
      <w:bookmarkStart w:id="65" w:name="_Toc15377218"/>
      <w:bookmarkStart w:id="66" w:name="_Toc32197"/>
      <w:bookmarkStart w:id="67" w:name="_Toc111208506"/>
      <w:r>
        <w:rPr>
          <w:rFonts w:hint="eastAsia" w:ascii="仿宋_GB2312" w:hAnsi="仿宋_GB2312" w:eastAsia="仿宋_GB2312" w:cs="仿宋_GB2312"/>
          <w:color w:val="000000"/>
          <w:sz w:val="32"/>
          <w:szCs w:val="32"/>
          <w:lang w:val="en-US" w:eastAsia="zh-CN"/>
        </w:rPr>
        <w:t>0%；公务接待费支出决算0万元，占0%。</w:t>
      </w:r>
    </w:p>
    <w:p w14:paraId="744EA166">
      <w:pPr>
        <w:pStyle w:val="2"/>
        <w:jc w:val="center"/>
        <w:rPr>
          <w:rFonts w:hint="default"/>
          <w:lang w:val="en-US" w:eastAsia="zh-CN"/>
        </w:rPr>
      </w:pPr>
      <w:r>
        <w:rPr>
          <w:rFonts w:hint="default"/>
          <w:lang w:val="en-US" w:eastAsia="zh-CN"/>
        </w:rPr>
        <w:drawing>
          <wp:inline distT="0" distB="0" distL="114300" distR="114300">
            <wp:extent cx="4104640" cy="1959610"/>
            <wp:effectExtent l="0" t="0" r="10160" b="2540"/>
            <wp:docPr id="5" name="图片 5" descr="bf8be8f57fdbd8b12040c8735fa8e3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f8be8f57fdbd8b12040c8735fa8e30e"/>
                    <pic:cNvPicPr>
                      <a:picLocks noChangeAspect="1"/>
                    </pic:cNvPicPr>
                  </pic:nvPicPr>
                  <pic:blipFill>
                    <a:blip r:embed="rId12"/>
                    <a:stretch>
                      <a:fillRect/>
                    </a:stretch>
                  </pic:blipFill>
                  <pic:spPr>
                    <a:xfrm>
                      <a:off x="0" y="0"/>
                      <a:ext cx="4104640" cy="1959610"/>
                    </a:xfrm>
                    <a:prstGeom prst="rect">
                      <a:avLst/>
                    </a:prstGeom>
                  </pic:spPr>
                </pic:pic>
              </a:graphicData>
            </a:graphic>
          </wp:inline>
        </w:drawing>
      </w:r>
    </w:p>
    <w:p w14:paraId="5EDC6753">
      <w:pPr>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黑体" w:hAnsi="黑体" w:eastAsia="黑体" w:cs="黑体"/>
          <w:b/>
          <w:bCs w:val="0"/>
          <w:color w:val="000000"/>
          <w:kern w:val="2"/>
          <w:sz w:val="32"/>
          <w:szCs w:val="32"/>
          <w:lang w:val="en-US" w:eastAsia="zh-CN" w:bidi="ar-SA"/>
        </w:rPr>
      </w:pPr>
      <w:r>
        <w:rPr>
          <w:rFonts w:hint="eastAsia" w:ascii="黑体" w:hAnsi="黑体" w:eastAsia="黑体" w:cs="黑体"/>
          <w:b/>
          <w:bCs w:val="0"/>
          <w:color w:val="000000"/>
          <w:kern w:val="2"/>
          <w:sz w:val="32"/>
          <w:szCs w:val="32"/>
          <w:lang w:val="en-US" w:eastAsia="zh-CN" w:bidi="ar-SA"/>
        </w:rPr>
        <w:t>八、政府性基金预算支出决算情况说明</w:t>
      </w:r>
      <w:bookmarkEnd w:id="65"/>
      <w:bookmarkEnd w:id="66"/>
      <w:bookmarkEnd w:id="67"/>
    </w:p>
    <w:p w14:paraId="568E1C7B">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2025年度政府性基金预算拨款支出0万元。</w:t>
      </w:r>
      <w:bookmarkStart w:id="68" w:name="_Toc15377219"/>
    </w:p>
    <w:p w14:paraId="6B4AEA04">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69" w:name="_Toc4582"/>
      <w:bookmarkStart w:id="70" w:name="_Toc6409"/>
      <w:bookmarkStart w:id="71" w:name="_Toc111208507"/>
      <w:r>
        <w:rPr>
          <w:rFonts w:hint="eastAsia" w:ascii="黑体" w:hAnsi="黑体" w:eastAsia="黑体" w:cs="黑体"/>
          <w:bCs w:val="0"/>
          <w:color w:val="000000"/>
        </w:rPr>
        <w:t>九、国有资本经营预算支出决算情况说明</w:t>
      </w:r>
      <w:bookmarkEnd w:id="68"/>
      <w:bookmarkEnd w:id="69"/>
      <w:bookmarkEnd w:id="70"/>
      <w:bookmarkEnd w:id="71"/>
    </w:p>
    <w:p w14:paraId="34FD534D">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2025年度国有资本经营预算拨款支出0万元。</w:t>
      </w:r>
    </w:p>
    <w:p w14:paraId="16D7A49F">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72" w:name="_Toc111208508"/>
      <w:bookmarkStart w:id="73" w:name="_Toc3125"/>
      <w:bookmarkStart w:id="74" w:name="_Toc15377221"/>
      <w:bookmarkStart w:id="75" w:name="_Toc1925"/>
      <w:r>
        <w:rPr>
          <w:rFonts w:hint="eastAsia" w:ascii="黑体" w:hAnsi="黑体" w:eastAsia="黑体" w:cs="黑体"/>
          <w:bCs w:val="0"/>
          <w:color w:val="000000"/>
        </w:rPr>
        <w:t>十、其他重要事项的情况说明</w:t>
      </w:r>
      <w:bookmarkEnd w:id="72"/>
      <w:bookmarkEnd w:id="73"/>
      <w:bookmarkEnd w:id="74"/>
      <w:bookmarkEnd w:id="75"/>
    </w:p>
    <w:p w14:paraId="4A054710">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76" w:name="_Toc15377222"/>
      <w:r>
        <w:rPr>
          <w:rFonts w:hint="eastAsia" w:ascii="仿宋" w:hAnsi="仿宋" w:eastAsia="仿宋" w:cs="仿宋"/>
          <w:b/>
          <w:color w:val="000000"/>
          <w:sz w:val="32"/>
          <w:szCs w:val="32"/>
        </w:rPr>
        <w:t>（一）机关运行经费支出情况</w:t>
      </w:r>
      <w:bookmarkEnd w:id="76"/>
    </w:p>
    <w:p w14:paraId="4B05DA81">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2025年度，机关运行经费0万元。 </w:t>
      </w:r>
    </w:p>
    <w:p w14:paraId="471EA65A">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77" w:name="_Toc15377223"/>
      <w:r>
        <w:rPr>
          <w:rFonts w:hint="eastAsia" w:ascii="仿宋" w:hAnsi="仿宋" w:eastAsia="仿宋" w:cs="仿宋"/>
          <w:b/>
          <w:color w:val="000000"/>
          <w:sz w:val="32"/>
          <w:szCs w:val="32"/>
        </w:rPr>
        <w:t>（二）政府采购支出情况</w:t>
      </w:r>
      <w:bookmarkEnd w:id="77"/>
    </w:p>
    <w:p w14:paraId="6F93EB07">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2025年度，政府采购支出总额0万元。</w:t>
      </w:r>
    </w:p>
    <w:p w14:paraId="31E2BA02">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78" w:name="_Toc15377224"/>
      <w:r>
        <w:rPr>
          <w:rFonts w:hint="eastAsia" w:ascii="仿宋" w:hAnsi="仿宋" w:eastAsia="仿宋" w:cs="仿宋"/>
          <w:b/>
          <w:color w:val="000000"/>
          <w:sz w:val="32"/>
          <w:szCs w:val="32"/>
        </w:rPr>
        <w:t>（三）国有资产占有使用情况</w:t>
      </w:r>
      <w:bookmarkEnd w:id="78"/>
    </w:p>
    <w:p w14:paraId="2566EC31">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2025年，国有资本经营预算拨款0万元。</w:t>
      </w:r>
    </w:p>
    <w:p w14:paraId="48BE91F5">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sz w:val="32"/>
          <w:szCs w:val="32"/>
        </w:rPr>
      </w:pPr>
      <w:r>
        <w:rPr>
          <w:rFonts w:hint="eastAsia" w:ascii="仿宋" w:hAnsi="仿宋" w:eastAsia="仿宋" w:cs="仿宋"/>
          <w:b/>
          <w:color w:val="000000"/>
          <w:sz w:val="32"/>
          <w:szCs w:val="32"/>
        </w:rPr>
        <w:t>（四）预算绩效管理情况</w:t>
      </w:r>
    </w:p>
    <w:p w14:paraId="0DAB7DAC">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根据预算绩效管理要求，本单位在2025年度预算编制阶段，组织对（2025年文联系列活动经费、《九鼎山》第十四期及第十五期出版印刷经费、公共文化服务体系建设补助资金）等3个项目开展了预算事前绩效评估，对3个项目编制了绩效目标，在预算执行过程中，选取3个项目开展绩效监控，组织对3个项目开展绩效自评，绩效自评表详见第四部分附件。</w:t>
      </w:r>
    </w:p>
    <w:p w14:paraId="4D34EAB1">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组织对2025年度一般公共预算全面开展绩效自评，形成茂县文联部门整体（含部门预算项目）绩效自评报告。其中，茂县文联部门整体（含部门预算项目）绩效自评得分为100分，绩效自评综述：本年</w:t>
      </w:r>
      <w:r>
        <w:rPr>
          <w:rFonts w:hint="eastAsia" w:ascii="仿宋_GB2312" w:hAnsi="仿宋_GB2312" w:eastAsia="仿宋_GB2312" w:cs="仿宋_GB2312"/>
          <w:color w:val="000000"/>
          <w:sz w:val="32"/>
          <w:szCs w:val="32"/>
          <w:lang w:val="zh-CN" w:eastAsia="zh-CN"/>
        </w:rPr>
        <w:t>紧紧围绕年度目标任务，团结拼搏，锐意进取，扎实工作，全面完成了各项工作任务。</w:t>
      </w:r>
      <w:bookmarkStart w:id="79" w:name="_Toc15377225"/>
      <w:bookmarkStart w:id="80" w:name="_Toc111208509"/>
    </w:p>
    <w:p w14:paraId="5DD9F325">
      <w:pPr>
        <w:pageBreakBefore w:val="0"/>
        <w:widowControl w:val="0"/>
        <w:kinsoku/>
        <w:wordWrap/>
        <w:overflowPunct/>
        <w:topLinePunct w:val="0"/>
        <w:autoSpaceDE/>
        <w:autoSpaceDN/>
        <w:bidi w:val="0"/>
        <w:adjustRightInd/>
        <w:snapToGrid/>
        <w:spacing w:line="576" w:lineRule="exact"/>
        <w:textAlignment w:val="auto"/>
        <w:rPr>
          <w:rFonts w:hint="eastAsia" w:ascii="黑体" w:eastAsia="黑体" w:cs="黑体"/>
        </w:rPr>
      </w:pPr>
    </w:p>
    <w:p w14:paraId="4298141C">
      <w:pPr>
        <w:pStyle w:val="17"/>
        <w:pageBreakBefore w:val="0"/>
        <w:widowControl w:val="0"/>
        <w:kinsoku/>
        <w:wordWrap/>
        <w:overflowPunct/>
        <w:topLinePunct w:val="0"/>
        <w:autoSpaceDE/>
        <w:autoSpaceDN/>
        <w:bidi w:val="0"/>
        <w:adjustRightInd/>
        <w:snapToGrid/>
        <w:spacing w:line="576" w:lineRule="exact"/>
        <w:textAlignment w:val="auto"/>
        <w:rPr>
          <w:rFonts w:hint="eastAsia"/>
        </w:rPr>
      </w:pPr>
    </w:p>
    <w:p w14:paraId="7635D3DE">
      <w:pPr>
        <w:pageBreakBefore w:val="0"/>
        <w:widowControl w:val="0"/>
        <w:kinsoku/>
        <w:wordWrap/>
        <w:overflowPunct/>
        <w:topLinePunct w:val="0"/>
        <w:autoSpaceDE/>
        <w:autoSpaceDN/>
        <w:bidi w:val="0"/>
        <w:adjustRightInd/>
        <w:snapToGrid/>
        <w:spacing w:line="576" w:lineRule="exact"/>
        <w:textAlignment w:val="auto"/>
        <w:rPr>
          <w:rFonts w:hint="eastAsia"/>
        </w:rPr>
      </w:pPr>
    </w:p>
    <w:p w14:paraId="34E84615">
      <w:pPr>
        <w:pStyle w:val="2"/>
        <w:pageBreakBefore w:val="0"/>
        <w:widowControl w:val="0"/>
        <w:kinsoku/>
        <w:wordWrap/>
        <w:overflowPunct/>
        <w:topLinePunct w:val="0"/>
        <w:autoSpaceDE/>
        <w:autoSpaceDN/>
        <w:bidi w:val="0"/>
        <w:adjustRightInd/>
        <w:snapToGrid/>
        <w:spacing w:line="576" w:lineRule="exact"/>
        <w:textAlignment w:val="auto"/>
        <w:rPr>
          <w:rFonts w:hint="eastAsia"/>
        </w:rPr>
      </w:pPr>
    </w:p>
    <w:p w14:paraId="7B9A58AD">
      <w:pPr>
        <w:jc w:val="both"/>
        <w:rPr>
          <w:rFonts w:hint="eastAsia" w:ascii="黑体" w:hAnsi="黑体" w:eastAsia="黑体" w:cs="黑体"/>
          <w:b/>
          <w:bCs/>
          <w:kern w:val="44"/>
          <w:sz w:val="44"/>
          <w:szCs w:val="44"/>
          <w:lang w:val="en-US" w:eastAsia="zh-CN" w:bidi="ar-SA"/>
        </w:rPr>
      </w:pPr>
    </w:p>
    <w:p w14:paraId="7940B7C1">
      <w:pPr>
        <w:jc w:val="center"/>
        <w:rPr>
          <w:rFonts w:hint="eastAsia" w:ascii="黑体" w:hAnsi="黑体" w:eastAsia="黑体" w:cs="黑体"/>
          <w:b/>
          <w:bCs/>
          <w:kern w:val="44"/>
          <w:sz w:val="44"/>
          <w:szCs w:val="44"/>
          <w:lang w:val="en-US" w:eastAsia="zh-CN" w:bidi="ar-SA"/>
        </w:rPr>
      </w:pPr>
      <w:r>
        <w:rPr>
          <w:rFonts w:hint="eastAsia" w:ascii="黑体" w:hAnsi="黑体" w:eastAsia="黑体" w:cs="黑体"/>
          <w:b/>
          <w:bCs/>
          <w:kern w:val="44"/>
          <w:sz w:val="44"/>
          <w:szCs w:val="44"/>
          <w:lang w:val="en-US" w:eastAsia="zh-CN" w:bidi="ar-SA"/>
        </w:rPr>
        <w:t>第三部分 名词解释</w:t>
      </w:r>
      <w:bookmarkEnd w:id="79"/>
      <w:bookmarkEnd w:id="80"/>
    </w:p>
    <w:p w14:paraId="77C4DB20">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1.财政拨款收入：指单位从同级财政部门取得的财政预算资金。</w:t>
      </w:r>
    </w:p>
    <w:p w14:paraId="26F1629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2.事业收入：指事业单位开展专业业务活动及辅助活动取得的收入。</w:t>
      </w:r>
    </w:p>
    <w:p w14:paraId="1B29EB92">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3.经营收入：指事业单位在专业业务活动及其辅助活动之外开展非独立核算经营活动取得的收入</w:t>
      </w:r>
    </w:p>
    <w:p w14:paraId="7EF1FCAD">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4.其他收入：指单位取得的除上述收入以外的各项收入。</w:t>
      </w:r>
    </w:p>
    <w:p w14:paraId="3FB2F50E">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5.使用非财政拨款结余（含专用结余）：指事业单位使用以前年度积累的非财政拨款结余弥补当年收支差额的金额。 </w:t>
      </w:r>
    </w:p>
    <w:p w14:paraId="3DF5CAF1">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6.年初结转和结余：指以前年度尚未完成、结转到本年按有关规定继续使用的资金。 </w:t>
      </w:r>
    </w:p>
    <w:p w14:paraId="3F800685">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7.结余分配：指事业单位按照会计制度规定缴纳的所得税、提取的专用结余以及转入非财政拨款结余的金额等。</w:t>
      </w:r>
    </w:p>
    <w:p w14:paraId="05E182FF">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8.年末结转和结余：指单位按有关规定结转到下年或以后年度继续使用的资金。</w:t>
      </w:r>
    </w:p>
    <w:p w14:paraId="4F6DBC6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9.文化旅游体育与传媒支出（类）新闻出版电影（款）出版发行（项）：反映图书、报纸、期刊、音像、电子、网络出版物出版、印刷复制和发行等方面的支出。</w:t>
      </w:r>
    </w:p>
    <w:p w14:paraId="6290A059">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10.基本支出：指为保障机构正常运转、完成日常工作任务而发生的人员支出和公用支出。</w:t>
      </w:r>
    </w:p>
    <w:p w14:paraId="57CA7682">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11.项目支出：指在基本支出之外为完成特定行政任务和事业发展目标所发生的支出。 </w:t>
      </w:r>
    </w:p>
    <w:p w14:paraId="00DE9FDD">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B244D2B">
      <w:pPr>
        <w:widowControl/>
        <w:spacing w:line="578" w:lineRule="exact"/>
        <w:contextualSpacing/>
        <w:rPr>
          <w:rFonts w:eastAsia="宋体"/>
          <w:b/>
          <w:sz w:val="44"/>
          <w:szCs w:val="44"/>
          <w:shd w:val="clear" w:color="auto" w:fill="FFFFFF"/>
        </w:rPr>
      </w:pPr>
      <w:r>
        <w:rPr>
          <w:rStyle w:val="26"/>
          <w:rFonts w:hint="eastAsia" w:ascii="思源黑体 CN Normal" w:eastAsia="思源黑体 CN Normal" w:cs="思源黑体 CN Normal"/>
        </w:rPr>
        <w:br w:type="page"/>
      </w:r>
    </w:p>
    <w:p w14:paraId="42AAF35F">
      <w:pPr>
        <w:pStyle w:val="3"/>
        <w:keepNext/>
        <w:keepLines/>
        <w:pageBreakBefore w:val="0"/>
        <w:widowControl w:val="0"/>
        <w:kinsoku/>
        <w:wordWrap/>
        <w:overflowPunct/>
        <w:topLinePunct w:val="0"/>
        <w:autoSpaceDE/>
        <w:autoSpaceDN/>
        <w:bidi w:val="0"/>
        <w:adjustRightInd/>
        <w:snapToGrid/>
        <w:spacing w:before="0" w:after="0" w:line="576" w:lineRule="exact"/>
        <w:jc w:val="center"/>
        <w:textAlignment w:val="auto"/>
        <w:rPr>
          <w:rFonts w:hint="eastAsia" w:ascii="黑体" w:eastAsia="黑体" w:cs="黑体"/>
          <w:lang w:eastAsia="zh-CN"/>
        </w:rPr>
      </w:pPr>
      <w:bookmarkStart w:id="81" w:name="_Toc2381"/>
      <w:r>
        <w:rPr>
          <w:rFonts w:hint="eastAsia" w:ascii="黑体" w:eastAsia="黑体" w:cs="黑体"/>
        </w:rPr>
        <w:t>第</w:t>
      </w:r>
      <w:r>
        <w:rPr>
          <w:rFonts w:hint="eastAsia" w:ascii="黑体" w:eastAsia="黑体" w:cs="黑体"/>
          <w:lang w:eastAsia="zh-CN"/>
        </w:rPr>
        <w:t>四</w:t>
      </w:r>
      <w:r>
        <w:rPr>
          <w:rFonts w:hint="eastAsia" w:ascii="黑体" w:eastAsia="黑体" w:cs="黑体"/>
        </w:rPr>
        <w:t xml:space="preserve">部分 </w:t>
      </w:r>
      <w:r>
        <w:rPr>
          <w:rFonts w:hint="eastAsia" w:ascii="黑体" w:eastAsia="黑体" w:cs="黑体"/>
          <w:lang w:eastAsia="zh-CN"/>
        </w:rPr>
        <w:t>附件</w:t>
      </w:r>
      <w:bookmarkEnd w:id="81"/>
    </w:p>
    <w:p w14:paraId="0E6CB055">
      <w:pPr>
        <w:pStyle w:val="17"/>
        <w:ind w:left="0" w:leftChars="0" w:firstLine="0" w:firstLineChars="0"/>
        <w:rPr>
          <w:rFonts w:eastAsia="方正小标宋简体"/>
          <w:sz w:val="28"/>
          <w:szCs w:val="28"/>
          <w:lang w:val="en-US" w:eastAsia="zh-CN"/>
        </w:rPr>
      </w:pPr>
      <w:r>
        <w:rPr>
          <w:rFonts w:hint="eastAsia" w:ascii="方正小标宋简体" w:eastAsia="方正小标宋简体"/>
          <w:sz w:val="28"/>
          <w:szCs w:val="28"/>
          <w:lang w:eastAsia="zh-CN"/>
        </w:rPr>
        <w:t>附件</w:t>
      </w:r>
      <w:r>
        <w:rPr>
          <w:rFonts w:hint="eastAsia" w:ascii="方正小标宋简体" w:eastAsia="方正小标宋简体"/>
          <w:sz w:val="28"/>
          <w:szCs w:val="28"/>
          <w:lang w:val="en-US" w:eastAsia="zh-CN"/>
        </w:rPr>
        <w:t>1</w:t>
      </w:r>
    </w:p>
    <w:p w14:paraId="595E58AB">
      <w:pPr>
        <w:widowControl/>
        <w:spacing w:line="48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茂县文学艺术界联合会</w:t>
      </w:r>
    </w:p>
    <w:p w14:paraId="73EF00F1">
      <w:pPr>
        <w:widowControl/>
        <w:spacing w:line="48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部门整体支出绩效报告</w:t>
      </w:r>
    </w:p>
    <w:p w14:paraId="6E13BF10">
      <w:pPr>
        <w:widowControl/>
        <w:spacing w:line="480" w:lineRule="exact"/>
        <w:jc w:val="center"/>
        <w:rPr>
          <w:rFonts w:hint="eastAsia" w:ascii="方正小标宋简体" w:hAnsi="宋体" w:eastAsia="方正小标宋简体"/>
          <w:sz w:val="44"/>
          <w:szCs w:val="44"/>
          <w:lang w:val="zh-CN"/>
        </w:rPr>
      </w:pPr>
    </w:p>
    <w:p w14:paraId="5965F477">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一、单位基本情况</w:t>
      </w:r>
    </w:p>
    <w:p w14:paraId="610C7614">
      <w:pPr>
        <w:keepNext w:val="0"/>
        <w:keepLines w:val="0"/>
        <w:pageBreakBefore w:val="0"/>
        <w:kinsoku/>
        <w:wordWrap/>
        <w:overflowPunct/>
        <w:topLinePunct w:val="0"/>
        <w:autoSpaceDE/>
        <w:autoSpaceDN/>
        <w:bidi w:val="0"/>
        <w:spacing w:line="576" w:lineRule="exact"/>
        <w:ind w:left="0" w:leftChars="0" w:firstLine="643" w:firstLineChars="200"/>
        <w:textAlignment w:val="auto"/>
        <w:rPr>
          <w:rFonts w:hint="eastAsia" w:ascii="仿宋_GB2312" w:hAnsi="Times New Roman" w:eastAsia="仿宋_GB2312" w:cs="Times New Roman"/>
          <w:sz w:val="32"/>
          <w:lang w:val="zh-CN"/>
        </w:rPr>
      </w:pPr>
      <w:r>
        <w:rPr>
          <w:rFonts w:ascii="Times New Roman" w:hAnsi="Times New Roman" w:eastAsia="楷体_GB2312" w:cs="Times New Roman"/>
          <w:b/>
          <w:bCs/>
          <w:color w:val="000000"/>
          <w:kern w:val="0"/>
          <w:sz w:val="32"/>
          <w:szCs w:val="32"/>
          <w:shd w:val="clear" w:color="auto" w:fill="FFFFFF"/>
          <w:lang w:val="zh-CN"/>
        </w:rPr>
        <w:t>（一）机构组成。</w:t>
      </w:r>
      <w:r>
        <w:rPr>
          <w:rFonts w:hint="eastAsia" w:ascii="仿宋_GB2312" w:hAnsi="Times New Roman" w:eastAsia="仿宋_GB2312" w:cs="Times New Roman"/>
          <w:sz w:val="32"/>
        </w:rPr>
        <w:t>茂县文学艺术界联合会目前仅内设办公室和财务室。</w:t>
      </w:r>
    </w:p>
    <w:p w14:paraId="1608D32E">
      <w:pPr>
        <w:keepNext w:val="0"/>
        <w:keepLines w:val="0"/>
        <w:pageBreakBefore w:val="0"/>
        <w:kinsoku/>
        <w:wordWrap/>
        <w:overflowPunct/>
        <w:topLinePunct w:val="0"/>
        <w:autoSpaceDE/>
        <w:autoSpaceDN/>
        <w:bidi w:val="0"/>
        <w:spacing w:line="576" w:lineRule="exact"/>
        <w:ind w:left="0" w:leftChars="0" w:firstLine="643" w:firstLineChars="200"/>
        <w:textAlignment w:val="auto"/>
        <w:rPr>
          <w:rFonts w:hint="eastAsia" w:ascii="仿宋_GB2312" w:hAnsi="Times New Roman" w:eastAsia="仿宋_GB2312" w:cs="Times New Roman"/>
          <w:sz w:val="32"/>
        </w:rPr>
      </w:pPr>
      <w:r>
        <w:rPr>
          <w:rFonts w:ascii="Times New Roman" w:hAnsi="Times New Roman" w:eastAsia="楷体_GB2312" w:cs="Times New Roman"/>
          <w:b/>
          <w:bCs/>
          <w:color w:val="000000"/>
          <w:kern w:val="0"/>
          <w:sz w:val="32"/>
          <w:szCs w:val="32"/>
          <w:shd w:val="clear" w:color="auto" w:fill="FFFFFF"/>
          <w:lang w:val="zh-CN"/>
        </w:rPr>
        <w:t>（二）机构职能。</w:t>
      </w:r>
      <w:r>
        <w:rPr>
          <w:rFonts w:hint="eastAsia" w:ascii="仿宋_GB2312" w:hAnsi="Times New Roman" w:eastAsia="仿宋_GB2312" w:cs="Times New Roman"/>
          <w:sz w:val="32"/>
        </w:rPr>
        <w:t>茂县文学艺术界联合会是县委领导、县委宣传部代管的正科级群团机构，主要职能是繁荣发展社会主义文艺事业，满足人民群众日益增长的文化发展需要，对团体会员开展联络、协调、服务、指导工作。通过文艺采风、学术研讨、展览演出等工作，指导团体会员开展业务活动。</w:t>
      </w:r>
    </w:p>
    <w:p w14:paraId="4A12A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leftChars="0" w:right="0" w:firstLine="643" w:firstLineChars="200"/>
        <w:jc w:val="both"/>
        <w:textAlignment w:val="auto"/>
        <w:rPr>
          <w:rFonts w:hint="eastAsia" w:ascii="仿宋_GB2312" w:hAnsi="Times New Roman" w:eastAsia="仿宋_GB2312" w:cs="Times New Roman"/>
          <w:sz w:val="32"/>
          <w:lang w:val="en-US" w:eastAsia="zh-CN"/>
        </w:rPr>
      </w:pPr>
      <w:r>
        <w:rPr>
          <w:rFonts w:ascii="Times New Roman" w:hAnsi="Times New Roman" w:eastAsia="楷体_GB2312" w:cs="Times New Roman"/>
          <w:b/>
          <w:bCs/>
          <w:color w:val="000000"/>
          <w:kern w:val="0"/>
          <w:sz w:val="32"/>
          <w:szCs w:val="32"/>
          <w:shd w:val="clear" w:color="auto" w:fill="FFFFFF"/>
          <w:lang w:val="zh-CN"/>
        </w:rPr>
        <w:t>（三）人员概况。</w:t>
      </w:r>
      <w:r>
        <w:rPr>
          <w:rFonts w:hint="eastAsia" w:ascii="仿宋_GB2312" w:hAnsi="Times New Roman" w:eastAsia="仿宋_GB2312" w:cs="Times New Roman"/>
          <w:sz w:val="32"/>
        </w:rPr>
        <w:t>截至202</w:t>
      </w:r>
      <w:r>
        <w:rPr>
          <w:rFonts w:hint="eastAsia" w:ascii="仿宋_GB2312" w:hAnsi="Times New Roman" w:eastAsia="仿宋_GB2312" w:cs="Times New Roman"/>
          <w:sz w:val="32"/>
          <w:lang w:val="en-US" w:eastAsia="zh-CN"/>
        </w:rPr>
        <w:t>5</w:t>
      </w:r>
      <w:r>
        <w:rPr>
          <w:rFonts w:hint="eastAsia" w:ascii="仿宋_GB2312" w:hAnsi="Times New Roman" w:eastAsia="仿宋_GB2312" w:cs="Times New Roman"/>
          <w:sz w:val="32"/>
        </w:rPr>
        <w:t>年末，</w:t>
      </w:r>
      <w:bookmarkStart w:id="82" w:name="OLE_LINK39"/>
      <w:r>
        <w:rPr>
          <w:rFonts w:hint="eastAsia" w:ascii="仿宋_GB2312" w:hAnsi="Times New Roman" w:eastAsia="仿宋_GB2312" w:cs="Times New Roman"/>
          <w:sz w:val="32"/>
        </w:rPr>
        <w:t>茂县文学艺术界联合会</w:t>
      </w:r>
      <w:bookmarkEnd w:id="82"/>
      <w:r>
        <w:rPr>
          <w:rFonts w:hint="eastAsia" w:ascii="仿宋_GB2312" w:hAnsi="Times New Roman" w:eastAsia="仿宋_GB2312" w:cs="Times New Roman"/>
          <w:sz w:val="32"/>
          <w:lang w:val="en-US" w:eastAsia="zh-CN"/>
        </w:rPr>
        <w:t>属一级预算单位，其中其他事业单位1个。总编制4名，其中：事业编制4名。在职人员总数4人，其中：事业人员4人。</w:t>
      </w:r>
    </w:p>
    <w:p w14:paraId="45FBD0A4">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二、部门资金收支情况</w:t>
      </w:r>
    </w:p>
    <w:p w14:paraId="5CEAF5DF">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仿宋_GB2312" w:hAnsi="Times New Roman" w:eastAsia="仿宋_GB2312" w:cs="Times New Roman"/>
          <w:sz w:val="32"/>
        </w:rPr>
      </w:pPr>
      <w:r>
        <w:rPr>
          <w:rFonts w:ascii="Times New Roman" w:hAnsi="Times New Roman" w:eastAsia="楷体_GB2312" w:cs="Times New Roman"/>
          <w:b/>
          <w:bCs/>
          <w:color w:val="000000"/>
          <w:kern w:val="0"/>
          <w:sz w:val="32"/>
          <w:szCs w:val="32"/>
          <w:shd w:val="clear" w:color="auto" w:fill="FFFFFF"/>
          <w:lang w:val="zh-CN"/>
        </w:rPr>
        <w:t>（一）收入情况。</w:t>
      </w:r>
      <w:r>
        <w:rPr>
          <w:rFonts w:hint="eastAsia" w:ascii="仿宋_GB2312" w:hAnsi="Times New Roman" w:eastAsia="仿宋_GB2312" w:cs="Times New Roman"/>
          <w:sz w:val="32"/>
        </w:rPr>
        <w:t>茂县文学艺术界联合会202</w:t>
      </w:r>
      <w:r>
        <w:rPr>
          <w:rFonts w:hint="eastAsia" w:ascii="仿宋_GB2312" w:hAnsi="Times New Roman" w:eastAsia="仿宋_GB2312" w:cs="Times New Roman"/>
          <w:sz w:val="32"/>
          <w:lang w:val="en-US" w:eastAsia="zh-CN"/>
        </w:rPr>
        <w:t>5</w:t>
      </w:r>
      <w:r>
        <w:rPr>
          <w:rFonts w:hint="eastAsia" w:ascii="仿宋_GB2312" w:hAnsi="Times New Roman" w:eastAsia="仿宋_GB2312" w:cs="Times New Roman"/>
          <w:sz w:val="32"/>
        </w:rPr>
        <w:t>年年初预算收入</w:t>
      </w:r>
      <w:bookmarkStart w:id="83" w:name="OLE_LINK38"/>
      <w:r>
        <w:rPr>
          <w:rFonts w:hint="eastAsia" w:ascii="仿宋_GB2312" w:hAnsi="Times New Roman" w:eastAsia="仿宋_GB2312" w:cs="Times New Roman"/>
          <w:sz w:val="32"/>
          <w:lang w:val="en-US" w:eastAsia="zh-CN"/>
        </w:rPr>
        <w:t>89.99万元</w:t>
      </w:r>
      <w:bookmarkEnd w:id="83"/>
      <w:r>
        <w:rPr>
          <w:rFonts w:hint="eastAsia" w:ascii="仿宋_GB2312" w:hAnsi="Times New Roman" w:eastAsia="仿宋_GB2312" w:cs="Times New Roman"/>
          <w:sz w:val="32"/>
          <w:lang w:eastAsia="zh-CN"/>
        </w:rPr>
        <w:t>，</w:t>
      </w:r>
      <w:r>
        <w:rPr>
          <w:rFonts w:hint="eastAsia" w:ascii="仿宋_GB2312" w:hAnsi="Times New Roman" w:eastAsia="仿宋_GB2312" w:cs="Times New Roman"/>
          <w:sz w:val="32"/>
        </w:rPr>
        <w:t>决算报表收入</w:t>
      </w:r>
      <w:r>
        <w:rPr>
          <w:rFonts w:hint="eastAsia" w:ascii="仿宋_GB2312" w:hAnsi="Times New Roman" w:eastAsia="仿宋_GB2312" w:cs="Times New Roman"/>
          <w:sz w:val="32"/>
          <w:lang w:val="en-US" w:eastAsia="zh-CN"/>
        </w:rPr>
        <w:t>89.99万元</w:t>
      </w:r>
      <w:r>
        <w:rPr>
          <w:rFonts w:hint="eastAsia" w:ascii="仿宋_GB2312" w:hAnsi="Times New Roman" w:eastAsia="仿宋_GB2312" w:cs="Times New Roman"/>
          <w:sz w:val="32"/>
        </w:rPr>
        <w:t>。</w:t>
      </w:r>
    </w:p>
    <w:p w14:paraId="48DA3BCE">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仿宋_GB2312" w:hAnsi="Times New Roman" w:eastAsia="仿宋_GB2312" w:cs="Times New Roman"/>
          <w:sz w:val="32"/>
          <w:lang w:val="zh-CN"/>
        </w:rPr>
      </w:pPr>
      <w:r>
        <w:rPr>
          <w:rFonts w:ascii="Times New Roman" w:hAnsi="Times New Roman" w:eastAsia="楷体_GB2312" w:cs="Times New Roman"/>
          <w:b/>
          <w:bCs/>
          <w:color w:val="000000"/>
          <w:kern w:val="0"/>
          <w:sz w:val="32"/>
          <w:szCs w:val="32"/>
          <w:shd w:val="clear" w:color="auto" w:fill="FFFFFF"/>
          <w:lang w:val="zh-CN"/>
        </w:rPr>
        <w:t>（二）支出情况。</w:t>
      </w:r>
      <w:bookmarkStart w:id="84" w:name="OLE_LINK40"/>
      <w:r>
        <w:rPr>
          <w:rFonts w:hint="eastAsia" w:ascii="仿宋_GB2312" w:hAnsi="Times New Roman" w:eastAsia="仿宋_GB2312" w:cs="Times New Roman"/>
          <w:sz w:val="32"/>
        </w:rPr>
        <w:t>茂县文学艺术界联合会</w:t>
      </w:r>
      <w:bookmarkEnd w:id="84"/>
      <w:r>
        <w:rPr>
          <w:rFonts w:hint="eastAsia" w:ascii="仿宋_GB2312" w:hAnsi="Times New Roman" w:eastAsia="仿宋_GB2312" w:cs="Times New Roman"/>
          <w:sz w:val="32"/>
        </w:rPr>
        <w:t>202</w:t>
      </w:r>
      <w:r>
        <w:rPr>
          <w:rFonts w:hint="eastAsia" w:ascii="仿宋_GB2312" w:hAnsi="Times New Roman" w:eastAsia="仿宋_GB2312" w:cs="Times New Roman"/>
          <w:sz w:val="32"/>
          <w:lang w:val="en-US" w:eastAsia="zh-CN"/>
        </w:rPr>
        <w:t>5</w:t>
      </w:r>
      <w:r>
        <w:rPr>
          <w:rFonts w:hint="eastAsia" w:ascii="仿宋_GB2312" w:hAnsi="Times New Roman" w:eastAsia="仿宋_GB2312" w:cs="Times New Roman"/>
          <w:sz w:val="32"/>
        </w:rPr>
        <w:t>年年初预算支出</w:t>
      </w:r>
      <w:r>
        <w:rPr>
          <w:rFonts w:hint="eastAsia" w:ascii="仿宋_GB2312" w:hAnsi="Times New Roman" w:eastAsia="仿宋_GB2312" w:cs="Times New Roman"/>
          <w:sz w:val="32"/>
          <w:lang w:val="en-US" w:eastAsia="zh-CN"/>
        </w:rPr>
        <w:t>89.99万元，</w:t>
      </w:r>
      <w:r>
        <w:rPr>
          <w:rFonts w:hint="eastAsia" w:ascii="仿宋_GB2312" w:hAnsi="Times New Roman" w:eastAsia="仿宋_GB2312" w:cs="Times New Roman"/>
          <w:sz w:val="32"/>
        </w:rPr>
        <w:t>决算报表支出</w:t>
      </w:r>
      <w:r>
        <w:rPr>
          <w:rFonts w:hint="eastAsia" w:ascii="仿宋_GB2312" w:hAnsi="Times New Roman" w:eastAsia="仿宋_GB2312" w:cs="Times New Roman"/>
          <w:sz w:val="32"/>
          <w:lang w:val="en-US" w:eastAsia="zh-CN"/>
        </w:rPr>
        <w:t>89.99万元</w:t>
      </w:r>
      <w:r>
        <w:rPr>
          <w:rFonts w:hint="eastAsia" w:ascii="仿宋_GB2312" w:hAnsi="Times New Roman" w:eastAsia="仿宋_GB2312" w:cs="Times New Roman"/>
          <w:sz w:val="32"/>
        </w:rPr>
        <w:t>，</w:t>
      </w:r>
      <w:r>
        <w:rPr>
          <w:rFonts w:hint="eastAsia" w:ascii="仿宋_GB2312" w:hAnsi="Times New Roman" w:eastAsia="仿宋_GB2312" w:cs="Times New Roman"/>
          <w:sz w:val="32"/>
          <w:lang w:val="en-US" w:eastAsia="zh-CN"/>
        </w:rPr>
        <w:t>其中：基本支出73.33万元，项目支出16.65万元</w:t>
      </w:r>
      <w:r>
        <w:rPr>
          <w:rFonts w:hint="eastAsia" w:ascii="仿宋_GB2312" w:hAnsi="Times New Roman" w:eastAsia="仿宋_GB2312" w:cs="Times New Roman"/>
          <w:sz w:val="32"/>
        </w:rPr>
        <w:t>。</w:t>
      </w:r>
    </w:p>
    <w:p w14:paraId="5770EC13">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仿宋_GB2312" w:hAnsi="Times New Roman" w:eastAsia="仿宋_GB2312" w:cs="Times New Roman"/>
          <w:sz w:val="32"/>
          <w:lang w:val="zh-CN"/>
        </w:rPr>
      </w:pPr>
      <w:r>
        <w:rPr>
          <w:rFonts w:ascii="Times New Roman" w:hAnsi="Times New Roman" w:eastAsia="楷体_GB2312" w:cs="Times New Roman"/>
          <w:b/>
          <w:bCs/>
          <w:color w:val="000000"/>
          <w:kern w:val="0"/>
          <w:sz w:val="32"/>
          <w:szCs w:val="32"/>
          <w:shd w:val="clear" w:color="auto" w:fill="FFFFFF"/>
          <w:lang w:val="zh-CN"/>
        </w:rPr>
        <w:t>（三）结余分配和结转结余情况。</w:t>
      </w:r>
      <w:r>
        <w:rPr>
          <w:rFonts w:hint="eastAsia" w:ascii="仿宋_GB2312" w:hAnsi="Times New Roman" w:eastAsia="仿宋_GB2312" w:cs="Times New Roman"/>
          <w:sz w:val="32"/>
        </w:rPr>
        <w:t>茂县文学艺术界联合会202</w:t>
      </w:r>
      <w:r>
        <w:rPr>
          <w:rFonts w:hint="eastAsia" w:ascii="仿宋_GB2312" w:hAnsi="Times New Roman" w:eastAsia="仿宋_GB2312" w:cs="Times New Roman"/>
          <w:sz w:val="32"/>
          <w:lang w:val="en-US" w:eastAsia="zh-CN"/>
        </w:rPr>
        <w:t>5</w:t>
      </w:r>
      <w:r>
        <w:rPr>
          <w:rFonts w:hint="eastAsia" w:ascii="仿宋_GB2312" w:hAnsi="Times New Roman" w:eastAsia="仿宋_GB2312" w:cs="Times New Roman"/>
          <w:sz w:val="32"/>
        </w:rPr>
        <w:t>年决算报表</w:t>
      </w:r>
      <w:r>
        <w:rPr>
          <w:rFonts w:hint="eastAsia" w:ascii="仿宋_GB2312" w:hAnsi="Times New Roman" w:eastAsia="仿宋_GB2312" w:cs="Times New Roman"/>
          <w:sz w:val="32"/>
          <w:lang w:eastAsia="zh-CN"/>
        </w:rPr>
        <w:t>无</w:t>
      </w:r>
      <w:r>
        <w:rPr>
          <w:rFonts w:hint="eastAsia" w:ascii="仿宋_GB2312" w:hAnsi="Times New Roman" w:eastAsia="仿宋_GB2312" w:cs="Times New Roman"/>
          <w:sz w:val="32"/>
        </w:rPr>
        <w:t>结转结余情况。</w:t>
      </w:r>
    </w:p>
    <w:p w14:paraId="1C21E9DF">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三、部门预算绩效分析</w:t>
      </w:r>
    </w:p>
    <w:p w14:paraId="6863BE14">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（一）部门预算总体绩效分析</w:t>
      </w:r>
    </w:p>
    <w:p w14:paraId="7EDDA781">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Times New Roman" w:eastAsia="仿宋_GB2312" w:cs="Times New Roman"/>
          <w:sz w:val="32"/>
          <w:lang w:val="en-US" w:eastAsia="zh-CN"/>
        </w:rPr>
      </w:pPr>
      <w:r>
        <w:rPr>
          <w:rFonts w:hint="eastAsia" w:ascii="楷体_GB2312" w:hAnsi="楷体_GB2312" w:eastAsia="楷体_GB2312" w:cs="楷体_GB2312"/>
          <w:color w:val="000000"/>
          <w:kern w:val="0"/>
          <w:sz w:val="32"/>
          <w:szCs w:val="32"/>
          <w:shd w:val="clear" w:color="auto" w:fill="FFFFFF"/>
          <w:lang w:val="en-US" w:eastAsia="zh-CN" w:bidi="ar-SA"/>
        </w:rPr>
        <w:t>1.</w:t>
      </w:r>
      <w:r>
        <w:rPr>
          <w:rFonts w:hint="eastAsia" w:ascii="楷体_GB2312" w:hAnsi="楷体_GB2312" w:eastAsia="楷体_GB2312" w:cs="楷体_GB2312"/>
          <w:color w:val="000000"/>
          <w:kern w:val="0"/>
          <w:sz w:val="32"/>
          <w:szCs w:val="32"/>
          <w:shd w:val="clear" w:color="auto" w:fill="FFFFFF"/>
          <w:lang w:val="zh-CN" w:eastAsia="zh-CN" w:bidi="ar-SA"/>
        </w:rPr>
        <w:t>履职效能。</w:t>
      </w:r>
      <w:bookmarkStart w:id="85" w:name="OLE_LINK45"/>
      <w:r>
        <w:rPr>
          <w:rFonts w:hint="eastAsia" w:ascii="仿宋_GB2312" w:hAnsi="Times New Roman" w:eastAsia="仿宋_GB2312" w:cs="Times New Roman"/>
          <w:sz w:val="32"/>
          <w:lang w:val="zh-CN" w:eastAsia="zh-CN"/>
        </w:rPr>
        <w:t>茂县文联对各团体会员开展联络、协调、服务、指导工作。通过组织学习、文艺采风、学术研讨、理论研究、展览演出、文艺评奖、书刊出版、人才培训、对外交流和权益保障等各项工作，指导团体会员开展业务活动。</w:t>
      </w:r>
      <w:bookmarkEnd w:id="85"/>
    </w:p>
    <w:p w14:paraId="09C6DA41">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Times New Roman" w:eastAsia="仿宋_GB2312" w:cs="Times New Roman"/>
          <w:sz w:val="32"/>
          <w:lang w:val="zh-CN" w:eastAsia="zh-CN"/>
        </w:rPr>
      </w:pPr>
      <w:r>
        <w:rPr>
          <w:rFonts w:hint="eastAsia" w:ascii="楷体_GB2312" w:hAnsi="楷体_GB2312" w:eastAsia="楷体_GB2312" w:cs="楷体_GB2312"/>
          <w:color w:val="000000"/>
          <w:kern w:val="0"/>
          <w:sz w:val="32"/>
          <w:szCs w:val="32"/>
          <w:shd w:val="clear" w:color="auto" w:fill="FFFFFF"/>
          <w:lang w:val="zh-CN" w:eastAsia="zh-CN" w:bidi="ar-SA"/>
        </w:rPr>
        <w:t>2.预算管理。</w:t>
      </w:r>
      <w:r>
        <w:rPr>
          <w:rFonts w:hint="eastAsia" w:ascii="仿宋_GB2312" w:hAnsi="Times New Roman" w:eastAsia="仿宋_GB2312" w:cs="Times New Roman"/>
          <w:sz w:val="32"/>
          <w:lang w:val="zh-CN" w:eastAsia="zh-CN"/>
        </w:rPr>
        <w:t>根据《预算法》等法律法规的规定和本单位工作实际情况，严格按要求编制年初部门预算，确保年初预算编制的科学性和准确性。</w:t>
      </w:r>
      <w:r>
        <w:rPr>
          <w:rFonts w:hint="eastAsia" w:ascii="仿宋_GB2312" w:hAnsi="Times New Roman" w:eastAsia="仿宋_GB2312" w:cs="Times New Roman"/>
          <w:sz w:val="32"/>
          <w:lang w:val="en-US" w:eastAsia="zh-CN"/>
        </w:rPr>
        <w:t>2025年1月—6月预算执行占95.26%，1月-10月预算执行占95.9%</w:t>
      </w:r>
      <w:r>
        <w:rPr>
          <w:rFonts w:hint="eastAsia" w:ascii="仿宋_GB2312" w:hAnsi="Times New Roman" w:eastAsia="仿宋_GB2312" w:cs="Times New Roman"/>
          <w:sz w:val="32"/>
          <w:lang w:val="zh-CN" w:eastAsia="zh-CN"/>
        </w:rPr>
        <w:t>。</w:t>
      </w:r>
      <w:r>
        <w:rPr>
          <w:rFonts w:hint="eastAsia" w:ascii="仿宋_GB2312" w:hAnsi="Times New Roman" w:eastAsia="仿宋_GB2312" w:cs="Times New Roman"/>
          <w:sz w:val="32"/>
          <w:lang w:val="en-US" w:eastAsia="zh-CN"/>
        </w:rPr>
        <w:t>2025</w:t>
      </w:r>
      <w:r>
        <w:rPr>
          <w:rFonts w:hint="eastAsia" w:ascii="仿宋_GB2312" w:hAnsi="Times New Roman" w:eastAsia="仿宋_GB2312" w:cs="Times New Roman"/>
          <w:sz w:val="32"/>
          <w:lang w:val="zh-CN" w:eastAsia="zh-CN"/>
        </w:rPr>
        <w:t>年终单位无预算结余。</w:t>
      </w:r>
    </w:p>
    <w:p w14:paraId="42AB8599">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Times New Roman" w:eastAsia="仿宋_GB2312" w:cs="Times New Roman"/>
          <w:sz w:val="32"/>
          <w:lang w:val="zh-CN" w:eastAsia="zh-CN"/>
        </w:rPr>
      </w:pPr>
      <w:r>
        <w:rPr>
          <w:rFonts w:hint="eastAsia" w:ascii="楷体_GB2312" w:hAnsi="楷体_GB2312" w:eastAsia="楷体_GB2312" w:cs="楷体_GB2312"/>
          <w:color w:val="000000"/>
          <w:kern w:val="0"/>
          <w:sz w:val="32"/>
          <w:szCs w:val="32"/>
          <w:shd w:val="clear" w:color="auto" w:fill="FFFFFF"/>
          <w:lang w:val="zh-CN" w:eastAsia="zh-CN" w:bidi="ar-SA"/>
        </w:rPr>
        <w:t>3.财务管理。</w:t>
      </w:r>
      <w:r>
        <w:rPr>
          <w:rFonts w:hint="eastAsia" w:ascii="仿宋_GB2312" w:hAnsi="Times New Roman" w:eastAsia="仿宋_GB2312" w:cs="Times New Roman"/>
          <w:sz w:val="32"/>
          <w:lang w:val="zh-CN" w:eastAsia="zh-CN"/>
        </w:rPr>
        <w:t>根据《会计法》及财务工作有关规定，结合单位实际，制定了《</w:t>
      </w:r>
      <w:bookmarkStart w:id="86" w:name="OLE_LINK41"/>
      <w:r>
        <w:rPr>
          <w:rFonts w:hint="eastAsia" w:ascii="仿宋_GB2312" w:hAnsi="Times New Roman" w:eastAsia="仿宋_GB2312" w:cs="Times New Roman"/>
          <w:sz w:val="32"/>
          <w:lang w:val="zh-CN" w:eastAsia="zh-CN"/>
        </w:rPr>
        <w:t>茂县文学艺术界联合会</w:t>
      </w:r>
      <w:bookmarkEnd w:id="86"/>
      <w:r>
        <w:rPr>
          <w:rFonts w:hint="eastAsia" w:ascii="仿宋_GB2312" w:hAnsi="Times New Roman" w:eastAsia="仿宋_GB2312" w:cs="Times New Roman"/>
          <w:sz w:val="32"/>
          <w:lang w:val="zh-CN" w:eastAsia="zh-CN"/>
        </w:rPr>
        <w:t>财务管理制度》，合理设置财务工作岗位，明确职责权限，严格实行不相容岗位分离，严格按照相关财务管理制度规定使用各项资金。</w:t>
      </w:r>
    </w:p>
    <w:p w14:paraId="1217D5E7">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Times New Roman" w:eastAsia="仿宋_GB2312" w:cs="Times New Roman"/>
          <w:sz w:val="32"/>
          <w:lang w:val="zh-CN" w:eastAsia="zh-CN"/>
        </w:rPr>
      </w:pPr>
      <w:r>
        <w:rPr>
          <w:rFonts w:hint="eastAsia" w:ascii="楷体_GB2312" w:hAnsi="楷体_GB2312" w:eastAsia="楷体_GB2312" w:cs="楷体_GB2312"/>
          <w:color w:val="000000"/>
          <w:kern w:val="0"/>
          <w:sz w:val="32"/>
          <w:szCs w:val="32"/>
          <w:shd w:val="clear" w:color="auto" w:fill="FFFFFF"/>
          <w:lang w:val="zh-CN" w:eastAsia="zh-CN"/>
        </w:rPr>
        <w:t>4.资产管理。</w:t>
      </w:r>
      <w:r>
        <w:rPr>
          <w:rFonts w:hint="eastAsia" w:ascii="仿宋_GB2312" w:hAnsi="Times New Roman" w:eastAsia="仿宋_GB2312" w:cs="Times New Roman"/>
          <w:sz w:val="32"/>
          <w:lang w:val="zh-CN" w:eastAsia="zh-CN"/>
        </w:rPr>
        <w:t>人均资产无变化，科学合理分配使用资产，办公家具超最低使用年限资产利用率</w:t>
      </w:r>
      <w:r>
        <w:rPr>
          <w:rFonts w:hint="eastAsia" w:ascii="仿宋_GB2312" w:hAnsi="Times New Roman" w:eastAsia="仿宋_GB2312" w:cs="Times New Roman"/>
          <w:sz w:val="32"/>
          <w:lang w:val="en-US" w:eastAsia="zh-CN"/>
        </w:rPr>
        <w:t>44.06%，办公设备超最低使用年限资产利用率48.91%。</w:t>
      </w:r>
      <w:r>
        <w:rPr>
          <w:rFonts w:hint="eastAsia" w:ascii="仿宋_GB2312" w:hAnsi="Times New Roman" w:eastAsia="仿宋_GB2312" w:cs="Times New Roman"/>
          <w:sz w:val="32"/>
          <w:lang w:val="zh-CN" w:eastAsia="zh-CN"/>
        </w:rPr>
        <w:t>无闲置资产。</w:t>
      </w:r>
    </w:p>
    <w:p w14:paraId="09E896E6">
      <w:pPr>
        <w:keepNext w:val="0"/>
        <w:keepLines w:val="0"/>
        <w:pageBreakBefore w:val="0"/>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Times New Roman" w:eastAsia="仿宋_GB2312" w:cs="Times New Roman"/>
          <w:sz w:val="32"/>
          <w:lang w:val="zh-CN" w:eastAsia="zh-CN"/>
        </w:rPr>
      </w:pPr>
      <w:r>
        <w:rPr>
          <w:rFonts w:hint="eastAsia" w:ascii="楷体_GB2312" w:hAnsi="楷体_GB2312" w:eastAsia="楷体_GB2312" w:cs="楷体_GB2312"/>
          <w:color w:val="000000"/>
          <w:kern w:val="0"/>
          <w:sz w:val="32"/>
          <w:szCs w:val="32"/>
          <w:shd w:val="clear" w:color="auto" w:fill="FFFFFF"/>
          <w:lang w:val="zh-CN" w:eastAsia="zh-CN"/>
        </w:rPr>
        <w:t>5.采购管理。</w:t>
      </w:r>
      <w:r>
        <w:rPr>
          <w:rFonts w:hint="eastAsia" w:ascii="仿宋_GB2312" w:hAnsi="Times New Roman" w:eastAsia="仿宋_GB2312" w:cs="Times New Roman"/>
          <w:sz w:val="32"/>
          <w:lang w:val="en-US" w:eastAsia="zh-CN"/>
        </w:rPr>
        <w:t>2025年无采购计划。</w:t>
      </w:r>
    </w:p>
    <w:p w14:paraId="7799AA66">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（二）部门预算项目绩效分析</w:t>
      </w:r>
    </w:p>
    <w:p w14:paraId="38076BE4">
      <w:pPr>
        <w:keepNext w:val="0"/>
        <w:keepLines w:val="0"/>
        <w:pageBreakBefore w:val="0"/>
        <w:kinsoku/>
        <w:wordWrap/>
        <w:overflowPunct/>
        <w:topLinePunct w:val="0"/>
        <w:autoSpaceDE/>
        <w:autoSpaceDN/>
        <w:bidi w:val="0"/>
        <w:adjustRightInd w:val="0"/>
        <w:snapToGrid w:val="0"/>
        <w:spacing w:line="540" w:lineRule="exact"/>
        <w:ind w:left="0" w:leftChars="0" w:firstLine="640" w:firstLineChars="200"/>
        <w:contextualSpacing/>
        <w:jc w:val="both"/>
        <w:textAlignment w:val="auto"/>
        <w:rPr>
          <w:rFonts w:hint="eastAsia" w:ascii="仿宋_GB2312" w:hAnsi="Times New Roman" w:eastAsia="仿宋_GB2312" w:cs="Times New Roman"/>
          <w:sz w:val="32"/>
          <w:lang w:val="zh-CN" w:eastAsia="zh-CN"/>
        </w:rPr>
      </w:pPr>
      <w:r>
        <w:rPr>
          <w:rFonts w:hint="eastAsia" w:ascii="仿宋_GB2312" w:hAnsi="Times New Roman" w:eastAsia="仿宋_GB2312" w:cs="Times New Roman"/>
          <w:sz w:val="32"/>
          <w:lang w:val="en-US" w:eastAsia="zh-CN"/>
        </w:rPr>
        <w:t>阶段（含一次性）项目绩效分析。</w:t>
      </w:r>
      <w:r>
        <w:rPr>
          <w:rFonts w:hint="eastAsia" w:ascii="仿宋_GB2312" w:hAnsi="Times New Roman" w:eastAsia="仿宋_GB2312" w:cs="Times New Roman"/>
          <w:sz w:val="32"/>
          <w:lang w:val="zh-CN" w:eastAsia="zh-CN"/>
        </w:rPr>
        <w:t>该类项目总数</w:t>
      </w:r>
      <w:r>
        <w:rPr>
          <w:rFonts w:hint="eastAsia" w:ascii="仿宋_GB2312" w:hAnsi="Times New Roman" w:eastAsia="仿宋_GB2312" w:cs="Times New Roman"/>
          <w:sz w:val="32"/>
          <w:lang w:val="en-US" w:eastAsia="zh-CN"/>
        </w:rPr>
        <w:t>3</w:t>
      </w:r>
      <w:r>
        <w:rPr>
          <w:rFonts w:hint="eastAsia" w:ascii="仿宋_GB2312" w:hAnsi="Times New Roman" w:eastAsia="仿宋_GB2312" w:cs="Times New Roman"/>
          <w:sz w:val="32"/>
          <w:lang w:val="zh-CN" w:eastAsia="zh-CN"/>
        </w:rPr>
        <w:t>个，涉及预算总金额</w:t>
      </w:r>
      <w:r>
        <w:rPr>
          <w:rFonts w:hint="eastAsia" w:ascii="仿宋_GB2312" w:hAnsi="Times New Roman" w:eastAsia="仿宋_GB2312" w:cs="Times New Roman"/>
          <w:sz w:val="32"/>
          <w:lang w:val="en-US" w:eastAsia="zh-CN"/>
        </w:rPr>
        <w:t>16.65</w:t>
      </w:r>
      <w:r>
        <w:rPr>
          <w:rFonts w:hint="eastAsia" w:ascii="仿宋_GB2312" w:hAnsi="Times New Roman" w:eastAsia="仿宋_GB2312" w:cs="Times New Roman"/>
          <w:sz w:val="32"/>
          <w:lang w:val="zh-CN" w:eastAsia="zh-CN"/>
        </w:rPr>
        <w:t>万元，1—1</w:t>
      </w:r>
      <w:r>
        <w:rPr>
          <w:rFonts w:hint="eastAsia" w:ascii="仿宋_GB2312" w:hAnsi="Times New Roman" w:eastAsia="仿宋_GB2312" w:cs="Times New Roman"/>
          <w:sz w:val="32"/>
          <w:lang w:val="en-US" w:eastAsia="zh-CN"/>
        </w:rPr>
        <w:t>2</w:t>
      </w:r>
      <w:r>
        <w:rPr>
          <w:rFonts w:hint="eastAsia" w:ascii="仿宋_GB2312" w:hAnsi="Times New Roman" w:eastAsia="仿宋_GB2312" w:cs="Times New Roman"/>
          <w:sz w:val="32"/>
          <w:lang w:val="zh-CN" w:eastAsia="zh-CN"/>
        </w:rPr>
        <w:t>月预算执行总体进度为</w:t>
      </w:r>
      <w:r>
        <w:rPr>
          <w:rFonts w:hint="eastAsia" w:ascii="仿宋_GB2312" w:hAnsi="Times New Roman" w:eastAsia="仿宋_GB2312" w:cs="Times New Roman"/>
          <w:sz w:val="32"/>
          <w:lang w:val="en-US" w:eastAsia="zh-CN"/>
        </w:rPr>
        <w:t>100</w:t>
      </w:r>
      <w:r>
        <w:rPr>
          <w:rFonts w:hint="eastAsia" w:ascii="仿宋_GB2312" w:hAnsi="Times New Roman" w:eastAsia="仿宋_GB2312" w:cs="Times New Roman"/>
          <w:sz w:val="32"/>
          <w:lang w:val="zh-CN" w:eastAsia="zh-CN"/>
        </w:rPr>
        <w:t>%，其中：预算结余率大于</w:t>
      </w:r>
      <w:r>
        <w:rPr>
          <w:rFonts w:hint="eastAsia" w:ascii="仿宋_GB2312" w:hAnsi="Times New Roman" w:eastAsia="仿宋_GB2312" w:cs="Times New Roman"/>
          <w:sz w:val="32"/>
          <w:lang w:val="en-US" w:eastAsia="zh-CN"/>
        </w:rPr>
        <w:t>10%</w:t>
      </w:r>
      <w:r>
        <w:rPr>
          <w:rFonts w:hint="eastAsia" w:ascii="仿宋_GB2312" w:hAnsi="Times New Roman" w:eastAsia="仿宋_GB2312" w:cs="Times New Roman"/>
          <w:sz w:val="32"/>
          <w:lang w:val="zh-CN" w:eastAsia="zh-CN"/>
        </w:rPr>
        <w:t>的项目共计</w:t>
      </w:r>
      <w:r>
        <w:rPr>
          <w:rFonts w:hint="eastAsia" w:ascii="仿宋_GB2312" w:hAnsi="Times New Roman" w:eastAsia="仿宋_GB2312" w:cs="Times New Roman"/>
          <w:sz w:val="32"/>
          <w:lang w:val="en-US" w:eastAsia="zh-CN"/>
        </w:rPr>
        <w:t>0</w:t>
      </w:r>
      <w:r>
        <w:rPr>
          <w:rFonts w:hint="eastAsia" w:ascii="仿宋_GB2312" w:hAnsi="Times New Roman" w:eastAsia="仿宋_GB2312" w:cs="Times New Roman"/>
          <w:sz w:val="32"/>
          <w:lang w:val="zh-CN" w:eastAsia="zh-CN"/>
        </w:rPr>
        <w:t>个。</w:t>
      </w:r>
    </w:p>
    <w:p w14:paraId="38CB449E">
      <w:pPr>
        <w:keepNext w:val="0"/>
        <w:keepLines w:val="0"/>
        <w:pageBreakBefore w:val="0"/>
        <w:kinsoku/>
        <w:wordWrap/>
        <w:overflowPunct/>
        <w:topLinePunct w:val="0"/>
        <w:autoSpaceDE/>
        <w:autoSpaceDN/>
        <w:bidi w:val="0"/>
        <w:spacing w:line="540" w:lineRule="exact"/>
        <w:ind w:left="0" w:leftChars="0" w:firstLine="640" w:firstLineChars="200"/>
        <w:textAlignment w:val="auto"/>
        <w:rPr>
          <w:rFonts w:hint="eastAsia" w:ascii="仿宋_GB2312" w:hAnsi="Times New Roman" w:eastAsia="仿宋_GB2312" w:cs="Times New Roman"/>
          <w:sz w:val="32"/>
          <w:lang w:val="zh-CN" w:eastAsia="zh-CN"/>
        </w:rPr>
      </w:pPr>
      <w:r>
        <w:rPr>
          <w:rFonts w:hint="eastAsia" w:ascii="楷体_GB2312" w:hAnsi="楷体_GB2312" w:eastAsia="楷体_GB2312" w:cs="楷体_GB2312"/>
          <w:color w:val="000000"/>
          <w:kern w:val="0"/>
          <w:sz w:val="32"/>
          <w:szCs w:val="32"/>
          <w:shd w:val="clear" w:color="auto" w:fill="FFFFFF"/>
        </w:rPr>
        <w:t>1.</w:t>
      </w:r>
      <w:r>
        <w:rPr>
          <w:rFonts w:hint="eastAsia" w:ascii="楷体_GB2312" w:hAnsi="楷体_GB2312" w:eastAsia="楷体_GB2312" w:cs="楷体_GB2312"/>
          <w:color w:val="000000"/>
          <w:kern w:val="0"/>
          <w:sz w:val="32"/>
          <w:szCs w:val="32"/>
          <w:shd w:val="clear" w:color="auto" w:fill="FFFFFF"/>
          <w:lang w:val="zh-CN"/>
        </w:rPr>
        <w:t>项目决策。</w:t>
      </w:r>
      <w:r>
        <w:rPr>
          <w:rFonts w:hint="eastAsia" w:ascii="仿宋_GB2312" w:hAnsi="Times New Roman" w:eastAsia="仿宋_GB2312" w:cs="Times New Roman"/>
          <w:sz w:val="32"/>
          <w:lang w:val="en-US" w:eastAsia="zh-CN"/>
        </w:rPr>
        <w:t>根据《</w:t>
      </w:r>
      <w:bookmarkStart w:id="87" w:name="OLE_LINK42"/>
      <w:r>
        <w:rPr>
          <w:rFonts w:hint="eastAsia" w:ascii="仿宋_GB2312" w:hAnsi="Times New Roman" w:eastAsia="仿宋_GB2312" w:cs="Times New Roman"/>
          <w:sz w:val="32"/>
          <w:lang w:val="en-US" w:eastAsia="zh-CN"/>
        </w:rPr>
        <w:t>茂县文学艺术界联合会</w:t>
      </w:r>
      <w:bookmarkEnd w:id="87"/>
      <w:r>
        <w:rPr>
          <w:rFonts w:hint="eastAsia" w:ascii="仿宋_GB2312" w:hAnsi="Times New Roman" w:eastAsia="仿宋_GB2312" w:cs="Times New Roman"/>
          <w:sz w:val="32"/>
          <w:lang w:val="en-US" w:eastAsia="zh-CN"/>
        </w:rPr>
        <w:t>章程》相关规定和年初工作安排，围绕县委中心大局，安排完成</w:t>
      </w:r>
      <w:bookmarkStart w:id="88" w:name="OLE_LINK43"/>
      <w:r>
        <w:rPr>
          <w:rFonts w:hint="eastAsia" w:ascii="仿宋_GB2312" w:hAnsi="Times New Roman" w:eastAsia="仿宋_GB2312" w:cs="Times New Roman"/>
          <w:sz w:val="32"/>
          <w:lang w:val="en-US" w:eastAsia="zh-CN"/>
        </w:rPr>
        <w:t>茂县文学艺术界联合会</w:t>
      </w:r>
      <w:bookmarkEnd w:id="88"/>
      <w:r>
        <w:rPr>
          <w:rFonts w:hint="eastAsia" w:ascii="仿宋_GB2312" w:hAnsi="Times New Roman" w:eastAsia="仿宋_GB2312" w:cs="Times New Roman"/>
          <w:sz w:val="32"/>
          <w:lang w:val="en-US" w:eastAsia="zh-CN"/>
        </w:rPr>
        <w:t>各</w:t>
      </w:r>
      <w:r>
        <w:rPr>
          <w:rFonts w:hint="eastAsia" w:ascii="仿宋_GB2312" w:eastAsia="仿宋_GB2312" w:cs="Times New Roman"/>
          <w:sz w:val="32"/>
          <w:lang w:val="en-US" w:eastAsia="zh-CN"/>
        </w:rPr>
        <w:t>项</w:t>
      </w:r>
      <w:r>
        <w:rPr>
          <w:rFonts w:hint="eastAsia" w:ascii="仿宋_GB2312" w:hAnsi="Times New Roman" w:eastAsia="仿宋_GB2312" w:cs="Times New Roman"/>
          <w:sz w:val="32"/>
          <w:lang w:val="en-US" w:eastAsia="zh-CN"/>
        </w:rPr>
        <w:t>工作。预算项目设立按规定履行评估论证、申报程序。项目绩效目标与计划期内的任务量、预算安排的资金量相匹配，绩效目标设置科学合理、规范完整，在规定时</w:t>
      </w:r>
      <w:r>
        <w:rPr>
          <w:rFonts w:hint="eastAsia" w:ascii="仿宋_GB2312" w:eastAsia="仿宋_GB2312" w:cs="Times New Roman"/>
          <w:sz w:val="32"/>
          <w:lang w:val="en-US" w:eastAsia="zh-CN"/>
        </w:rPr>
        <w:t>间内</w:t>
      </w:r>
      <w:r>
        <w:rPr>
          <w:rFonts w:hint="eastAsia" w:ascii="仿宋_GB2312" w:hAnsi="Times New Roman" w:eastAsia="仿宋_GB2312" w:cs="Times New Roman"/>
          <w:sz w:val="32"/>
          <w:lang w:val="en-US" w:eastAsia="zh-CN"/>
        </w:rPr>
        <w:t>完成了项目入库。</w:t>
      </w:r>
    </w:p>
    <w:p w14:paraId="1A8F0334">
      <w:pPr>
        <w:pStyle w:val="20"/>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auto"/>
        <w:outlineLvl w:val="9"/>
        <w:rPr>
          <w:rFonts w:hint="eastAsia" w:ascii="仿宋_GB2312" w:eastAsia="仿宋_GB2312" w:cs="仿宋_GB2312"/>
          <w:sz w:val="32"/>
          <w:szCs w:val="32"/>
          <w:lang w:val="en-US" w:eastAsia="zh-CN" w:bidi="ar-SA"/>
        </w:rPr>
      </w:pPr>
      <w:r>
        <w:rPr>
          <w:rFonts w:hint="eastAsia" w:ascii="楷体_GB2312" w:hAnsi="楷体_GB2312" w:eastAsia="楷体_GB2312" w:cs="楷体_GB2312"/>
          <w:color w:val="000000"/>
          <w:kern w:val="0"/>
          <w:sz w:val="32"/>
          <w:szCs w:val="32"/>
          <w:shd w:val="clear" w:color="auto" w:fill="FFFFFF"/>
          <w:lang w:val="en-US" w:eastAsia="zh-CN" w:bidi="ar-SA"/>
        </w:rPr>
        <w:t>2.项目执行</w:t>
      </w:r>
      <w:r>
        <w:rPr>
          <w:rFonts w:hint="eastAsia" w:ascii="楷体_GB2312" w:hAnsi="楷体_GB2312" w:eastAsia="楷体_GB2312" w:cs="楷体_GB2312"/>
          <w:color w:val="000000"/>
          <w:kern w:val="0"/>
          <w:sz w:val="32"/>
          <w:szCs w:val="32"/>
          <w:shd w:val="clear" w:color="auto" w:fill="FFFFFF"/>
          <w:lang w:val="zh-CN" w:eastAsia="zh-CN" w:bidi="ar-SA"/>
        </w:rPr>
        <w:t>。</w:t>
      </w:r>
      <w:r>
        <w:rPr>
          <w:rFonts w:hint="eastAsia" w:ascii="仿宋_GB2312" w:eastAsia="仿宋_GB2312"/>
          <w:sz w:val="32"/>
          <w:szCs w:val="32"/>
        </w:rPr>
        <w:t>督促加快预算执行</w:t>
      </w:r>
      <w:r>
        <w:rPr>
          <w:rFonts w:hint="eastAsia" w:ascii="仿宋_GB2312" w:eastAsia="仿宋_GB2312"/>
          <w:sz w:val="32"/>
          <w:szCs w:val="32"/>
          <w:lang w:val="en-US" w:eastAsia="zh-CN"/>
        </w:rPr>
        <w:t>3</w:t>
      </w:r>
      <w:r>
        <w:rPr>
          <w:rFonts w:hint="eastAsia" w:ascii="仿宋_GB2312" w:eastAsia="仿宋_GB2312"/>
          <w:sz w:val="32"/>
          <w:szCs w:val="32"/>
        </w:rPr>
        <w:t>个项目，涉及资金</w:t>
      </w:r>
      <w:r>
        <w:rPr>
          <w:rFonts w:hint="eastAsia" w:ascii="仿宋_GB2312" w:eastAsia="仿宋_GB2312"/>
          <w:sz w:val="32"/>
          <w:szCs w:val="32"/>
          <w:lang w:val="en-US" w:eastAsia="zh-CN"/>
        </w:rPr>
        <w:t>16.65</w:t>
      </w:r>
      <w:r>
        <w:rPr>
          <w:rFonts w:hint="eastAsia" w:ascii="仿宋_GB2312" w:eastAsia="仿宋_GB2312"/>
          <w:sz w:val="32"/>
          <w:szCs w:val="32"/>
        </w:rPr>
        <w:t>万元，主要</w:t>
      </w:r>
      <w:r>
        <w:rPr>
          <w:rFonts w:hint="eastAsia" w:ascii="仿宋_GB2312" w:eastAsia="仿宋_GB2312"/>
          <w:sz w:val="32"/>
          <w:szCs w:val="32"/>
          <w:lang w:eastAsia="zh-CN"/>
        </w:rPr>
        <w:t>是</w:t>
      </w:r>
      <w:r>
        <w:rPr>
          <w:rFonts w:hint="eastAsia" w:ascii="仿宋_GB2312" w:eastAsia="仿宋_GB2312" w:cs="Times New Roman"/>
          <w:sz w:val="32"/>
          <w:szCs w:val="32"/>
          <w:lang w:eastAsia="zh-CN" w:bidi="ar-SA"/>
        </w:rPr>
        <w:t>繁荣发展社会主义文艺事业，满足人民群众日益增长的文化发展需要，对团体会员开展联络、协调、服务、</w:t>
      </w:r>
      <w:r>
        <w:rPr>
          <w:rFonts w:hint="eastAsia" w:ascii="仿宋_GB2312" w:eastAsia="仿宋_GB2312" w:cs="仿宋_GB2312"/>
          <w:sz w:val="32"/>
          <w:szCs w:val="32"/>
          <w:lang w:val="en-US" w:eastAsia="zh-CN" w:bidi="ar-SA"/>
        </w:rPr>
        <w:t>指导工作。通过文艺采风、文艺作品研讨、文艺座谈、文艺下乡等工作，指导团体会员开展业务活动。二是组织全县广大文艺工作者紧扣时代主题，围绕中心工作，深入挖掘红色文化和民族文化，积极创作出高质量的文艺精品，进一步提升《九鼎山》杂志影响力。</w:t>
      </w:r>
    </w:p>
    <w:p w14:paraId="248A1134">
      <w:pPr>
        <w:keepNext w:val="0"/>
        <w:keepLines w:val="0"/>
        <w:pageBreakBefore w:val="0"/>
        <w:kinsoku/>
        <w:wordWrap/>
        <w:overflowPunct/>
        <w:topLinePunct w:val="0"/>
        <w:autoSpaceDE/>
        <w:autoSpaceDN/>
        <w:bidi w:val="0"/>
        <w:adjustRightInd w:val="0"/>
        <w:snapToGrid w:val="0"/>
        <w:spacing w:line="540" w:lineRule="exact"/>
        <w:ind w:left="0" w:leftChars="0" w:firstLine="640" w:firstLineChars="200"/>
        <w:contextualSpacing/>
        <w:jc w:val="left"/>
        <w:textAlignment w:val="auto"/>
        <w:rPr>
          <w:rFonts w:hint="eastAsia" w:ascii="仿宋_GB2312" w:hAnsi="Calibri" w:eastAsia="仿宋_GB2312" w:cs="Times New Roman"/>
          <w:kern w:val="0"/>
          <w:sz w:val="32"/>
          <w:szCs w:val="32"/>
          <w:lang w:val="zh-CN" w:eastAsia="zh-CN" w:bidi="ar-SA"/>
        </w:rPr>
      </w:pPr>
      <w:r>
        <w:rPr>
          <w:rFonts w:hint="eastAsia" w:ascii="楷体_GB2312" w:hAnsi="楷体_GB2312" w:eastAsia="楷体_GB2312" w:cs="楷体_GB2312"/>
          <w:color w:val="000000"/>
          <w:kern w:val="0"/>
          <w:sz w:val="32"/>
          <w:szCs w:val="32"/>
          <w:shd w:val="clear" w:color="auto" w:fill="FFFFFF"/>
          <w:lang w:val="en-US" w:eastAsia="zh-CN" w:bidi="ar-SA"/>
        </w:rPr>
        <w:t>3.</w:t>
      </w:r>
      <w:r>
        <w:rPr>
          <w:rFonts w:hint="eastAsia" w:ascii="楷体_GB2312" w:hAnsi="楷体_GB2312" w:eastAsia="楷体_GB2312" w:cs="楷体_GB2312"/>
          <w:color w:val="000000"/>
          <w:kern w:val="0"/>
          <w:sz w:val="32"/>
          <w:szCs w:val="32"/>
          <w:shd w:val="clear" w:color="auto" w:fill="FFFFFF"/>
          <w:lang w:val="zh-CN" w:eastAsia="zh-CN" w:bidi="ar-SA"/>
        </w:rPr>
        <w:t>目标实现。</w:t>
      </w:r>
      <w:r>
        <w:rPr>
          <w:rFonts w:hint="eastAsia" w:ascii="仿宋_GB2312" w:hAnsi="Calibri" w:eastAsia="仿宋_GB2312" w:cs="Times New Roman"/>
          <w:kern w:val="0"/>
          <w:sz w:val="32"/>
          <w:szCs w:val="32"/>
          <w:lang w:val="zh-CN" w:eastAsia="zh-CN" w:bidi="ar-SA"/>
        </w:rPr>
        <w:t>按照进度有效使用项目资金，完成预期指标值。保障了</w:t>
      </w:r>
      <w:bookmarkStart w:id="89" w:name="OLE_LINK44"/>
      <w:r>
        <w:rPr>
          <w:rFonts w:hint="eastAsia" w:ascii="仿宋_GB2312" w:hAnsi="Calibri" w:eastAsia="仿宋_GB2312" w:cs="Times New Roman"/>
          <w:kern w:val="0"/>
          <w:sz w:val="32"/>
          <w:szCs w:val="32"/>
          <w:lang w:val="en-US" w:eastAsia="zh-CN" w:bidi="ar-SA"/>
        </w:rPr>
        <w:t>茂县文学艺术界联合会</w:t>
      </w:r>
      <w:bookmarkEnd w:id="89"/>
      <w:r>
        <w:rPr>
          <w:rFonts w:hint="eastAsia" w:ascii="仿宋_GB2312" w:hAnsi="Calibri" w:eastAsia="仿宋_GB2312" w:cs="Times New Roman"/>
          <w:kern w:val="0"/>
          <w:sz w:val="32"/>
          <w:szCs w:val="32"/>
          <w:lang w:val="zh-CN" w:eastAsia="zh-CN" w:bidi="ar-SA"/>
        </w:rPr>
        <w:t>工作的开展，推动文艺创作与基层服务深度融合，确保文联工作社会效益最大化。</w:t>
      </w:r>
    </w:p>
    <w:p w14:paraId="29EB2BEA">
      <w:pPr>
        <w:keepNext w:val="0"/>
        <w:keepLines w:val="0"/>
        <w:pageBreakBefore w:val="0"/>
        <w:widowControl/>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rPr>
          <w:rFonts w:hint="eastAsia" w:ascii="仿宋_GB2312" w:hAnsi="Calibri" w:eastAsia="仿宋_GB2312" w:cs="Times New Roman"/>
          <w:kern w:val="0"/>
          <w:sz w:val="32"/>
          <w:szCs w:val="32"/>
          <w:lang w:val="zh-CN" w:eastAsia="zh-CN" w:bidi="ar-SA"/>
        </w:rPr>
      </w:pPr>
      <w:r>
        <w:rPr>
          <w:rFonts w:ascii="Times New Roman" w:hAnsi="Times New Roman" w:eastAsia="楷体_GB2312" w:cs="Times New Roman"/>
          <w:b/>
          <w:bCs/>
          <w:color w:val="000000"/>
          <w:kern w:val="0"/>
          <w:sz w:val="32"/>
          <w:szCs w:val="32"/>
          <w:shd w:val="clear" w:color="auto" w:fill="FFFFFF"/>
          <w:lang w:val="zh-CN"/>
        </w:rPr>
        <w:t>（三）绩效结果应用情况。</w:t>
      </w:r>
      <w:r>
        <w:rPr>
          <w:rFonts w:hint="eastAsia" w:ascii="仿宋_GB2312" w:hAnsi="Calibri" w:eastAsia="仿宋_GB2312" w:cs="Times New Roman"/>
          <w:kern w:val="0"/>
          <w:sz w:val="32"/>
          <w:szCs w:val="32"/>
          <w:lang w:val="zh-CN" w:eastAsia="zh-CN" w:bidi="ar-SA"/>
        </w:rPr>
        <w:t>加强绩效自评结果应用，高度重视自评发现的问题，认真整改，通过不断完善现有政策、调整优化重点支持方向、严格预算绩效管理的全流程规范执行等手段逐步提升绩效自评工作质量。建立绩效自评结果与年度预算安排和政策调整挂钩机制，将绩效自评结果作为申请及分配预算资金、调整完善政策和改进管理的重要依据，强化绩效评价结果对预算安排的刚性约束，激发预算绩效管理的内生动力。严格按照预算绩效管理和信息公开相关工作要求，逐步推进绩效目标、评价结果等信息公开，明确工作程序，规范工作要求，做好宣传引导，主动接受社会监督。</w:t>
      </w:r>
    </w:p>
    <w:p w14:paraId="27D453C0">
      <w:pPr>
        <w:keepNext w:val="0"/>
        <w:keepLines w:val="0"/>
        <w:pageBreakBefore w:val="0"/>
        <w:widowControl/>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ascii="Times New Roman" w:hAnsi="Times New Roman" w:eastAsia="黑体" w:cs="Times New Roman"/>
          <w:color w:val="000000"/>
          <w:kern w:val="0"/>
          <w:sz w:val="32"/>
          <w:szCs w:val="32"/>
          <w:shd w:val="clear" w:color="auto" w:fill="FFFFFF"/>
          <w:lang w:val="zh-CN"/>
        </w:rPr>
      </w:pPr>
      <w:r>
        <w:rPr>
          <w:rFonts w:ascii="Times New Roman" w:hAnsi="Times New Roman" w:eastAsia="黑体" w:cs="Times New Roman"/>
          <w:color w:val="000000"/>
          <w:kern w:val="0"/>
          <w:sz w:val="32"/>
          <w:szCs w:val="32"/>
          <w:shd w:val="clear" w:color="auto" w:fill="FFFFFF"/>
          <w:lang w:val="zh-CN"/>
        </w:rPr>
        <w:t>四、评价结论及建议</w:t>
      </w:r>
    </w:p>
    <w:p w14:paraId="01526F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Calibri" w:eastAsia="仿宋_GB2312" w:cs="Times New Roman"/>
          <w:kern w:val="0"/>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rPr>
        <w:t>（一）评价结论。</w:t>
      </w:r>
      <w:r>
        <w:rPr>
          <w:rFonts w:hint="eastAsia" w:ascii="仿宋_GB2312" w:hAnsi="Calibri" w:eastAsia="仿宋_GB2312" w:cs="Times New Roman"/>
          <w:kern w:val="0"/>
          <w:sz w:val="32"/>
          <w:szCs w:val="32"/>
          <w:lang w:val="en-US" w:eastAsia="zh-CN" w:bidi="ar-SA"/>
        </w:rPr>
        <w:t>根据我单位整体支出情况的自查和自评，结论为：</w:t>
      </w:r>
      <w:r>
        <w:rPr>
          <w:rFonts w:hint="eastAsia" w:ascii="仿宋_GB2312" w:hAnsi="Calibri" w:eastAsia="仿宋_GB2312" w:cs="Times New Roman"/>
          <w:kern w:val="0"/>
          <w:sz w:val="32"/>
          <w:szCs w:val="32"/>
          <w:lang w:val="zh-CN" w:eastAsia="zh-CN" w:bidi="ar-SA"/>
        </w:rPr>
        <w:t>茂县文学艺术界联合会</w:t>
      </w:r>
      <w:r>
        <w:rPr>
          <w:rFonts w:hint="eastAsia" w:ascii="仿宋_GB2312" w:hAnsi="Calibri" w:eastAsia="仿宋_GB2312" w:cs="Times New Roman"/>
          <w:kern w:val="0"/>
          <w:sz w:val="32"/>
          <w:szCs w:val="32"/>
          <w:lang w:val="en-US" w:eastAsia="zh-CN" w:bidi="ar-SA"/>
        </w:rPr>
        <w:t>整体支出情况合法、合规，由于严格执行法律、政策、科学分配、有效使用、严密管理，有力地促进了我单位各项工作顺利完成和各项目标的实现，建立了</w:t>
      </w:r>
      <w:r>
        <w:rPr>
          <w:rFonts w:hint="eastAsia" w:ascii="仿宋_GB2312" w:hAnsi="Calibri" w:eastAsia="仿宋_GB2312" w:cs="Times New Roman"/>
          <w:kern w:val="0"/>
          <w:sz w:val="32"/>
          <w:szCs w:val="32"/>
          <w:lang w:val="zh-CN" w:eastAsia="zh-CN" w:bidi="ar-SA"/>
        </w:rPr>
        <w:t>茂县文学艺术界联合会</w:t>
      </w:r>
      <w:r>
        <w:rPr>
          <w:rFonts w:hint="eastAsia" w:ascii="仿宋_GB2312" w:hAnsi="Calibri" w:eastAsia="仿宋_GB2312" w:cs="Times New Roman"/>
          <w:kern w:val="0"/>
          <w:sz w:val="32"/>
          <w:szCs w:val="32"/>
          <w:lang w:val="en-US" w:eastAsia="zh-CN" w:bidi="ar-SA"/>
        </w:rPr>
        <w:t>财务管理制度、公务接待制度、财务公开制度等。严格按照相关制度进行财务核算，做到资金专款专用，资金支付依据和开支标准合规合法。并按照规定编制决算，审核汇总后报财政部门审批。加强决算审核和分析，规范决算管理工作，保证决算数据的完整、真实、准确。</w:t>
      </w:r>
    </w:p>
    <w:p w14:paraId="72648B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Calibri" w:eastAsia="仿宋_GB2312" w:cs="Times New Roman"/>
          <w:kern w:val="0"/>
          <w:sz w:val="32"/>
          <w:szCs w:val="32"/>
          <w:lang w:val="en-US" w:eastAsia="zh-CN" w:bidi="ar-SA"/>
        </w:rPr>
      </w:pPr>
      <w:r>
        <w:rPr>
          <w:rFonts w:ascii="Times New Roman" w:hAnsi="Times New Roman" w:eastAsia="楷体_GB2312" w:cs="Times New Roman"/>
          <w:b/>
          <w:bCs/>
          <w:color w:val="000000"/>
          <w:kern w:val="0"/>
          <w:sz w:val="32"/>
          <w:szCs w:val="32"/>
          <w:shd w:val="clear" w:color="auto" w:fill="FFFFFF"/>
          <w:lang w:val="zh-CN"/>
        </w:rPr>
        <w:t>（二）存在问题。</w:t>
      </w:r>
      <w:r>
        <w:rPr>
          <w:rFonts w:hint="eastAsia" w:ascii="仿宋_GB2312" w:hAnsi="Calibri" w:eastAsia="仿宋_GB2312" w:cs="Times New Roman"/>
          <w:kern w:val="0"/>
          <w:sz w:val="32"/>
          <w:szCs w:val="32"/>
          <w:lang w:val="en-US" w:eastAsia="zh-CN" w:bidi="ar-SA"/>
        </w:rPr>
        <w:t>编制单位预算应当综合考虑年度工作计划和相应支出需求，做到准确无误。</w:t>
      </w:r>
    </w:p>
    <w:p w14:paraId="49D0DA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Calibri" w:eastAsia="仿宋_GB2312" w:cs="Times New Roman"/>
          <w:kern w:val="0"/>
          <w:sz w:val="32"/>
          <w:szCs w:val="32"/>
          <w:lang w:val="en" w:eastAsia="zh-CN" w:bidi="ar-SA"/>
        </w:rPr>
      </w:pPr>
      <w:r>
        <w:rPr>
          <w:rFonts w:ascii="Times New Roman" w:hAnsi="Times New Roman" w:eastAsia="楷体_GB2312" w:cs="Times New Roman"/>
          <w:b/>
          <w:bCs/>
          <w:color w:val="000000"/>
          <w:kern w:val="0"/>
          <w:sz w:val="32"/>
          <w:szCs w:val="32"/>
          <w:shd w:val="clear" w:color="auto" w:fill="FFFFFF"/>
          <w:lang w:val="zh-CN"/>
        </w:rPr>
        <w:t>（三）改进建议。</w:t>
      </w:r>
      <w:bookmarkStart w:id="90" w:name="_Hlk110546638"/>
      <w:r>
        <w:rPr>
          <w:rFonts w:hint="eastAsia" w:ascii="仿宋_GB2312" w:hAnsi="Calibri" w:eastAsia="仿宋_GB2312" w:cs="Times New Roman"/>
          <w:kern w:val="0"/>
          <w:sz w:val="32"/>
          <w:szCs w:val="32"/>
          <w:lang w:val="zh-CN" w:eastAsia="zh-CN" w:bidi="ar-SA"/>
        </w:rPr>
        <w:t>根据我单位年初工作计划，按照州、县的各项工作部署，统筹做好开展文艺工作，对各团体会员开展联络、协调、服务、指导工作。加强目标与预算的匹配性。强化预算执行监控，建立动态调整机制。完善项目管理流程，提高资金使用效益。</w:t>
      </w:r>
    </w:p>
    <w:bookmarkEnd w:id="90"/>
    <w:p w14:paraId="2FFD3D07">
      <w:pPr>
        <w:pStyle w:val="39"/>
        <w:pageBreakBefore w:val="0"/>
        <w:widowControl w:val="0"/>
        <w:kinsoku/>
        <w:wordWrap/>
        <w:overflowPunct/>
        <w:topLinePunct w:val="0"/>
        <w:autoSpaceDE/>
        <w:autoSpaceDN/>
        <w:bidi w:val="0"/>
        <w:spacing w:line="520" w:lineRule="exact"/>
        <w:ind w:firstLine="880" w:firstLineChars="200"/>
        <w:jc w:val="center"/>
        <w:textAlignment w:val="auto"/>
        <w:rPr>
          <w:rFonts w:hint="eastAsia" w:ascii="方正小标宋简体" w:eastAsia="方正小标宋简体" w:cs="方正小标宋简体"/>
          <w:color w:val="auto"/>
          <w:kern w:val="2"/>
          <w:sz w:val="44"/>
          <w:szCs w:val="44"/>
          <w:lang w:val="en-US" w:eastAsia="zh-CN"/>
        </w:rPr>
      </w:pPr>
    </w:p>
    <w:p w14:paraId="53D8F8FF">
      <w:pPr>
        <w:pStyle w:val="39"/>
        <w:pageBreakBefore w:val="0"/>
        <w:widowControl w:val="0"/>
        <w:kinsoku/>
        <w:wordWrap/>
        <w:overflowPunct/>
        <w:topLinePunct w:val="0"/>
        <w:autoSpaceDE/>
        <w:autoSpaceDN/>
        <w:bidi w:val="0"/>
        <w:spacing w:line="520" w:lineRule="exact"/>
        <w:ind w:firstLine="880" w:firstLineChars="200"/>
        <w:jc w:val="center"/>
        <w:textAlignment w:val="auto"/>
        <w:rPr>
          <w:rFonts w:hint="eastAsia" w:ascii="方正小标宋简体" w:eastAsia="方正小标宋简体" w:cs="方正小标宋简体"/>
          <w:color w:val="auto"/>
          <w:kern w:val="2"/>
          <w:sz w:val="44"/>
          <w:szCs w:val="44"/>
          <w:lang w:val="en-US" w:eastAsia="zh-CN"/>
        </w:rPr>
      </w:pPr>
    </w:p>
    <w:tbl>
      <w:tblPr>
        <w:tblStyle w:val="21"/>
        <w:tblW w:w="96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5"/>
        <w:gridCol w:w="998"/>
        <w:gridCol w:w="998"/>
        <w:gridCol w:w="1408"/>
        <w:gridCol w:w="1520"/>
        <w:gridCol w:w="991"/>
        <w:gridCol w:w="998"/>
        <w:gridCol w:w="999"/>
        <w:gridCol w:w="999"/>
      </w:tblGrid>
      <w:tr w14:paraId="55744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9636" w:type="dxa"/>
            <w:gridSpan w:val="9"/>
            <w:tcBorders>
              <w:top w:val="nil"/>
              <w:left w:val="nil"/>
              <w:bottom w:val="nil"/>
              <w:right w:val="nil"/>
            </w:tcBorders>
            <w:shd w:val="clear" w:color="auto" w:fill="auto"/>
            <w:vAlign w:val="center"/>
          </w:tcPr>
          <w:p w14:paraId="5F2EEF07">
            <w:pPr>
              <w:pStyle w:val="17"/>
              <w:ind w:left="0" w:leftChars="0" w:firstLine="0" w:firstLineChars="0"/>
              <w:rPr>
                <w:rFonts w:hint="eastAsia" w:ascii="黑体" w:eastAsia="黑体" w:cs="黑体"/>
                <w:i w:val="0"/>
                <w:iCs w:val="0"/>
                <w:color w:val="000000"/>
                <w:kern w:val="0"/>
                <w:sz w:val="30"/>
                <w:szCs w:val="30"/>
                <w:u w:val="none"/>
                <w:lang w:val="en-US" w:eastAsia="zh-CN"/>
              </w:rPr>
            </w:pPr>
            <w:r>
              <w:rPr>
                <w:rFonts w:hint="eastAsia" w:ascii="仿宋_GB2312" w:eastAsia="仿宋_GB2312" w:cs="仿宋_GB2312"/>
                <w:color w:val="000000"/>
                <w:kern w:val="0"/>
                <w:sz w:val="32"/>
                <w:szCs w:val="32"/>
                <w:shd w:val="clear" w:color="auto" w:fill="FFFFFF"/>
                <w:lang w:eastAsia="zh-CN"/>
              </w:rPr>
              <w:t>附表</w:t>
            </w:r>
          </w:p>
          <w:p w14:paraId="2349F4F3">
            <w:pPr>
              <w:keepNext w:val="0"/>
              <w:keepLines w:val="0"/>
              <w:widowControl/>
              <w:suppressLineNumbers w:val="0"/>
              <w:ind w:firstLine="3300" w:firstLineChars="1100"/>
              <w:jc w:val="both"/>
              <w:textAlignment w:val="center"/>
              <w:rPr>
                <w:rFonts w:ascii="黑体" w:eastAsia="黑体" w:cs="黑体"/>
                <w:i w:val="0"/>
                <w:iCs w:val="0"/>
                <w:color w:val="000000"/>
                <w:sz w:val="30"/>
                <w:szCs w:val="30"/>
                <w:u w:val="none"/>
              </w:rPr>
            </w:pPr>
            <w:r>
              <w:rPr>
                <w:rFonts w:hint="eastAsia" w:ascii="黑体" w:eastAsia="黑体" w:cs="黑体"/>
                <w:i w:val="0"/>
                <w:iCs w:val="0"/>
                <w:color w:val="000000"/>
                <w:kern w:val="0"/>
                <w:sz w:val="30"/>
                <w:szCs w:val="30"/>
                <w:u w:val="none"/>
                <w:lang w:val="en-US" w:eastAsia="zh-CN"/>
              </w:rPr>
              <w:t>部门整体支出绩效目标表</w:t>
            </w:r>
          </w:p>
        </w:tc>
      </w:tr>
      <w:tr w14:paraId="47D82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36" w:type="dxa"/>
            <w:gridSpan w:val="9"/>
            <w:tcBorders>
              <w:top w:val="nil"/>
              <w:left w:val="nil"/>
              <w:bottom w:val="nil"/>
              <w:right w:val="nil"/>
            </w:tcBorders>
            <w:shd w:val="clear" w:color="auto" w:fill="auto"/>
            <w:vAlign w:val="center"/>
          </w:tcPr>
          <w:p w14:paraId="0D2AFE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w:t>
            </w:r>
            <w:r>
              <w:rPr>
                <w:rFonts w:hint="eastAsia" w:ascii="宋体" w:cs="宋体"/>
                <w:i w:val="0"/>
                <w:iCs w:val="0"/>
                <w:color w:val="000000"/>
                <w:kern w:val="0"/>
                <w:sz w:val="18"/>
                <w:szCs w:val="18"/>
                <w:u w:val="none"/>
                <w:lang w:val="en-US" w:eastAsia="zh-CN"/>
              </w:rPr>
              <w:t>5</w:t>
            </w:r>
            <w:r>
              <w:rPr>
                <w:rFonts w:ascii="宋体" w:eastAsia="宋体" w:cs="宋体"/>
                <w:i w:val="0"/>
                <w:iCs w:val="0"/>
                <w:color w:val="000000"/>
                <w:kern w:val="0"/>
                <w:sz w:val="18"/>
                <w:szCs w:val="18"/>
                <w:u w:val="none"/>
                <w:lang w:val="en-US" w:eastAsia="zh-CN"/>
              </w:rPr>
              <w:t>年度）</w:t>
            </w:r>
          </w:p>
        </w:tc>
      </w:tr>
      <w:tr w14:paraId="33461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 w:hRule="atLeast"/>
        </w:trPr>
        <w:tc>
          <w:tcPr>
            <w:tcW w:w="725" w:type="dxa"/>
            <w:tcBorders>
              <w:top w:val="nil"/>
              <w:left w:val="nil"/>
              <w:bottom w:val="single" w:color="000000" w:sz="4" w:space="0"/>
              <w:right w:val="nil"/>
            </w:tcBorders>
            <w:shd w:val="clear" w:color="auto" w:fill="auto"/>
            <w:vAlign w:val="bottom"/>
          </w:tcPr>
          <w:p w14:paraId="5CFDBA44">
            <w:pPr>
              <w:keepNext w:val="0"/>
              <w:keepLines w:val="0"/>
              <w:widowControl/>
              <w:suppressLineNumbers w:val="0"/>
              <w:jc w:val="left"/>
              <w:textAlignment w:val="bottom"/>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部门名称：</w:t>
            </w:r>
          </w:p>
        </w:tc>
        <w:tc>
          <w:tcPr>
            <w:tcW w:w="5915" w:type="dxa"/>
            <w:gridSpan w:val="5"/>
            <w:tcBorders>
              <w:top w:val="nil"/>
              <w:left w:val="nil"/>
              <w:bottom w:val="single" w:color="000000" w:sz="4" w:space="0"/>
              <w:right w:val="nil"/>
            </w:tcBorders>
            <w:shd w:val="clear" w:color="auto" w:fill="auto"/>
            <w:vAlign w:val="bottom"/>
          </w:tcPr>
          <w:p w14:paraId="3631CD91">
            <w:pPr>
              <w:keepNext w:val="0"/>
              <w:keepLines w:val="0"/>
              <w:widowControl/>
              <w:suppressLineNumbers w:val="0"/>
              <w:jc w:val="left"/>
              <w:textAlignment w:val="bottom"/>
            </w:pPr>
            <w:r>
              <w:rPr>
                <w:rFonts w:ascii="宋体" w:hAnsi="宋体" w:eastAsia="宋体" w:cs="宋体"/>
                <w:i w:val="0"/>
                <w:iCs w:val="0"/>
                <w:color w:val="000000"/>
                <w:kern w:val="0"/>
                <w:sz w:val="18"/>
                <w:szCs w:val="18"/>
                <w:u w:val="none"/>
                <w:lang w:val="en-US" w:eastAsia="zh-CN" w:bidi="ar"/>
              </w:rPr>
              <w:t>茂县文学艺术界联合会本级</w:t>
            </w:r>
          </w:p>
        </w:tc>
        <w:tc>
          <w:tcPr>
            <w:tcW w:w="998" w:type="dxa"/>
            <w:tcBorders>
              <w:top w:val="nil"/>
              <w:left w:val="nil"/>
              <w:bottom w:val="single" w:color="000000" w:sz="4" w:space="0"/>
              <w:right w:val="nil"/>
            </w:tcBorders>
            <w:shd w:val="clear" w:color="auto" w:fill="auto"/>
            <w:vAlign w:val="center"/>
          </w:tcPr>
          <w:p w14:paraId="68901134"/>
        </w:tc>
        <w:tc>
          <w:tcPr>
            <w:tcW w:w="999" w:type="dxa"/>
            <w:tcBorders>
              <w:top w:val="nil"/>
              <w:left w:val="nil"/>
              <w:bottom w:val="single" w:color="000000" w:sz="4" w:space="0"/>
              <w:right w:val="nil"/>
            </w:tcBorders>
            <w:shd w:val="clear" w:color="auto" w:fill="auto"/>
            <w:vAlign w:val="center"/>
          </w:tcPr>
          <w:p w14:paraId="35515536"/>
        </w:tc>
        <w:tc>
          <w:tcPr>
            <w:tcW w:w="999" w:type="dxa"/>
            <w:tcBorders>
              <w:top w:val="nil"/>
              <w:left w:val="nil"/>
              <w:bottom w:val="single" w:color="000000" w:sz="4" w:space="0"/>
              <w:right w:val="nil"/>
            </w:tcBorders>
            <w:shd w:val="clear" w:color="auto" w:fill="auto"/>
            <w:vAlign w:val="bottom"/>
          </w:tcPr>
          <w:p w14:paraId="2B7645A7">
            <w:pPr>
              <w:keepNext w:val="0"/>
              <w:keepLines w:val="0"/>
              <w:widowControl/>
              <w:suppressLineNumbers w:val="0"/>
              <w:jc w:val="center"/>
              <w:textAlignment w:val="bottom"/>
            </w:pPr>
            <w:r>
              <w:rPr>
                <w:rFonts w:ascii="宋体" w:hAnsi="宋体" w:eastAsia="宋体" w:cs="宋体"/>
                <w:i w:val="0"/>
                <w:iCs w:val="0"/>
                <w:color w:val="000000"/>
                <w:kern w:val="0"/>
                <w:sz w:val="16"/>
                <w:szCs w:val="16"/>
                <w:u w:val="none"/>
                <w:lang w:val="en-US" w:eastAsia="zh-CN" w:bidi="ar"/>
              </w:rPr>
              <w:t>单位：万元</w:t>
            </w:r>
          </w:p>
        </w:tc>
      </w:tr>
      <w:tr w14:paraId="4441F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27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8F1D6B">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年度部门整体预算</w:t>
            </w:r>
          </w:p>
        </w:tc>
        <w:tc>
          <w:tcPr>
            <w:tcW w:w="2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50AE4">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资金总额</w:t>
            </w:r>
          </w:p>
        </w:tc>
        <w:tc>
          <w:tcPr>
            <w:tcW w:w="19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B9BE9">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财政拨款</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89C40">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其他资金</w:t>
            </w:r>
          </w:p>
        </w:tc>
      </w:tr>
      <w:tr w14:paraId="050DE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7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6E2AB7">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收入预算</w:t>
            </w:r>
          </w:p>
        </w:tc>
        <w:tc>
          <w:tcPr>
            <w:tcW w:w="2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438F8">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70.80</w:t>
            </w:r>
          </w:p>
        </w:tc>
        <w:tc>
          <w:tcPr>
            <w:tcW w:w="19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94BC3">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70.80</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432ED">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A7B6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27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1FB035">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支出预算</w:t>
            </w:r>
          </w:p>
        </w:tc>
        <w:tc>
          <w:tcPr>
            <w:tcW w:w="2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50BE2">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70.80</w:t>
            </w:r>
          </w:p>
        </w:tc>
        <w:tc>
          <w:tcPr>
            <w:tcW w:w="19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6ADB0">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70.80</w:t>
            </w:r>
          </w:p>
        </w:tc>
        <w:tc>
          <w:tcPr>
            <w:tcW w:w="19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4B39D">
            <w:pPr>
              <w:keepNext w:val="0"/>
              <w:keepLines w:val="0"/>
              <w:widowControl/>
              <w:suppressLineNumbers w:val="0"/>
              <w:jc w:val="right"/>
              <w:textAlignment w:val="center"/>
              <w:rPr>
                <w:rFonts w:hint="eastAsia"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38261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27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38C6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年度总体目标</w:t>
            </w:r>
          </w:p>
        </w:tc>
        <w:tc>
          <w:tcPr>
            <w:tcW w:w="69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F3954B">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保障人员经费正常发放及我会各项文艺活动顺利完成。</w:t>
            </w:r>
          </w:p>
        </w:tc>
      </w:tr>
      <w:tr w14:paraId="737DD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6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5412C8">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管理效率</w:t>
            </w:r>
          </w:p>
        </w:tc>
      </w:tr>
      <w:tr w14:paraId="3E225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39A30">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序号</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CBE66">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330DE">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二级指标</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A6DCA">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5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B9829">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指标值</w:t>
            </w:r>
          </w:p>
        </w:tc>
        <w:tc>
          <w:tcPr>
            <w:tcW w:w="39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A6E14A">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指标参考值</w:t>
            </w:r>
          </w:p>
        </w:tc>
      </w:tr>
      <w:tr w14:paraId="51A0B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1E2AF">
            <w:pPr>
              <w:jc w:val="cente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E5C11">
            <w:pPr>
              <w:jc w:val="center"/>
              <w:rPr>
                <w:rFonts w:ascii="宋体" w:eastAsia="宋体" w:cs="宋体"/>
                <w:i w:val="0"/>
                <w:iCs w:val="0"/>
                <w:color w:val="000000"/>
                <w:sz w:val="18"/>
                <w:szCs w:val="18"/>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CA34B">
            <w:pPr>
              <w:jc w:val="cente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123D2">
            <w:pPr>
              <w:jc w:val="center"/>
              <w:rPr>
                <w:rFonts w:ascii="宋体" w:eastAsia="宋体" w:cs="宋体"/>
                <w:i w:val="0"/>
                <w:iCs w:val="0"/>
                <w:color w:val="000000"/>
                <w:sz w:val="18"/>
                <w:szCs w:val="18"/>
                <w:u w:val="none"/>
              </w:rPr>
            </w:pPr>
          </w:p>
        </w:tc>
        <w:tc>
          <w:tcPr>
            <w:tcW w:w="1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02304">
            <w:pPr>
              <w:jc w:val="cente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94E8">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三年均值</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C15A">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2022</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9792">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2023</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C726">
            <w:pPr>
              <w:keepNext w:val="0"/>
              <w:keepLines w:val="0"/>
              <w:widowControl/>
              <w:suppressLineNumbers w:val="0"/>
              <w:jc w:val="center"/>
              <w:textAlignment w:val="center"/>
            </w:pPr>
            <w:r>
              <w:rPr>
                <w:rFonts w:hint="eastAsia" w:ascii="宋体" w:hAnsi="宋体" w:eastAsia="宋体" w:cs="宋体"/>
                <w:b/>
                <w:bCs/>
                <w:i w:val="0"/>
                <w:iCs w:val="0"/>
                <w:color w:val="000000"/>
                <w:kern w:val="0"/>
                <w:sz w:val="18"/>
                <w:szCs w:val="18"/>
                <w:u w:val="none"/>
                <w:lang w:val="en-US" w:eastAsia="zh-CN" w:bidi="ar"/>
              </w:rPr>
              <w:t>2024</w:t>
            </w:r>
          </w:p>
        </w:tc>
      </w:tr>
      <w:tr w14:paraId="02CB7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2076">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9506">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782D">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2A5B">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财政拨款预算偏离度</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D944">
            <w:pPr>
              <w:keepNext w:val="0"/>
              <w:keepLines w:val="0"/>
              <w:widowControl/>
              <w:suppressLineNumbers w:val="0"/>
              <w:jc w:val="right"/>
              <w:textAlignment w:val="center"/>
            </w:pPr>
            <w:r>
              <w:rPr>
                <w:rFonts w:hint="eastAsia" w:ascii="宋体" w:hAnsi="宋体" w:eastAsia="宋体" w:cs="宋体"/>
                <w:i w:val="0"/>
                <w:iCs w:val="0"/>
                <w:color w:val="000000"/>
                <w:kern w:val="0"/>
                <w:sz w:val="18"/>
                <w:szCs w:val="18"/>
                <w:u w:val="none"/>
                <w:lang w:val="en-US" w:eastAsia="zh-CN" w:bidi="ar"/>
              </w:rPr>
              <w:t>30%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9424">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36.14%</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74DA">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50.67%</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3570">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40.21%</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DE76">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17.55%</w:t>
            </w:r>
          </w:p>
        </w:tc>
      </w:tr>
      <w:tr w14:paraId="72898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7DD5">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2</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9364">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338B">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703AB">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单位收入统筹度</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81CAE">
            <w:pPr>
              <w:keepNext w:val="0"/>
              <w:keepLines w:val="0"/>
              <w:widowControl/>
              <w:suppressLineNumbers w:val="0"/>
              <w:jc w:val="right"/>
              <w:textAlignment w:val="center"/>
            </w:pPr>
            <w:r>
              <w:rPr>
                <w:rFonts w:hint="eastAsia" w:ascii="宋体" w:hAnsi="宋体" w:eastAsia="宋体" w:cs="宋体"/>
                <w:i w:val="0"/>
                <w:iCs w:val="0"/>
                <w:color w:val="000000"/>
                <w:kern w:val="0"/>
                <w:sz w:val="18"/>
                <w:szCs w:val="18"/>
                <w:u w:val="none"/>
                <w:lang w:val="en-US" w:eastAsia="zh-CN" w:bidi="ar"/>
              </w:rPr>
              <w:t>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8643C">
            <w:pPr>
              <w:jc w:val="right"/>
              <w:rPr>
                <w:rFonts w:ascii="宋体" w:eastAsia="宋体" w:cs="宋体"/>
                <w:i w:val="0"/>
                <w:iCs w:val="0"/>
                <w:color w:val="000000"/>
                <w:sz w:val="18"/>
                <w:szCs w:val="18"/>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3067">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A2E8">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054D">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0D728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2A1F">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3</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2586">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成本指标</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CA02">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预算管理</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F67E">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预算年终结余率</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3808">
            <w:pPr>
              <w:keepNext w:val="0"/>
              <w:keepLines w:val="0"/>
              <w:widowControl/>
              <w:suppressLineNumbers w:val="0"/>
              <w:jc w:val="right"/>
              <w:textAlignment w:val="center"/>
            </w:pPr>
            <w:r>
              <w:rPr>
                <w:rFonts w:hint="eastAsia" w:ascii="宋体" w:hAnsi="宋体" w:eastAsia="宋体" w:cs="宋体"/>
                <w:i w:val="0"/>
                <w:iCs w:val="0"/>
                <w:color w:val="000000"/>
                <w:kern w:val="0"/>
                <w:sz w:val="18"/>
                <w:szCs w:val="18"/>
                <w:u w:val="none"/>
                <w:lang w:val="en-US" w:eastAsia="zh-CN" w:bidi="ar"/>
              </w:rPr>
              <w:t>1%</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F848">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F450">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9266">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D6D7">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0.83%</w:t>
            </w:r>
          </w:p>
        </w:tc>
      </w:tr>
      <w:tr w14:paraId="3325C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C3DE">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4</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68358">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成本指标</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3AF6">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6D9D">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一般性支出金额</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050A">
            <w:pPr>
              <w:keepNext w:val="0"/>
              <w:keepLines w:val="0"/>
              <w:widowControl/>
              <w:suppressLineNumbers w:val="0"/>
              <w:jc w:val="right"/>
              <w:textAlignment w:val="center"/>
            </w:pPr>
            <w:r>
              <w:rPr>
                <w:rFonts w:hint="eastAsia" w:ascii="宋体" w:hAnsi="宋体" w:eastAsia="宋体" w:cs="宋体"/>
                <w:i w:val="0"/>
                <w:iCs w:val="0"/>
                <w:color w:val="000000"/>
                <w:kern w:val="0"/>
                <w:sz w:val="18"/>
                <w:szCs w:val="18"/>
                <w:u w:val="none"/>
                <w:lang w:val="en-US" w:eastAsia="zh-CN" w:bidi="ar"/>
              </w:rPr>
              <w:t>2.45万元</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1397">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2.48万元</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15F2">
            <w:pPr>
              <w:jc w:val="right"/>
              <w:rPr>
                <w:rFonts w:ascii="宋体" w:eastAsia="宋体" w:cs="宋体"/>
                <w:i w:val="0"/>
                <w:iCs w:val="0"/>
                <w:color w:val="000000"/>
                <w:sz w:val="18"/>
                <w:szCs w:val="18"/>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FE80">
            <w:pPr>
              <w:jc w:val="right"/>
              <w:rPr>
                <w:rFonts w:ascii="宋体" w:eastAsia="宋体" w:cs="宋体"/>
                <w:i w:val="0"/>
                <w:iCs w:val="0"/>
                <w:color w:val="000000"/>
                <w:sz w:val="18"/>
                <w:szCs w:val="18"/>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397D">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2.48万元</w:t>
            </w:r>
          </w:p>
        </w:tc>
      </w:tr>
      <w:tr w14:paraId="6FA73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B638">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BA1A">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成本指标</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8AF9">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财务管理</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5C7E">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财务管理规范</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BEDF">
            <w:pPr>
              <w:keepNext w:val="0"/>
              <w:keepLines w:val="0"/>
              <w:widowControl/>
              <w:suppressLineNumbers w:val="0"/>
              <w:jc w:val="right"/>
              <w:textAlignment w:val="center"/>
            </w:pPr>
            <w:r>
              <w:rPr>
                <w:rFonts w:hint="eastAsia" w:ascii="宋体" w:hAnsi="宋体" w:eastAsia="宋体" w:cs="宋体"/>
                <w:i w:val="0"/>
                <w:iCs w:val="0"/>
                <w:color w:val="000000"/>
                <w:kern w:val="0"/>
                <w:sz w:val="18"/>
                <w:szCs w:val="18"/>
                <w:u w:val="none"/>
                <w:lang w:val="en-US" w:eastAsia="zh-CN" w:bidi="ar"/>
              </w:rPr>
              <w:t>优</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6448">
            <w:pPr>
              <w:jc w:val="right"/>
              <w:rPr>
                <w:rFonts w:ascii="宋体" w:eastAsia="宋体" w:cs="宋体"/>
                <w:i w:val="0"/>
                <w:iCs w:val="0"/>
                <w:color w:val="000000"/>
                <w:sz w:val="18"/>
                <w:szCs w:val="18"/>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EFC8">
            <w:pPr>
              <w:jc w:val="right"/>
              <w:rPr>
                <w:rFonts w:ascii="宋体" w:eastAsia="宋体" w:cs="宋体"/>
                <w:i w:val="0"/>
                <w:iCs w:val="0"/>
                <w:color w:val="000000"/>
                <w:sz w:val="18"/>
                <w:szCs w:val="18"/>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1678">
            <w:pPr>
              <w:jc w:val="right"/>
              <w:rPr>
                <w:rFonts w:ascii="宋体" w:eastAsia="宋体" w:cs="宋体"/>
                <w:i w:val="0"/>
                <w:iCs w:val="0"/>
                <w:color w:val="000000"/>
                <w:sz w:val="18"/>
                <w:szCs w:val="18"/>
                <w:u w:val="none"/>
              </w:rPr>
            </w:pP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0781">
            <w:pPr>
              <w:jc w:val="right"/>
              <w:rPr>
                <w:rFonts w:ascii="宋体" w:eastAsia="宋体" w:cs="宋体"/>
                <w:i w:val="0"/>
                <w:iCs w:val="0"/>
                <w:color w:val="000000"/>
                <w:sz w:val="18"/>
                <w:szCs w:val="18"/>
                <w:u w:val="none"/>
              </w:rPr>
            </w:pPr>
          </w:p>
        </w:tc>
      </w:tr>
      <w:tr w14:paraId="47652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4F7B">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6</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C1F3">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成本指标</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244A">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资产管理</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ADD86">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资产配置预算偏离度</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3DB2">
            <w:pPr>
              <w:keepNext w:val="0"/>
              <w:keepLines w:val="0"/>
              <w:widowControl/>
              <w:suppressLineNumbers w:val="0"/>
              <w:jc w:val="right"/>
              <w:textAlignment w:val="center"/>
            </w:pPr>
            <w:r>
              <w:rPr>
                <w:rFonts w:hint="eastAsia" w:ascii="宋体" w:hAnsi="宋体" w:eastAsia="宋体" w:cs="宋体"/>
                <w:i w:val="0"/>
                <w:iCs w:val="0"/>
                <w:color w:val="000000"/>
                <w:kern w:val="0"/>
                <w:sz w:val="18"/>
                <w:szCs w:val="18"/>
                <w:u w:val="none"/>
                <w:lang w:val="en-US" w:eastAsia="zh-CN" w:bidi="ar"/>
              </w:rPr>
              <w:t>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EDE3">
            <w:pPr>
              <w:jc w:val="right"/>
              <w:rPr>
                <w:rFonts w:ascii="宋体" w:eastAsia="宋体" w:cs="宋体"/>
                <w:i w:val="0"/>
                <w:iCs w:val="0"/>
                <w:color w:val="000000"/>
                <w:sz w:val="18"/>
                <w:szCs w:val="18"/>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9E16">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36FD">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4FFD">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6777E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E9AB">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7</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DE4B">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18D3">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采购管理</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98A4">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采购执行率</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2B9D">
            <w:pPr>
              <w:keepNext w:val="0"/>
              <w:keepLines w:val="0"/>
              <w:widowControl/>
              <w:suppressLineNumbers w:val="0"/>
              <w:jc w:val="right"/>
              <w:textAlignment w:val="center"/>
            </w:pPr>
            <w:r>
              <w:rPr>
                <w:rFonts w:hint="eastAsia" w:ascii="宋体" w:hAnsi="宋体" w:eastAsia="宋体" w:cs="宋体"/>
                <w:i w:val="0"/>
                <w:iCs w:val="0"/>
                <w:color w:val="000000"/>
                <w:kern w:val="0"/>
                <w:sz w:val="18"/>
                <w:szCs w:val="18"/>
                <w:u w:val="none"/>
                <w:lang w:val="en-US" w:eastAsia="zh-CN" w:bidi="ar"/>
              </w:rPr>
              <w:t>100%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52E5">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889F">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DE4A">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B382">
            <w:pPr>
              <w:keepNext w:val="0"/>
              <w:keepLines w:val="0"/>
              <w:widowControl/>
              <w:suppressLineNumbers w:val="0"/>
              <w:jc w:val="righ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783B6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96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18F07B">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履职效能</w:t>
            </w:r>
          </w:p>
        </w:tc>
      </w:tr>
    </w:tbl>
    <w:p w14:paraId="2C4C00B2">
      <w:pPr>
        <w:pStyle w:val="17"/>
        <w:ind w:left="0" w:leftChars="0" w:firstLine="0" w:firstLineChars="0"/>
        <w:rPr>
          <w:rFonts w:eastAsia="黑体"/>
          <w:sz w:val="24"/>
        </w:rPr>
      </w:pPr>
    </w:p>
    <w:tbl>
      <w:tblPr>
        <w:tblStyle w:val="21"/>
        <w:tblW w:w="96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4"/>
        <w:gridCol w:w="997"/>
        <w:gridCol w:w="997"/>
        <w:gridCol w:w="2922"/>
        <w:gridCol w:w="3978"/>
      </w:tblGrid>
      <w:tr w14:paraId="3114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BD6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F38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1A8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8B7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3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39C4">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指标值（包括数字及文字描述）</w:t>
            </w:r>
          </w:p>
        </w:tc>
      </w:tr>
      <w:tr w14:paraId="77408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CE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645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EC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5B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各项文艺活动及时完成率</w:t>
            </w:r>
          </w:p>
        </w:tc>
        <w:tc>
          <w:tcPr>
            <w:tcW w:w="3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7F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5312F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C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37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D0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F9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全年发放文艺活动宣传手册数量</w:t>
            </w:r>
          </w:p>
        </w:tc>
        <w:tc>
          <w:tcPr>
            <w:tcW w:w="3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A8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≥400次</w:t>
            </w:r>
          </w:p>
        </w:tc>
      </w:tr>
      <w:tr w14:paraId="3A50B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0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F9FA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6F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C8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实施文化惠民活动，主办或协办“新春送福</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文化惠民活动，组织书法家现场书写春联、福字免费送给群众</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w:t>
            </w:r>
          </w:p>
        </w:tc>
        <w:tc>
          <w:tcPr>
            <w:tcW w:w="3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4D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≥1次</w:t>
            </w:r>
          </w:p>
        </w:tc>
      </w:tr>
      <w:tr w14:paraId="5DBBB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C3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64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76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78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编辑出版《九鼎山》专刊</w:t>
            </w:r>
          </w:p>
        </w:tc>
        <w:tc>
          <w:tcPr>
            <w:tcW w:w="3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5E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≥1次</w:t>
            </w:r>
          </w:p>
        </w:tc>
      </w:tr>
      <w:tr w14:paraId="00CE2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D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E9F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80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0B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举办文化进校园活动次数</w:t>
            </w:r>
          </w:p>
        </w:tc>
        <w:tc>
          <w:tcPr>
            <w:tcW w:w="3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FC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≥1次</w:t>
            </w:r>
          </w:p>
        </w:tc>
      </w:tr>
      <w:tr w14:paraId="6C3CC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5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33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7A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03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实施文艺精品创作工程</w:t>
            </w:r>
          </w:p>
        </w:tc>
        <w:tc>
          <w:tcPr>
            <w:tcW w:w="3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73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≥10篇（场）</w:t>
            </w:r>
          </w:p>
        </w:tc>
      </w:tr>
      <w:tr w14:paraId="42B6D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2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619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2F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3EE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受益群众对文艺活动，专刊及创作等评价较高</w:t>
            </w:r>
          </w:p>
        </w:tc>
        <w:tc>
          <w:tcPr>
            <w:tcW w:w="3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80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r>
      <w:tr w14:paraId="6634D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6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15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效益指标</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82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6F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举办的各类活动取得的社会影响</w:t>
            </w:r>
          </w:p>
        </w:tc>
        <w:tc>
          <w:tcPr>
            <w:tcW w:w="3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E6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较好</w:t>
            </w:r>
          </w:p>
        </w:tc>
      </w:tr>
    </w:tbl>
    <w:p w14:paraId="1B208B67">
      <w:pPr>
        <w:pStyle w:val="17"/>
        <w:ind w:left="0" w:leftChars="0" w:firstLine="0" w:firstLineChars="0"/>
        <w:rPr>
          <w:rFonts w:hint="eastAsia" w:ascii="仿宋_GB2312" w:eastAsia="仿宋_GB2312" w:cs="仿宋_GB2312"/>
          <w:color w:val="000000"/>
          <w:kern w:val="0"/>
          <w:sz w:val="32"/>
          <w:szCs w:val="32"/>
          <w:shd w:val="clear" w:color="auto" w:fill="FFFFFF"/>
          <w:lang w:eastAsia="zh-CN"/>
        </w:rPr>
      </w:pPr>
    </w:p>
    <w:p w14:paraId="15420535">
      <w:pPr>
        <w:pStyle w:val="17"/>
        <w:ind w:left="0" w:leftChars="0" w:firstLine="0" w:firstLineChars="0"/>
        <w:rPr>
          <w:rFonts w:hint="eastAsia" w:eastAsia="仿宋_GB2312"/>
          <w:lang w:eastAsia="zh-CN"/>
        </w:rPr>
      </w:pPr>
    </w:p>
    <w:p w14:paraId="7225EFBC">
      <w:pPr>
        <w:rPr>
          <w:rFonts w:hint="eastAsia" w:eastAsia="仿宋_GB2312"/>
          <w:lang w:eastAsia="zh-CN"/>
        </w:rPr>
      </w:pPr>
    </w:p>
    <w:p w14:paraId="63EFF241">
      <w:pPr>
        <w:pStyle w:val="8"/>
        <w:rPr>
          <w:rFonts w:hint="eastAsia" w:eastAsia="仿宋_GB2312"/>
          <w:lang w:eastAsia="zh-CN"/>
        </w:rPr>
      </w:pPr>
    </w:p>
    <w:p w14:paraId="58FB5E8E">
      <w:pPr>
        <w:pStyle w:val="8"/>
        <w:rPr>
          <w:rFonts w:hint="eastAsia" w:eastAsia="仿宋_GB2312"/>
          <w:lang w:eastAsia="zh-CN"/>
        </w:rPr>
      </w:pPr>
    </w:p>
    <w:p w14:paraId="7A5284AF">
      <w:pPr>
        <w:pStyle w:val="8"/>
        <w:rPr>
          <w:rFonts w:hint="eastAsia" w:eastAsia="仿宋_GB2312"/>
          <w:lang w:eastAsia="zh-CN"/>
        </w:rPr>
      </w:pPr>
    </w:p>
    <w:p w14:paraId="2076E50A">
      <w:pPr>
        <w:pStyle w:val="8"/>
        <w:rPr>
          <w:rFonts w:hint="eastAsia" w:eastAsia="仿宋_GB2312"/>
          <w:lang w:eastAsia="zh-CN"/>
        </w:rPr>
      </w:pPr>
    </w:p>
    <w:p w14:paraId="0D2DE25C">
      <w:pPr>
        <w:pStyle w:val="8"/>
        <w:rPr>
          <w:rFonts w:hint="eastAsia" w:eastAsia="仿宋_GB2312"/>
          <w:lang w:eastAsia="zh-CN"/>
        </w:rPr>
      </w:pPr>
    </w:p>
    <w:p w14:paraId="36A98B39">
      <w:pPr>
        <w:pStyle w:val="8"/>
        <w:rPr>
          <w:rFonts w:hint="eastAsia" w:eastAsia="仿宋_GB2312"/>
          <w:lang w:eastAsia="zh-CN"/>
        </w:rPr>
      </w:pPr>
    </w:p>
    <w:p w14:paraId="502212EF">
      <w:pPr>
        <w:pStyle w:val="8"/>
        <w:rPr>
          <w:rFonts w:hint="eastAsia" w:eastAsia="仿宋_GB2312"/>
          <w:lang w:eastAsia="zh-CN"/>
        </w:rPr>
      </w:pPr>
    </w:p>
    <w:p w14:paraId="4AEE1C96">
      <w:pPr>
        <w:pStyle w:val="8"/>
        <w:rPr>
          <w:rFonts w:hint="eastAsia" w:eastAsia="仿宋_GB2312"/>
          <w:lang w:eastAsia="zh-CN"/>
        </w:rPr>
      </w:pPr>
    </w:p>
    <w:p w14:paraId="0E324BCF">
      <w:pPr>
        <w:pStyle w:val="8"/>
        <w:rPr>
          <w:rFonts w:hint="eastAsia" w:eastAsia="仿宋_GB2312"/>
          <w:lang w:eastAsia="zh-CN"/>
        </w:rPr>
      </w:pPr>
    </w:p>
    <w:p w14:paraId="7FF8D144">
      <w:pPr>
        <w:pStyle w:val="8"/>
        <w:rPr>
          <w:rFonts w:hint="eastAsia" w:eastAsia="仿宋_GB2312"/>
          <w:lang w:eastAsia="zh-CN"/>
        </w:rPr>
      </w:pPr>
    </w:p>
    <w:p w14:paraId="7138ACA3">
      <w:pPr>
        <w:pStyle w:val="8"/>
        <w:rPr>
          <w:rFonts w:hint="eastAsia" w:eastAsia="仿宋_GB2312"/>
          <w:lang w:eastAsia="zh-CN"/>
        </w:rPr>
      </w:pPr>
    </w:p>
    <w:p w14:paraId="74F62459">
      <w:pPr>
        <w:pStyle w:val="8"/>
        <w:rPr>
          <w:rFonts w:hint="eastAsia" w:eastAsia="仿宋_GB2312"/>
          <w:lang w:eastAsia="zh-CN"/>
        </w:rPr>
      </w:pPr>
    </w:p>
    <w:tbl>
      <w:tblPr>
        <w:tblStyle w:val="21"/>
        <w:tblpPr w:leftFromText="180" w:rightFromText="180" w:vertAnchor="text" w:horzAnchor="page" w:tblpXSpec="center" w:tblpY="741"/>
        <w:tblOverlap w:val="never"/>
        <w:tblW w:w="89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4"/>
        <w:gridCol w:w="223"/>
        <w:gridCol w:w="991"/>
        <w:gridCol w:w="376"/>
        <w:gridCol w:w="597"/>
        <w:gridCol w:w="154"/>
        <w:gridCol w:w="926"/>
        <w:gridCol w:w="446"/>
        <w:gridCol w:w="71"/>
        <w:gridCol w:w="334"/>
        <w:gridCol w:w="355"/>
        <w:gridCol w:w="417"/>
        <w:gridCol w:w="299"/>
        <w:gridCol w:w="335"/>
        <w:gridCol w:w="516"/>
        <w:gridCol w:w="181"/>
        <w:gridCol w:w="236"/>
        <w:gridCol w:w="89"/>
        <w:gridCol w:w="286"/>
        <w:gridCol w:w="358"/>
        <w:gridCol w:w="1240"/>
      </w:tblGrid>
      <w:tr w14:paraId="452D9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8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B511D62">
            <w:pPr>
              <w:keepNext w:val="0"/>
              <w:keepLines w:val="0"/>
              <w:widowControl/>
              <w:suppressLineNumbers w:val="0"/>
              <w:jc w:val="center"/>
              <w:textAlignment w:val="center"/>
              <w:rPr>
                <w:rFonts w:ascii="黑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A83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2184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313FF6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51322322T000000312705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文联活动费</w:t>
            </w:r>
          </w:p>
        </w:tc>
      </w:tr>
      <w:tr w14:paraId="5E423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DBA7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2F732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茂县文学艺术界联合会本级</w:t>
            </w:r>
          </w:p>
        </w:tc>
        <w:tc>
          <w:tcPr>
            <w:tcW w:w="697" w:type="dxa"/>
            <w:gridSpan w:val="2"/>
            <w:tcBorders>
              <w:top w:val="nil"/>
              <w:left w:val="nil"/>
              <w:bottom w:val="nil"/>
              <w:right w:val="nil"/>
            </w:tcBorders>
            <w:shd w:val="clear" w:color="auto" w:fill="auto"/>
            <w:vAlign w:val="center"/>
          </w:tcPr>
          <w:p w14:paraId="3CB92108">
            <w:pPr>
              <w:keepNext w:val="0"/>
              <w:keepLines w:val="0"/>
              <w:widowControl/>
              <w:suppressLineNumbers w:val="0"/>
              <w:jc w:val="left"/>
              <w:textAlignment w:val="center"/>
              <w:rPr>
                <w:rFonts w:asci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1522E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w:t>
            </w:r>
          </w:p>
        </w:tc>
      </w:tr>
      <w:tr w14:paraId="233ED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206A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2580F">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BAD67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F868E12">
            <w:pPr>
              <w:keepNext w:val="0"/>
              <w:keepLines w:val="0"/>
              <w:widowControl/>
              <w:suppressLineNumbers w:val="0"/>
              <w:jc w:val="center"/>
              <w:textAlignment w:val="center"/>
              <w:rPr>
                <w:rFonts w:hint="eastAsia" w:asci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C07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E2B9B"/>
        </w:tc>
        <w:tc>
          <w:tcPr>
            <w:tcW w:w="12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9FC52"/>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ED55D2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保障人员经费正常发放，保证我会各项文艺活动顺利完成。</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0DB71F1">
            <w:pPr>
              <w:keepNext w:val="0"/>
              <w:keepLines w:val="0"/>
              <w:widowControl/>
              <w:suppressLineNumbers w:val="0"/>
              <w:jc w:val="left"/>
              <w:textAlignment w:val="center"/>
              <w:rPr>
                <w:rFonts w:hint="eastAsia" w:ascii="黑体" w:eastAsia="黑体" w:cs="黑体"/>
                <w:i w:val="0"/>
                <w:iCs w:val="0"/>
                <w:color w:val="000000"/>
                <w:sz w:val="18"/>
                <w:szCs w:val="18"/>
                <w:u w:val="none"/>
              </w:rPr>
            </w:pPr>
            <w:bookmarkStart w:id="91" w:name="OLE_LINK19"/>
            <w:r>
              <w:rPr>
                <w:rFonts w:hint="eastAsia" w:ascii="宋体" w:eastAsia="宋体" w:cs="宋体"/>
                <w:i w:val="0"/>
                <w:iCs w:val="0"/>
                <w:color w:val="000000"/>
                <w:kern w:val="0"/>
                <w:sz w:val="18"/>
                <w:szCs w:val="18"/>
                <w:u w:val="none"/>
                <w:lang w:val="en-US" w:eastAsia="zh-CN"/>
              </w:rPr>
              <w:t>严格按照项目资金管理办法，资金实际支出</w:t>
            </w:r>
            <w:r>
              <w:rPr>
                <w:rFonts w:hint="eastAsia" w:ascii="宋体" w:cs="宋体"/>
                <w:i w:val="0"/>
                <w:iCs w:val="0"/>
                <w:color w:val="000000"/>
                <w:kern w:val="0"/>
                <w:sz w:val="18"/>
                <w:szCs w:val="18"/>
                <w:u w:val="none"/>
                <w:lang w:val="en-US" w:eastAsia="zh-CN"/>
              </w:rPr>
              <w:t>4.92</w:t>
            </w:r>
            <w:r>
              <w:rPr>
                <w:rFonts w:hint="eastAsia" w:ascii="宋体" w:eastAsia="宋体" w:cs="宋体"/>
                <w:i w:val="0"/>
                <w:iCs w:val="0"/>
                <w:color w:val="000000"/>
                <w:kern w:val="0"/>
                <w:sz w:val="18"/>
                <w:szCs w:val="18"/>
                <w:u w:val="none"/>
                <w:lang w:val="en-US" w:eastAsia="zh-CN"/>
              </w:rPr>
              <w:t>万元。资金支付依据合规合法，资金支付与预算相符。</w:t>
            </w:r>
            <w:bookmarkEnd w:id="91"/>
          </w:p>
        </w:tc>
      </w:tr>
      <w:tr w14:paraId="1FBA3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CD46"/>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B755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CCF5FB0">
            <w:pPr>
              <w:rPr>
                <w:rFonts w:hint="eastAsia" w:ascii="宋体" w:eastAsia="宋体" w:cs="宋体"/>
                <w:i w:val="0"/>
                <w:iCs w:val="0"/>
                <w:color w:val="000000"/>
                <w:sz w:val="18"/>
                <w:szCs w:val="18"/>
                <w:u w:val="none"/>
                <w:lang w:eastAsia="zh-CN"/>
              </w:rPr>
            </w:pPr>
          </w:p>
        </w:tc>
      </w:tr>
      <w:tr w14:paraId="1831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DD3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94B6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B879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D5A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537D3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CADB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15DA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C16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0A51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041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16DF6">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B4E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538F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2FD3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ADA7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66D5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DB74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1CC3">
            <w:pPr>
              <w:jc w:val="center"/>
              <w:rPr>
                <w:rFonts w:ascii="宋体" w:eastAsia="宋体" w:cs="宋体"/>
                <w:i w:val="0"/>
                <w:iCs w:val="0"/>
                <w:color w:val="000000"/>
                <w:sz w:val="18"/>
                <w:szCs w:val="18"/>
                <w:u w:val="none"/>
                <w:lang w:val="en-US" w:eastAsia="zh-CN"/>
              </w:rPr>
            </w:pPr>
          </w:p>
        </w:tc>
        <w:tc>
          <w:tcPr>
            <w:tcW w:w="15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D1663">
            <w:pPr>
              <w:keepNext w:val="0"/>
              <w:keepLines w:val="0"/>
              <w:widowControl/>
              <w:suppressLineNumbers w:val="0"/>
              <w:jc w:val="left"/>
              <w:textAlignment w:val="center"/>
              <w:rPr>
                <w:rFonts w:hint="eastAsia" w:asci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C92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CACD0">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45F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9B9C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C63F4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1F81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F632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0E2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3A9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2149D"/>
        </w:tc>
      </w:tr>
      <w:tr w14:paraId="6BAB6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1BE27">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F562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2C1EC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FCAF0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0696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949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08C5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EE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F97EE"/>
        </w:tc>
      </w:tr>
      <w:tr w14:paraId="009EE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C2175">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3FB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1019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D1A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6394B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52ED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5BC6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FD6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BC0E3"/>
        </w:tc>
      </w:tr>
      <w:tr w14:paraId="45D98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4FC9C">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BAED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F7C29">
            <w:pPr>
              <w:jc w:val="center"/>
              <w:rPr>
                <w:rFonts w:hint="eastAsia" w:ascii="微软雅黑" w:eastAsia="微软雅黑" w:cs="微软雅黑"/>
                <w:i/>
                <w:iCs/>
                <w:color w:val="000000"/>
                <w:sz w:val="16"/>
                <w:szCs w:val="16"/>
                <w:u w:val="none"/>
              </w:rPr>
            </w:pP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BE8DFE">
            <w:pPr>
              <w:jc w:val="center"/>
              <w:rPr>
                <w:rFonts w:hint="eastAsia" w:ascii="微软雅黑" w:eastAsia="微软雅黑" w:cs="微软雅黑"/>
                <w:i/>
                <w:iCs/>
                <w:color w:val="000000"/>
                <w:sz w:val="16"/>
                <w:szCs w:val="16"/>
                <w:u w:val="none"/>
              </w:rPr>
            </w:pP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4F2632">
            <w:pPr>
              <w:jc w:val="center"/>
              <w:rPr>
                <w:rFonts w:hint="eastAsia" w:ascii="微软雅黑" w:eastAsia="微软雅黑" w:cs="微软雅黑"/>
                <w:i/>
                <w:iCs/>
                <w:color w:val="000000"/>
                <w:sz w:val="16"/>
                <w:szCs w:val="16"/>
                <w:u w:val="none"/>
              </w:rPr>
            </w:pP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48E01">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7AB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CC3D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B29FA"/>
        </w:tc>
      </w:tr>
      <w:tr w14:paraId="7AF03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2"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6467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DCA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4F8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1012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C2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61B1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04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E23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99E9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D7C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EFF7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290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F4685">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D482D">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408E0">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9BBF0">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实施文化惠民活动。主办或协办“新春送福”文化惠民活动，组织书法家现场书写春联、福字免费送给群众</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3CC337">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F5F52">
            <w:pPr>
              <w:jc w:val="center"/>
              <w:rPr>
                <w:rFonts w:ascii="微软雅黑" w:eastAsia="微软雅黑" w:cs="微软雅黑"/>
                <w:i/>
                <w:iCs/>
                <w:color w:val="000000"/>
                <w:sz w:val="16"/>
                <w:szCs w:val="16"/>
                <w:u w:val="none"/>
                <w:lang w:val="en-US" w:eastAsia="zh-CN"/>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BC8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0686">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05295">
            <w:pPr>
              <w:jc w:val="center"/>
              <w:rPr>
                <w:rFonts w:hint="eastAsia" w:ascii="微软雅黑" w:eastAsia="微软雅黑" w:cs="微软雅黑"/>
                <w:i/>
                <w:iCs/>
                <w:color w:val="000000"/>
                <w:sz w:val="16"/>
                <w:szCs w:val="16"/>
                <w:u w:val="none"/>
              </w:rPr>
            </w:pPr>
          </w:p>
        </w:tc>
      </w:tr>
      <w:tr w14:paraId="3520D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3"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D401A">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FDD66">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效益指标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8C0917">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63FA1C">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举办的各类活动取得的社会影响</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1EE67">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较好</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C9DFA">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8BC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73EB">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B7D0A">
            <w:pPr>
              <w:jc w:val="center"/>
              <w:rPr>
                <w:rFonts w:hint="eastAsia" w:ascii="微软雅黑" w:eastAsia="微软雅黑" w:cs="微软雅黑"/>
                <w:i/>
                <w:iCs/>
                <w:color w:val="000000"/>
                <w:sz w:val="16"/>
                <w:szCs w:val="16"/>
                <w:u w:val="none"/>
              </w:rPr>
            </w:pPr>
          </w:p>
        </w:tc>
      </w:tr>
      <w:tr w14:paraId="13DE2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1E292">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75DF6">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6FE6F">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时效指标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76E23D">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各项文艺活动及时完成率</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C2616C">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A3FB1">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F6E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242F">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A3551">
            <w:pPr>
              <w:jc w:val="center"/>
              <w:rPr>
                <w:rFonts w:hint="eastAsia" w:ascii="微软雅黑" w:eastAsia="微软雅黑" w:cs="微软雅黑"/>
                <w:i/>
                <w:iCs/>
                <w:color w:val="000000"/>
                <w:sz w:val="16"/>
                <w:szCs w:val="16"/>
                <w:u w:val="none"/>
              </w:rPr>
            </w:pPr>
          </w:p>
        </w:tc>
      </w:tr>
      <w:tr w14:paraId="02DC4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3"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50474">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2C110">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55BB66">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258D6">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编辑出版《九鼎山》专刊</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EBBF78">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81CA6D">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7DCD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A528">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4E413">
            <w:pPr>
              <w:jc w:val="center"/>
              <w:rPr>
                <w:rFonts w:hint="eastAsia" w:ascii="微软雅黑" w:eastAsia="微软雅黑" w:cs="微软雅黑"/>
                <w:i/>
                <w:iCs/>
                <w:color w:val="000000"/>
                <w:sz w:val="16"/>
                <w:szCs w:val="16"/>
                <w:u w:val="none"/>
              </w:rPr>
            </w:pPr>
          </w:p>
        </w:tc>
      </w:tr>
      <w:tr w14:paraId="4DEB6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61F28">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D3312">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00B2DB">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质量指标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0FB644">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受益群众对文艺活动、专刊及创作等评价较高</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333024">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优</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0A116">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B5D3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45DF">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BFB0A">
            <w:pPr>
              <w:jc w:val="center"/>
              <w:rPr>
                <w:rFonts w:hint="eastAsia" w:ascii="微软雅黑" w:eastAsia="微软雅黑" w:cs="微软雅黑"/>
                <w:i/>
                <w:iCs/>
                <w:color w:val="000000"/>
                <w:sz w:val="16"/>
                <w:szCs w:val="16"/>
                <w:u w:val="none"/>
              </w:rPr>
            </w:pPr>
          </w:p>
        </w:tc>
      </w:tr>
      <w:tr w14:paraId="60578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D8381">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9AC05">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14512">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DF6F6">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举办文化进校园活动次数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24016B">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329D8">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0A04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9D45">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09A27">
            <w:pPr>
              <w:jc w:val="center"/>
              <w:rPr>
                <w:rFonts w:hint="eastAsia" w:ascii="微软雅黑" w:eastAsia="微软雅黑" w:cs="微软雅黑"/>
                <w:i/>
                <w:iCs/>
                <w:color w:val="000000"/>
                <w:sz w:val="16"/>
                <w:szCs w:val="16"/>
                <w:u w:val="none"/>
              </w:rPr>
            </w:pPr>
          </w:p>
        </w:tc>
      </w:tr>
      <w:tr w14:paraId="13B49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6C67E">
            <w:pPr>
              <w:jc w:val="center"/>
              <w:rPr>
                <w:rFonts w:asci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CEF48">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24BB2">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C8155">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全年发放文艺活动宣传手册数量</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F337D3">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≥400册</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85DF1A">
            <w:pPr>
              <w:jc w:val="center"/>
              <w:rPr>
                <w:rFonts w:ascii="宋体" w:eastAsia="宋体" w:cs="宋体"/>
                <w:i w:val="0"/>
                <w:iCs w:val="0"/>
                <w:color w:val="000000"/>
                <w:sz w:val="18"/>
                <w:szCs w:val="18"/>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9A532">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9B0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E7470">
            <w:pPr>
              <w:jc w:val="center"/>
              <w:rPr>
                <w:rFonts w:hint="eastAsia" w:ascii="宋体" w:eastAsia="宋体" w:cs="宋体"/>
                <w:i w:val="0"/>
                <w:iCs w:val="0"/>
                <w:color w:val="000000"/>
                <w:sz w:val="18"/>
                <w:szCs w:val="18"/>
                <w:u w:val="none"/>
              </w:rPr>
            </w:pPr>
          </w:p>
        </w:tc>
      </w:tr>
      <w:tr w14:paraId="0D9C4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EC17E">
            <w:pPr>
              <w:jc w:val="center"/>
              <w:rPr>
                <w:rFonts w:asci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729D7">
            <w:pPr>
              <w:keepNext w:val="0"/>
              <w:keepLines w:val="0"/>
              <w:widowControl/>
              <w:suppressLineNumbers w:val="0"/>
              <w:jc w:val="left"/>
              <w:textAlignment w:val="center"/>
              <w:rPr>
                <w:rFonts w:hint="eastAsia" w:asci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B5337">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0345F1">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实施文艺精品创作工程</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BB3EDA">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 xml:space="preserve">                                    ≥10篇（场）</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B11A5">
            <w:pPr>
              <w:jc w:val="cente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B82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0AB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431F6">
            <w:pPr>
              <w:jc w:val="center"/>
            </w:pPr>
          </w:p>
        </w:tc>
      </w:tr>
      <w:tr w14:paraId="1FA23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675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9CD630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8AAE2">
            <w:pPr>
              <w:keepNext w:val="0"/>
              <w:keepLines w:val="0"/>
              <w:widowControl/>
              <w:suppressLineNumbers w:val="0"/>
              <w:jc w:val="center"/>
              <w:textAlignment w:val="center"/>
              <w:rPr>
                <w:rFonts w:hint="eastAsia" w:asci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BA41">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80DCB"/>
        </w:tc>
      </w:tr>
      <w:tr w14:paraId="55329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DB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3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8453B4B">
            <w:pPr>
              <w:keepNext w:val="0"/>
              <w:keepLines w:val="0"/>
              <w:widowControl/>
              <w:suppressLineNumbers w:val="0"/>
              <w:jc w:val="left"/>
              <w:textAlignment w:val="center"/>
              <w:rPr>
                <w:rFonts w:hint="eastAsia" w:asci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项目严格按预算执行，资金使用规范、专款专用，无违规支出。项目按计划完成既定任务，达到预期产出与效果，有效保障单位日常运转与业务开展。管理流程完善，制度执行到位，成本控制合理，社会效益良好，群众满意度较高。总体绩效优良，实现预算绩效目标，建议继续支持并优化细节管理。</w:t>
            </w:r>
          </w:p>
        </w:tc>
      </w:tr>
      <w:tr w14:paraId="30315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424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D5B39F">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w:t>
            </w:r>
          </w:p>
        </w:tc>
        <w:tc>
          <w:tcPr>
            <w:tcW w:w="471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7119266">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w:t>
            </w:r>
          </w:p>
        </w:tc>
      </w:tr>
      <w:tr w14:paraId="572A7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757" w:type="dxa"/>
            <w:gridSpan w:val="2"/>
            <w:tcBorders>
              <w:top w:val="nil"/>
              <w:left w:val="nil"/>
              <w:bottom w:val="nil"/>
              <w:right w:val="nil"/>
            </w:tcBorders>
            <w:shd w:val="clear" w:color="auto" w:fill="auto"/>
            <w:vAlign w:val="center"/>
          </w:tcPr>
          <w:p w14:paraId="5E38EDAE">
            <w:pPr>
              <w:rPr>
                <w:rFonts w:hint="eastAsia" w:ascii="宋体" w:eastAsia="宋体" w:cs="宋体"/>
                <w:i w:val="0"/>
                <w:iCs w:val="0"/>
                <w:color w:val="000000"/>
                <w:sz w:val="18"/>
                <w:szCs w:val="18"/>
                <w:u w:val="none"/>
              </w:rPr>
            </w:pPr>
          </w:p>
        </w:tc>
        <w:tc>
          <w:tcPr>
            <w:tcW w:w="1367" w:type="dxa"/>
            <w:gridSpan w:val="2"/>
            <w:tcBorders>
              <w:top w:val="nil"/>
              <w:left w:val="nil"/>
              <w:bottom w:val="nil"/>
              <w:right w:val="nil"/>
            </w:tcBorders>
            <w:shd w:val="clear" w:color="auto" w:fill="auto"/>
            <w:vAlign w:val="center"/>
          </w:tcPr>
          <w:p w14:paraId="51B2711F">
            <w:pPr>
              <w:rPr>
                <w:rFonts w:hint="eastAsia" w:ascii="宋体" w:eastAsia="宋体" w:cs="宋体"/>
                <w:i w:val="0"/>
                <w:iCs w:val="0"/>
                <w:color w:val="000000"/>
                <w:sz w:val="18"/>
                <w:szCs w:val="18"/>
                <w:u w:val="none"/>
              </w:rPr>
            </w:pPr>
          </w:p>
        </w:tc>
        <w:tc>
          <w:tcPr>
            <w:tcW w:w="597" w:type="dxa"/>
            <w:tcBorders>
              <w:top w:val="nil"/>
              <w:left w:val="nil"/>
              <w:bottom w:val="nil"/>
              <w:right w:val="nil"/>
            </w:tcBorders>
            <w:shd w:val="clear" w:color="auto" w:fill="auto"/>
            <w:vAlign w:val="center"/>
          </w:tcPr>
          <w:p w14:paraId="46D52DFD">
            <w:pPr>
              <w:rPr>
                <w:rFonts w:hint="eastAsia" w:asci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vAlign w:val="center"/>
          </w:tcPr>
          <w:p w14:paraId="6147D3C6">
            <w:pPr>
              <w:rPr>
                <w:rFonts w:hint="eastAsia" w:ascii="宋体" w:eastAsia="宋体" w:cs="宋体"/>
                <w:i w:val="0"/>
                <w:iCs w:val="0"/>
                <w:color w:val="000000"/>
                <w:sz w:val="18"/>
                <w:szCs w:val="18"/>
                <w:u w:val="none"/>
              </w:rPr>
            </w:pPr>
          </w:p>
        </w:tc>
        <w:tc>
          <w:tcPr>
            <w:tcW w:w="446" w:type="dxa"/>
            <w:tcBorders>
              <w:top w:val="nil"/>
              <w:left w:val="nil"/>
              <w:bottom w:val="nil"/>
              <w:right w:val="nil"/>
            </w:tcBorders>
            <w:shd w:val="clear" w:color="auto" w:fill="auto"/>
            <w:vAlign w:val="center"/>
          </w:tcPr>
          <w:p w14:paraId="3E4D2367">
            <w:pPr>
              <w:rPr>
                <w:rFonts w:hint="eastAsia" w:ascii="宋体" w:eastAsia="宋体" w:cs="宋体"/>
                <w:i w:val="0"/>
                <w:iCs w:val="0"/>
                <w:color w:val="000000"/>
                <w:sz w:val="18"/>
                <w:szCs w:val="18"/>
                <w:u w:val="none"/>
              </w:rPr>
            </w:pPr>
          </w:p>
        </w:tc>
        <w:tc>
          <w:tcPr>
            <w:tcW w:w="760" w:type="dxa"/>
            <w:gridSpan w:val="3"/>
            <w:tcBorders>
              <w:top w:val="nil"/>
              <w:left w:val="nil"/>
              <w:bottom w:val="nil"/>
              <w:right w:val="nil"/>
            </w:tcBorders>
            <w:shd w:val="clear" w:color="auto" w:fill="auto"/>
            <w:vAlign w:val="center"/>
          </w:tcPr>
          <w:p w14:paraId="04C4C2DD">
            <w:pPr>
              <w:rPr>
                <w:rFonts w:hint="eastAsia" w:ascii="宋体" w:eastAsia="宋体" w:cs="宋体"/>
                <w:i w:val="0"/>
                <w:iCs w:val="0"/>
                <w:color w:val="000000"/>
                <w:sz w:val="18"/>
                <w:szCs w:val="18"/>
                <w:u w:val="none"/>
              </w:rPr>
            </w:pPr>
          </w:p>
        </w:tc>
        <w:tc>
          <w:tcPr>
            <w:tcW w:w="417" w:type="dxa"/>
            <w:tcBorders>
              <w:top w:val="nil"/>
              <w:left w:val="nil"/>
              <w:bottom w:val="nil"/>
              <w:right w:val="nil"/>
            </w:tcBorders>
            <w:shd w:val="clear" w:color="auto" w:fill="auto"/>
            <w:vAlign w:val="center"/>
          </w:tcPr>
          <w:p w14:paraId="69BA10F3">
            <w:pPr>
              <w:rPr>
                <w:rFonts w:hint="eastAsia" w:ascii="宋体" w:eastAsia="宋体" w:cs="宋体"/>
                <w:i w:val="0"/>
                <w:iCs w:val="0"/>
                <w:color w:val="000000"/>
                <w:sz w:val="18"/>
                <w:szCs w:val="18"/>
                <w:u w:val="none"/>
              </w:rPr>
            </w:pPr>
          </w:p>
        </w:tc>
        <w:tc>
          <w:tcPr>
            <w:tcW w:w="1150" w:type="dxa"/>
            <w:gridSpan w:val="3"/>
            <w:tcBorders>
              <w:top w:val="nil"/>
              <w:left w:val="nil"/>
              <w:bottom w:val="nil"/>
              <w:right w:val="nil"/>
            </w:tcBorders>
            <w:shd w:val="clear" w:color="auto" w:fill="auto"/>
            <w:vAlign w:val="center"/>
          </w:tcPr>
          <w:p w14:paraId="5B582117">
            <w:pPr>
              <w:rPr>
                <w:rFonts w:hint="eastAsia" w:ascii="宋体" w:eastAsia="宋体" w:cs="宋体"/>
                <w:i w:val="0"/>
                <w:iCs w:val="0"/>
                <w:color w:val="000000"/>
                <w:sz w:val="18"/>
                <w:szCs w:val="18"/>
                <w:u w:val="none"/>
              </w:rPr>
            </w:pPr>
          </w:p>
        </w:tc>
        <w:tc>
          <w:tcPr>
            <w:tcW w:w="417" w:type="dxa"/>
            <w:gridSpan w:val="2"/>
            <w:tcBorders>
              <w:top w:val="nil"/>
              <w:left w:val="nil"/>
              <w:bottom w:val="nil"/>
              <w:right w:val="nil"/>
            </w:tcBorders>
            <w:shd w:val="clear" w:color="auto" w:fill="auto"/>
            <w:vAlign w:val="center"/>
          </w:tcPr>
          <w:p w14:paraId="0391844E">
            <w:pPr>
              <w:rPr>
                <w:rFonts w:hint="eastAsia" w:ascii="宋体" w:eastAsia="宋体" w:cs="宋体"/>
                <w:i w:val="0"/>
                <w:iCs w:val="0"/>
                <w:color w:val="000000"/>
                <w:sz w:val="18"/>
                <w:szCs w:val="18"/>
                <w:u w:val="none"/>
              </w:rPr>
            </w:pPr>
          </w:p>
        </w:tc>
        <w:tc>
          <w:tcPr>
            <w:tcW w:w="733" w:type="dxa"/>
            <w:gridSpan w:val="3"/>
            <w:tcBorders>
              <w:top w:val="nil"/>
              <w:left w:val="nil"/>
              <w:bottom w:val="nil"/>
              <w:right w:val="nil"/>
            </w:tcBorders>
            <w:shd w:val="clear" w:color="auto" w:fill="auto"/>
            <w:vAlign w:val="center"/>
          </w:tcPr>
          <w:p w14:paraId="5A4DF915">
            <w:pPr>
              <w:rPr>
                <w:rFonts w:hint="eastAsia" w:ascii="宋体" w:eastAsia="宋体" w:cs="宋体"/>
                <w:i w:val="0"/>
                <w:iCs w:val="0"/>
                <w:color w:val="000000"/>
                <w:sz w:val="18"/>
                <w:szCs w:val="18"/>
                <w:u w:val="none"/>
              </w:rPr>
            </w:pPr>
          </w:p>
        </w:tc>
        <w:tc>
          <w:tcPr>
            <w:tcW w:w="1240" w:type="dxa"/>
            <w:tcBorders>
              <w:top w:val="nil"/>
              <w:left w:val="nil"/>
              <w:bottom w:val="nil"/>
              <w:right w:val="nil"/>
            </w:tcBorders>
            <w:shd w:val="clear" w:color="auto" w:fill="auto"/>
            <w:vAlign w:val="center"/>
          </w:tcPr>
          <w:p w14:paraId="0AE70E5E">
            <w:pPr>
              <w:rPr>
                <w:rFonts w:hint="eastAsia" w:ascii="宋体" w:eastAsia="宋体" w:cs="宋体"/>
                <w:i w:val="0"/>
                <w:iCs w:val="0"/>
                <w:color w:val="000000"/>
                <w:sz w:val="18"/>
                <w:szCs w:val="18"/>
                <w:u w:val="none"/>
              </w:rPr>
            </w:pPr>
          </w:p>
        </w:tc>
      </w:tr>
      <w:tr w14:paraId="71A3D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757" w:type="dxa"/>
            <w:gridSpan w:val="2"/>
            <w:tcBorders>
              <w:top w:val="nil"/>
              <w:left w:val="nil"/>
              <w:bottom w:val="nil"/>
              <w:right w:val="nil"/>
            </w:tcBorders>
            <w:shd w:val="clear" w:color="auto" w:fill="auto"/>
            <w:vAlign w:val="center"/>
          </w:tcPr>
          <w:p w14:paraId="248CF3F8">
            <w:pPr>
              <w:pStyle w:val="17"/>
              <w:ind w:left="0" w:leftChars="0" w:firstLine="0" w:firstLineChars="0"/>
              <w:rPr>
                <w:rFonts w:hint="eastAsia"/>
              </w:rPr>
            </w:pPr>
          </w:p>
        </w:tc>
        <w:tc>
          <w:tcPr>
            <w:tcW w:w="1367" w:type="dxa"/>
            <w:gridSpan w:val="2"/>
            <w:tcBorders>
              <w:top w:val="nil"/>
              <w:left w:val="nil"/>
              <w:bottom w:val="nil"/>
              <w:right w:val="nil"/>
            </w:tcBorders>
            <w:shd w:val="clear" w:color="auto" w:fill="auto"/>
            <w:vAlign w:val="center"/>
          </w:tcPr>
          <w:p w14:paraId="33EA3DFD">
            <w:pPr>
              <w:rPr>
                <w:rFonts w:hint="eastAsia" w:ascii="宋体" w:eastAsia="宋体" w:cs="宋体"/>
                <w:i w:val="0"/>
                <w:iCs w:val="0"/>
                <w:color w:val="000000"/>
                <w:sz w:val="18"/>
                <w:szCs w:val="18"/>
                <w:u w:val="none"/>
              </w:rPr>
            </w:pPr>
          </w:p>
          <w:p w14:paraId="4B7A7707">
            <w:pPr>
              <w:rPr>
                <w:rFonts w:hint="eastAsia"/>
              </w:rPr>
            </w:pPr>
          </w:p>
        </w:tc>
        <w:tc>
          <w:tcPr>
            <w:tcW w:w="597" w:type="dxa"/>
            <w:tcBorders>
              <w:top w:val="nil"/>
              <w:left w:val="nil"/>
              <w:bottom w:val="nil"/>
              <w:right w:val="nil"/>
            </w:tcBorders>
            <w:shd w:val="clear" w:color="auto" w:fill="auto"/>
            <w:vAlign w:val="center"/>
          </w:tcPr>
          <w:p w14:paraId="3D527A10">
            <w:pPr>
              <w:rPr>
                <w:rFonts w:hint="eastAsia" w:asci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vAlign w:val="center"/>
          </w:tcPr>
          <w:p w14:paraId="12A19F54">
            <w:pPr>
              <w:rPr>
                <w:rFonts w:hint="eastAsia" w:ascii="宋体" w:eastAsia="宋体" w:cs="宋体"/>
                <w:i w:val="0"/>
                <w:iCs w:val="0"/>
                <w:color w:val="000000"/>
                <w:sz w:val="18"/>
                <w:szCs w:val="18"/>
                <w:u w:val="none"/>
              </w:rPr>
            </w:pPr>
          </w:p>
        </w:tc>
        <w:tc>
          <w:tcPr>
            <w:tcW w:w="446" w:type="dxa"/>
            <w:tcBorders>
              <w:top w:val="nil"/>
              <w:left w:val="nil"/>
              <w:bottom w:val="nil"/>
              <w:right w:val="nil"/>
            </w:tcBorders>
            <w:shd w:val="clear" w:color="auto" w:fill="auto"/>
            <w:vAlign w:val="center"/>
          </w:tcPr>
          <w:p w14:paraId="10AD2693">
            <w:pPr>
              <w:rPr>
                <w:rFonts w:hint="eastAsia" w:ascii="宋体" w:eastAsia="宋体" w:cs="宋体"/>
                <w:i w:val="0"/>
                <w:iCs w:val="0"/>
                <w:color w:val="000000"/>
                <w:sz w:val="18"/>
                <w:szCs w:val="18"/>
                <w:u w:val="none"/>
              </w:rPr>
            </w:pPr>
          </w:p>
        </w:tc>
        <w:tc>
          <w:tcPr>
            <w:tcW w:w="760" w:type="dxa"/>
            <w:gridSpan w:val="3"/>
            <w:tcBorders>
              <w:top w:val="nil"/>
              <w:left w:val="nil"/>
              <w:bottom w:val="nil"/>
              <w:right w:val="nil"/>
            </w:tcBorders>
            <w:shd w:val="clear" w:color="auto" w:fill="auto"/>
            <w:vAlign w:val="center"/>
          </w:tcPr>
          <w:p w14:paraId="251363DA">
            <w:pPr>
              <w:rPr>
                <w:rFonts w:hint="eastAsia" w:ascii="宋体" w:eastAsia="宋体" w:cs="宋体"/>
                <w:i w:val="0"/>
                <w:iCs w:val="0"/>
                <w:color w:val="000000"/>
                <w:sz w:val="18"/>
                <w:szCs w:val="18"/>
                <w:u w:val="none"/>
              </w:rPr>
            </w:pPr>
          </w:p>
        </w:tc>
        <w:tc>
          <w:tcPr>
            <w:tcW w:w="417" w:type="dxa"/>
            <w:tcBorders>
              <w:top w:val="nil"/>
              <w:left w:val="nil"/>
              <w:bottom w:val="nil"/>
              <w:right w:val="nil"/>
            </w:tcBorders>
            <w:shd w:val="clear" w:color="auto" w:fill="auto"/>
            <w:vAlign w:val="center"/>
          </w:tcPr>
          <w:p w14:paraId="3325C49E">
            <w:pPr>
              <w:rPr>
                <w:rFonts w:hint="eastAsia" w:ascii="宋体" w:eastAsia="宋体" w:cs="宋体"/>
                <w:i w:val="0"/>
                <w:iCs w:val="0"/>
                <w:color w:val="000000"/>
                <w:sz w:val="18"/>
                <w:szCs w:val="18"/>
                <w:u w:val="none"/>
              </w:rPr>
            </w:pPr>
          </w:p>
        </w:tc>
        <w:tc>
          <w:tcPr>
            <w:tcW w:w="1150" w:type="dxa"/>
            <w:gridSpan w:val="3"/>
            <w:tcBorders>
              <w:top w:val="nil"/>
              <w:left w:val="nil"/>
              <w:bottom w:val="nil"/>
              <w:right w:val="nil"/>
            </w:tcBorders>
            <w:shd w:val="clear" w:color="auto" w:fill="auto"/>
            <w:vAlign w:val="center"/>
          </w:tcPr>
          <w:p w14:paraId="398EE8E2">
            <w:pPr>
              <w:rPr>
                <w:rFonts w:hint="eastAsia" w:ascii="宋体" w:eastAsia="宋体" w:cs="宋体"/>
                <w:i w:val="0"/>
                <w:iCs w:val="0"/>
                <w:color w:val="000000"/>
                <w:sz w:val="18"/>
                <w:szCs w:val="18"/>
                <w:u w:val="none"/>
              </w:rPr>
            </w:pPr>
          </w:p>
        </w:tc>
        <w:tc>
          <w:tcPr>
            <w:tcW w:w="417" w:type="dxa"/>
            <w:gridSpan w:val="2"/>
            <w:tcBorders>
              <w:top w:val="nil"/>
              <w:left w:val="nil"/>
              <w:bottom w:val="nil"/>
              <w:right w:val="nil"/>
            </w:tcBorders>
            <w:shd w:val="clear" w:color="auto" w:fill="auto"/>
            <w:vAlign w:val="center"/>
          </w:tcPr>
          <w:p w14:paraId="6BA19235">
            <w:pPr>
              <w:rPr>
                <w:rFonts w:hint="eastAsia" w:ascii="宋体" w:eastAsia="宋体" w:cs="宋体"/>
                <w:i w:val="0"/>
                <w:iCs w:val="0"/>
                <w:color w:val="000000"/>
                <w:sz w:val="18"/>
                <w:szCs w:val="18"/>
                <w:u w:val="none"/>
              </w:rPr>
            </w:pPr>
          </w:p>
        </w:tc>
        <w:tc>
          <w:tcPr>
            <w:tcW w:w="733" w:type="dxa"/>
            <w:gridSpan w:val="3"/>
            <w:tcBorders>
              <w:top w:val="nil"/>
              <w:left w:val="nil"/>
              <w:bottom w:val="nil"/>
              <w:right w:val="nil"/>
            </w:tcBorders>
            <w:shd w:val="clear" w:color="auto" w:fill="auto"/>
            <w:vAlign w:val="center"/>
          </w:tcPr>
          <w:p w14:paraId="0362A24F">
            <w:pPr>
              <w:rPr>
                <w:rFonts w:hint="eastAsia" w:ascii="宋体" w:eastAsia="宋体" w:cs="宋体"/>
                <w:i w:val="0"/>
                <w:iCs w:val="0"/>
                <w:color w:val="000000"/>
                <w:sz w:val="18"/>
                <w:szCs w:val="18"/>
                <w:u w:val="none"/>
              </w:rPr>
            </w:pPr>
          </w:p>
        </w:tc>
        <w:tc>
          <w:tcPr>
            <w:tcW w:w="1240" w:type="dxa"/>
            <w:tcBorders>
              <w:top w:val="nil"/>
              <w:left w:val="nil"/>
              <w:bottom w:val="nil"/>
              <w:right w:val="nil"/>
            </w:tcBorders>
            <w:shd w:val="clear" w:color="auto" w:fill="auto"/>
            <w:vAlign w:val="center"/>
          </w:tcPr>
          <w:p w14:paraId="1BEC959B">
            <w:pPr>
              <w:rPr>
                <w:rFonts w:hint="eastAsia" w:ascii="宋体" w:eastAsia="宋体" w:cs="宋体"/>
                <w:i w:val="0"/>
                <w:iCs w:val="0"/>
                <w:color w:val="000000"/>
                <w:sz w:val="18"/>
                <w:szCs w:val="18"/>
                <w:u w:val="none"/>
              </w:rPr>
            </w:pPr>
          </w:p>
        </w:tc>
      </w:tr>
      <w:tr w14:paraId="255C4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8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F398CC5">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01FE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84E68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57E6C18">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51322323T000009121754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公共文化服务体系建设资金</w:t>
            </w:r>
          </w:p>
        </w:tc>
      </w:tr>
      <w:tr w14:paraId="765CE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9AA0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0FD5C6B">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茂县文学艺术界联合会本级</w:t>
            </w:r>
          </w:p>
        </w:tc>
        <w:tc>
          <w:tcPr>
            <w:tcW w:w="697" w:type="dxa"/>
            <w:gridSpan w:val="2"/>
            <w:tcBorders>
              <w:top w:val="nil"/>
              <w:left w:val="nil"/>
              <w:bottom w:val="nil"/>
              <w:right w:val="nil"/>
            </w:tcBorders>
            <w:shd w:val="clear" w:color="auto" w:fill="auto"/>
            <w:vAlign w:val="center"/>
          </w:tcPr>
          <w:p w14:paraId="5534A5DC">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474B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w:t>
            </w:r>
          </w:p>
        </w:tc>
      </w:tr>
      <w:tr w14:paraId="14994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3FFD6">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AE1E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090A4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1DA4F17">
            <w:pPr>
              <w:keepNext w:val="0"/>
              <w:keepLines w:val="0"/>
              <w:widowControl/>
              <w:suppressLineNumbers w:val="0"/>
              <w:jc w:val="center"/>
              <w:textAlignment w:val="center"/>
              <w:rPr>
                <w:rFonts w:hint="eastAsia" w:asci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BE34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0CA21"/>
        </w:tc>
        <w:tc>
          <w:tcPr>
            <w:tcW w:w="12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35B89"/>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AF758D">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通过资金投入，完成不少于2次公共文化服务活动，普及文化艺术知识和文化艺术交流等活动，群众对公共文化服务的满意度达到85%，有效推动公共文化服务均等化、标准化建设。</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65BD028">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严格按照项目资金管理办法，资金实际支出</w:t>
            </w:r>
            <w:r>
              <w:rPr>
                <w:rFonts w:hint="eastAsia" w:ascii="宋体" w:cs="宋体"/>
                <w:i w:val="0"/>
                <w:iCs w:val="0"/>
                <w:color w:val="000000"/>
                <w:kern w:val="0"/>
                <w:sz w:val="18"/>
                <w:szCs w:val="18"/>
                <w:u w:val="none"/>
                <w:lang w:val="en-US" w:eastAsia="zh-CN"/>
              </w:rPr>
              <w:t>5</w:t>
            </w:r>
            <w:r>
              <w:rPr>
                <w:rFonts w:hint="eastAsia" w:ascii="宋体" w:eastAsia="宋体" w:cs="宋体"/>
                <w:i w:val="0"/>
                <w:iCs w:val="0"/>
                <w:color w:val="000000"/>
                <w:kern w:val="0"/>
                <w:sz w:val="18"/>
                <w:szCs w:val="18"/>
                <w:u w:val="none"/>
                <w:lang w:val="en-US" w:eastAsia="zh-CN"/>
              </w:rPr>
              <w:t>万元。资金支付依据合规合法，资金支付与预算相符。</w:t>
            </w:r>
          </w:p>
        </w:tc>
      </w:tr>
      <w:tr w14:paraId="21436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74200"/>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D2FB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5268DC0F">
            <w:pPr>
              <w:rPr>
                <w:rFonts w:hint="eastAsia" w:ascii="宋体" w:eastAsia="宋体" w:cs="宋体"/>
                <w:i w:val="0"/>
                <w:iCs w:val="0"/>
                <w:color w:val="000000"/>
                <w:sz w:val="18"/>
                <w:szCs w:val="18"/>
                <w:u w:val="none"/>
              </w:rPr>
            </w:pPr>
          </w:p>
        </w:tc>
      </w:tr>
      <w:tr w14:paraId="0B6A5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BDDF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AF23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D6AB4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4624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41318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A4FC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4DB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3D5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28FC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EB36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FBB2F">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90DE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C037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560D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558AF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B08A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FDBA9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131A">
            <w:pPr>
              <w:jc w:val="center"/>
              <w:rPr>
                <w:rFonts w:ascii="宋体" w:eastAsia="宋体" w:cs="宋体"/>
                <w:i w:val="0"/>
                <w:iCs w:val="0"/>
                <w:color w:val="000000"/>
                <w:sz w:val="18"/>
                <w:szCs w:val="18"/>
                <w:u w:val="none"/>
                <w:lang w:val="en-US" w:eastAsia="zh-CN"/>
              </w:rPr>
            </w:pPr>
          </w:p>
        </w:tc>
        <w:tc>
          <w:tcPr>
            <w:tcW w:w="15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9F111">
            <w:pPr>
              <w:keepNext w:val="0"/>
              <w:keepLines w:val="0"/>
              <w:widowControl/>
              <w:suppressLineNumbers w:val="0"/>
              <w:jc w:val="left"/>
              <w:textAlignment w:val="center"/>
              <w:rPr>
                <w:rFonts w:hint="eastAsia" w:asci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460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7E145">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2162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6B2C8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2DDE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65B0A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2AC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B05D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F82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FDDB4"/>
        </w:tc>
      </w:tr>
      <w:tr w14:paraId="0884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6F6DE">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FBDE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5808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D829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43A2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DDAA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F5C8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130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64490"/>
        </w:tc>
      </w:tr>
      <w:tr w14:paraId="3F5DD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8E5C6">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141C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4BC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1023C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5E845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CC93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A0B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EE6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19155"/>
        </w:tc>
      </w:tr>
      <w:tr w14:paraId="26FD7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FFEAE">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B894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E74EB">
            <w:pPr>
              <w:jc w:val="center"/>
              <w:rPr>
                <w:rFonts w:hint="eastAsia" w:ascii="微软雅黑" w:eastAsia="微软雅黑" w:cs="微软雅黑"/>
                <w:i/>
                <w:iCs/>
                <w:color w:val="000000"/>
                <w:sz w:val="16"/>
                <w:szCs w:val="16"/>
                <w:u w:val="none"/>
              </w:rPr>
            </w:pP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E6C8FE">
            <w:pPr>
              <w:jc w:val="center"/>
              <w:rPr>
                <w:rFonts w:hint="eastAsia" w:ascii="微软雅黑" w:eastAsia="微软雅黑" w:cs="微软雅黑"/>
                <w:i/>
                <w:iCs/>
                <w:color w:val="000000"/>
                <w:sz w:val="16"/>
                <w:szCs w:val="16"/>
                <w:u w:val="none"/>
              </w:rPr>
            </w:pP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F92BEA">
            <w:pPr>
              <w:jc w:val="center"/>
              <w:rPr>
                <w:rFonts w:hint="eastAsia" w:ascii="微软雅黑" w:eastAsia="微软雅黑" w:cs="微软雅黑"/>
                <w:i/>
                <w:iCs/>
                <w:color w:val="000000"/>
                <w:sz w:val="16"/>
                <w:szCs w:val="16"/>
                <w:u w:val="none"/>
              </w:rPr>
            </w:pP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39BBF">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C091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F39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2C00A"/>
        </w:tc>
      </w:tr>
      <w:tr w14:paraId="15FC7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2"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B2A3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C3E8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B4F2C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D6FA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0B4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C921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C8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3EEB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8928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A95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630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746E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ADCEC">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4927C">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6EFA7">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4669E6">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实施文化惠民活动。主办或协办“新春送福”文化惠民活动，组织书法家现场书写春联、福字免费送给群众</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FC8E85">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DDC9A">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DCB8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B8FF">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4C4CA">
            <w:pPr>
              <w:jc w:val="center"/>
              <w:rPr>
                <w:rFonts w:hint="eastAsia" w:ascii="微软雅黑" w:eastAsia="微软雅黑" w:cs="微软雅黑"/>
                <w:i/>
                <w:iCs/>
                <w:color w:val="000000"/>
                <w:sz w:val="16"/>
                <w:szCs w:val="16"/>
                <w:u w:val="none"/>
              </w:rPr>
            </w:pPr>
          </w:p>
        </w:tc>
      </w:tr>
      <w:tr w14:paraId="1F205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44BB4">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889E2">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效益指标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F3FFB">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96A3D">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举办的各类活动取得的社会影响</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7D411F">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较好</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7A2BF9">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4EAE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8EFC">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16D52">
            <w:pPr>
              <w:rPr>
                <w:rFonts w:hint="eastAsia" w:ascii="微软雅黑" w:eastAsia="微软雅黑" w:cs="微软雅黑"/>
                <w:i/>
                <w:iCs/>
                <w:color w:val="000000"/>
                <w:sz w:val="16"/>
                <w:szCs w:val="16"/>
                <w:u w:val="none"/>
              </w:rPr>
            </w:pPr>
          </w:p>
        </w:tc>
      </w:tr>
      <w:tr w14:paraId="42C48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42865">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E06E2">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491F3A">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时效指标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72ACB">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各项文艺活动及时完成率</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977E86">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71FBB">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ABF8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1881">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B7318">
            <w:pPr>
              <w:rPr>
                <w:rFonts w:hint="eastAsia" w:ascii="微软雅黑" w:eastAsia="微软雅黑" w:cs="微软雅黑"/>
                <w:i/>
                <w:iCs/>
                <w:color w:val="000000"/>
                <w:sz w:val="16"/>
                <w:szCs w:val="16"/>
                <w:u w:val="none"/>
              </w:rPr>
            </w:pPr>
          </w:p>
        </w:tc>
      </w:tr>
      <w:tr w14:paraId="44709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D1420">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448FA">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002B33">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2BFF11">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编辑出版《九鼎山》专刊</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0F4E9D">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F455D">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1B40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7608">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D2666">
            <w:pPr>
              <w:rPr>
                <w:rFonts w:hint="eastAsia" w:ascii="微软雅黑" w:eastAsia="微软雅黑" w:cs="微软雅黑"/>
                <w:i/>
                <w:iCs/>
                <w:color w:val="000000"/>
                <w:sz w:val="16"/>
                <w:szCs w:val="16"/>
                <w:u w:val="none"/>
              </w:rPr>
            </w:pPr>
          </w:p>
        </w:tc>
      </w:tr>
      <w:tr w14:paraId="3219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DEDC5">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F8607">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C17FE">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质量指标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56261">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受益群众对文艺活动、专刊及创作等评价较高</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3ECF32">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优</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8D85F">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9BF2C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0670">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68C86">
            <w:pPr>
              <w:rPr>
                <w:rFonts w:hint="eastAsia" w:ascii="微软雅黑" w:eastAsia="微软雅黑" w:cs="微软雅黑"/>
                <w:i/>
                <w:iCs/>
                <w:color w:val="000000"/>
                <w:sz w:val="16"/>
                <w:szCs w:val="16"/>
                <w:u w:val="none"/>
              </w:rPr>
            </w:pPr>
          </w:p>
        </w:tc>
      </w:tr>
      <w:tr w14:paraId="2201D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0092C">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7CE36">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C8960">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DD8A8C">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举办文化进校园活动次数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599AAC">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8EBA1">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E30E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72B89">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A2730">
            <w:pPr>
              <w:rPr>
                <w:rFonts w:hint="eastAsia" w:ascii="微软雅黑" w:eastAsia="微软雅黑" w:cs="微软雅黑"/>
                <w:i/>
                <w:iCs/>
                <w:color w:val="000000"/>
                <w:sz w:val="16"/>
                <w:szCs w:val="16"/>
                <w:u w:val="none"/>
              </w:rPr>
            </w:pPr>
          </w:p>
        </w:tc>
      </w:tr>
      <w:tr w14:paraId="1307D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F1E4F">
            <w:pPr>
              <w:jc w:val="center"/>
              <w:rPr>
                <w:rFonts w:asci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20D04">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097714">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7D66F9">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全年发放文艺活动宣传手册数量</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E7D7A0">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≥400册</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78CDB">
            <w:pPr>
              <w:jc w:val="center"/>
              <w:rPr>
                <w:rFonts w:ascii="宋体" w:eastAsia="宋体" w:cs="宋体"/>
                <w:i w:val="0"/>
                <w:iCs w:val="0"/>
                <w:color w:val="000000"/>
                <w:sz w:val="18"/>
                <w:szCs w:val="18"/>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FF0F8">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68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AC980">
            <w:pPr>
              <w:rPr>
                <w:rFonts w:hint="eastAsia" w:ascii="宋体" w:eastAsia="宋体" w:cs="宋体"/>
                <w:i w:val="0"/>
                <w:iCs w:val="0"/>
                <w:color w:val="000000"/>
                <w:sz w:val="18"/>
                <w:szCs w:val="18"/>
                <w:u w:val="none"/>
              </w:rPr>
            </w:pPr>
          </w:p>
        </w:tc>
      </w:tr>
      <w:tr w14:paraId="3E39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87B93">
            <w:pPr>
              <w:rPr>
                <w:rFonts w:asci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FE83A">
            <w:pPr>
              <w:keepNext w:val="0"/>
              <w:keepLines w:val="0"/>
              <w:widowControl/>
              <w:suppressLineNumbers w:val="0"/>
              <w:jc w:val="left"/>
              <w:textAlignment w:val="center"/>
              <w:rPr>
                <w:rFonts w:hint="eastAsia" w:asci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7084C">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65BE36">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实施文艺精品创作工程</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E26B8D">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 xml:space="preserve">                                    ≥10篇（场）</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2734C">
            <w:pPr>
              <w:jc w:val="cente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EDE3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F9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FA8A0"/>
        </w:tc>
      </w:tr>
      <w:tr w14:paraId="33F11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675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DC288F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B3375">
            <w:pPr>
              <w:keepNext w:val="0"/>
              <w:keepLines w:val="0"/>
              <w:widowControl/>
              <w:suppressLineNumbers w:val="0"/>
              <w:jc w:val="center"/>
              <w:textAlignment w:val="center"/>
              <w:rPr>
                <w:rFonts w:hint="eastAsia" w:asci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021C3">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38421"/>
        </w:tc>
      </w:tr>
      <w:tr w14:paraId="3F02A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52BB">
            <w:pPr>
              <w:keepNext w:val="0"/>
              <w:keepLines w:val="0"/>
              <w:widowControl/>
              <w:suppressLineNumbers w:val="0"/>
              <w:jc w:val="center"/>
              <w:textAlignment w:val="center"/>
              <w:rPr>
                <w:rFonts w:hint="eastAsia" w:ascii="宋体" w:eastAsia="宋体" w:cs="宋体"/>
                <w:i w:val="0"/>
                <w:iCs w:val="0"/>
                <w:color w:val="000000"/>
                <w:kern w:val="0"/>
                <w:sz w:val="18"/>
                <w:szCs w:val="18"/>
                <w:u w:val="none"/>
                <w:lang w:val="en-US" w:eastAsia="zh-CN"/>
              </w:rPr>
            </w:pPr>
            <w:r>
              <w:rPr>
                <w:rFonts w:ascii="宋体" w:hAnsi="宋体" w:eastAsia="宋体" w:cs="宋体"/>
                <w:i w:val="0"/>
                <w:iCs w:val="0"/>
                <w:color w:val="000000"/>
                <w:kern w:val="0"/>
                <w:sz w:val="18"/>
                <w:szCs w:val="18"/>
                <w:u w:val="none"/>
                <w:lang w:val="en-US" w:eastAsia="zh-CN" w:bidi="ar"/>
              </w:rPr>
              <w:t>评价结论</w:t>
            </w:r>
          </w:p>
        </w:tc>
        <w:tc>
          <w:tcPr>
            <w:tcW w:w="843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9A56983">
            <w:pPr>
              <w:keepNext w:val="0"/>
              <w:keepLines w:val="0"/>
              <w:widowControl/>
              <w:suppressLineNumbers w:val="0"/>
              <w:jc w:val="left"/>
              <w:textAlignment w:val="center"/>
              <w:rPr>
                <w:rFonts w:hint="eastAsia" w:ascii="宋体" w:eastAsia="宋体" w:cs="宋体"/>
                <w:i w:val="0"/>
                <w:iCs w:val="0"/>
                <w:color w:val="000000"/>
                <w:kern w:val="0"/>
                <w:sz w:val="18"/>
                <w:szCs w:val="18"/>
                <w:u w:val="none"/>
                <w:lang w:val="en-US" w:eastAsia="zh-CN"/>
              </w:rPr>
            </w:pPr>
            <w:r>
              <w:rPr>
                <w:rFonts w:hint="eastAsia" w:ascii="宋体" w:hAnsi="宋体" w:eastAsia="宋体" w:cs="宋体"/>
                <w:i w:val="0"/>
                <w:iCs w:val="0"/>
                <w:color w:val="000000"/>
                <w:kern w:val="0"/>
                <w:sz w:val="16"/>
                <w:szCs w:val="16"/>
                <w:u w:val="none"/>
                <w:lang w:val="en-US" w:eastAsia="zh-CN" w:bidi="ar"/>
              </w:rPr>
              <w:t>严格按预算执行，资金使用规范、专款专用，无违规支出。项目按计划完成既定任务，达到预期产出与效果，有效保障单位日常运转与业务开展。管理流程完善，制度执行到位，成本控制合理，社会效益良好，群众满意度较高。总体绩效优良，实现预算绩效目标，建议继续支持并优化细节管理。</w:t>
            </w:r>
          </w:p>
        </w:tc>
      </w:tr>
      <w:tr w14:paraId="4794D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424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15D3A9">
            <w:pPr>
              <w:keepNext w:val="0"/>
              <w:keepLines w:val="0"/>
              <w:widowControl/>
              <w:suppressLineNumbers w:val="0"/>
              <w:jc w:val="left"/>
              <w:textAlignment w:val="center"/>
              <w:rPr>
                <w:rFonts w:hint="default" w:ascii="黑体" w:hAnsi="Times New Roman" w:eastAsia="黑体" w:cs="黑体"/>
                <w:i w:val="0"/>
                <w:iCs w:val="0"/>
                <w:color w:val="000000"/>
                <w:kern w:val="2"/>
                <w:sz w:val="18"/>
                <w:szCs w:val="18"/>
                <w:u w:val="none"/>
                <w:lang w:val="en-US" w:eastAsia="zh-CN" w:bidi="ar-SA"/>
              </w:rPr>
            </w:pPr>
            <w:r>
              <w:rPr>
                <w:rFonts w:hint="eastAsia" w:ascii="黑体" w:eastAsia="黑体" w:cs="黑体"/>
                <w:i w:val="0"/>
                <w:iCs w:val="0"/>
                <w:color w:val="000000"/>
                <w:kern w:val="0"/>
                <w:sz w:val="18"/>
                <w:szCs w:val="18"/>
                <w:u w:val="none"/>
                <w:lang w:val="en-US" w:eastAsia="zh-CN"/>
              </w:rPr>
              <w:t>项目负责人：</w:t>
            </w:r>
          </w:p>
        </w:tc>
        <w:tc>
          <w:tcPr>
            <w:tcW w:w="471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81852BA">
            <w:pPr>
              <w:keepNext w:val="0"/>
              <w:keepLines w:val="0"/>
              <w:widowControl/>
              <w:suppressLineNumbers w:val="0"/>
              <w:jc w:val="left"/>
              <w:textAlignment w:val="center"/>
              <w:rPr>
                <w:rFonts w:hint="default" w:ascii="黑体" w:hAnsi="Times New Roman" w:eastAsia="黑体" w:cs="黑体"/>
                <w:i w:val="0"/>
                <w:iCs w:val="0"/>
                <w:color w:val="000000"/>
                <w:kern w:val="2"/>
                <w:sz w:val="18"/>
                <w:szCs w:val="18"/>
                <w:u w:val="none"/>
                <w:lang w:val="en-US" w:eastAsia="zh-CN" w:bidi="ar-SA"/>
              </w:rPr>
            </w:pPr>
            <w:r>
              <w:rPr>
                <w:rFonts w:hint="eastAsia" w:ascii="黑体" w:eastAsia="黑体" w:cs="黑体"/>
                <w:i w:val="0"/>
                <w:iCs w:val="0"/>
                <w:color w:val="000000"/>
                <w:kern w:val="0"/>
                <w:sz w:val="18"/>
                <w:szCs w:val="18"/>
                <w:u w:val="none"/>
                <w:lang w:val="en-US" w:eastAsia="zh-CN"/>
              </w:rPr>
              <w:t>财务负责人：</w:t>
            </w:r>
          </w:p>
        </w:tc>
      </w:tr>
      <w:tr w14:paraId="5DB3F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757" w:type="dxa"/>
            <w:gridSpan w:val="2"/>
            <w:tcBorders>
              <w:top w:val="nil"/>
              <w:left w:val="nil"/>
              <w:bottom w:val="nil"/>
              <w:right w:val="nil"/>
            </w:tcBorders>
            <w:shd w:val="clear" w:color="auto" w:fill="auto"/>
            <w:vAlign w:val="center"/>
          </w:tcPr>
          <w:p w14:paraId="0E1A0AFB">
            <w:pPr>
              <w:rPr>
                <w:rFonts w:hint="eastAsia"/>
              </w:rPr>
            </w:pPr>
          </w:p>
          <w:p w14:paraId="339A06AE">
            <w:pPr>
              <w:pStyle w:val="17"/>
              <w:rPr>
                <w:rFonts w:hint="eastAsia"/>
              </w:rPr>
            </w:pPr>
          </w:p>
          <w:p w14:paraId="131EDD17">
            <w:pPr>
              <w:pStyle w:val="17"/>
              <w:ind w:left="0" w:leftChars="0" w:firstLine="0" w:firstLineChars="0"/>
              <w:rPr>
                <w:rFonts w:hint="eastAsia"/>
              </w:rPr>
            </w:pPr>
          </w:p>
          <w:p w14:paraId="62308819">
            <w:pPr>
              <w:rPr>
                <w:rFonts w:hint="eastAsia"/>
              </w:rPr>
            </w:pPr>
          </w:p>
          <w:p w14:paraId="1A176EB1">
            <w:pPr>
              <w:pStyle w:val="2"/>
              <w:rPr>
                <w:rFonts w:hint="eastAsia"/>
              </w:rPr>
            </w:pPr>
          </w:p>
          <w:p w14:paraId="3EA96514">
            <w:pPr>
              <w:rPr>
                <w:rFonts w:hint="eastAsia"/>
              </w:rPr>
            </w:pPr>
          </w:p>
          <w:p w14:paraId="7ACBC932">
            <w:pPr>
              <w:pStyle w:val="2"/>
              <w:rPr>
                <w:rFonts w:hint="eastAsia"/>
              </w:rPr>
            </w:pPr>
          </w:p>
          <w:p w14:paraId="5184B483">
            <w:pPr>
              <w:rPr>
                <w:rFonts w:hint="eastAsia"/>
              </w:rPr>
            </w:pPr>
            <w:bookmarkStart w:id="131" w:name="_GoBack"/>
            <w:bookmarkEnd w:id="131"/>
          </w:p>
        </w:tc>
        <w:tc>
          <w:tcPr>
            <w:tcW w:w="1367" w:type="dxa"/>
            <w:gridSpan w:val="2"/>
            <w:tcBorders>
              <w:top w:val="nil"/>
              <w:left w:val="nil"/>
              <w:bottom w:val="nil"/>
              <w:right w:val="nil"/>
            </w:tcBorders>
            <w:shd w:val="clear" w:color="auto" w:fill="auto"/>
            <w:vAlign w:val="center"/>
          </w:tcPr>
          <w:p w14:paraId="4A51AF07">
            <w:pPr>
              <w:rPr>
                <w:rFonts w:hint="eastAsia"/>
              </w:rPr>
            </w:pPr>
          </w:p>
          <w:p w14:paraId="5F3CE2A1">
            <w:pPr>
              <w:pStyle w:val="17"/>
              <w:ind w:left="0" w:leftChars="0" w:firstLine="0" w:firstLineChars="0"/>
              <w:rPr>
                <w:rFonts w:hint="eastAsia"/>
              </w:rPr>
            </w:pPr>
          </w:p>
          <w:p w14:paraId="5B38FA14">
            <w:pPr>
              <w:rPr>
                <w:rFonts w:hint="eastAsia"/>
              </w:rPr>
            </w:pPr>
          </w:p>
          <w:p w14:paraId="3D247604">
            <w:pPr>
              <w:pStyle w:val="2"/>
              <w:rPr>
                <w:rFonts w:hint="eastAsia"/>
              </w:rPr>
            </w:pPr>
          </w:p>
          <w:p w14:paraId="3864A5F1">
            <w:pPr>
              <w:rPr>
                <w:rFonts w:hint="eastAsia"/>
              </w:rPr>
            </w:pPr>
          </w:p>
          <w:p w14:paraId="18F80263">
            <w:pPr>
              <w:rPr>
                <w:rFonts w:hint="eastAsia"/>
              </w:rPr>
            </w:pPr>
          </w:p>
        </w:tc>
        <w:tc>
          <w:tcPr>
            <w:tcW w:w="597" w:type="dxa"/>
            <w:tcBorders>
              <w:top w:val="nil"/>
              <w:left w:val="nil"/>
              <w:bottom w:val="nil"/>
              <w:right w:val="nil"/>
            </w:tcBorders>
            <w:shd w:val="clear" w:color="auto" w:fill="auto"/>
            <w:vAlign w:val="center"/>
          </w:tcPr>
          <w:p w14:paraId="74A3AFF5">
            <w:pPr>
              <w:rPr>
                <w:rFonts w:hint="eastAsia" w:asci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vAlign w:val="center"/>
          </w:tcPr>
          <w:p w14:paraId="652EA96C">
            <w:pPr>
              <w:rPr>
                <w:rFonts w:hint="eastAsia" w:ascii="宋体" w:eastAsia="宋体" w:cs="宋体"/>
                <w:i w:val="0"/>
                <w:iCs w:val="0"/>
                <w:color w:val="000000"/>
                <w:sz w:val="18"/>
                <w:szCs w:val="18"/>
                <w:u w:val="none"/>
              </w:rPr>
            </w:pPr>
          </w:p>
        </w:tc>
        <w:tc>
          <w:tcPr>
            <w:tcW w:w="446" w:type="dxa"/>
            <w:tcBorders>
              <w:top w:val="nil"/>
              <w:left w:val="nil"/>
              <w:bottom w:val="nil"/>
              <w:right w:val="nil"/>
            </w:tcBorders>
            <w:shd w:val="clear" w:color="auto" w:fill="auto"/>
            <w:vAlign w:val="center"/>
          </w:tcPr>
          <w:p w14:paraId="670F3750">
            <w:pPr>
              <w:rPr>
                <w:rFonts w:hint="eastAsia" w:ascii="宋体" w:eastAsia="宋体" w:cs="宋体"/>
                <w:i w:val="0"/>
                <w:iCs w:val="0"/>
                <w:color w:val="000000"/>
                <w:sz w:val="18"/>
                <w:szCs w:val="18"/>
                <w:u w:val="none"/>
              </w:rPr>
            </w:pPr>
          </w:p>
          <w:p w14:paraId="13475EA8">
            <w:pPr>
              <w:pStyle w:val="16"/>
              <w:rPr>
                <w:rFonts w:hint="eastAsia" w:ascii="宋体" w:eastAsia="宋体" w:cs="宋体"/>
                <w:i w:val="0"/>
                <w:iCs w:val="0"/>
                <w:color w:val="000000"/>
                <w:sz w:val="18"/>
                <w:szCs w:val="18"/>
                <w:u w:val="none"/>
              </w:rPr>
            </w:pPr>
          </w:p>
          <w:p w14:paraId="0B0EA2AC">
            <w:pPr>
              <w:pStyle w:val="10"/>
              <w:rPr>
                <w:rFonts w:hint="eastAsia" w:ascii="宋体" w:eastAsia="宋体" w:cs="宋体"/>
                <w:i w:val="0"/>
                <w:iCs w:val="0"/>
                <w:color w:val="000000"/>
                <w:sz w:val="18"/>
                <w:szCs w:val="18"/>
                <w:u w:val="none"/>
              </w:rPr>
            </w:pPr>
          </w:p>
          <w:p w14:paraId="3ABA882D">
            <w:pPr>
              <w:pStyle w:val="10"/>
              <w:rPr>
                <w:rFonts w:hint="eastAsia" w:ascii="宋体" w:eastAsia="宋体" w:cs="宋体"/>
                <w:i w:val="0"/>
                <w:iCs w:val="0"/>
                <w:color w:val="000000"/>
                <w:sz w:val="18"/>
                <w:szCs w:val="18"/>
                <w:u w:val="none"/>
              </w:rPr>
            </w:pPr>
          </w:p>
          <w:p w14:paraId="6FC970C5">
            <w:pPr>
              <w:pStyle w:val="10"/>
              <w:rPr>
                <w:rFonts w:hint="eastAsia" w:ascii="宋体" w:eastAsia="宋体" w:cs="宋体"/>
                <w:i w:val="0"/>
                <w:iCs w:val="0"/>
                <w:color w:val="000000"/>
                <w:sz w:val="18"/>
                <w:szCs w:val="18"/>
                <w:u w:val="none"/>
              </w:rPr>
            </w:pPr>
          </w:p>
          <w:p w14:paraId="4A14D8FE">
            <w:pPr>
              <w:pStyle w:val="10"/>
              <w:rPr>
                <w:rFonts w:hint="eastAsia" w:ascii="宋体" w:eastAsia="宋体" w:cs="宋体"/>
                <w:i w:val="0"/>
                <w:iCs w:val="0"/>
                <w:color w:val="000000"/>
                <w:sz w:val="18"/>
                <w:szCs w:val="18"/>
                <w:u w:val="none"/>
              </w:rPr>
            </w:pPr>
          </w:p>
          <w:p w14:paraId="571976E6">
            <w:pPr>
              <w:pStyle w:val="10"/>
              <w:ind w:left="0" w:leftChars="0" w:firstLine="0" w:firstLineChars="0"/>
              <w:rPr>
                <w:rFonts w:hint="eastAsia" w:ascii="宋体" w:eastAsia="宋体" w:cs="宋体"/>
                <w:i w:val="0"/>
                <w:iCs w:val="0"/>
                <w:color w:val="000000"/>
                <w:sz w:val="18"/>
                <w:szCs w:val="18"/>
                <w:u w:val="none"/>
              </w:rPr>
            </w:pPr>
          </w:p>
        </w:tc>
        <w:tc>
          <w:tcPr>
            <w:tcW w:w="760" w:type="dxa"/>
            <w:gridSpan w:val="3"/>
            <w:tcBorders>
              <w:top w:val="nil"/>
              <w:left w:val="nil"/>
              <w:bottom w:val="nil"/>
              <w:right w:val="nil"/>
            </w:tcBorders>
            <w:shd w:val="clear" w:color="auto" w:fill="auto"/>
            <w:vAlign w:val="center"/>
          </w:tcPr>
          <w:p w14:paraId="5817A160">
            <w:pPr>
              <w:rPr>
                <w:rFonts w:hint="eastAsia" w:ascii="宋体" w:eastAsia="宋体" w:cs="宋体"/>
                <w:i w:val="0"/>
                <w:iCs w:val="0"/>
                <w:color w:val="000000"/>
                <w:sz w:val="18"/>
                <w:szCs w:val="18"/>
                <w:u w:val="none"/>
              </w:rPr>
            </w:pPr>
          </w:p>
        </w:tc>
        <w:tc>
          <w:tcPr>
            <w:tcW w:w="417" w:type="dxa"/>
            <w:tcBorders>
              <w:top w:val="nil"/>
              <w:left w:val="nil"/>
              <w:bottom w:val="nil"/>
              <w:right w:val="nil"/>
            </w:tcBorders>
            <w:shd w:val="clear" w:color="auto" w:fill="auto"/>
            <w:vAlign w:val="center"/>
          </w:tcPr>
          <w:p w14:paraId="78E1FD98">
            <w:pPr>
              <w:rPr>
                <w:rFonts w:hint="eastAsia" w:ascii="宋体" w:eastAsia="宋体" w:cs="宋体"/>
                <w:i w:val="0"/>
                <w:iCs w:val="0"/>
                <w:color w:val="000000"/>
                <w:sz w:val="18"/>
                <w:szCs w:val="18"/>
                <w:u w:val="none"/>
              </w:rPr>
            </w:pPr>
          </w:p>
        </w:tc>
        <w:tc>
          <w:tcPr>
            <w:tcW w:w="1150" w:type="dxa"/>
            <w:gridSpan w:val="3"/>
            <w:tcBorders>
              <w:top w:val="nil"/>
              <w:left w:val="nil"/>
              <w:bottom w:val="nil"/>
              <w:right w:val="nil"/>
            </w:tcBorders>
            <w:shd w:val="clear" w:color="auto" w:fill="auto"/>
            <w:vAlign w:val="center"/>
          </w:tcPr>
          <w:p w14:paraId="2EBFC561">
            <w:pPr>
              <w:rPr>
                <w:rFonts w:hint="eastAsia" w:ascii="宋体" w:eastAsia="宋体" w:cs="宋体"/>
                <w:i w:val="0"/>
                <w:iCs w:val="0"/>
                <w:color w:val="000000"/>
                <w:sz w:val="18"/>
                <w:szCs w:val="18"/>
                <w:u w:val="none"/>
              </w:rPr>
            </w:pPr>
          </w:p>
        </w:tc>
        <w:tc>
          <w:tcPr>
            <w:tcW w:w="417" w:type="dxa"/>
            <w:gridSpan w:val="2"/>
            <w:tcBorders>
              <w:top w:val="nil"/>
              <w:left w:val="nil"/>
              <w:bottom w:val="nil"/>
              <w:right w:val="nil"/>
            </w:tcBorders>
            <w:shd w:val="clear" w:color="auto" w:fill="auto"/>
            <w:vAlign w:val="center"/>
          </w:tcPr>
          <w:p w14:paraId="3E83860B">
            <w:pPr>
              <w:rPr>
                <w:rFonts w:hint="eastAsia" w:ascii="宋体" w:eastAsia="宋体" w:cs="宋体"/>
                <w:i w:val="0"/>
                <w:iCs w:val="0"/>
                <w:color w:val="000000"/>
                <w:sz w:val="18"/>
                <w:szCs w:val="18"/>
                <w:u w:val="none"/>
              </w:rPr>
            </w:pPr>
          </w:p>
        </w:tc>
        <w:tc>
          <w:tcPr>
            <w:tcW w:w="733" w:type="dxa"/>
            <w:gridSpan w:val="3"/>
            <w:tcBorders>
              <w:top w:val="nil"/>
              <w:left w:val="nil"/>
              <w:bottom w:val="nil"/>
              <w:right w:val="nil"/>
            </w:tcBorders>
            <w:shd w:val="clear" w:color="auto" w:fill="auto"/>
            <w:vAlign w:val="center"/>
          </w:tcPr>
          <w:p w14:paraId="31058C0D">
            <w:pPr>
              <w:rPr>
                <w:rFonts w:hint="eastAsia" w:ascii="宋体" w:eastAsia="宋体" w:cs="宋体"/>
                <w:i w:val="0"/>
                <w:iCs w:val="0"/>
                <w:color w:val="000000"/>
                <w:sz w:val="18"/>
                <w:szCs w:val="18"/>
                <w:u w:val="none"/>
              </w:rPr>
            </w:pPr>
          </w:p>
        </w:tc>
        <w:tc>
          <w:tcPr>
            <w:tcW w:w="1240" w:type="dxa"/>
            <w:tcBorders>
              <w:top w:val="nil"/>
              <w:left w:val="nil"/>
              <w:bottom w:val="nil"/>
              <w:right w:val="nil"/>
            </w:tcBorders>
            <w:shd w:val="clear" w:color="auto" w:fill="auto"/>
            <w:vAlign w:val="center"/>
          </w:tcPr>
          <w:p w14:paraId="3C34308C">
            <w:pPr>
              <w:rPr>
                <w:rFonts w:hint="eastAsia" w:ascii="宋体" w:eastAsia="宋体" w:cs="宋体"/>
                <w:i w:val="0"/>
                <w:iCs w:val="0"/>
                <w:color w:val="000000"/>
                <w:sz w:val="18"/>
                <w:szCs w:val="18"/>
                <w:u w:val="none"/>
              </w:rPr>
            </w:pPr>
          </w:p>
        </w:tc>
      </w:tr>
      <w:tr w14:paraId="51A4D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3E6EF6AB">
            <w:pPr>
              <w:keepNext w:val="0"/>
              <w:keepLines w:val="0"/>
              <w:widowControl/>
              <w:suppressLineNumbers w:val="0"/>
              <w:jc w:val="center"/>
              <w:textAlignment w:val="center"/>
              <w:rPr>
                <w:rFonts w:hint="eastAsia" w:ascii="黑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E39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B94BD5">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D8ADD7C">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51322324T000011919474-九鼎山农文旅杂志印刷费</w:t>
            </w:r>
          </w:p>
        </w:tc>
      </w:tr>
      <w:tr w14:paraId="5834A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832A81">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950DEE">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茂县文学艺术界联合会本级</w:t>
            </w:r>
          </w:p>
        </w:tc>
        <w:tc>
          <w:tcPr>
            <w:tcW w:w="697" w:type="dxa"/>
            <w:gridSpan w:val="2"/>
            <w:tcBorders>
              <w:top w:val="nil"/>
              <w:left w:val="nil"/>
              <w:bottom w:val="nil"/>
              <w:right w:val="nil"/>
            </w:tcBorders>
            <w:shd w:val="clear" w:color="auto" w:fill="auto"/>
            <w:vAlign w:val="center"/>
          </w:tcPr>
          <w:p w14:paraId="248498B3">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67F16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w:t>
            </w:r>
          </w:p>
        </w:tc>
      </w:tr>
      <w:tr w14:paraId="3A8BD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73043">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66DF9">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9276D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412BEDD">
            <w:pPr>
              <w:keepNext w:val="0"/>
              <w:keepLines w:val="0"/>
              <w:widowControl/>
              <w:suppressLineNumbers w:val="0"/>
              <w:jc w:val="center"/>
              <w:textAlignment w:val="center"/>
              <w:rPr>
                <w:rFonts w:hint="eastAsia" w:asci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6FBB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B4B75"/>
        </w:tc>
        <w:tc>
          <w:tcPr>
            <w:tcW w:w="12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4BB43"/>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9846F4">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组织全县广大文艺工作者紧扣时代主题，围绕中心工作，深入挖掘红色文化和民族文化，积极创作出高质量的文艺精品，进一步提升《九鼎山》杂志影响力。</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228EC47">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宋体" w:eastAsia="宋体" w:cs="宋体"/>
                <w:i w:val="0"/>
                <w:iCs w:val="0"/>
                <w:color w:val="000000"/>
                <w:kern w:val="0"/>
                <w:sz w:val="18"/>
                <w:szCs w:val="18"/>
                <w:u w:val="none"/>
                <w:lang w:val="en-US" w:eastAsia="zh-CN"/>
              </w:rPr>
              <w:t>严格按照项目资金管理办法，资金实际支出</w:t>
            </w:r>
            <w:r>
              <w:rPr>
                <w:rFonts w:hint="eastAsia" w:ascii="宋体" w:cs="宋体"/>
                <w:i w:val="0"/>
                <w:iCs w:val="0"/>
                <w:color w:val="000000"/>
                <w:kern w:val="0"/>
                <w:sz w:val="18"/>
                <w:szCs w:val="18"/>
                <w:u w:val="none"/>
                <w:lang w:val="en-US" w:eastAsia="zh-CN"/>
              </w:rPr>
              <w:t>6.73</w:t>
            </w:r>
            <w:r>
              <w:rPr>
                <w:rFonts w:hint="eastAsia" w:ascii="宋体" w:eastAsia="宋体" w:cs="宋体"/>
                <w:i w:val="0"/>
                <w:iCs w:val="0"/>
                <w:color w:val="000000"/>
                <w:kern w:val="0"/>
                <w:sz w:val="18"/>
                <w:szCs w:val="18"/>
                <w:u w:val="none"/>
                <w:lang w:val="en-US" w:eastAsia="zh-CN"/>
              </w:rPr>
              <w:t>万元。资金支付依据合规合法，资金支付与预算相符。</w:t>
            </w:r>
          </w:p>
        </w:tc>
      </w:tr>
      <w:tr w14:paraId="3CB0E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63FB9"/>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19760">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9AE9605">
            <w:pPr>
              <w:rPr>
                <w:rFonts w:hint="eastAsia" w:ascii="宋体" w:eastAsia="宋体" w:cs="宋体"/>
                <w:i w:val="0"/>
                <w:iCs w:val="0"/>
                <w:color w:val="000000"/>
                <w:sz w:val="18"/>
                <w:szCs w:val="18"/>
                <w:u w:val="none"/>
              </w:rPr>
            </w:pPr>
          </w:p>
        </w:tc>
      </w:tr>
      <w:tr w14:paraId="32BCB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261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0D24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80C7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8DD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8CE78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BA8A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7A15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A33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DD67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5FF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8A4BC">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D72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B11B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9F5D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6.73</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4D7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6.73</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0A56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A2FB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BBB6">
            <w:pPr>
              <w:jc w:val="center"/>
              <w:rPr>
                <w:rFonts w:ascii="宋体" w:eastAsia="宋体" w:cs="宋体"/>
                <w:i w:val="0"/>
                <w:iCs w:val="0"/>
                <w:color w:val="000000"/>
                <w:sz w:val="18"/>
                <w:szCs w:val="18"/>
                <w:u w:val="none"/>
                <w:lang w:val="en-US" w:eastAsia="zh-CN"/>
              </w:rPr>
            </w:pPr>
          </w:p>
        </w:tc>
        <w:tc>
          <w:tcPr>
            <w:tcW w:w="15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4F8BA">
            <w:pPr>
              <w:keepNext w:val="0"/>
              <w:keepLines w:val="0"/>
              <w:widowControl/>
              <w:suppressLineNumbers w:val="0"/>
              <w:jc w:val="left"/>
              <w:textAlignment w:val="center"/>
              <w:rPr>
                <w:rFonts w:hint="eastAsia" w:asci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B086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0ED68">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0CB1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D1508">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0FD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6.73</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EEC2A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6.73</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3ED2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84B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1CC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8775F"/>
        </w:tc>
      </w:tr>
      <w:tr w14:paraId="72D18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8A658">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967A5">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4559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8BB0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0F5C7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F81A1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7F5E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520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08B88"/>
        </w:tc>
      </w:tr>
      <w:tr w14:paraId="5E063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EB3F5">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2550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E9D1C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7CF9F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79ED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B22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D2691">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1C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F2B18"/>
        </w:tc>
      </w:tr>
      <w:tr w14:paraId="11C77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81FA6">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83F2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DFF34">
            <w:pPr>
              <w:jc w:val="center"/>
              <w:rPr>
                <w:rFonts w:hint="eastAsia" w:ascii="微软雅黑" w:eastAsia="微软雅黑" w:cs="微软雅黑"/>
                <w:i/>
                <w:iCs/>
                <w:color w:val="000000"/>
                <w:sz w:val="16"/>
                <w:szCs w:val="16"/>
                <w:u w:val="none"/>
              </w:rPr>
            </w:pP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5BB9A">
            <w:pPr>
              <w:jc w:val="center"/>
              <w:rPr>
                <w:rFonts w:hint="eastAsia" w:ascii="微软雅黑" w:eastAsia="微软雅黑" w:cs="微软雅黑"/>
                <w:i/>
                <w:iCs/>
                <w:color w:val="000000"/>
                <w:sz w:val="16"/>
                <w:szCs w:val="16"/>
                <w:u w:val="none"/>
              </w:rPr>
            </w:pP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97575D">
            <w:pPr>
              <w:jc w:val="center"/>
              <w:rPr>
                <w:rFonts w:hint="eastAsia" w:ascii="微软雅黑" w:eastAsia="微软雅黑" w:cs="微软雅黑"/>
                <w:i/>
                <w:iCs/>
                <w:color w:val="000000"/>
                <w:sz w:val="16"/>
                <w:szCs w:val="16"/>
                <w:u w:val="none"/>
              </w:rPr>
            </w:pP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FD731">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EB90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6262">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C1E74"/>
        </w:tc>
      </w:tr>
      <w:tr w14:paraId="5328F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2"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E869B">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45D0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67D65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A51B8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BC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F9CBA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228F">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3C96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4D777">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F4B1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2883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AC3E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A81FD">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7D498">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4D4E65">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46969">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实施文化惠民活动。主办或协办“新春送福”文化惠民活动，组织书法家现场书写春联、福字免费送给群众</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31BCF4">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9565B">
            <w:pPr>
              <w:jc w:val="center"/>
              <w:rPr>
                <w:rFonts w:ascii="微软雅黑" w:eastAsia="微软雅黑" w:cs="微软雅黑"/>
                <w:i/>
                <w:iCs/>
                <w:color w:val="000000"/>
                <w:sz w:val="16"/>
                <w:szCs w:val="16"/>
                <w:u w:val="none"/>
                <w:lang w:val="en-US" w:eastAsia="zh-CN"/>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2236E">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B93D">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905E1">
            <w:pPr>
              <w:jc w:val="center"/>
              <w:rPr>
                <w:rFonts w:hint="eastAsia" w:ascii="微软雅黑" w:eastAsia="微软雅黑" w:cs="微软雅黑"/>
                <w:i/>
                <w:iCs/>
                <w:color w:val="000000"/>
                <w:sz w:val="16"/>
                <w:szCs w:val="16"/>
                <w:u w:val="none"/>
              </w:rPr>
            </w:pPr>
          </w:p>
        </w:tc>
      </w:tr>
      <w:tr w14:paraId="2A648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3"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B6EF1">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1867C">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效益指标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6E6484">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662E6">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举办的各类活动取得的社会影响</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41F822">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较好</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E9010">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6F663">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4B48">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256EA">
            <w:pPr>
              <w:jc w:val="center"/>
              <w:rPr>
                <w:rFonts w:hint="eastAsia" w:ascii="微软雅黑" w:eastAsia="微软雅黑" w:cs="微软雅黑"/>
                <w:i/>
                <w:iCs/>
                <w:color w:val="000000"/>
                <w:sz w:val="16"/>
                <w:szCs w:val="16"/>
                <w:u w:val="none"/>
              </w:rPr>
            </w:pPr>
          </w:p>
        </w:tc>
      </w:tr>
      <w:tr w14:paraId="74A1E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152E1">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99EAD">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BEBF5">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时效指标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911464">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各项文艺活动及时完成率</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6719BD">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42B8E">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DA729">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8A7B">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C32C4">
            <w:pPr>
              <w:jc w:val="center"/>
              <w:rPr>
                <w:rFonts w:hint="eastAsia" w:ascii="微软雅黑" w:eastAsia="微软雅黑" w:cs="微软雅黑"/>
                <w:i/>
                <w:iCs/>
                <w:color w:val="000000"/>
                <w:sz w:val="16"/>
                <w:szCs w:val="16"/>
                <w:u w:val="none"/>
              </w:rPr>
            </w:pPr>
          </w:p>
        </w:tc>
      </w:tr>
      <w:tr w14:paraId="4BFB9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5349B">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83840">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7BCA4">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EF4E1">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编辑出版《九鼎山》专刊</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5A7F53">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ACF95">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2AA1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8B33">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30A54">
            <w:pPr>
              <w:jc w:val="center"/>
              <w:rPr>
                <w:rFonts w:hint="eastAsia" w:ascii="微软雅黑" w:eastAsia="微软雅黑" w:cs="微软雅黑"/>
                <w:i/>
                <w:iCs/>
                <w:color w:val="000000"/>
                <w:sz w:val="16"/>
                <w:szCs w:val="16"/>
                <w:u w:val="none"/>
              </w:rPr>
            </w:pPr>
          </w:p>
        </w:tc>
      </w:tr>
      <w:tr w14:paraId="178D1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7"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50815">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9FBDF">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267B1">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质量指标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252F85">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受益群众对文艺活动、专刊及创作等评价较高</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9D1053">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优</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22DA0">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C8B34">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3EC5">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D18EE">
            <w:pPr>
              <w:jc w:val="center"/>
              <w:rPr>
                <w:rFonts w:hint="eastAsia" w:ascii="微软雅黑" w:eastAsia="微软雅黑" w:cs="微软雅黑"/>
                <w:i/>
                <w:iCs/>
                <w:color w:val="000000"/>
                <w:sz w:val="16"/>
                <w:szCs w:val="16"/>
                <w:u w:val="none"/>
              </w:rPr>
            </w:pPr>
          </w:p>
        </w:tc>
      </w:tr>
      <w:tr w14:paraId="07975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2"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3CB87">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890C1">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7C9E5">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B64D5">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举办文化进校园活动次数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7C0DB9">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2BAE4">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90536">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A96E">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FA2A7">
            <w:pPr>
              <w:jc w:val="center"/>
              <w:rPr>
                <w:rFonts w:hint="eastAsia" w:ascii="微软雅黑" w:eastAsia="微软雅黑" w:cs="微软雅黑"/>
                <w:i/>
                <w:iCs/>
                <w:color w:val="000000"/>
                <w:sz w:val="16"/>
                <w:szCs w:val="16"/>
                <w:u w:val="none"/>
              </w:rPr>
            </w:pPr>
          </w:p>
        </w:tc>
      </w:tr>
      <w:tr w14:paraId="22775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A9F6B">
            <w:pPr>
              <w:jc w:val="cente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FFDF1">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6F92E">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079DE3">
            <w:pPr>
              <w:keepNext w:val="0"/>
              <w:keepLines w:val="0"/>
              <w:widowControl/>
              <w:suppressLineNumbers w:val="0"/>
              <w:jc w:val="left"/>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全年发放文艺活动宣传手册数量</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8F8137">
            <w:pPr>
              <w:keepNext w:val="0"/>
              <w:keepLines w:val="0"/>
              <w:widowControl/>
              <w:suppressLineNumbers w:val="0"/>
              <w:jc w:val="center"/>
              <w:textAlignment w:val="center"/>
              <w:rPr>
                <w:rFonts w:asci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≥400册</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88B97">
            <w:pPr>
              <w:jc w:val="center"/>
              <w:rPr>
                <w:rFonts w:hint="eastAsia" w:asci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FDA8BD">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1B9E">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87768">
            <w:pPr>
              <w:jc w:val="center"/>
              <w:rPr>
                <w:rFonts w:hint="eastAsia" w:ascii="微软雅黑" w:eastAsia="微软雅黑" w:cs="微软雅黑"/>
                <w:i/>
                <w:iCs/>
                <w:color w:val="000000"/>
                <w:sz w:val="16"/>
                <w:szCs w:val="16"/>
                <w:u w:val="none"/>
              </w:rPr>
            </w:pPr>
          </w:p>
        </w:tc>
      </w:tr>
      <w:tr w14:paraId="2A5C6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7E30C">
            <w:pPr>
              <w:jc w:val="center"/>
              <w:rPr>
                <w:rFonts w:asci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7A9EE">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AC3FA">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2D3C36">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实施文艺精品创作工程</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B5EAE2">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 xml:space="preserve">                                    ≥10篇（场）</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87E78">
            <w:pPr>
              <w:jc w:val="center"/>
              <w:rPr>
                <w:rFonts w:ascii="宋体" w:eastAsia="宋体" w:cs="宋体"/>
                <w:i w:val="0"/>
                <w:iCs w:val="0"/>
                <w:color w:val="000000"/>
                <w:sz w:val="18"/>
                <w:szCs w:val="18"/>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BD220">
            <w:pPr>
              <w:keepNext w:val="0"/>
              <w:keepLines w:val="0"/>
              <w:widowControl/>
              <w:suppressLineNumbers w:val="0"/>
              <w:jc w:val="center"/>
              <w:textAlignment w:val="center"/>
              <w:rPr>
                <w:rFonts w:asci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708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731D4">
            <w:pPr>
              <w:jc w:val="center"/>
              <w:rPr>
                <w:rFonts w:hint="eastAsia" w:ascii="宋体" w:eastAsia="宋体" w:cs="宋体"/>
                <w:i w:val="0"/>
                <w:iCs w:val="0"/>
                <w:color w:val="000000"/>
                <w:sz w:val="18"/>
                <w:szCs w:val="18"/>
                <w:u w:val="none"/>
              </w:rPr>
            </w:pPr>
          </w:p>
        </w:tc>
      </w:tr>
      <w:tr w14:paraId="05C72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1" w:hRule="atLeast"/>
        </w:trPr>
        <w:tc>
          <w:tcPr>
            <w:tcW w:w="675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3213F6A">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5FFA1">
            <w:pPr>
              <w:keepNext w:val="0"/>
              <w:keepLines w:val="0"/>
              <w:widowControl/>
              <w:suppressLineNumbers w:val="0"/>
              <w:jc w:val="center"/>
              <w:textAlignment w:val="center"/>
              <w:rPr>
                <w:rFonts w:hint="eastAsia" w:asci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140E">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D9EFC"/>
        </w:tc>
      </w:tr>
      <w:tr w14:paraId="378BA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6390">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3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33992E0">
            <w:pPr>
              <w:keepNext w:val="0"/>
              <w:keepLines w:val="0"/>
              <w:widowControl/>
              <w:suppressLineNumbers w:val="0"/>
              <w:jc w:val="left"/>
              <w:textAlignment w:val="center"/>
              <w:rPr>
                <w:rFonts w:hint="eastAsia" w:asci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严格按预算执行，资金使用规范、专款专用，无违规支出。项目按计划完成既定任务，达到预期产出与效果，有效保障单位日常运转与业务开展。管理流程完善，制度执行到位，成本控制合理，社会效益良好，群众满意度较高。总体绩效优良，实现预算绩效目标，建议继续支持并优化细节管理。</w:t>
            </w:r>
          </w:p>
        </w:tc>
      </w:tr>
      <w:tr w14:paraId="2C6B6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9B8C">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3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108DCDF7">
            <w:pPr>
              <w:keepNext w:val="0"/>
              <w:keepLines w:val="0"/>
              <w:widowControl/>
              <w:suppressLineNumbers w:val="0"/>
              <w:jc w:val="left"/>
              <w:textAlignment w:val="center"/>
              <w:rPr>
                <w:rFonts w:hint="eastAsia" w:asci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35E6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424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AF7DBF">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w:t>
            </w:r>
          </w:p>
        </w:tc>
        <w:tc>
          <w:tcPr>
            <w:tcW w:w="471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362B60">
            <w:pPr>
              <w:keepNext w:val="0"/>
              <w:keepLines w:val="0"/>
              <w:widowControl/>
              <w:suppressLineNumbers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w:t>
            </w:r>
          </w:p>
        </w:tc>
      </w:tr>
    </w:tbl>
    <w:p w14:paraId="10D36231">
      <w:pPr>
        <w:pStyle w:val="3"/>
        <w:jc w:val="center"/>
        <w:rPr>
          <w:rFonts w:hint="eastAsia" w:ascii="思源黑体 CN Normal" w:hAnsi="思源黑体 CN Normal" w:eastAsia="思源黑体 CN Normal" w:cs="思源黑体 CN Normal"/>
        </w:rPr>
      </w:pPr>
      <w:bookmarkStart w:id="92" w:name="_Toc25657"/>
      <w:bookmarkStart w:id="93" w:name="_Toc9514"/>
      <w:r>
        <w:rPr>
          <w:rFonts w:hint="eastAsia" w:ascii="思源黑体 CN Normal" w:hAnsi="思源黑体 CN Normal" w:eastAsia="思源黑体 CN Normal" w:cs="思源黑体 CN Normal"/>
        </w:rPr>
        <w:t>第五部分 附表</w:t>
      </w:r>
      <w:bookmarkEnd w:id="92"/>
      <w:bookmarkEnd w:id="93"/>
    </w:p>
    <w:p w14:paraId="75109402">
      <w:pPr>
        <w:pStyle w:val="4"/>
        <w:ind w:firstLine="643" w:firstLineChars="200"/>
        <w:rPr>
          <w:rFonts w:hint="eastAsia" w:ascii="思源黑体 CN Normal" w:hAnsi="思源黑体 CN Normal" w:eastAsia="思源黑体 CN Normal" w:cs="思源黑体 CN Normal"/>
          <w:bCs w:val="0"/>
          <w:color w:val="000000"/>
        </w:rPr>
      </w:pPr>
      <w:bookmarkStart w:id="94" w:name="_Toc23067"/>
      <w:bookmarkStart w:id="95" w:name="_Toc30966"/>
      <w:r>
        <w:rPr>
          <w:rFonts w:hint="eastAsia" w:ascii="思源黑体 CN Normal" w:hAnsi="思源黑体 CN Normal" w:eastAsia="思源黑体 CN Normal" w:cs="思源黑体 CN Normal"/>
          <w:bCs w:val="0"/>
          <w:color w:val="000000"/>
        </w:rPr>
        <w:t>一、收入支出决算总表</w:t>
      </w:r>
      <w:bookmarkEnd w:id="94"/>
      <w:bookmarkEnd w:id="95"/>
    </w:p>
    <w:p w14:paraId="13248AF9">
      <w:pPr>
        <w:pStyle w:val="4"/>
        <w:ind w:firstLine="643" w:firstLineChars="200"/>
        <w:rPr>
          <w:rFonts w:hint="eastAsia" w:ascii="思源黑体 CN Normal" w:hAnsi="思源黑体 CN Normal" w:eastAsia="思源黑体 CN Normal" w:cs="思源黑体 CN Normal"/>
          <w:bCs w:val="0"/>
          <w:color w:val="000000"/>
        </w:rPr>
      </w:pPr>
      <w:bookmarkStart w:id="96" w:name="_Toc11825"/>
      <w:bookmarkStart w:id="97" w:name="_Toc24395"/>
      <w:bookmarkStart w:id="98" w:name="_Toc25389"/>
      <w:r>
        <w:rPr>
          <w:rFonts w:hint="eastAsia" w:ascii="思源黑体 CN Normal" w:hAnsi="思源黑体 CN Normal" w:eastAsia="思源黑体 CN Normal" w:cs="思源黑体 CN Normal"/>
          <w:bCs w:val="0"/>
          <w:color w:val="000000"/>
        </w:rPr>
        <w:t>二、收入决算表</w:t>
      </w:r>
      <w:bookmarkEnd w:id="96"/>
      <w:bookmarkEnd w:id="97"/>
      <w:bookmarkEnd w:id="98"/>
    </w:p>
    <w:p w14:paraId="11754E41">
      <w:pPr>
        <w:pStyle w:val="4"/>
        <w:ind w:firstLine="643" w:firstLineChars="200"/>
        <w:rPr>
          <w:rFonts w:hint="eastAsia" w:ascii="思源黑体 CN Normal" w:hAnsi="思源黑体 CN Normal" w:eastAsia="思源黑体 CN Normal" w:cs="思源黑体 CN Normal"/>
          <w:bCs w:val="0"/>
          <w:color w:val="000000"/>
        </w:rPr>
      </w:pPr>
      <w:bookmarkStart w:id="99" w:name="_Toc29611"/>
      <w:bookmarkStart w:id="100" w:name="_Toc24402"/>
      <w:bookmarkStart w:id="101" w:name="_Toc10450"/>
      <w:r>
        <w:rPr>
          <w:rFonts w:hint="eastAsia" w:ascii="思源黑体 CN Normal" w:hAnsi="思源黑体 CN Normal" w:eastAsia="思源黑体 CN Normal" w:cs="思源黑体 CN Normal"/>
          <w:bCs w:val="0"/>
          <w:color w:val="000000"/>
        </w:rPr>
        <w:t>三、支出决算表</w:t>
      </w:r>
      <w:bookmarkEnd w:id="99"/>
      <w:bookmarkEnd w:id="100"/>
      <w:bookmarkEnd w:id="101"/>
    </w:p>
    <w:p w14:paraId="4A197746">
      <w:pPr>
        <w:pStyle w:val="4"/>
        <w:ind w:firstLine="643" w:firstLineChars="200"/>
        <w:rPr>
          <w:rFonts w:hint="eastAsia" w:ascii="思源黑体 CN Normal" w:hAnsi="思源黑体 CN Normal" w:eastAsia="思源黑体 CN Normal" w:cs="思源黑体 CN Normal"/>
          <w:bCs w:val="0"/>
          <w:color w:val="000000"/>
        </w:rPr>
      </w:pPr>
      <w:bookmarkStart w:id="102" w:name="_Toc30011"/>
      <w:bookmarkStart w:id="103" w:name="_Toc32153"/>
      <w:r>
        <w:rPr>
          <w:rFonts w:hint="eastAsia" w:ascii="思源黑体 CN Normal" w:hAnsi="思源黑体 CN Normal" w:eastAsia="思源黑体 CN Normal" w:cs="思源黑体 CN Normal"/>
          <w:bCs w:val="0"/>
          <w:color w:val="000000"/>
        </w:rPr>
        <w:t>四、财政拨款收入支出决算总表</w:t>
      </w:r>
      <w:bookmarkEnd w:id="102"/>
      <w:bookmarkEnd w:id="103"/>
    </w:p>
    <w:p w14:paraId="4AE9B6B8">
      <w:pPr>
        <w:pStyle w:val="4"/>
        <w:ind w:firstLine="643" w:firstLineChars="200"/>
        <w:rPr>
          <w:rFonts w:hint="eastAsia" w:ascii="思源黑体 CN Normal" w:hAnsi="思源黑体 CN Normal" w:eastAsia="思源黑体 CN Normal" w:cs="思源黑体 CN Normal"/>
          <w:bCs w:val="0"/>
          <w:color w:val="000000"/>
        </w:rPr>
      </w:pPr>
      <w:bookmarkStart w:id="104" w:name="_Toc29959"/>
      <w:bookmarkStart w:id="105" w:name="_Toc17530"/>
      <w:bookmarkStart w:id="106" w:name="_Toc24932"/>
      <w:r>
        <w:rPr>
          <w:rFonts w:hint="eastAsia" w:ascii="思源黑体 CN Normal" w:hAnsi="思源黑体 CN Normal" w:eastAsia="思源黑体 CN Normal" w:cs="思源黑体 CN Normal"/>
          <w:bCs w:val="0"/>
          <w:color w:val="000000"/>
        </w:rPr>
        <w:t>五、财政拨款支出决算明细表</w:t>
      </w:r>
      <w:bookmarkEnd w:id="104"/>
      <w:bookmarkEnd w:id="105"/>
      <w:bookmarkEnd w:id="106"/>
    </w:p>
    <w:p w14:paraId="58497B35">
      <w:pPr>
        <w:pStyle w:val="4"/>
        <w:ind w:firstLine="643" w:firstLineChars="200"/>
        <w:rPr>
          <w:rFonts w:hint="eastAsia" w:ascii="思源黑体 CN Normal" w:hAnsi="思源黑体 CN Normal" w:eastAsia="思源黑体 CN Normal" w:cs="思源黑体 CN Normal"/>
          <w:bCs w:val="0"/>
          <w:color w:val="000000"/>
        </w:rPr>
      </w:pPr>
      <w:bookmarkStart w:id="107" w:name="_Toc14558"/>
      <w:bookmarkStart w:id="108" w:name="_Toc22032"/>
      <w:bookmarkStart w:id="109" w:name="_Toc27922"/>
      <w:r>
        <w:rPr>
          <w:rFonts w:hint="eastAsia" w:ascii="思源黑体 CN Normal" w:hAnsi="思源黑体 CN Normal" w:eastAsia="思源黑体 CN Normal" w:cs="思源黑体 CN Normal"/>
          <w:bCs w:val="0"/>
          <w:color w:val="000000"/>
        </w:rPr>
        <w:t>六、一般公共预算财政拨款支出决算表</w:t>
      </w:r>
      <w:bookmarkEnd w:id="107"/>
      <w:bookmarkEnd w:id="108"/>
      <w:bookmarkEnd w:id="109"/>
    </w:p>
    <w:p w14:paraId="32B85805">
      <w:pPr>
        <w:pStyle w:val="4"/>
        <w:ind w:firstLine="643" w:firstLineChars="200"/>
        <w:rPr>
          <w:rFonts w:hint="eastAsia" w:ascii="思源黑体 CN Normal" w:hAnsi="思源黑体 CN Normal" w:eastAsia="思源黑体 CN Normal" w:cs="思源黑体 CN Normal"/>
          <w:bCs w:val="0"/>
          <w:color w:val="000000"/>
        </w:rPr>
      </w:pPr>
      <w:bookmarkStart w:id="110" w:name="_Toc29079"/>
      <w:bookmarkStart w:id="111" w:name="_Toc3081"/>
      <w:bookmarkStart w:id="112" w:name="_Toc3364"/>
      <w:r>
        <w:rPr>
          <w:rFonts w:hint="eastAsia" w:ascii="思源黑体 CN Normal" w:hAnsi="思源黑体 CN Normal" w:eastAsia="思源黑体 CN Normal" w:cs="思源黑体 CN Normal"/>
          <w:bCs w:val="0"/>
          <w:color w:val="000000"/>
        </w:rPr>
        <w:t>七、一般公共预算财政拨款支出决算明细表</w:t>
      </w:r>
      <w:bookmarkEnd w:id="110"/>
      <w:bookmarkEnd w:id="111"/>
      <w:bookmarkEnd w:id="112"/>
    </w:p>
    <w:p w14:paraId="2448BCD1">
      <w:pPr>
        <w:pStyle w:val="4"/>
        <w:ind w:firstLine="643" w:firstLineChars="200"/>
        <w:rPr>
          <w:rFonts w:hint="eastAsia" w:ascii="思源黑体 CN Normal" w:hAnsi="思源黑体 CN Normal" w:eastAsia="思源黑体 CN Normal" w:cs="思源黑体 CN Normal"/>
          <w:bCs w:val="0"/>
          <w:color w:val="000000"/>
        </w:rPr>
      </w:pPr>
      <w:bookmarkStart w:id="113" w:name="_Toc4317"/>
      <w:bookmarkStart w:id="114" w:name="_Toc29587"/>
      <w:bookmarkStart w:id="115" w:name="_Toc9110"/>
      <w:r>
        <w:rPr>
          <w:rFonts w:hint="eastAsia" w:ascii="思源黑体 CN Normal" w:hAnsi="思源黑体 CN Normal" w:eastAsia="思源黑体 CN Normal" w:cs="思源黑体 CN Normal"/>
          <w:bCs w:val="0"/>
          <w:color w:val="000000"/>
        </w:rPr>
        <w:t>八、一般公共预算财政拨款基本支出决算表</w:t>
      </w:r>
      <w:bookmarkEnd w:id="113"/>
      <w:bookmarkEnd w:id="114"/>
      <w:bookmarkEnd w:id="115"/>
    </w:p>
    <w:p w14:paraId="07BC4481">
      <w:pPr>
        <w:pStyle w:val="4"/>
        <w:ind w:firstLine="643" w:firstLineChars="200"/>
        <w:rPr>
          <w:rFonts w:hint="eastAsia" w:ascii="思源黑体 CN Normal" w:hAnsi="思源黑体 CN Normal" w:eastAsia="思源黑体 CN Normal" w:cs="思源黑体 CN Normal"/>
          <w:bCs w:val="0"/>
          <w:color w:val="000000"/>
        </w:rPr>
      </w:pPr>
      <w:bookmarkStart w:id="116" w:name="_Toc5162"/>
      <w:bookmarkStart w:id="117" w:name="_Toc28582"/>
      <w:bookmarkStart w:id="118" w:name="_Toc4181"/>
      <w:r>
        <w:rPr>
          <w:rFonts w:hint="eastAsia" w:ascii="思源黑体 CN Normal" w:hAnsi="思源黑体 CN Normal" w:eastAsia="思源黑体 CN Normal" w:cs="思源黑体 CN Normal"/>
          <w:bCs w:val="0"/>
          <w:color w:val="000000"/>
        </w:rPr>
        <w:t>九、一般公共预算财政拨款项目支出决算表</w:t>
      </w:r>
      <w:bookmarkEnd w:id="116"/>
      <w:bookmarkEnd w:id="117"/>
      <w:bookmarkEnd w:id="118"/>
    </w:p>
    <w:p w14:paraId="3290EC55">
      <w:pPr>
        <w:pStyle w:val="4"/>
        <w:ind w:firstLine="643" w:firstLineChars="200"/>
        <w:rPr>
          <w:rFonts w:hint="eastAsia" w:ascii="思源黑体 CN Normal" w:hAnsi="思源黑体 CN Normal" w:eastAsia="思源黑体 CN Normal" w:cs="思源黑体 CN Normal"/>
          <w:bCs w:val="0"/>
          <w:color w:val="000000"/>
        </w:rPr>
      </w:pPr>
      <w:bookmarkStart w:id="119" w:name="_Toc28311"/>
      <w:bookmarkStart w:id="120" w:name="_Toc22001"/>
      <w:bookmarkStart w:id="121" w:name="_Toc7650"/>
      <w:r>
        <w:rPr>
          <w:rFonts w:hint="eastAsia" w:ascii="思源黑体 CN Normal" w:hAnsi="思源黑体 CN Normal" w:eastAsia="思源黑体 CN Normal" w:cs="思源黑体 CN Normal"/>
          <w:bCs w:val="0"/>
          <w:color w:val="000000"/>
        </w:rPr>
        <w:t>十、政府性基金预算财政拨款收入支出决算表</w:t>
      </w:r>
      <w:bookmarkEnd w:id="119"/>
      <w:bookmarkEnd w:id="120"/>
      <w:bookmarkEnd w:id="121"/>
    </w:p>
    <w:p w14:paraId="3926E99E">
      <w:pPr>
        <w:pStyle w:val="4"/>
        <w:ind w:firstLine="643" w:firstLineChars="200"/>
        <w:rPr>
          <w:rFonts w:hint="eastAsia" w:ascii="思源黑体 CN Normal" w:hAnsi="思源黑体 CN Normal" w:eastAsia="思源黑体 CN Normal" w:cs="思源黑体 CN Normal"/>
          <w:bCs w:val="0"/>
          <w:color w:val="000000"/>
        </w:rPr>
      </w:pPr>
      <w:bookmarkStart w:id="122" w:name="_Toc23361"/>
      <w:bookmarkStart w:id="123" w:name="_Toc6538"/>
      <w:bookmarkStart w:id="124" w:name="_Toc28657"/>
      <w:r>
        <w:rPr>
          <w:rFonts w:hint="eastAsia" w:ascii="思源黑体 CN Normal" w:hAnsi="思源黑体 CN Normal" w:eastAsia="思源黑体 CN Normal" w:cs="思源黑体 CN Normal"/>
          <w:bCs w:val="0"/>
          <w:color w:val="000000"/>
        </w:rPr>
        <w:t>十一、国有资本经营预算财政拨款收入支出决算表</w:t>
      </w:r>
      <w:bookmarkEnd w:id="122"/>
      <w:bookmarkEnd w:id="123"/>
      <w:bookmarkEnd w:id="124"/>
    </w:p>
    <w:p w14:paraId="1B9B1102">
      <w:pPr>
        <w:pStyle w:val="4"/>
        <w:ind w:firstLine="643" w:firstLineChars="200"/>
        <w:rPr>
          <w:rFonts w:hint="eastAsia" w:ascii="思源黑体 CN Normal" w:hAnsi="思源黑体 CN Normal" w:eastAsia="思源黑体 CN Normal" w:cs="思源黑体 CN Normal"/>
          <w:bCs w:val="0"/>
          <w:color w:val="000000"/>
        </w:rPr>
      </w:pPr>
      <w:bookmarkStart w:id="125" w:name="_Toc26274"/>
      <w:bookmarkStart w:id="126" w:name="_Toc22294"/>
      <w:bookmarkStart w:id="127" w:name="_Toc10625"/>
      <w:r>
        <w:rPr>
          <w:rFonts w:hint="eastAsia" w:ascii="思源黑体 CN Normal" w:hAnsi="思源黑体 CN Normal" w:eastAsia="思源黑体 CN Normal" w:cs="思源黑体 CN Normal"/>
          <w:bCs w:val="0"/>
          <w:color w:val="000000"/>
        </w:rPr>
        <w:t>十二、国有资本经营预算财政拨款支出决算表</w:t>
      </w:r>
      <w:bookmarkEnd w:id="125"/>
      <w:bookmarkEnd w:id="126"/>
      <w:bookmarkEnd w:id="127"/>
    </w:p>
    <w:p w14:paraId="01119565">
      <w:pPr>
        <w:pStyle w:val="4"/>
        <w:ind w:firstLine="643" w:firstLineChars="200"/>
        <w:rPr>
          <w:rFonts w:hint="eastAsia" w:ascii="思源黑体 CN Normal" w:hAnsi="思源黑体 CN Normal" w:eastAsia="思源黑体 CN Normal" w:cs="思源黑体 CN Normal"/>
          <w:b w:val="0"/>
          <w:color w:val="000000"/>
        </w:rPr>
      </w:pPr>
      <w:bookmarkStart w:id="128" w:name="_Toc16588"/>
      <w:bookmarkStart w:id="129" w:name="_Toc24927"/>
      <w:bookmarkStart w:id="130" w:name="_Toc28356"/>
      <w:r>
        <w:rPr>
          <w:rFonts w:hint="eastAsia" w:ascii="思源黑体 CN Normal" w:hAnsi="思源黑体 CN Normal" w:eastAsia="思源黑体 CN Normal" w:cs="思源黑体 CN Normal"/>
          <w:bCs w:val="0"/>
          <w:color w:val="000000"/>
        </w:rPr>
        <w:t>十三、财政拨款“三公”经费支出决算表</w:t>
      </w:r>
      <w:bookmarkEnd w:id="128"/>
      <w:bookmarkEnd w:id="129"/>
      <w:bookmarkEnd w:id="130"/>
    </w:p>
    <w:p w14:paraId="71E2342B">
      <w:pPr>
        <w:pStyle w:val="4"/>
        <w:ind w:firstLine="640" w:firstLineChars="200"/>
        <w:rPr>
          <w:rFonts w:hint="eastAsia" w:ascii="仿宋_GB2312" w:eastAsia="仿宋_GB2312" w:cs="仿宋_GB2312"/>
          <w:b w:val="0"/>
          <w:bCs/>
          <w:color w:val="000000"/>
        </w:rPr>
      </w:pPr>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思源黑体 CN Normal">
    <w:altName w:val="方正黑体_GBK"/>
    <w:panose1 w:val="020B0400000000000000"/>
    <w:charset w:val="86"/>
    <w:family w:val="auto"/>
    <w:pitch w:val="default"/>
    <w:sig w:usb0="00000000" w:usb1="00000000" w:usb2="00000016" w:usb3="00000000" w:csb0="60060107" w:csb1="00000000"/>
  </w:font>
  <w:font w:name="方正黑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3982512"/>
    </w:sdtPr>
    <w:sdtContent>
      <w:p w14:paraId="111651F9">
        <w:pPr>
          <w:pStyle w:val="13"/>
          <w:jc w:val="center"/>
        </w:pPr>
        <w:r>
          <w:fldChar w:fldCharType="begin"/>
        </w:r>
        <w:r>
          <w:instrText xml:space="preserve">PAGE   \* MERGEFORMAT</w:instrText>
        </w:r>
        <w:r>
          <w:fldChar w:fldCharType="separate"/>
        </w:r>
        <w:r>
          <w:rPr>
            <w:lang w:val="zh-CN"/>
          </w:rPr>
          <w:t>4</w:t>
        </w:r>
        <w:r>
          <w:fldChar w:fldCharType="end"/>
        </w:r>
      </w:p>
    </w:sdtContent>
  </w:sdt>
  <w:p w14:paraId="71D1F3B3">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B2FC9">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
  <w:docVars>
    <w:docVar w:name="commondata" w:val="eyJoZGlkIjoiZDAzNjk0YjczNGYyYmM2YzZlMDdkNWQ4MTg0ZTE4ZTYifQ=="/>
  </w:docVars>
  <w:rsids>
    <w:rsidRoot w:val="00000000"/>
    <w:rsid w:val="05150867"/>
    <w:rsid w:val="06D27298"/>
    <w:rsid w:val="0E5160A6"/>
    <w:rsid w:val="0FAA3128"/>
    <w:rsid w:val="249B37C8"/>
    <w:rsid w:val="2BDF6B05"/>
    <w:rsid w:val="2F250756"/>
    <w:rsid w:val="326E52D0"/>
    <w:rsid w:val="32B57100"/>
    <w:rsid w:val="36725AD4"/>
    <w:rsid w:val="37A52A12"/>
    <w:rsid w:val="39B43A9D"/>
    <w:rsid w:val="3C332610"/>
    <w:rsid w:val="3CEB003A"/>
    <w:rsid w:val="3D0F48FB"/>
    <w:rsid w:val="3D6C58AA"/>
    <w:rsid w:val="40F56401"/>
    <w:rsid w:val="427330CB"/>
    <w:rsid w:val="435117C9"/>
    <w:rsid w:val="460C7C2A"/>
    <w:rsid w:val="47217705"/>
    <w:rsid w:val="489F2FD7"/>
    <w:rsid w:val="4F381A8F"/>
    <w:rsid w:val="4F96162B"/>
    <w:rsid w:val="5164382C"/>
    <w:rsid w:val="54973E05"/>
    <w:rsid w:val="552A741F"/>
    <w:rsid w:val="559B3DBD"/>
    <w:rsid w:val="58AF4EF4"/>
    <w:rsid w:val="594A2AEB"/>
    <w:rsid w:val="5A221372"/>
    <w:rsid w:val="5E781EA8"/>
    <w:rsid w:val="5E9F343F"/>
    <w:rsid w:val="5F971E53"/>
    <w:rsid w:val="639F14BC"/>
    <w:rsid w:val="651B358E"/>
    <w:rsid w:val="65F91B21"/>
    <w:rsid w:val="670F0ED0"/>
    <w:rsid w:val="6CCF5389"/>
    <w:rsid w:val="6D57537F"/>
    <w:rsid w:val="6D7BA8B5"/>
    <w:rsid w:val="70AC30F7"/>
    <w:rsid w:val="712B2DAA"/>
    <w:rsid w:val="73C50E90"/>
    <w:rsid w:val="754C45CA"/>
    <w:rsid w:val="796F6B5A"/>
    <w:rsid w:val="7C977546"/>
    <w:rsid w:val="B4FB8C98"/>
    <w:rsid w:val="EDDF955E"/>
    <w:rsid w:val="FCFFAE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2">
    <w:name w:val="Default Paragraph Font"/>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Normal Indent"/>
    <w:basedOn w:val="1"/>
    <w:qFormat/>
    <w:uiPriority w:val="0"/>
    <w:pPr>
      <w:ind w:firstLine="680"/>
    </w:pPr>
  </w:style>
  <w:style w:type="paragraph" w:styleId="7">
    <w:name w:val="annotation text"/>
    <w:basedOn w:val="1"/>
    <w:qFormat/>
    <w:uiPriority w:val="0"/>
    <w:pPr>
      <w:jc w:val="left"/>
    </w:pPr>
  </w:style>
  <w:style w:type="paragraph" w:styleId="8">
    <w:name w:val="Body Text"/>
    <w:basedOn w:val="1"/>
    <w:qFormat/>
    <w:uiPriority w:val="0"/>
    <w:pPr>
      <w:spacing w:before="30" w:beforeLines="30"/>
    </w:pPr>
    <w:rPr>
      <w:rFonts w:ascii="仿宋_GB2312" w:eastAsia="仿宋_GB2312"/>
      <w:kern w:val="0"/>
      <w:sz w:val="30"/>
    </w:rPr>
  </w:style>
  <w:style w:type="paragraph" w:styleId="9">
    <w:name w:val="Body Text Indent"/>
    <w:basedOn w:val="1"/>
    <w:next w:val="10"/>
    <w:qFormat/>
    <w:uiPriority w:val="0"/>
    <w:pPr>
      <w:spacing w:after="120"/>
      <w:ind w:left="200" w:leftChars="200"/>
    </w:pPr>
    <w:rPr>
      <w:rFonts w:ascii="仿宋_GB2312" w:hAnsi="仿宋_GB2312"/>
      <w:szCs w:val="32"/>
    </w:rPr>
  </w:style>
  <w:style w:type="paragraph" w:styleId="10">
    <w:name w:val="Body Text First Indent 2"/>
    <w:basedOn w:val="9"/>
    <w:qFormat/>
    <w:uiPriority w:val="0"/>
    <w:pPr>
      <w:ind w:firstLine="200" w:firstLineChars="200"/>
    </w:pPr>
  </w:style>
  <w:style w:type="paragraph" w:styleId="11">
    <w:name w:val="toc 3"/>
    <w:basedOn w:val="1"/>
    <w:next w:val="1"/>
    <w:qFormat/>
    <w:uiPriority w:val="0"/>
    <w:pPr>
      <w:tabs>
        <w:tab w:val="right" w:leader="dot" w:pos="8296"/>
      </w:tabs>
      <w:ind w:left="400" w:leftChars="400"/>
    </w:pPr>
  </w:style>
  <w:style w:type="paragraph" w:styleId="12">
    <w:name w:val="Balloon Text"/>
    <w:basedOn w:val="1"/>
    <w:qFormat/>
    <w:uiPriority w:val="0"/>
    <w:rPr>
      <w:sz w:val="18"/>
      <w:szCs w:val="18"/>
    </w:rPr>
  </w:style>
  <w:style w:type="paragraph" w:styleId="13">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qFormat/>
    <w:uiPriority w:val="0"/>
    <w:pPr>
      <w:tabs>
        <w:tab w:val="right" w:leader="dot" w:pos="8296"/>
      </w:tabs>
      <w:spacing w:before="93"/>
      <w:jc w:val="center"/>
    </w:pPr>
    <w:rPr>
      <w:rFonts w:ascii="仿宋" w:eastAsia="仿宋"/>
      <w:sz w:val="28"/>
      <w:szCs w:val="28"/>
    </w:rPr>
  </w:style>
  <w:style w:type="paragraph" w:styleId="16">
    <w:name w:val="footnote text"/>
    <w:basedOn w:val="1"/>
    <w:next w:val="10"/>
    <w:qFormat/>
    <w:uiPriority w:val="0"/>
    <w:pPr>
      <w:snapToGrid w:val="0"/>
      <w:jc w:val="left"/>
    </w:pPr>
    <w:rPr>
      <w:sz w:val="18"/>
      <w:szCs w:val="18"/>
    </w:rPr>
  </w:style>
  <w:style w:type="paragraph" w:styleId="17">
    <w:name w:val="table of figures"/>
    <w:basedOn w:val="1"/>
    <w:next w:val="1"/>
    <w:qFormat/>
    <w:uiPriority w:val="0"/>
    <w:pPr>
      <w:ind w:left="400" w:leftChars="200" w:hanging="200" w:hangingChars="200"/>
    </w:pPr>
  </w:style>
  <w:style w:type="paragraph" w:styleId="18">
    <w:name w:val="toc 2"/>
    <w:basedOn w:val="1"/>
    <w:next w:val="1"/>
    <w:qFormat/>
    <w:uiPriority w:val="0"/>
    <w:pPr>
      <w:tabs>
        <w:tab w:val="right" w:leader="dot" w:pos="8296"/>
      </w:tabs>
      <w:ind w:left="200" w:leftChars="200"/>
    </w:pPr>
  </w:style>
  <w:style w:type="paragraph" w:styleId="1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20">
    <w:name w:val="Normal (Web)"/>
    <w:next w:val="13"/>
    <w:qFormat/>
    <w:uiPriority w:val="0"/>
    <w:pPr>
      <w:widowControl/>
      <w:spacing w:beforeAutospacing="1" w:afterAutospacing="1"/>
      <w:ind w:firstLine="360"/>
      <w:jc w:val="left"/>
    </w:pPr>
    <w:rPr>
      <w:rFonts w:ascii="Calibri" w:hAnsi="Calibri" w:eastAsia="宋体" w:cs="Times New Roman"/>
      <w:kern w:val="0"/>
      <w:sz w:val="24"/>
      <w:szCs w:val="22"/>
      <w:lang w:val="en-US" w:eastAsia="zh-CN" w:bidi="ar-SA"/>
    </w:rPr>
  </w:style>
  <w:style w:type="character" w:styleId="23">
    <w:name w:val="Strong"/>
    <w:basedOn w:val="22"/>
    <w:qFormat/>
    <w:uiPriority w:val="0"/>
    <w:rPr>
      <w:b/>
    </w:rPr>
  </w:style>
  <w:style w:type="character" w:styleId="24">
    <w:name w:val="Hyperlink"/>
    <w:basedOn w:val="22"/>
    <w:qFormat/>
    <w:uiPriority w:val="0"/>
    <w:rPr>
      <w:color w:val="0000FF"/>
      <w:u w:val="single"/>
    </w:rPr>
  </w:style>
  <w:style w:type="character" w:styleId="25">
    <w:name w:val="annotation reference"/>
    <w:basedOn w:val="22"/>
    <w:qFormat/>
    <w:uiPriority w:val="0"/>
    <w:rPr>
      <w:sz w:val="21"/>
      <w:szCs w:val="21"/>
    </w:rPr>
  </w:style>
  <w:style w:type="character" w:customStyle="1" w:styleId="26">
    <w:name w:val="heading 1 Char"/>
    <w:basedOn w:val="22"/>
    <w:link w:val="3"/>
    <w:qFormat/>
    <w:uiPriority w:val="0"/>
    <w:rPr>
      <w:rFonts w:ascii="Times New Roman" w:hAnsi="Times New Roman" w:eastAsia="宋体" w:cs="Times New Roman"/>
      <w:b/>
      <w:bCs/>
      <w:kern w:val="44"/>
      <w:sz w:val="44"/>
      <w:szCs w:val="44"/>
      <w:lang w:val="en-US" w:eastAsia="zh-CN" w:bidi="ar-SA"/>
    </w:rPr>
  </w:style>
  <w:style w:type="paragraph" w:customStyle="1" w:styleId="27">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8">
    <w:name w:val="Header Char"/>
    <w:basedOn w:val="22"/>
    <w:qFormat/>
    <w:uiPriority w:val="0"/>
    <w:rPr>
      <w:rFonts w:ascii="Times New Roman" w:hAnsi="Times New Roman"/>
      <w:sz w:val="18"/>
      <w:szCs w:val="18"/>
    </w:rPr>
  </w:style>
  <w:style w:type="character" w:customStyle="1" w:styleId="29">
    <w:name w:val="Footer Char"/>
    <w:basedOn w:val="22"/>
    <w:qFormat/>
    <w:uiPriority w:val="0"/>
    <w:rPr>
      <w:rFonts w:ascii="Times New Roman" w:hAnsi="Times New Roman"/>
      <w:sz w:val="18"/>
      <w:szCs w:val="18"/>
    </w:rPr>
  </w:style>
  <w:style w:type="character" w:customStyle="1" w:styleId="30">
    <w:name w:val="Body Text Char"/>
    <w:basedOn w:val="22"/>
    <w:qFormat/>
    <w:uiPriority w:val="0"/>
    <w:rPr>
      <w:rFonts w:ascii="Times New Roman" w:hAnsi="Times New Roman"/>
      <w:szCs w:val="24"/>
    </w:rPr>
  </w:style>
  <w:style w:type="paragraph" w:styleId="31">
    <w:name w:val="List Paragraph"/>
    <w:basedOn w:val="1"/>
    <w:qFormat/>
    <w:uiPriority w:val="0"/>
    <w:pPr>
      <w:ind w:firstLine="200" w:firstLineChars="200"/>
    </w:pPr>
  </w:style>
  <w:style w:type="paragraph" w:customStyle="1" w:styleId="32">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character" w:customStyle="1" w:styleId="33">
    <w:name w:val="text-tag"/>
    <w:basedOn w:val="22"/>
    <w:qFormat/>
    <w:uiPriority w:val="0"/>
  </w:style>
  <w:style w:type="character" w:customStyle="1" w:styleId="34">
    <w:name w:val="font11"/>
    <w:basedOn w:val="22"/>
    <w:qFormat/>
    <w:uiPriority w:val="0"/>
    <w:rPr>
      <w:rFonts w:ascii="宋体" w:eastAsia="宋体" w:cs="宋体"/>
      <w:color w:val="000000"/>
      <w:sz w:val="24"/>
      <w:szCs w:val="24"/>
      <w:u w:val="none"/>
    </w:rPr>
  </w:style>
  <w:style w:type="character" w:customStyle="1" w:styleId="35">
    <w:name w:val="font71"/>
    <w:basedOn w:val="22"/>
    <w:qFormat/>
    <w:uiPriority w:val="0"/>
    <w:rPr>
      <w:rFonts w:ascii="Times New Roman" w:hAnsi="Times New Roman" w:cs="Times New Roman"/>
      <w:color w:val="000000"/>
      <w:sz w:val="24"/>
      <w:szCs w:val="24"/>
      <w:u w:val="none"/>
    </w:rPr>
  </w:style>
  <w:style w:type="character" w:customStyle="1" w:styleId="36">
    <w:name w:val="font41"/>
    <w:basedOn w:val="22"/>
    <w:qFormat/>
    <w:uiPriority w:val="0"/>
    <w:rPr>
      <w:rFonts w:ascii="宋体" w:eastAsia="宋体" w:cs="宋体"/>
      <w:color w:val="000000"/>
      <w:sz w:val="24"/>
      <w:szCs w:val="24"/>
      <w:u w:val="none"/>
    </w:rPr>
  </w:style>
  <w:style w:type="character" w:customStyle="1" w:styleId="37">
    <w:name w:val="font61"/>
    <w:basedOn w:val="22"/>
    <w:qFormat/>
    <w:uiPriority w:val="0"/>
    <w:rPr>
      <w:rFonts w:ascii="Times New Roman" w:hAnsi="Times New Roman" w:cs="Times New Roman"/>
      <w:color w:val="000000"/>
      <w:sz w:val="24"/>
      <w:szCs w:val="24"/>
      <w:u w:val="none"/>
    </w:rPr>
  </w:style>
  <w:style w:type="character" w:customStyle="1" w:styleId="38">
    <w:name w:val="font31"/>
    <w:basedOn w:val="22"/>
    <w:qFormat/>
    <w:uiPriority w:val="0"/>
    <w:rPr>
      <w:rFonts w:ascii="宋体" w:eastAsia="宋体" w:cs="宋体"/>
      <w:color w:val="000000"/>
      <w:sz w:val="24"/>
      <w:szCs w:val="24"/>
      <w:u w:val="none"/>
    </w:rPr>
  </w:style>
  <w:style w:type="paragraph" w:customStyle="1" w:styleId="39">
    <w:name w:val="四号正文"/>
    <w:basedOn w:val="1"/>
    <w:qFormat/>
    <w:uiPriority w:val="0"/>
    <w:pPr>
      <w:spacing w:line="360" w:lineRule="auto"/>
    </w:pPr>
    <w:rPr>
      <w:rFonts w:ascii="??" w:hAnsi="??" w:eastAsia="宋体"/>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25</Pages>
  <Words>6867</Words>
  <Characters>7553</Characters>
  <Lines>1395</Lines>
  <Paragraphs>704</Paragraphs>
  <TotalTime>14</TotalTime>
  <ScaleCrop>false</ScaleCrop>
  <LinksUpToDate>false</LinksUpToDate>
  <CharactersWithSpaces>7796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2023-08-19T15:28:00Z</dcterms:created>
  <dc:creator>pjf</dc:creator>
  <cp:lastModifiedBy>暖暖か、</cp:lastModifiedBy>
  <cp:lastPrinted>2026-08-25T23:21:00Z</cp:lastPrinted>
  <dcterms:modified xsi:type="dcterms:W3CDTF">2026-08-27T01:22:53Z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E83D58A591D612EE0B428D6A71C47991</vt:lpwstr>
  </property>
  <property fmtid="{D5CDD505-2E9C-101B-9397-08002B2CF9AE}" pid="4" name="KSOTemplateDocerSaveRecord">
    <vt:lpwstr>eyJoZGlkIjoiZDAzNjk0YjczNGYyYmM2YzZlMDdkNWQ4MTg0ZTE4ZTYiLCJ1c2VySWQiOiI0MzkwODAyMDEifQ==</vt:lpwstr>
  </property>
</Properties>
</file>