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outlineLvl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78441"/>
      <w:bookmarkStart w:id="3" w:name="_Toc15377425"/>
      <w:bookmarkStart w:id="4" w:name="_Toc15306267"/>
      <w:bookmarkStart w:id="5" w:name="_Toc15396597"/>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黑体" w:hAnsi="黑体" w:eastAsia="黑体" w:cs="黑体"/>
          <w:b/>
          <w:bCs/>
          <w:color w:val="auto"/>
          <w:kern w:val="2"/>
          <w:sz w:val="44"/>
          <w:szCs w:val="44"/>
          <w:highlight w:val="none"/>
          <w:lang w:val="en-US" w:eastAsia="zh-CN" w:bidi="ar-SA"/>
        </w:rPr>
      </w:pPr>
      <w:r>
        <w:rPr>
          <w:rFonts w:hint="eastAsia" w:ascii="黑体" w:hAnsi="黑体" w:eastAsia="黑体" w:cs="黑体"/>
          <w:b/>
          <w:bCs/>
          <w:color w:val="auto"/>
          <w:kern w:val="2"/>
          <w:sz w:val="44"/>
          <w:szCs w:val="44"/>
          <w:highlight w:val="none"/>
          <w:lang w:val="en-US" w:eastAsia="zh-CN" w:bidi="ar-SA"/>
        </w:rPr>
        <w:t>2025年度四川省阿坝州</w:t>
      </w:r>
      <w:bookmarkStart w:id="6" w:name="_Toc3101"/>
      <w:bookmarkStart w:id="7" w:name="_Toc28079"/>
      <w:bookmarkStart w:id="8" w:name="_Toc3448"/>
      <w:bookmarkStart w:id="9" w:name="_Toc14589"/>
      <w:bookmarkStart w:id="10" w:name="_Toc25255"/>
      <w:bookmarkStart w:id="11" w:name="_Toc15968"/>
      <w:r>
        <w:rPr>
          <w:rFonts w:hint="eastAsia" w:ascii="黑体" w:hAnsi="黑体" w:eastAsia="黑体" w:cs="黑体"/>
          <w:b/>
          <w:bCs/>
          <w:color w:val="auto"/>
          <w:kern w:val="2"/>
          <w:sz w:val="44"/>
          <w:szCs w:val="44"/>
          <w:highlight w:val="none"/>
          <w:lang w:val="en-US" w:eastAsia="zh-CN" w:bidi="ar-SA"/>
        </w:rPr>
        <w:t>茂县红十字会</w:t>
      </w:r>
      <w:bookmarkEnd w:id="6"/>
      <w:bookmarkEnd w:id="7"/>
      <w:bookmarkEnd w:id="8"/>
      <w:bookmarkEnd w:id="9"/>
      <w:bookmarkEnd w:id="10"/>
      <w:bookmarkEnd w:id="11"/>
    </w:p>
    <w:p>
      <w:pPr>
        <w:pStyle w:val="6"/>
        <w:jc w:val="center"/>
        <w:rPr>
          <w:rFonts w:hint="eastAsia" w:ascii="黑体" w:hAnsi="黑体" w:eastAsia="黑体" w:cs="黑体"/>
          <w:b/>
          <w:bCs/>
          <w:color w:val="auto"/>
          <w:kern w:val="2"/>
          <w:sz w:val="44"/>
          <w:szCs w:val="44"/>
          <w:highlight w:val="none"/>
          <w:lang w:val="en-US" w:eastAsia="zh-CN" w:bidi="ar-SA"/>
        </w:rPr>
      </w:pPr>
      <w:r>
        <w:rPr>
          <w:rFonts w:hint="eastAsia" w:ascii="黑体" w:hAnsi="黑体" w:eastAsia="黑体" w:cs="黑体"/>
          <w:b/>
          <w:bCs/>
          <w:color w:val="auto"/>
          <w:kern w:val="2"/>
          <w:sz w:val="44"/>
          <w:szCs w:val="44"/>
          <w:highlight w:val="none"/>
          <w:lang w:val="en-US" w:eastAsia="zh-CN" w:bidi="ar-SA"/>
        </w:rPr>
        <w:t>部门决算</w:t>
      </w:r>
    </w:p>
    <w:p>
      <w:pPr>
        <w:spacing w:line="600" w:lineRule="exact"/>
        <w:jc w:val="center"/>
        <w:outlineLvl w:val="9"/>
        <w:rPr>
          <w:rFonts w:ascii="Times New Roman" w:hAnsi="Times New Roman" w:eastAsia="方正小标宋简体"/>
          <w:color w:val="auto"/>
          <w:sz w:val="72"/>
          <w:szCs w:val="72"/>
          <w:highlight w:val="none"/>
        </w:rPr>
      </w:pPr>
    </w:p>
    <w:p>
      <w:pPr>
        <w:pStyle w:val="2"/>
        <w:outlineLvl w:val="9"/>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titlePg/>
          <w:docGrid w:type="lines" w:linePitch="312" w:charSpace="0"/>
        </w:sectPr>
      </w:pPr>
    </w:p>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sdt>
      <w:sdtPr>
        <w:rPr>
          <w:rFonts w:ascii="宋体" w:hAnsi="宋体" w:eastAsia="宋体" w:cs="Times New Roman"/>
          <w:kern w:val="2"/>
          <w:sz w:val="21"/>
          <w:szCs w:val="24"/>
          <w:lang w:val="en-US" w:eastAsia="zh-CN" w:bidi="ar-SA"/>
        </w:rPr>
        <w:id w:val="147461692"/>
        <w15:color w:val="DBDBDB"/>
        <w:docPartObj>
          <w:docPartGallery w:val="Table of Contents"/>
          <w:docPartUnique/>
        </w:docPartObj>
      </w:sdtPr>
      <w:sdtEndPr>
        <w:rPr>
          <w:rFonts w:hint="eastAsia" w:ascii="仿宋_GB2312" w:hAnsi="仿宋_GB2312" w:eastAsia="仿宋_GB2312" w:cs="仿宋_GB2312"/>
          <w:kern w:val="2"/>
          <w:sz w:val="28"/>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b/>
              <w:bCs/>
              <w:sz w:val="44"/>
              <w:szCs w:val="44"/>
            </w:rPr>
          </w:pPr>
          <w:r>
            <w:rPr>
              <w:rFonts w:hint="eastAsia" w:ascii="黑体" w:hAnsi="黑体" w:eastAsia="黑体" w:cs="黑体"/>
              <w:b/>
              <w:bCs/>
              <w:sz w:val="44"/>
              <w:szCs w:val="44"/>
            </w:rPr>
            <w:t>目</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录</w:t>
          </w:r>
        </w:p>
        <w:p>
          <w:pPr>
            <w:spacing w:before="0" w:beforeLines="0" w:after="0" w:afterLines="0" w:line="240" w:lineRule="auto"/>
            <w:ind w:left="0" w:leftChars="0" w:right="0" w:rightChars="0" w:firstLine="0" w:firstLineChars="0"/>
            <w:jc w:val="center"/>
            <w:rPr>
              <w:rFonts w:ascii="宋体" w:hAnsi="宋体" w:eastAsia="宋体"/>
              <w:b/>
              <w:bCs/>
              <w:sz w:val="44"/>
              <w:szCs w:val="44"/>
            </w:rPr>
          </w:pPr>
        </w:p>
        <w:p>
          <w:pPr>
            <w:pStyle w:val="12"/>
            <w:rPr>
              <w:rFonts w:ascii="宋体" w:hAnsi="宋体" w:eastAsia="宋体"/>
              <w:sz w:val="21"/>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p>
          <w:pPr>
            <w:pStyle w:val="12"/>
            <w:keepNext w:val="0"/>
            <w:keepLines w:val="0"/>
            <w:pageBreakBefore w:val="0"/>
            <w:tabs>
              <w:tab w:val="right" w:leader="dot" w:pos="8306"/>
              <w:tab w:val="clear" w:pos="8296"/>
            </w:tabs>
            <w:kinsoku w:val="0"/>
            <w:wordWrap w:val="0"/>
            <w:overflowPunct w:val="0"/>
            <w:topLinePunct w:val="0"/>
            <w:autoSpaceDE/>
            <w:autoSpaceDN/>
            <w:bidi w:val="0"/>
            <w:adjustRightInd/>
            <w:snapToGrid/>
            <w:spacing w:before="0" w:line="52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TOC \o "1-2" \h \u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_Toc26746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highlight w:val="none"/>
            </w:rPr>
            <w:t>第一部分</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Cs w:val="0"/>
              <w:sz w:val="28"/>
              <w:szCs w:val="28"/>
              <w:highlight w:val="none"/>
            </w:rPr>
            <w:t>部门概况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kern w:val="2"/>
              <w:sz w:val="28"/>
              <w:szCs w:val="28"/>
              <w:lang w:val="en-US" w:eastAsia="zh-CN" w:bidi="ar-SA"/>
            </w:rPr>
            <w:t>3</w:t>
          </w:r>
          <w:r>
            <w:rPr>
              <w:rFonts w:hint="eastAsia" w:ascii="仿宋_GB2312" w:hAnsi="仿宋_GB2312" w:eastAsia="仿宋_GB2312" w:cs="仿宋_GB2312"/>
              <w:sz w:val="28"/>
              <w:szCs w:val="28"/>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_Toc14114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一、部门职责</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3</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_Toc24512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二、机构设置</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3</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ind w:left="0" w:leftChars="0" w:firstLine="0" w:firstLineChars="0"/>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第二部分2025年度部门决算情况说明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3</w:t>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_Toc29459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一、收入支出决算总体情况说明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4</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_Toc28865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二、收入决算情况说明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4</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_Toc29493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三、支出决算情况说明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5</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_Toc21005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四、财政拨款收入支出决算总体情况说明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5</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_Toc14551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五、一般公共预算财政拨款支出决算情况说明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6</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_Toc6326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六、一般公共预算财政拨款基本支出决算情况说明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8</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_Toc8665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八、政府性基金预算支出决算情况说明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9</w:t>
          </w:r>
          <w:r>
            <w:rPr>
              <w:rFonts w:hint="eastAsia" w:ascii="仿宋_GB2312" w:hAnsi="仿宋_GB2312" w:eastAsia="仿宋_GB2312" w:cs="仿宋_GB2312"/>
              <w:b w:val="0"/>
              <w:bCs w:val="0"/>
              <w:kern w:val="2"/>
              <w:sz w:val="28"/>
              <w:szCs w:val="28"/>
              <w:lang w:val="en-US" w:eastAsia="zh-CN" w:bidi="ar-SA"/>
            </w:rPr>
            <w:fldChar w:fldCharType="end"/>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_Toc7135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九、国有资本经营预算支出决算情况说明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1</w:t>
          </w:r>
          <w:r>
            <w:rPr>
              <w:rFonts w:hint="eastAsia" w:ascii="仿宋_GB2312" w:hAnsi="仿宋_GB2312" w:eastAsia="仿宋_GB2312" w:cs="仿宋_GB2312"/>
              <w:b w:val="0"/>
              <w:bCs w:val="0"/>
              <w:kern w:val="2"/>
              <w:sz w:val="28"/>
              <w:szCs w:val="28"/>
              <w:lang w:val="en-US" w:eastAsia="zh-CN" w:bidi="ar-SA"/>
            </w:rPr>
            <w:fldChar w:fldCharType="end"/>
          </w:r>
          <w:r>
            <w:rPr>
              <w:rFonts w:hint="eastAsia" w:ascii="仿宋_GB2312" w:hAnsi="仿宋_GB2312" w:eastAsia="仿宋_GB2312" w:cs="仿宋_GB2312"/>
              <w:b w:val="0"/>
              <w:bCs w:val="0"/>
              <w:kern w:val="2"/>
              <w:sz w:val="28"/>
              <w:szCs w:val="28"/>
              <w:lang w:val="en-US" w:eastAsia="zh-CN" w:bidi="ar-SA"/>
            </w:rPr>
            <w:t>0</w:t>
          </w:r>
        </w:p>
        <w:p>
          <w:pPr>
            <w:pStyle w:val="16"/>
            <w:keepNext w:val="0"/>
            <w:keepLines w:val="0"/>
            <w:pageBreakBefore w:val="0"/>
            <w:tabs>
              <w:tab w:val="right" w:leader="dot" w:pos="8306"/>
              <w:tab w:val="clear" w:pos="829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sz w:val="28"/>
              <w:szCs w:val="28"/>
              <w:lang w:val="en-US"/>
            </w:rPr>
          </w:pPr>
          <w:r>
            <w:rPr>
              <w:rFonts w:hint="eastAsia" w:ascii="仿宋_GB2312" w:hAnsi="仿宋_GB2312" w:eastAsia="仿宋_GB2312" w:cs="仿宋_GB2312"/>
              <w:b w:val="0"/>
              <w:bCs w:val="0"/>
              <w:kern w:val="2"/>
              <w:sz w:val="28"/>
              <w:szCs w:val="28"/>
              <w:lang w:val="en-US" w:eastAsia="zh-CN" w:bidi="ar-SA"/>
            </w:rPr>
            <w:fldChar w:fldCharType="begin"/>
          </w:r>
          <w:r>
            <w:rPr>
              <w:rFonts w:hint="eastAsia" w:ascii="仿宋_GB2312" w:hAnsi="仿宋_GB2312" w:eastAsia="仿宋_GB2312" w:cs="仿宋_GB2312"/>
              <w:b w:val="0"/>
              <w:bCs w:val="0"/>
              <w:kern w:val="2"/>
              <w:sz w:val="28"/>
              <w:szCs w:val="28"/>
              <w:lang w:val="en-US" w:eastAsia="zh-CN" w:bidi="ar-SA"/>
            </w:rPr>
            <w:instrText xml:space="preserve"> HYPERLINK \l _Toc32367 </w:instrText>
          </w:r>
          <w:r>
            <w:rPr>
              <w:rFonts w:hint="eastAsia" w:ascii="仿宋_GB2312" w:hAnsi="仿宋_GB2312" w:eastAsia="仿宋_GB2312" w:cs="仿宋_GB2312"/>
              <w:b w:val="0"/>
              <w:bCs w:val="0"/>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十、其他重要事项的情况说明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1</w:t>
          </w:r>
          <w:r>
            <w:rPr>
              <w:rFonts w:hint="eastAsia" w:ascii="仿宋_GB2312" w:hAnsi="仿宋_GB2312" w:eastAsia="仿宋_GB2312" w:cs="仿宋_GB2312"/>
              <w:b w:val="0"/>
              <w:bCs w:val="0"/>
              <w:kern w:val="2"/>
              <w:sz w:val="28"/>
              <w:szCs w:val="28"/>
              <w:lang w:val="en-US" w:eastAsia="zh-CN" w:bidi="ar-SA"/>
            </w:rPr>
            <w:fldChar w:fldCharType="end"/>
          </w:r>
          <w:r>
            <w:rPr>
              <w:rFonts w:hint="eastAsia" w:ascii="仿宋_GB2312" w:hAnsi="仿宋_GB2312" w:eastAsia="仿宋_GB2312" w:cs="仿宋_GB2312"/>
              <w:b w:val="0"/>
              <w:bCs w:val="0"/>
              <w:kern w:val="2"/>
              <w:sz w:val="28"/>
              <w:szCs w:val="28"/>
              <w:lang w:val="en-US" w:eastAsia="zh-CN" w:bidi="ar-SA"/>
            </w:rPr>
            <w:t>0</w:t>
          </w:r>
        </w:p>
        <w:p>
          <w:pPr>
            <w:pStyle w:val="12"/>
            <w:keepNext w:val="0"/>
            <w:keepLines w:val="0"/>
            <w:pageBreakBefore w:val="0"/>
            <w:tabs>
              <w:tab w:val="right" w:leader="dot" w:pos="8306"/>
              <w:tab w:val="clear" w:pos="8296"/>
            </w:tabs>
            <w:kinsoku w:val="0"/>
            <w:wordWrap w:val="0"/>
            <w:overflowPunct w:val="0"/>
            <w:topLinePunct w:val="0"/>
            <w:autoSpaceDE/>
            <w:autoSpaceDN/>
            <w:bidi w:val="0"/>
            <w:adjustRightInd/>
            <w:snapToGrid/>
            <w:spacing w:before="0" w:line="52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_Toc29194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highlight w:val="none"/>
            </w:rPr>
            <w:t>第</w:t>
          </w:r>
          <w:r>
            <w:rPr>
              <w:rFonts w:hint="eastAsia" w:ascii="仿宋_GB2312" w:hAnsi="仿宋_GB2312" w:eastAsia="仿宋_GB2312" w:cs="仿宋_GB2312"/>
              <w:sz w:val="28"/>
              <w:szCs w:val="28"/>
              <w:highlight w:val="none"/>
              <w:lang w:eastAsia="zh-CN"/>
            </w:rPr>
            <w:t>三</w:t>
          </w:r>
          <w:r>
            <w:rPr>
              <w:rFonts w:hint="eastAsia" w:ascii="仿宋_GB2312" w:hAnsi="仿宋_GB2312" w:eastAsia="仿宋_GB2312" w:cs="仿宋_GB2312"/>
              <w:sz w:val="28"/>
              <w:szCs w:val="28"/>
              <w:highlight w:val="none"/>
            </w:rPr>
            <w:t>部分</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名词解释</w:t>
          </w:r>
          <w:r>
            <w:rPr>
              <w:rFonts w:hint="eastAsia" w:ascii="仿宋_GB2312" w:hAnsi="仿宋_GB2312" w:eastAsia="仿宋_GB2312" w:cs="仿宋_GB2312"/>
              <w:sz w:val="28"/>
              <w:szCs w:val="28"/>
            </w:rPr>
            <w:tab/>
          </w:r>
          <w:r>
            <w:rPr>
              <w:rFonts w:hint="eastAsia" w:ascii="仿宋_GB2312" w:hAnsi="仿宋_GB2312" w:eastAsia="仿宋_GB2312" w:cs="仿宋_GB2312"/>
              <w:b w:val="0"/>
              <w:bCs w:val="0"/>
              <w:kern w:val="2"/>
              <w:sz w:val="28"/>
              <w:szCs w:val="28"/>
              <w:lang w:val="en-US" w:eastAsia="zh-CN" w:bidi="ar-SA"/>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2</w:t>
          </w:r>
        </w:p>
        <w:p>
          <w:pPr>
            <w:keepNext w:val="0"/>
            <w:keepLines w:val="0"/>
            <w:pageBreakBefore w:val="0"/>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2"/>
              <w:sz w:val="28"/>
              <w:szCs w:val="28"/>
              <w:highlight w:val="none"/>
              <w:lang w:val="en-US" w:eastAsia="zh-CN" w:bidi="ar-SA"/>
            </w:rPr>
            <w:t>第四部分附件</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b w:val="0"/>
              <w:bCs w:val="0"/>
              <w:kern w:val="2"/>
              <w:sz w:val="28"/>
              <w:szCs w:val="28"/>
              <w:lang w:val="en-US" w:eastAsia="zh-CN" w:bidi="ar-SA"/>
            </w:rPr>
            <w:t>2</w:t>
          </w:r>
        </w:p>
        <w:p>
          <w:pPr>
            <w:keepNext w:val="0"/>
            <w:keepLines w:val="0"/>
            <w:pageBreakBefore w:val="0"/>
            <w:kinsoku w:val="0"/>
            <w:wordWrap w:val="0"/>
            <w:overflowPunct w:val="0"/>
            <w:topLinePunct w:val="0"/>
            <w:autoSpaceDE/>
            <w:autoSpaceDN/>
            <w:bidi w:val="0"/>
            <w:adjustRightInd/>
            <w:snapToGrid/>
            <w:spacing w:line="520" w:lineRule="exact"/>
            <w:ind w:firstLine="560" w:firstLineChars="200"/>
            <w:jc w:val="lef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_Toc24008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附件1</w:t>
          </w:r>
          <w:r>
            <w:rPr>
              <w:rFonts w:hint="eastAsia" w:ascii="仿宋_GB2312" w:hAnsi="仿宋_GB2312" w:eastAsia="仿宋_GB2312" w:cs="仿宋_GB2312"/>
              <w:kern w:val="2"/>
              <w:sz w:val="28"/>
              <w:szCs w:val="28"/>
              <w:lang w:val="en-US" w:eastAsia="zh-CN" w:bidi="ar-SA"/>
            </w:rPr>
            <w:t xml:space="preserve"> ...............................................</w:t>
          </w:r>
          <w:r>
            <w:rPr>
              <w:rFonts w:hint="eastAsia" w:ascii="仿宋_GB2312" w:hAnsi="仿宋_GB2312" w:eastAsia="仿宋_GB2312" w:cs="仿宋_GB2312"/>
              <w:b w:val="0"/>
              <w:bCs w:val="0"/>
              <w:kern w:val="2"/>
              <w:sz w:val="28"/>
              <w:szCs w:val="28"/>
              <w:lang w:val="en-US" w:eastAsia="zh-CN" w:bidi="ar-SA"/>
            </w:rPr>
            <w:t>1</w:t>
          </w:r>
          <w:r>
            <w:rPr>
              <w:rFonts w:hint="eastAsia" w:ascii="仿宋_GB2312" w:hAnsi="仿宋_GB2312" w:eastAsia="仿宋_GB2312" w:cs="仿宋_GB2312"/>
              <w:kern w:val="2"/>
              <w:sz w:val="28"/>
              <w:szCs w:val="28"/>
              <w:lang w:val="en-US" w:eastAsia="zh-CN" w:bidi="ar-SA"/>
            </w:rPr>
            <w:fldChar w:fldCharType="end"/>
          </w:r>
          <w:r>
            <w:rPr>
              <w:rFonts w:hint="eastAsia" w:ascii="仿宋_GB2312" w:hAnsi="仿宋_GB2312" w:eastAsia="仿宋_GB2312" w:cs="仿宋_GB2312"/>
              <w:kern w:val="2"/>
              <w:sz w:val="28"/>
              <w:szCs w:val="28"/>
              <w:lang w:val="en-US" w:eastAsia="zh-CN" w:bidi="ar-SA"/>
            </w:rPr>
            <w:t>5</w:t>
          </w:r>
        </w:p>
        <w:p>
          <w:pPr>
            <w:keepNext w:val="0"/>
            <w:keepLines w:val="0"/>
            <w:pageBreakBefore w:val="0"/>
            <w:kinsoku w:val="0"/>
            <w:wordWrap w:val="0"/>
            <w:overflowPunct w:val="0"/>
            <w:topLinePunct w:val="0"/>
            <w:autoSpaceDE/>
            <w:autoSpaceDN/>
            <w:bidi w:val="0"/>
            <w:adjustRightInd/>
            <w:snapToGrid/>
            <w:spacing w:line="520" w:lineRule="exact"/>
            <w:ind w:firstLine="560" w:firstLineChars="200"/>
            <w:jc w:val="lef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_Toc24008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b w:val="0"/>
              <w:bCs w:val="0"/>
              <w:kern w:val="2"/>
              <w:sz w:val="28"/>
              <w:szCs w:val="28"/>
              <w:lang w:val="en-US" w:eastAsia="zh-CN" w:bidi="ar-SA"/>
            </w:rPr>
            <w:t>附件2</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 xml:space="preserve">  </w:t>
          </w:r>
          <w:r>
            <w:rPr>
              <w:rFonts w:hint="eastAsia"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b w:val="0"/>
              <w:bCs w:val="0"/>
              <w:kern w:val="2"/>
              <w:sz w:val="28"/>
              <w:szCs w:val="28"/>
              <w:lang w:val="en-US" w:eastAsia="zh-CN" w:bidi="ar-SA"/>
            </w:rPr>
            <w:t xml:space="preserve"> 2</w:t>
          </w:r>
          <w:r>
            <w:rPr>
              <w:rFonts w:hint="eastAsia" w:ascii="仿宋_GB2312" w:hAnsi="仿宋_GB2312" w:eastAsia="仿宋_GB2312" w:cs="仿宋_GB2312"/>
              <w:kern w:val="2"/>
              <w:sz w:val="28"/>
              <w:szCs w:val="28"/>
              <w:lang w:val="en-US" w:eastAsia="zh-CN" w:bidi="ar-SA"/>
            </w:rPr>
            <w:fldChar w:fldCharType="end"/>
          </w:r>
          <w:r>
            <w:rPr>
              <w:rFonts w:hint="eastAsia" w:ascii="仿宋_GB2312" w:hAnsi="仿宋_GB2312" w:eastAsia="仿宋_GB2312" w:cs="仿宋_GB2312"/>
              <w:kern w:val="2"/>
              <w:sz w:val="28"/>
              <w:szCs w:val="28"/>
              <w:lang w:val="en-US" w:eastAsia="zh-CN" w:bidi="ar-SA"/>
            </w:rPr>
            <w:t>8</w:t>
          </w:r>
        </w:p>
        <w:p>
          <w:pPr>
            <w:pStyle w:val="12"/>
            <w:keepNext w:val="0"/>
            <w:keepLines w:val="0"/>
            <w:pageBreakBefore w:val="0"/>
            <w:tabs>
              <w:tab w:val="right" w:leader="dot" w:pos="8306"/>
              <w:tab w:val="clear" w:pos="8296"/>
            </w:tabs>
            <w:kinsoku w:val="0"/>
            <w:wordWrap w:val="0"/>
            <w:overflowPunct w:val="0"/>
            <w:topLinePunct w:val="0"/>
            <w:autoSpaceDE/>
            <w:autoSpaceDN/>
            <w:bidi w:val="0"/>
            <w:adjustRightInd/>
            <w:snapToGrid/>
            <w:spacing w:before="0" w:line="52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_Toc15763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highlight w:val="none"/>
            </w:rPr>
            <w:t>第五部分 附表</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b w:val="0"/>
              <w:bCs w:val="0"/>
              <w:kern w:val="2"/>
              <w:sz w:val="28"/>
              <w:szCs w:val="28"/>
              <w:lang w:val="en-US" w:eastAsia="zh-CN" w:bidi="ar-SA"/>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ind w:left="0" w:leftChars="0" w:firstLine="0" w:firstLineChars="0"/>
            <w:jc w:val="lef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_Toc25253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二、收入决算表</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b w:val="0"/>
              <w:bCs w:val="0"/>
              <w:kern w:val="2"/>
              <w:sz w:val="28"/>
              <w:szCs w:val="28"/>
              <w:lang w:val="en-US" w:eastAsia="zh-CN" w:bidi="ar-SA"/>
            </w:rPr>
            <w:t>2</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_Toc9073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三、支出决算表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kern w:val="2"/>
              <w:sz w:val="28"/>
              <w:szCs w:val="28"/>
              <w:lang w:val="en-US" w:eastAsia="zh-CN" w:bidi="ar-SA"/>
            </w:rPr>
            <w:t>2</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_Toc16356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四、财政拨款收入支出决算总表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kern w:val="2"/>
              <w:sz w:val="28"/>
              <w:szCs w:val="28"/>
              <w:lang w:val="en-US" w:eastAsia="zh-CN" w:bidi="ar-SA"/>
            </w:rPr>
            <w:t>2</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_Toc17138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五、财政拨款支出决算明细表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_Toc4549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六、一般公共预算财政拨款支出决算表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_Toc14791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七、一般公共预算财政拨款支出决算明细表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_Toc28418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八、一般公共预算财政拨款基本支出决算表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_Toc18307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九、一般公共预算财政拨款项目支出决算表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_Toc5528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十、政府性基金预算财政拨款收入支出决算表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_Toc9214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十一、国有资本经营预算财政拨款收入支出决算表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_Toc20620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十二、国有资本经营预算财政拨款支出决算表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p>
        <w:p>
          <w:pPr>
            <w:pStyle w:val="36"/>
            <w:keepNext w:val="0"/>
            <w:keepLines w:val="0"/>
            <w:pageBreakBefore w:val="0"/>
            <w:tabs>
              <w:tab w:val="right" w:leader="dot" w:pos="8306"/>
            </w:tabs>
            <w:kinsoku w:val="0"/>
            <w:wordWrap w:val="0"/>
            <w:overflowPunct w:val="0"/>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fldChar w:fldCharType="begin"/>
          </w:r>
          <w:r>
            <w:rPr>
              <w:rFonts w:hint="eastAsia" w:ascii="仿宋_GB2312" w:hAnsi="仿宋_GB2312" w:eastAsia="仿宋_GB2312" w:cs="仿宋_GB2312"/>
              <w:b w:val="0"/>
              <w:bCs w:val="0"/>
              <w:sz w:val="28"/>
              <w:szCs w:val="28"/>
            </w:rPr>
            <w:instrText xml:space="preserve"> HYPERLINK \l _Toc16013 </w:instrText>
          </w:r>
          <w:r>
            <w:rPr>
              <w:rFonts w:hint="eastAsia" w:ascii="仿宋_GB2312" w:hAnsi="仿宋_GB2312" w:eastAsia="仿宋_GB2312" w:cs="仿宋_GB2312"/>
              <w:b w:val="0"/>
              <w:bCs w:val="0"/>
              <w:sz w:val="28"/>
              <w:szCs w:val="28"/>
            </w:rPr>
            <w:fldChar w:fldCharType="separate"/>
          </w:r>
          <w:r>
            <w:rPr>
              <w:rFonts w:hint="eastAsia" w:ascii="仿宋_GB2312" w:hAnsi="仿宋_GB2312" w:eastAsia="仿宋_GB2312" w:cs="仿宋_GB2312"/>
              <w:b w:val="0"/>
              <w:bCs w:val="0"/>
              <w:sz w:val="28"/>
              <w:szCs w:val="28"/>
            </w:rPr>
            <w:t>十三、财政拨款“三公”经费支出决算表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val="0"/>
              <w:bCs w:val="0"/>
              <w:sz w:val="28"/>
              <w:szCs w:val="28"/>
            </w:rPr>
            <w:fldChar w:fldCharType="end"/>
          </w:r>
          <w:r>
            <w:rPr>
              <w:rFonts w:hint="eastAsia" w:ascii="仿宋_GB2312" w:hAnsi="仿宋_GB2312" w:eastAsia="仿宋_GB2312" w:cs="仿宋_GB2312"/>
              <w:b w:val="0"/>
              <w:bCs w:val="0"/>
              <w:sz w:val="28"/>
              <w:szCs w:val="28"/>
              <w:lang w:val="en-US" w:eastAsia="zh-CN"/>
            </w:rPr>
            <w:t>.................29</w:t>
          </w:r>
        </w:p>
        <w:p>
          <w:pPr>
            <w:keepNext w:val="0"/>
            <w:keepLines w:val="0"/>
            <w:pageBreakBefore w:val="0"/>
            <w:kinsoku w:val="0"/>
            <w:wordWrap w:val="0"/>
            <w:overflowPunct w:val="0"/>
            <w:topLinePunct w:val="0"/>
            <w:autoSpaceDE/>
            <w:autoSpaceDN/>
            <w:bidi w:val="0"/>
            <w:adjustRightInd/>
            <w:snapToGrid/>
            <w:spacing w:line="520" w:lineRule="exact"/>
            <w:jc w:val="left"/>
            <w:textAlignment w:val="auto"/>
            <w:rPr>
              <w:rFonts w:hint="eastAsia" w:ascii="仿宋_GB2312" w:hAnsi="仿宋_GB2312" w:eastAsia="仿宋_GB2312" w:cs="仿宋_GB2312"/>
              <w:kern w:val="2"/>
              <w:sz w:val="28"/>
              <w:szCs w:val="28"/>
              <w:lang w:val="en-US" w:eastAsia="zh-CN" w:bidi="ar-SA"/>
            </w:rPr>
          </w:pPr>
        </w:p>
      </w:sdtContent>
    </w:sdt>
    <w:p>
      <w:pPr>
        <w:outlineLvl w:val="2"/>
        <w:rPr>
          <w:lang w:val="en-US" w:eastAsia="zh-CN"/>
        </w:rPr>
      </w:pPr>
    </w:p>
    <w:p>
      <w:pPr>
        <w:pStyle w:val="2"/>
        <w:rPr>
          <w:lang w:val="en-US" w:eastAsia="zh-CN"/>
        </w:rPr>
      </w:pPr>
    </w:p>
    <w:p>
      <w:pPr>
        <w:rPr>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576" w:lineRule="exact"/>
        <w:jc w:val="center"/>
        <w:textAlignment w:val="auto"/>
        <w:rPr>
          <w:rFonts w:ascii="Times New Roman" w:hAnsi="Times New Roman" w:eastAsia="黑体"/>
          <w:color w:val="auto"/>
          <w:sz w:val="44"/>
          <w:szCs w:val="44"/>
          <w:highlight w:val="none"/>
        </w:rPr>
      </w:pPr>
      <w:bookmarkStart w:id="12" w:name="_Toc26746"/>
      <w:r>
        <w:rPr>
          <w:rFonts w:hint="eastAsia" w:ascii="Times New Roman" w:hAnsi="Times New Roman" w:eastAsia="方正小标宋简体" w:cs="方正小标宋简体"/>
          <w:b w:val="0"/>
          <w:color w:val="auto"/>
          <w:sz w:val="44"/>
          <w:szCs w:val="44"/>
          <w:highlight w:val="none"/>
        </w:rPr>
        <w:t>第一部分</w:t>
      </w:r>
      <w:r>
        <w:rPr>
          <w:rFonts w:hint="eastAsia" w:ascii="Times New Roman" w:hAnsi="Times New Roman" w:eastAsia="方正小标宋简体" w:cs="方正小标宋简体"/>
          <w:b w:val="0"/>
          <w:color w:val="auto"/>
          <w:sz w:val="44"/>
          <w:szCs w:val="44"/>
          <w:highlight w:val="none"/>
          <w:lang w:val="en-US" w:eastAsia="zh-CN"/>
        </w:rPr>
        <w:t xml:space="preserve"> </w:t>
      </w:r>
      <w:r>
        <w:rPr>
          <w:rFonts w:hint="eastAsia" w:ascii="Times New Roman" w:hAnsi="Times New Roman" w:eastAsia="方正小标宋简体" w:cs="方正小标宋简体"/>
          <w:b w:val="0"/>
          <w:color w:val="auto"/>
          <w:sz w:val="44"/>
          <w:szCs w:val="44"/>
          <w:highlight w:val="none"/>
        </w:rPr>
        <w:t xml:space="preserve"> </w:t>
      </w:r>
      <w:r>
        <w:rPr>
          <w:rStyle w:val="29"/>
          <w:rFonts w:hint="eastAsia" w:ascii="Times New Roman" w:hAnsi="Times New Roman" w:eastAsia="方正小标宋简体" w:cs="方正小标宋简体"/>
          <w:b w:val="0"/>
          <w:bCs w:val="0"/>
          <w:color w:val="auto"/>
          <w:sz w:val="44"/>
          <w:szCs w:val="44"/>
          <w:highlight w:val="none"/>
        </w:rPr>
        <w:t>部门概况</w:t>
      </w:r>
      <w:bookmarkEnd w:id="12"/>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2" w:firstLineChars="200"/>
        <w:textAlignment w:val="auto"/>
        <w:outlineLvl w:val="1"/>
        <w:rPr>
          <w:rFonts w:hint="eastAsia" w:ascii="黑体" w:hAnsi="黑体" w:eastAsia="黑体" w:cs="黑体"/>
          <w:b/>
          <w:bCs/>
          <w:kern w:val="2"/>
          <w:sz w:val="32"/>
          <w:szCs w:val="32"/>
          <w:lang w:val="en-US" w:eastAsia="zh-CN" w:bidi="ar-SA"/>
        </w:rPr>
      </w:pPr>
      <w:bookmarkStart w:id="13" w:name="_Toc26269"/>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2" w:firstLineChars="200"/>
        <w:textAlignment w:val="auto"/>
        <w:outlineLvl w:val="1"/>
        <w:rPr>
          <w:rFonts w:hint="eastAsia" w:ascii="黑体" w:hAnsi="黑体" w:eastAsia="黑体" w:cs="黑体"/>
          <w:sz w:val="32"/>
          <w:szCs w:val="32"/>
        </w:rPr>
      </w:pPr>
      <w:bookmarkStart w:id="14" w:name="_Toc14114"/>
      <w:r>
        <w:rPr>
          <w:rFonts w:hint="eastAsia" w:ascii="黑体" w:hAnsi="黑体" w:eastAsia="黑体" w:cs="黑体"/>
          <w:b/>
          <w:bCs/>
          <w:kern w:val="2"/>
          <w:sz w:val="32"/>
          <w:szCs w:val="32"/>
          <w:lang w:val="en-US" w:eastAsia="zh-CN" w:bidi="ar-SA"/>
        </w:rPr>
        <w:t>一、</w:t>
      </w:r>
      <w:r>
        <w:rPr>
          <w:rFonts w:hint="eastAsia" w:ascii="黑体" w:hAnsi="黑体" w:eastAsia="黑体" w:cs="黑体"/>
          <w:b w:val="0"/>
          <w:color w:val="auto"/>
          <w:highlight w:val="none"/>
          <w:lang w:eastAsia="zh-CN"/>
        </w:rPr>
        <w:t>部门职责</w:t>
      </w:r>
      <w:bookmarkEnd w:id="13"/>
      <w:bookmarkEnd w:id="14"/>
    </w:p>
    <w:p>
      <w:pPr>
        <w:pStyle w:val="4"/>
        <w:pageBreakBefore w:val="0"/>
        <w:numPr>
          <w:ilvl w:val="0"/>
          <w:numId w:val="0"/>
        </w:numPr>
        <w:kinsoku/>
        <w:wordWrap/>
        <w:overflowPunct/>
        <w:topLinePunct w:val="0"/>
        <w:bidi w:val="0"/>
        <w:spacing w:before="0" w:after="0" w:line="576" w:lineRule="exact"/>
        <w:ind w:left="0" w:leftChars="0" w:firstLine="640" w:firstLineChars="200"/>
        <w:outlineLvl w:val="9"/>
        <w:rPr>
          <w:rFonts w:hint="default"/>
          <w:lang w:val="en-US" w:eastAsia="zh-CN"/>
        </w:rPr>
      </w:pPr>
      <w:bookmarkStart w:id="15" w:name="_Toc22828"/>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传播国际红十字运动知识和国际人道主义法。宣传、贯彻《中华人民共和国红十字会法》，依照红十字会法和红十字会章程组织协调开展我县红十字会工作；开展备灾救灾工作。在自然灾害和突发事件中,开展救护和救助工作;依法接受国内外组织和个人的捐赠,及时向灾区群众和受难者提供人道主义援助,在突发事件中对受害者组织实施救助工作。</w:t>
      </w:r>
      <w:bookmarkEnd w:id="15"/>
    </w:p>
    <w:p>
      <w:pPr>
        <w:pStyle w:val="4"/>
        <w:pageBreakBefore w:val="0"/>
        <w:kinsoku/>
        <w:wordWrap/>
        <w:overflowPunct/>
        <w:topLinePunct w:val="0"/>
        <w:bidi w:val="0"/>
        <w:spacing w:before="0" w:after="0" w:line="576" w:lineRule="exact"/>
        <w:ind w:left="0" w:leftChars="0" w:firstLine="640" w:firstLineChars="200"/>
        <w:outlineLvl w:val="1"/>
        <w:rPr>
          <w:rStyle w:val="30"/>
          <w:rFonts w:ascii="Times New Roman" w:hAnsi="Times New Roman"/>
          <w:b w:val="0"/>
          <w:bCs w:val="0"/>
          <w:color w:val="auto"/>
          <w:highlight w:val="none"/>
        </w:rPr>
      </w:pPr>
      <w:bookmarkStart w:id="16" w:name="_Toc5016"/>
      <w:bookmarkStart w:id="17" w:name="_Toc24512"/>
      <w:bookmarkStart w:id="18" w:name="_Toc15396601"/>
      <w:bookmarkStart w:id="1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bookmarkEnd w:id="18"/>
      <w:bookmarkEnd w:id="19"/>
    </w:p>
    <w:p>
      <w:pPr>
        <w:pStyle w:val="4"/>
        <w:pageBreakBefore w:val="0"/>
        <w:numPr>
          <w:ilvl w:val="0"/>
          <w:numId w:val="0"/>
        </w:numPr>
        <w:kinsoku/>
        <w:wordWrap/>
        <w:overflowPunct/>
        <w:topLinePunct w:val="0"/>
        <w:bidi w:val="0"/>
        <w:spacing w:before="0" w:after="0" w:line="576" w:lineRule="exact"/>
        <w:ind w:left="0" w:leftChars="0" w:firstLine="640" w:firstLineChars="200"/>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茂县红十字会下属二级单位0个，其中行政单位0个，参照公务员法管理的事业单位1个，其他事业单位0个。</w:t>
      </w:r>
    </w:p>
    <w:p>
      <w:pPr>
        <w:pageBreakBefore w:val="0"/>
        <w:widowControl/>
        <w:kinsoku/>
        <w:wordWrap/>
        <w:overflowPunct/>
        <w:topLinePunct w:val="0"/>
        <w:bidi w:val="0"/>
        <w:spacing w:line="576" w:lineRule="exact"/>
        <w:ind w:left="0" w:leftChars="0" w:firstLine="440" w:firstLineChars="100"/>
        <w:jc w:val="left"/>
        <w:rPr>
          <w:rFonts w:hint="eastAsia" w:ascii="方正小标宋简体" w:hAnsi="方正小标宋简体" w:eastAsia="方正小标宋简体" w:cs="方正小标宋简体"/>
          <w:b w:val="0"/>
          <w:color w:val="auto"/>
          <w:sz w:val="44"/>
          <w:szCs w:val="44"/>
          <w:highlight w:val="none"/>
        </w:rPr>
      </w:pPr>
      <w:bookmarkStart w:id="20" w:name="_Toc15396602"/>
      <w:bookmarkStart w:id="21" w:name="_Toc31676"/>
      <w:bookmarkStart w:id="22" w:name="_Toc15377204"/>
    </w:p>
    <w:p>
      <w:pPr>
        <w:pStyle w:val="2"/>
        <w:rPr>
          <w:rFonts w:hint="eastAsia" w:ascii="方正小标宋简体" w:hAnsi="方正小标宋简体" w:eastAsia="方正小标宋简体" w:cs="方正小标宋简体"/>
          <w:b w:val="0"/>
          <w:color w:val="auto"/>
          <w:sz w:val="44"/>
          <w:szCs w:val="44"/>
          <w:highlight w:val="none"/>
        </w:rPr>
      </w:pPr>
    </w:p>
    <w:p>
      <w:pPr>
        <w:rPr>
          <w:rFonts w:hint="eastAsia" w:ascii="方正小标宋简体" w:hAnsi="方正小标宋简体" w:eastAsia="方正小标宋简体" w:cs="方正小标宋简体"/>
          <w:b w:val="0"/>
          <w:color w:val="auto"/>
          <w:sz w:val="44"/>
          <w:szCs w:val="44"/>
          <w:highlight w:val="none"/>
        </w:rPr>
      </w:pPr>
    </w:p>
    <w:p>
      <w:pPr>
        <w:pStyle w:val="2"/>
        <w:rPr>
          <w:rFonts w:hint="eastAsia" w:ascii="方正小标宋简体" w:hAnsi="方正小标宋简体" w:eastAsia="方正小标宋简体" w:cs="方正小标宋简体"/>
          <w:b w:val="0"/>
          <w:color w:val="auto"/>
          <w:sz w:val="44"/>
          <w:szCs w:val="44"/>
          <w:highlight w:val="none"/>
        </w:rPr>
      </w:pPr>
    </w:p>
    <w:p>
      <w:pPr>
        <w:rPr>
          <w:rFonts w:hint="eastAsia" w:ascii="方正小标宋简体" w:hAnsi="方正小标宋简体" w:eastAsia="方正小标宋简体" w:cs="方正小标宋简体"/>
          <w:b w:val="0"/>
          <w:color w:val="auto"/>
          <w:sz w:val="44"/>
          <w:szCs w:val="44"/>
          <w:highlight w:val="none"/>
        </w:rPr>
      </w:pPr>
    </w:p>
    <w:p>
      <w:pPr>
        <w:pStyle w:val="2"/>
        <w:rPr>
          <w:rFonts w:hint="eastAsia" w:ascii="方正小标宋简体" w:hAnsi="方正小标宋简体" w:eastAsia="方正小标宋简体" w:cs="方正小标宋简体"/>
          <w:b w:val="0"/>
          <w:color w:val="auto"/>
          <w:sz w:val="44"/>
          <w:szCs w:val="44"/>
          <w:highlight w:val="none"/>
        </w:rPr>
      </w:pPr>
    </w:p>
    <w:p>
      <w:pPr>
        <w:rPr>
          <w:rFonts w:hint="eastAsia"/>
        </w:rPr>
      </w:pPr>
    </w:p>
    <w:p>
      <w:pPr>
        <w:pageBreakBefore w:val="0"/>
        <w:widowControl/>
        <w:kinsoku/>
        <w:wordWrap/>
        <w:overflowPunct/>
        <w:topLinePunct w:val="0"/>
        <w:bidi w:val="0"/>
        <w:spacing w:line="576" w:lineRule="exact"/>
        <w:ind w:left="0" w:leftChars="0" w:firstLine="440" w:firstLineChars="100"/>
        <w:jc w:val="left"/>
        <w:rPr>
          <w:rFonts w:ascii="Times New Roman" w:hAnsi="Times New Roman"/>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rPr>
        <w:t>第二部分</w:t>
      </w:r>
      <w:r>
        <w:rPr>
          <w:rFonts w:hint="eastAsia" w:ascii="方正小标宋简体" w:hAnsi="方正小标宋简体" w:eastAsia="方正小标宋简体" w:cs="方正小标宋简体"/>
          <w:b w:val="0"/>
          <w:color w:val="auto"/>
          <w:sz w:val="44"/>
          <w:szCs w:val="44"/>
          <w:highlight w:val="none"/>
          <w:lang w:val="en-US" w:eastAsia="zh-CN"/>
        </w:rPr>
        <w:t xml:space="preserve"> </w:t>
      </w:r>
      <w:r>
        <w:rPr>
          <w:rFonts w:hint="eastAsia" w:ascii="方正小标宋简体" w:hAnsi="方正小标宋简体" w:eastAsia="方正小标宋简体" w:cs="方正小标宋简体"/>
          <w:b w:val="0"/>
          <w:color w:val="auto"/>
          <w:sz w:val="44"/>
          <w:szCs w:val="44"/>
          <w:highlight w:val="none"/>
        </w:rPr>
        <w:t xml:space="preserve"> </w:t>
      </w:r>
      <w:r>
        <w:rPr>
          <w:rFonts w:hint="eastAsia" w:ascii="方正小标宋简体" w:hAnsi="方正小标宋简体" w:eastAsia="方正小标宋简体" w:cs="方正小标宋简体"/>
          <w:b w:val="0"/>
          <w:color w:val="auto"/>
          <w:sz w:val="44"/>
          <w:szCs w:val="44"/>
          <w:highlight w:val="none"/>
          <w:lang w:val="en-US" w:eastAsia="zh-CN"/>
        </w:rPr>
        <w:t>2025年度</w:t>
      </w:r>
      <w:r>
        <w:rPr>
          <w:rFonts w:hint="eastAsia" w:ascii="方正小标宋简体" w:hAnsi="方正小标宋简体" w:eastAsia="方正小标宋简体" w:cs="方正小标宋简体"/>
          <w:b w:val="0"/>
          <w:color w:val="auto"/>
          <w:sz w:val="44"/>
          <w:szCs w:val="44"/>
          <w:highlight w:val="none"/>
        </w:rPr>
        <w:t>部门决算情况说明</w:t>
      </w:r>
      <w:bookmarkEnd w:id="20"/>
      <w:bookmarkEnd w:id="21"/>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0"/>
          <w:rFonts w:hint="eastAsia" w:ascii="Times New Roman" w:hAnsi="Times New Roman" w:eastAsia="黑体"/>
          <w:b w:val="0"/>
          <w:color w:val="auto"/>
          <w:highlight w:val="none"/>
        </w:rPr>
      </w:pPr>
      <w:bookmarkStart w:id="23" w:name="_Toc29459"/>
      <w:bookmarkStart w:id="24" w:name="_Toc17532"/>
      <w:bookmarkStart w:id="25" w:name="_Toc28302"/>
      <w:bookmarkStart w:id="26" w:name="_Toc15377205"/>
      <w:bookmarkStart w:id="27" w:name="_Toc15396603"/>
      <w:bookmarkStart w:id="28" w:name="_Toc21510"/>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3"/>
      <w:bookmarkEnd w:id="24"/>
      <w:bookmarkEnd w:id="25"/>
      <w:bookmarkEnd w:id="26"/>
      <w:bookmarkEnd w:id="27"/>
      <w:bookmarkEnd w:id="28"/>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bookmarkStart w:id="29" w:name="_Toc21561"/>
      <w:r>
        <w:rPr>
          <w:rFonts w:hint="eastAsia" w:ascii="仿宋" w:hAnsi="Times New Roman" w:eastAsia="仿宋"/>
          <w:color w:val="FF0000"/>
          <w:sz w:val="32"/>
          <w:szCs w:val="32"/>
        </w:rPr>
        <w:pict>
          <v:shape id="Object 5" o:spid="_x0000_s1034" o:spt="75" type="#_x0000_t75" style="position:absolute;left:0pt;margin-left:63.75pt;margin-top:86.3pt;height:165.75pt;width:242.25pt;z-index:-251657216;mso-width-relative:page;mso-height-relative:page;" o:ole="t" filled="f" o:preferrelative="t" stroked="f" coordsize="21600,21600">
            <v:path/>
            <v:fill on="f" focussize="0,0"/>
            <v:stroke on="f"/>
            <v:imagedata r:id="rId11" o:title=""/>
            <o:lock v:ext="edit" aspectratio="t"/>
          </v:shape>
          <o:OLEObject Type="Embed" ProgID="Excel.Chart.8" ShapeID="Object 5" DrawAspect="Content" ObjectID="_1468075725" r:id="rId10">
            <o:LockedField>false</o:LockedField>
          </o:OLEObject>
        </w:pic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2025年度收入、支出总计均为151.42万元。与2024年度相比，收入、支出总计各增加28.28万元，增长22.97%。主要变动原因是：人员工资保险的变动以及项目增加。</w:t>
      </w:r>
      <w:bookmarkEnd w:id="29"/>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lang w:eastAsia="zh-CN"/>
        </w:rPr>
      </w:pPr>
      <w:bookmarkStart w:id="30" w:name="_Toc15377206"/>
      <w:bookmarkStart w:id="31" w:name="_Toc18141"/>
      <w:bookmarkStart w:id="32" w:name="_Toc15396604"/>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33" w:name="_Toc6150"/>
      <w:bookmarkStart w:id="34" w:name="_Toc28865"/>
      <w:bookmarkStart w:id="35" w:name="_Toc14076"/>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30"/>
      <w:bookmarkEnd w:id="31"/>
      <w:bookmarkEnd w:id="32"/>
      <w:bookmarkEnd w:id="33"/>
      <w:bookmarkEnd w:id="34"/>
      <w:bookmarkEnd w:id="35"/>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bookmarkStart w:id="36" w:name="_Toc10728"/>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2025年度本年收入合计151.42万元，其中：一般公共预算财政拨款收入131.43万元，占86.8%</w:t>
      </w:r>
      <w:bookmarkEnd w:id="36"/>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；政府性基金预算财政拨款收入19.99万元，占13.2%。</w:t>
      </w: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r>
        <w:rPr>
          <w:rFonts w:ascii="仿宋" w:hAnsi="Times New Roman" w:eastAsia="仿宋"/>
          <w:color w:val="000000"/>
          <w:kern w:val="2"/>
          <w:sz w:val="32"/>
          <w:szCs w:val="32"/>
        </w:rPr>
        <w:pict>
          <v:shape id="Object 8" o:spid="_x0000_s1035" o:spt="75" type="#_x0000_t75" style="position:absolute;left:0pt;margin-left:32.5pt;margin-top:12.9pt;height:222.15pt;width:304.9pt;z-index:-251656192;mso-width-relative:page;mso-height-relative:page;" o:ole="t" filled="f" o:preferrelative="t" stroked="f" coordsize="21600,21600">
            <v:path/>
            <v:fill on="f" focussize="0,0"/>
            <v:stroke on="f"/>
            <v:imagedata r:id="rId13" o:title=""/>
            <o:lock v:ext="edit" aspectratio="t"/>
          </v:shape>
          <o:OLEObject Type="Embed" ProgID="Excel.Chart.8" ShapeID="Object 8" DrawAspect="Content" ObjectID="_1468075726" r:id="rId12">
            <o:LockedField>false</o:LockedField>
          </o:OLEObject>
        </w:pict>
      </w: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lang w:eastAsia="zh-CN"/>
        </w:rPr>
      </w:pPr>
      <w:bookmarkStart w:id="37" w:name="_Toc15377207"/>
      <w:bookmarkStart w:id="38" w:name="_Toc20946"/>
      <w:bookmarkStart w:id="39" w:name="_Toc15396605"/>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0"/>
          <w:rFonts w:hint="eastAsia" w:ascii="Times New Roman" w:hAnsi="Times New Roman" w:eastAsia="黑体"/>
          <w:b w:val="0"/>
          <w:color w:val="auto"/>
          <w:highlight w:val="none"/>
        </w:rPr>
      </w:pPr>
      <w:bookmarkStart w:id="40" w:name="_Toc7361"/>
      <w:bookmarkStart w:id="41" w:name="_Toc29493"/>
      <w:bookmarkStart w:id="42" w:name="_Toc27524"/>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7"/>
      <w:bookmarkEnd w:id="38"/>
      <w:bookmarkEnd w:id="39"/>
      <w:bookmarkEnd w:id="40"/>
      <w:bookmarkEnd w:id="41"/>
      <w:bookmarkEnd w:id="42"/>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bookmarkStart w:id="43" w:name="_Toc8489"/>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2025年度本年支出合计151.42万元，其中：基本支出130.93万元，占86.5%</w:t>
      </w:r>
      <w:bookmarkEnd w:id="43"/>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;项目支出20.49万元，占13.5%。</w:t>
      </w: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r>
        <w:rPr>
          <w:rFonts w:ascii="仿宋" w:hAnsi="Times New Roman" w:eastAsia="仿宋"/>
          <w:color w:val="000000"/>
          <w:kern w:val="2"/>
          <w:sz w:val="32"/>
          <w:szCs w:val="32"/>
        </w:rPr>
        <w:pict>
          <v:shape id="Object 9" o:spid="_x0000_s1036" o:spt="75" type="#_x0000_t75" style="position:absolute;left:0pt;margin-left:21.95pt;margin-top:22.3pt;height:194.2pt;width:340.1pt;z-index:-251655168;mso-width-relative:page;mso-height-relative:page;" o:ole="t" filled="f" o:preferrelative="t" stroked="f" coordsize="21600,21600">
            <v:path/>
            <v:fill on="f" focussize="0,0"/>
            <v:stroke on="f"/>
            <v:imagedata r:id="rId15" o:title=""/>
            <o:lock v:ext="edit" aspectratio="t"/>
          </v:shape>
          <o:OLEObject Type="Embed" ProgID="Excel.Chart.8" ShapeID="Object 9" DrawAspect="Content" ObjectID="_1468075727" r:id="rId14">
            <o:LockedField>false</o:LockedField>
          </o:OLEObject>
        </w:pict>
      </w: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ind w:left="0" w:leftChars="0" w:firstLine="800" w:firstLineChars="250"/>
        <w:rPr>
          <w:rFonts w:hint="eastAsia" w:ascii="Times New Roman" w:hAnsi="Times New Roman" w:eastAsia="仿宋_GB2312" w:cs="仿宋_GB2312"/>
          <w:color w:val="auto"/>
          <w:sz w:val="32"/>
          <w:szCs w:val="32"/>
          <w:highlight w:val="none"/>
          <w:lang w:eastAsia="zh-CN"/>
        </w:rPr>
      </w:pPr>
    </w:p>
    <w:p>
      <w:pPr>
        <w:pageBreakBefore w:val="0"/>
        <w:kinsoku/>
        <w:wordWrap/>
        <w:overflowPunct/>
        <w:topLinePunct w:val="0"/>
        <w:bidi w:val="0"/>
        <w:spacing w:line="576" w:lineRule="exact"/>
        <w:outlineLvl w:val="1"/>
        <w:rPr>
          <w:rFonts w:hint="eastAsia" w:ascii="Times New Roman" w:hAnsi="Times New Roman" w:eastAsia="黑体"/>
          <w:color w:val="auto"/>
          <w:sz w:val="32"/>
          <w:szCs w:val="32"/>
          <w:highlight w:val="none"/>
        </w:rPr>
      </w:pPr>
      <w:bookmarkStart w:id="44" w:name="_Toc15377208"/>
      <w:bookmarkStart w:id="45" w:name="_Toc15396606"/>
      <w:bookmarkStart w:id="46" w:name="_Toc28499"/>
    </w:p>
    <w:p>
      <w:pPr>
        <w:pageBreakBefore w:val="0"/>
        <w:kinsoku/>
        <w:wordWrap/>
        <w:overflowPunct/>
        <w:topLinePunct w:val="0"/>
        <w:bidi w:val="0"/>
        <w:spacing w:line="576" w:lineRule="exact"/>
        <w:ind w:left="0" w:leftChars="0" w:firstLine="640" w:firstLineChars="200"/>
        <w:outlineLvl w:val="1"/>
        <w:rPr>
          <w:rFonts w:hint="eastAsia" w:ascii="Times New Roman" w:hAnsi="Times New Roman" w:eastAsia="黑体"/>
          <w:color w:val="auto"/>
          <w:sz w:val="32"/>
          <w:szCs w:val="32"/>
          <w:highlight w:val="none"/>
        </w:rPr>
      </w:pPr>
      <w:bookmarkStart w:id="47" w:name="_Toc24021"/>
      <w:bookmarkStart w:id="48" w:name="_Toc21005"/>
      <w:bookmarkStart w:id="49" w:name="_Toc27910"/>
    </w:p>
    <w:p>
      <w:pPr>
        <w:pageBreakBefore w:val="0"/>
        <w:kinsoku/>
        <w:wordWrap/>
        <w:overflowPunct/>
        <w:topLinePunct w:val="0"/>
        <w:bidi w:val="0"/>
        <w:spacing w:line="576" w:lineRule="exact"/>
        <w:ind w:left="0" w:leftChars="0"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4"/>
      <w:bookmarkEnd w:id="45"/>
      <w:bookmarkEnd w:id="46"/>
      <w:bookmarkEnd w:id="47"/>
      <w:bookmarkEnd w:id="48"/>
      <w:bookmarkEnd w:id="49"/>
    </w:p>
    <w:p>
      <w:pPr>
        <w:pageBreakBefore w:val="0"/>
        <w:kinsoku/>
        <w:wordWrap/>
        <w:overflowPunct/>
        <w:topLinePunct w:val="0"/>
        <w:bidi w:val="0"/>
        <w:spacing w:line="576" w:lineRule="exact"/>
        <w:ind w:left="0" w:leftChars="0" w:firstLine="640"/>
        <w:rPr>
          <w:rFonts w:hint="eastAsia" w:ascii="Times New Roman" w:hAnsi="Times New Roman" w:eastAsia="仿宋"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2025年度财政拨款收入、支出总计均为151.42万元。与2024年度相比，财政拨款收入总计、支出总计各增加28.28万元，增长22.97%。主要变动原因是：人员工资保险的变动以及项目增加</w:t>
      </w:r>
      <w:r>
        <w:rPr>
          <w:rFonts w:hint="eastAsia" w:ascii="仿宋" w:hAnsi="仿宋" w:eastAsia="仿宋"/>
          <w:color w:val="000000"/>
          <w:sz w:val="32"/>
          <w:szCs w:val="32"/>
          <w:lang w:eastAsia="zh-CN"/>
        </w:rPr>
        <w:t>。</w:t>
      </w:r>
    </w:p>
    <w:p>
      <w:pPr>
        <w:pageBreakBefore w:val="0"/>
        <w:kinsoku/>
        <w:wordWrap/>
        <w:overflowPunct/>
        <w:topLinePunct w:val="0"/>
        <w:bidi w:val="0"/>
        <w:spacing w:line="576" w:lineRule="exact"/>
        <w:rPr>
          <w:rFonts w:hint="eastAsia" w:ascii="Times New Roman" w:hAnsi="Times New Roman" w:eastAsia="仿宋_GB2312" w:cs="仿宋_GB2312"/>
          <w:color w:val="auto"/>
          <w:kern w:val="2"/>
          <w:sz w:val="32"/>
          <w:szCs w:val="32"/>
          <w:highlight w:val="none"/>
          <w:lang w:val="en-US" w:eastAsia="zh-CN" w:bidi="ar-SA"/>
        </w:rPr>
      </w:pPr>
      <w:r>
        <w:rPr>
          <w:rFonts w:ascii="仿宋" w:hAnsi="Times New Roman" w:eastAsia="仿宋"/>
          <w:color w:val="000000"/>
          <w:sz w:val="32"/>
          <w:szCs w:val="32"/>
        </w:rPr>
        <w:pict>
          <v:shape id="Object 10" o:spid="_x0000_s1037" o:spt="75" type="#_x0000_t75" style="position:absolute;left:0pt;margin-left:54.8pt;margin-top:5.4pt;height:222.7pt;width:328.4pt;z-index:-251654144;mso-width-relative:page;mso-height-relative:page;" o:ole="t" filled="f" o:preferrelative="t" stroked="f" coordsize="21600,21600">
            <v:path/>
            <v:fill on="f" focussize="0,0"/>
            <v:stroke on="f"/>
            <v:imagedata r:id="rId17" o:title=""/>
            <o:lock v:ext="edit" aspectratio="t"/>
          </v:shape>
          <o:OLEObject Type="Embed" ProgID="Excel.Chart.8" ShapeID="Object 10" DrawAspect="Content" ObjectID="_1468075728" r:id="rId16">
            <o:LockedField>false</o:LockedField>
          </o:OLEObject>
        </w:pict>
      </w: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firstLineChars="200"/>
        <w:outlineLvl w:val="1"/>
        <w:rPr>
          <w:rFonts w:hint="eastAsia" w:ascii="Times New Roman" w:hAnsi="Times New Roman" w:eastAsia="黑体"/>
          <w:color w:val="auto"/>
          <w:sz w:val="32"/>
          <w:szCs w:val="32"/>
          <w:highlight w:val="none"/>
        </w:rPr>
      </w:pPr>
      <w:bookmarkStart w:id="50" w:name="_Toc15396607"/>
      <w:bookmarkStart w:id="51" w:name="_Toc15377209"/>
      <w:bookmarkStart w:id="52" w:name="_Toc23543"/>
    </w:p>
    <w:p>
      <w:pPr>
        <w:pageBreakBefore w:val="0"/>
        <w:kinsoku/>
        <w:wordWrap/>
        <w:overflowPunct/>
        <w:topLinePunct w:val="0"/>
        <w:bidi w:val="0"/>
        <w:spacing w:line="576" w:lineRule="exact"/>
        <w:ind w:left="0" w:leftChars="0" w:firstLine="640" w:firstLineChars="200"/>
        <w:outlineLvl w:val="1"/>
        <w:rPr>
          <w:rStyle w:val="30"/>
          <w:rFonts w:ascii="Times New Roman" w:hAnsi="Times New Roman" w:eastAsia="黑体"/>
          <w:b w:val="0"/>
          <w:color w:val="auto"/>
          <w:highlight w:val="none"/>
        </w:rPr>
      </w:pPr>
      <w:bookmarkStart w:id="53" w:name="_Toc1252"/>
      <w:bookmarkStart w:id="54" w:name="_Toc14551"/>
      <w:bookmarkStart w:id="55" w:name="_Toc29056"/>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50"/>
      <w:bookmarkEnd w:id="51"/>
      <w:bookmarkEnd w:id="52"/>
      <w:bookmarkEnd w:id="53"/>
      <w:bookmarkEnd w:id="54"/>
      <w:bookmarkEnd w:id="55"/>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56" w:name="_Toc19588"/>
      <w:bookmarkStart w:id="57" w:name="_Toc15377210"/>
      <w:bookmarkStart w:id="58" w:name="_Toc11667"/>
      <w:bookmarkStart w:id="59" w:name="_Toc4673"/>
      <w:r>
        <w:rPr>
          <w:rFonts w:hint="eastAsia" w:ascii="Times New Roman" w:hAnsi="Times New Roman" w:eastAsia="楷体_GB2312" w:cs="楷体_GB2312"/>
          <w:b/>
          <w:color w:val="auto"/>
          <w:sz w:val="32"/>
          <w:szCs w:val="32"/>
          <w:highlight w:val="none"/>
        </w:rPr>
        <w:t>（一）一般公共预算财政拨款支出决算总体情况</w:t>
      </w:r>
      <w:bookmarkEnd w:id="56"/>
      <w:bookmarkEnd w:id="57"/>
      <w:bookmarkEnd w:id="58"/>
      <w:bookmarkEnd w:id="59"/>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2025年度一般公共预算财政拨款支出131.43万元，占本年支出合计的86.8%。与2024年度相比，一般公共预算财政拨款支出增加8.29万元，增长6.7%。主要变动原因是：人员工资保险的变动。</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ageBreakBefore w:val="0"/>
        <w:kinsoku/>
        <w:wordWrap/>
        <w:overflowPunct/>
        <w:topLinePunct w:val="0"/>
        <w:bidi w:val="0"/>
        <w:spacing w:line="576" w:lineRule="exact"/>
        <w:rPr>
          <w:rFonts w:hint="eastAsia" w:ascii="仿宋_GB2312" w:hAnsi="仿宋_GB2312"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firstLineChars="200"/>
        <w:outlineLvl w:val="9"/>
        <w:rPr>
          <w:rFonts w:hint="eastAsia" w:ascii="Times New Roman" w:hAnsi="Times New Roman" w:eastAsia="楷体_GB2312" w:cs="楷体_GB2312"/>
          <w:b/>
          <w:color w:val="auto"/>
          <w:sz w:val="32"/>
          <w:szCs w:val="32"/>
          <w:highlight w:val="none"/>
        </w:rPr>
      </w:pPr>
      <w:bookmarkStart w:id="60" w:name="_Toc15377211"/>
      <w:r>
        <w:rPr>
          <w:rFonts w:ascii="仿宋" w:hAnsi="Times New Roman" w:eastAsia="仿宋"/>
          <w:color w:val="000000"/>
          <w:sz w:val="32"/>
          <w:szCs w:val="32"/>
        </w:rPr>
        <w:pict>
          <v:shape id="Object 11" o:spid="_x0000_s1038" o:spt="75" type="#_x0000_t75" style="position:absolute;left:0pt;margin-left:38pt;margin-top:12.15pt;height:213.75pt;width:345pt;z-index:-251653120;mso-width-relative:page;mso-height-relative:page;" o:ole="t" filled="f" o:preferrelative="t" stroked="f" coordsize="21600,21600">
            <v:path/>
            <v:fill on="f" focussize="0,0"/>
            <v:stroke on="f"/>
            <v:imagedata r:id="rId19" o:title=""/>
            <o:lock v:ext="edit" aspectratio="t"/>
          </v:shape>
          <o:OLEObject Type="Embed" ProgID="Excel.Chart.8" ShapeID="Object 11" DrawAspect="Content" ObjectID="_1468075729" r:id="rId18">
            <o:LockedField>false</o:LockedField>
          </o:OLEObject>
        </w:pict>
      </w: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9"/>
        <w:rPr>
          <w:rFonts w:hint="eastAsia" w:ascii="Times New Roman" w:hAnsi="Times New Roman" w:eastAsia="楷体_GB2312" w:cs="楷体_GB2312"/>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61" w:name="_Toc28345"/>
      <w:bookmarkStart w:id="62" w:name="_Toc3113"/>
      <w:bookmarkStart w:id="63" w:name="_Toc2530"/>
      <w:r>
        <w:rPr>
          <w:rFonts w:hint="eastAsia" w:ascii="Times New Roman" w:hAnsi="Times New Roman" w:eastAsia="楷体_GB2312" w:cs="楷体_GB2312"/>
          <w:b/>
          <w:color w:val="auto"/>
          <w:sz w:val="32"/>
          <w:szCs w:val="32"/>
          <w:highlight w:val="none"/>
        </w:rPr>
        <w:t>（二）一般公共预算财政拨款支出决算结构情况</w:t>
      </w:r>
      <w:bookmarkEnd w:id="60"/>
      <w:bookmarkEnd w:id="61"/>
      <w:bookmarkEnd w:id="62"/>
      <w:bookmarkEnd w:id="63"/>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2025年度一般公共预算财政拨款支出131.43万元，主要用于以下方面：社会保障和就业支出114.69万元，占87.3%；卫生健康支出7万元，占5.3%；住房保障支出9.74万元，占7.4%。</w:t>
      </w:r>
    </w:p>
    <w:p>
      <w:pPr>
        <w:pageBreakBefore w:val="0"/>
        <w:kinsoku/>
        <w:wordWrap/>
        <w:overflowPunct/>
        <w:topLinePunct w:val="0"/>
        <w:bidi w:val="0"/>
        <w:spacing w:line="576" w:lineRule="exact"/>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ascii="仿宋" w:hAnsi="Times New Roman" w:eastAsia="仿宋"/>
          <w:color w:val="000000"/>
          <w:kern w:val="2"/>
          <w:sz w:val="32"/>
          <w:szCs w:val="32"/>
        </w:rPr>
        <w:pict>
          <v:shape id="Object 13" o:spid="_x0000_s1039" o:spt="75" type="#_x0000_t75" style="position:absolute;left:0pt;margin-left:64.9pt;margin-top:9.45pt;height:222.75pt;width:325.55pt;z-index:-251652096;mso-width-relative:page;mso-height-relative:page;" o:ole="t" filled="f" o:preferrelative="t" stroked="f" coordsize="21600,21600">
            <v:path/>
            <v:fill on="f" focussize="0,0"/>
            <v:stroke on="f"/>
            <v:imagedata r:id="rId21" o:title=""/>
            <o:lock v:ext="edit" aspectratio="t"/>
          </v:shape>
          <o:OLEObject Type="Embed" ProgID="Excel.Chart.8" ShapeID="Object 13" DrawAspect="Content" ObjectID="_1468075730" r:id="rId20">
            <o:LockedField>false</o:LockedField>
          </o:OLEObject>
        </w:pict>
      </w: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64" w:name="_Toc10242"/>
      <w:bookmarkStart w:id="65" w:name="_Toc4411"/>
      <w:bookmarkStart w:id="66" w:name="_Toc15377212"/>
      <w:bookmarkStart w:id="67" w:name="_Toc25309"/>
      <w:r>
        <w:rPr>
          <w:rFonts w:hint="eastAsia" w:ascii="Times New Roman" w:hAnsi="Times New Roman" w:eastAsia="楷体_GB2312" w:cs="楷体_GB2312"/>
          <w:b/>
          <w:color w:val="auto"/>
          <w:sz w:val="32"/>
          <w:szCs w:val="32"/>
          <w:highlight w:val="none"/>
        </w:rPr>
        <w:t>（三）一般公共预算财政拨款支出决算具体情况</w:t>
      </w:r>
      <w:bookmarkEnd w:id="64"/>
      <w:bookmarkEnd w:id="65"/>
      <w:bookmarkEnd w:id="66"/>
      <w:bookmarkEnd w:id="67"/>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bookmarkStart w:id="68" w:name="_Toc15377444"/>
      <w:bookmarkStart w:id="69" w:name="_Toc15378460"/>
      <w:bookmarkStart w:id="70" w:name="_Toc15377213"/>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2025年度一般公共预算财政拨款支出决算数为131.43万元，完成预算100%。其中：</w:t>
      </w:r>
      <w:bookmarkEnd w:id="68"/>
      <w:bookmarkEnd w:id="69"/>
      <w:bookmarkEnd w:id="70"/>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1.社会保障和就业支出（类）行政事业单位离退休（款）机关事业单位养老保险缴费支出（项）:2025年决算数为11.73万元，完成预算100%，决算数与预算数持平。</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2.社会保障和就业支出（类）行政事业单位离退休（款）机关事业单位职业年金缴费支出（项）：2025年决算数为:5.87万元，完成预算100%，决算数与预算数持平。</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3.社会保障和就业支出（类）红十字事业（款）行政运行（项）：2025年决算数为96.59万元，完成预算100%，决算数与预算数持平。</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4.社会保障和就业支出（类）红十字事业（款）其他红十字事业支出（项）：2025年决算数为0.5万元，完成预算100%，决算数与预算数持平。</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5.医疗卫生与计划生育支出（类）行政事业单位医疗（款）行政单位医疗（项）：2025年决算数为7万元，完成预算100%，决算数与预算数持平。</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6.住房保障支出（类）住房改革支出（款）住房公积金（项）：2025年决算数为9.74万元，完成预算100%，决算数与预算数持平。</w:t>
      </w:r>
    </w:p>
    <w:p>
      <w:pPr>
        <w:pageBreakBefore w:val="0"/>
        <w:tabs>
          <w:tab w:val="right" w:pos="8306"/>
        </w:tabs>
        <w:kinsoku/>
        <w:wordWrap/>
        <w:overflowPunct/>
        <w:topLinePunct w:val="0"/>
        <w:bidi w:val="0"/>
        <w:spacing w:line="576" w:lineRule="exact"/>
        <w:ind w:left="0" w:leftChars="0" w:firstLine="640" w:firstLineChars="0"/>
        <w:outlineLvl w:val="1"/>
        <w:rPr>
          <w:rStyle w:val="30"/>
          <w:rFonts w:ascii="Times New Roman" w:hAnsi="Times New Roman"/>
          <w:color w:val="auto"/>
          <w:highlight w:val="none"/>
        </w:rPr>
      </w:pPr>
      <w:bookmarkStart w:id="71" w:name="_Toc18062"/>
      <w:bookmarkStart w:id="72" w:name="_Toc15396608"/>
      <w:bookmarkStart w:id="73" w:name="_Toc15377214"/>
      <w:bookmarkStart w:id="74" w:name="_Toc15272"/>
      <w:bookmarkStart w:id="75" w:name="_Toc21067"/>
      <w:bookmarkStart w:id="76" w:name="_Toc6326"/>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71"/>
      <w:bookmarkEnd w:id="72"/>
      <w:bookmarkEnd w:id="73"/>
      <w:bookmarkEnd w:id="74"/>
      <w:bookmarkEnd w:id="75"/>
      <w:bookmarkEnd w:id="76"/>
      <w:r>
        <w:rPr>
          <w:rStyle w:val="30"/>
          <w:rFonts w:ascii="Times New Roman" w:hAnsi="Times New Roman" w:eastAsia="黑体"/>
          <w:b w:val="0"/>
          <w:color w:val="auto"/>
          <w:highlight w:val="none"/>
        </w:rPr>
        <w:tab/>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2025年度一般公共预算财政拨款基本支出130.93万元，其中：</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人员经费123.28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公用经费7.65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ageBreakBefore w:val="0"/>
        <w:tabs>
          <w:tab w:val="right" w:pos="8306"/>
        </w:tabs>
        <w:kinsoku/>
        <w:wordWrap/>
        <w:overflowPunct/>
        <w:topLinePunct w:val="0"/>
        <w:bidi w:val="0"/>
        <w:spacing w:line="576" w:lineRule="exact"/>
        <w:ind w:left="0" w:leftChars="0" w:firstLine="640" w:firstLineChars="0"/>
        <w:outlineLvl w:val="1"/>
        <w:rPr>
          <w:rFonts w:hint="eastAsia" w:ascii="Times New Roman" w:hAnsi="Times New Roman" w:eastAsia="黑体"/>
          <w:color w:val="auto"/>
          <w:sz w:val="32"/>
          <w:szCs w:val="32"/>
          <w:highlight w:val="none"/>
          <w:lang w:val="en-US" w:eastAsia="zh-CN"/>
        </w:rPr>
      </w:pPr>
      <w:bookmarkStart w:id="77" w:name="_Toc15377215"/>
      <w:bookmarkStart w:id="78" w:name="_Toc15396609"/>
      <w:bookmarkStart w:id="79" w:name="_Toc20148"/>
      <w:r>
        <w:rPr>
          <w:rFonts w:hint="eastAsia" w:ascii="Times New Roman" w:hAnsi="Times New Roman" w:eastAsia="黑体"/>
          <w:color w:val="auto"/>
          <w:sz w:val="32"/>
          <w:szCs w:val="32"/>
          <w:highlight w:val="none"/>
          <w:lang w:val="en-US" w:eastAsia="zh-CN"/>
        </w:rPr>
        <w:t>七、财政拨款“三公”经费支出决算情况说明</w:t>
      </w:r>
      <w:bookmarkEnd w:id="77"/>
      <w:bookmarkEnd w:id="78"/>
      <w:bookmarkEnd w:id="79"/>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bookmarkStart w:id="80" w:name="_Toc17926"/>
      <w:bookmarkStart w:id="81" w:name="_Toc15377216"/>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（一）“三公”经费财政拨款支出决算总体情况说明</w:t>
      </w:r>
      <w:bookmarkEnd w:id="80"/>
      <w:bookmarkEnd w:id="81"/>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2025年度“三公”经费财政拨款支出决算为1.74万元，完成预算43.5%，与2024年相比增加1.5万元，增长625%。主要原因是：车辆老旧。</w:t>
      </w: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82" w:name="_Toc19477"/>
      <w:bookmarkStart w:id="83" w:name="_Toc22622"/>
      <w:bookmarkStart w:id="84" w:name="_Toc10323"/>
      <w:bookmarkStart w:id="8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82"/>
      <w:bookmarkEnd w:id="83"/>
      <w:bookmarkEnd w:id="84"/>
      <w:bookmarkEnd w:id="85"/>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 w:hAnsi="Times New Roman" w:eastAsia="仿宋"/>
          <w:color w:val="000000"/>
          <w:sz w:val="32"/>
          <w:szCs w:val="32"/>
        </w:rPr>
        <w:pict>
          <v:shape id="Object 14" o:spid="_x0000_s1040" o:spt="75" type="#_x0000_t75" style="position:absolute;left:0pt;margin-left:69pt;margin-top:67.65pt;height:165.5pt;width:276.9pt;z-index:-251651072;mso-width-relative:page;mso-height-relative:page;" o:ole="t" filled="f" o:preferrelative="t" stroked="f" coordsize="21600,21600">
            <v:path/>
            <v:fill on="f" focussize="0,0"/>
            <v:stroke on="f"/>
            <v:imagedata r:id="rId23" o:title=""/>
            <o:lock v:ext="edit" aspectratio="t"/>
          </v:shape>
          <o:OLEObject Type="Embed" ProgID="Excel.Chart.8" ShapeID="Object 14" DrawAspect="Content" ObjectID="_1468075731" r:id="rId22">
            <o:LockedField>false</o:LockedField>
          </o:OLEObject>
        </w:pic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2025年度“三公”经费财政拨款支出决算中，公务用车购置及运行维护费支出决算1.74万元，占100%。具体情况如下：</w:t>
      </w: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bidi w:val="0"/>
        <w:snapToGrid/>
        <w:spacing w:line="576" w:lineRule="exact"/>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全年安排因公出国（境）团组，出国0万元。</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1.74万元，完成预算43.5%。公务用车购置及运行维护费支出决算与2024年相比增加1.5万元，增长625%。主要原因是：车辆老旧。</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截至2025年12月31日，单位共有公务用车1辆，其中：轿车0辆、越野车1辆、载客汽车0辆。</w:t>
      </w:r>
    </w:p>
    <w:p>
      <w:pPr>
        <w:pageBreakBefore w:val="0"/>
        <w:kinsoku/>
        <w:wordWrap/>
        <w:overflowPunct/>
        <w:topLinePunct w:val="0"/>
        <w:bidi w:val="0"/>
        <w:spacing w:line="576" w:lineRule="exact"/>
        <w:ind w:left="0" w:leftChars="0" w:firstLine="64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公务用车运行维护费支出1.74万元。与2024年相比增加</w:t>
      </w:r>
      <w:r>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1.5</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万元，增长625%。主要用于出差、下乡等所需的公务用车燃料费、维修费、过路过桥费、保险费等支出。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bookmarkStart w:id="86" w:name="_Toc15396610"/>
      <w:bookmarkStart w:id="87" w:name="_Toc15377218"/>
      <w:r>
        <w:rPr>
          <w:rFonts w:hint="eastAsia"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本年度公务接待费支出0万元，与2024年相比无变动。</w:t>
      </w:r>
    </w:p>
    <w:p>
      <w:pPr>
        <w:pageBreakBefore w:val="0"/>
        <w:kinsoku/>
        <w:wordWrap/>
        <w:overflowPunct/>
        <w:topLinePunct w:val="0"/>
        <w:bidi w:val="0"/>
        <w:spacing w:line="576" w:lineRule="exact"/>
        <w:ind w:left="0" w:leftChars="0" w:firstLine="640" w:firstLineChars="0"/>
        <w:outlineLvl w:val="1"/>
        <w:rPr>
          <w:rStyle w:val="30"/>
          <w:rFonts w:ascii="Times New Roman" w:hAnsi="Times New Roman" w:eastAsia="黑体"/>
          <w:color w:val="auto"/>
          <w:highlight w:val="none"/>
        </w:rPr>
      </w:pPr>
      <w:bookmarkStart w:id="88" w:name="_Toc24166"/>
      <w:bookmarkStart w:id="89" w:name="_Toc8665"/>
      <w:bookmarkStart w:id="90" w:name="_Toc23394"/>
      <w:bookmarkStart w:id="91" w:name="_Toc4659"/>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86"/>
      <w:bookmarkEnd w:id="87"/>
      <w:bookmarkEnd w:id="88"/>
      <w:bookmarkEnd w:id="89"/>
      <w:bookmarkEnd w:id="90"/>
      <w:bookmarkEnd w:id="91"/>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2025年度政府性基金预算财政拨款支出0万元。</w:t>
      </w:r>
    </w:p>
    <w:p>
      <w:pPr>
        <w:pageBreakBefore w:val="0"/>
        <w:numPr>
          <w:ilvl w:val="0"/>
          <w:numId w:val="0"/>
        </w:numPr>
        <w:kinsoku/>
        <w:wordWrap/>
        <w:overflowPunct/>
        <w:topLinePunct w:val="0"/>
        <w:bidi w:val="0"/>
        <w:spacing w:line="576" w:lineRule="exact"/>
        <w:ind w:left="0" w:leftChars="0" w:firstLine="640" w:firstLineChars="200"/>
        <w:outlineLvl w:val="1"/>
        <w:rPr>
          <w:rStyle w:val="30"/>
          <w:rFonts w:ascii="Times New Roman" w:hAnsi="Times New Roman" w:eastAsia="黑体"/>
          <w:b w:val="0"/>
          <w:color w:val="auto"/>
          <w:highlight w:val="none"/>
        </w:rPr>
      </w:pPr>
      <w:bookmarkStart w:id="92" w:name="_Toc7135"/>
      <w:bookmarkStart w:id="93" w:name="_Toc24724"/>
      <w:bookmarkStart w:id="94" w:name="_Toc4278"/>
      <w:bookmarkStart w:id="95" w:name="_Toc15396611"/>
      <w:bookmarkStart w:id="96" w:name="_Toc31586"/>
      <w:bookmarkStart w:id="9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92"/>
      <w:bookmarkEnd w:id="93"/>
      <w:bookmarkEnd w:id="94"/>
      <w:bookmarkEnd w:id="95"/>
      <w:bookmarkEnd w:id="96"/>
      <w:bookmarkEnd w:id="97"/>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2025年度国有资本经营预算财政拨款支出0万元。</w:t>
      </w:r>
    </w:p>
    <w:p>
      <w:pPr>
        <w:pageBreakBefore w:val="0"/>
        <w:numPr>
          <w:ilvl w:val="0"/>
          <w:numId w:val="0"/>
        </w:numPr>
        <w:kinsoku/>
        <w:wordWrap/>
        <w:overflowPunct/>
        <w:topLinePunct w:val="0"/>
        <w:bidi w:val="0"/>
        <w:spacing w:line="576" w:lineRule="exact"/>
        <w:ind w:left="0" w:leftChars="0" w:firstLine="640" w:firstLineChars="200"/>
        <w:outlineLvl w:val="1"/>
        <w:rPr>
          <w:rStyle w:val="30"/>
          <w:rFonts w:hint="eastAsia" w:ascii="Times New Roman" w:hAnsi="Times New Roman" w:eastAsia="黑体"/>
          <w:b w:val="0"/>
          <w:color w:val="auto"/>
          <w:highlight w:val="none"/>
        </w:rPr>
      </w:pPr>
      <w:bookmarkStart w:id="98" w:name="_Toc17947"/>
      <w:bookmarkStart w:id="99" w:name="_Toc15396612"/>
      <w:bookmarkStart w:id="100" w:name="_Toc23213"/>
      <w:bookmarkStart w:id="101" w:name="_Toc15377221"/>
      <w:bookmarkStart w:id="102" w:name="_Toc25522"/>
      <w:bookmarkStart w:id="103" w:name="_Toc32367"/>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98"/>
      <w:bookmarkEnd w:id="99"/>
      <w:bookmarkEnd w:id="100"/>
      <w:bookmarkEnd w:id="101"/>
      <w:bookmarkEnd w:id="102"/>
      <w:bookmarkEnd w:id="103"/>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104" w:name="_Toc15377222"/>
      <w:bookmarkStart w:id="105" w:name="_Toc13923"/>
      <w:bookmarkStart w:id="106" w:name="_Toc19199"/>
      <w:bookmarkStart w:id="107" w:name="_Toc3992"/>
      <w:r>
        <w:rPr>
          <w:rFonts w:hint="eastAsia" w:ascii="Times New Roman" w:hAnsi="Times New Roman" w:eastAsia="楷体_GB2312" w:cs="楷体_GB2312"/>
          <w:b/>
          <w:color w:val="auto"/>
          <w:sz w:val="32"/>
          <w:szCs w:val="32"/>
          <w:highlight w:val="none"/>
        </w:rPr>
        <w:t>（一）机关运行经费支出情况</w:t>
      </w:r>
      <w:bookmarkEnd w:id="104"/>
      <w:bookmarkEnd w:id="105"/>
      <w:bookmarkEnd w:id="106"/>
      <w:bookmarkEnd w:id="107"/>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2025年度，茂县红十字会机关运行经费支出7.65万元，与2024年相比增加2.7万元，增长54.5%。主要原因是：本年度增加彩票公益基金项目2个。</w:t>
      </w: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108" w:name="_Toc15377223"/>
      <w:bookmarkStart w:id="109" w:name="_Toc30164"/>
      <w:bookmarkStart w:id="110" w:name="_Toc1637"/>
      <w:bookmarkStart w:id="111" w:name="_Toc28379"/>
      <w:r>
        <w:rPr>
          <w:rFonts w:hint="eastAsia" w:ascii="Times New Roman" w:hAnsi="Times New Roman" w:eastAsia="楷体_GB2312" w:cs="楷体_GB2312"/>
          <w:b/>
          <w:color w:val="auto"/>
          <w:sz w:val="32"/>
          <w:szCs w:val="32"/>
          <w:highlight w:val="none"/>
        </w:rPr>
        <w:t>（二）政府采购支出情况</w:t>
      </w:r>
      <w:bookmarkEnd w:id="108"/>
      <w:bookmarkEnd w:id="109"/>
      <w:bookmarkEnd w:id="110"/>
      <w:bookmarkEnd w:id="111"/>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2025年度，茂县红十字会政府采购支出0万元。</w:t>
      </w: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112" w:name="_Toc13023"/>
      <w:bookmarkStart w:id="113" w:name="_Toc30591"/>
      <w:bookmarkStart w:id="114" w:name="_Toc421"/>
      <w:bookmarkStart w:id="115" w:name="_Toc15377224"/>
      <w:r>
        <w:rPr>
          <w:rFonts w:hint="eastAsia" w:ascii="Times New Roman" w:hAnsi="Times New Roman" w:eastAsia="楷体_GB2312" w:cs="楷体_GB2312"/>
          <w:b/>
          <w:color w:val="auto"/>
          <w:sz w:val="32"/>
          <w:szCs w:val="32"/>
          <w:highlight w:val="none"/>
        </w:rPr>
        <w:t>（三）国有资产占有使用情况</w:t>
      </w:r>
      <w:bookmarkEnd w:id="112"/>
      <w:bookmarkEnd w:id="113"/>
      <w:bookmarkEnd w:id="114"/>
      <w:bookmarkEnd w:id="115"/>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截至2025年12月31日，茂县红十字会共有车辆1辆，其中：主要负责人用车0辆、机要通信用车0辆、应急保障用车1辆、其他用车0辆。</w:t>
      </w:r>
    </w:p>
    <w:p>
      <w:pPr>
        <w:pageBreakBefore w:val="0"/>
        <w:kinsoku/>
        <w:wordWrap/>
        <w:overflowPunct/>
        <w:topLinePunct w:val="0"/>
        <w:bidi w:val="0"/>
        <w:spacing w:line="576" w:lineRule="exact"/>
        <w:ind w:left="0" w:leftChars="0" w:firstLine="642" w:firstLineChars="200"/>
        <w:outlineLvl w:val="2"/>
        <w:rPr>
          <w:rFonts w:hint="eastAsia" w:ascii="Times New Roman" w:hAnsi="Times New Roman" w:eastAsia="楷体_GB2312" w:cs="楷体_GB2312"/>
          <w:b/>
          <w:color w:val="auto"/>
          <w:sz w:val="32"/>
          <w:szCs w:val="32"/>
          <w:highlight w:val="none"/>
        </w:rPr>
      </w:pPr>
      <w:bookmarkStart w:id="116" w:name="_Toc17019"/>
      <w:bookmarkStart w:id="117" w:name="_Toc28088"/>
      <w:bookmarkStart w:id="118" w:name="_Toc8479"/>
      <w:r>
        <w:rPr>
          <w:rFonts w:hint="eastAsia" w:ascii="Times New Roman" w:hAnsi="Times New Roman" w:eastAsia="楷体_GB2312" w:cs="楷体_GB2312"/>
          <w:b/>
          <w:color w:val="auto"/>
          <w:sz w:val="32"/>
          <w:szCs w:val="32"/>
          <w:highlight w:val="none"/>
        </w:rPr>
        <w:t>（四）预算绩效管理情况</w:t>
      </w:r>
      <w:bookmarkEnd w:id="116"/>
      <w:bookmarkEnd w:id="117"/>
      <w:bookmarkEnd w:id="118"/>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根据预算绩效管理要求，我会在2025年度预算编制阶段，组织对红十字会事业发展工作经费项目开展了预算事前绩效评估，对2个项目编制了绩效目标，在预算执行过程中，选取2个项目开展绩效监控并开展绩效自评。此项目</w:t>
      </w:r>
      <w:r>
        <w:rPr>
          <w:rFonts w:hint="eastAsia" w:ascii="仿宋_GB2312" w:hAnsi="仿宋_GB2312" w:eastAsia="仿宋_GB2312" w:cs="仿宋_GB2312"/>
          <w:b w:val="0"/>
          <w:bCs w:val="0"/>
          <w:color w:val="000000" w:themeColor="text1"/>
          <w:kern w:val="2"/>
          <w:sz w:val="32"/>
          <w:szCs w:val="32"/>
          <w:highlight w:val="none"/>
          <w:lang w:val="zh-CN" w:eastAsia="zh-CN" w:bidi="ar-SA"/>
          <w14:textFill>
            <w14:solidFill>
              <w14:schemeClr w14:val="tx1"/>
            </w14:solidFill>
          </w14:textFill>
        </w:rPr>
        <w:t>提升了红十字会的服务能力，增强了其在灾害应对、救助、救护等方面的效能。强化了应急救援队伍的建设与培训、提高了物资储备和调配效率、扩大了健康教育和献血推广活动。</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    我会按要求对2025年部门整体支出开展绩效自评，自查自评结果良好，全年基本支出保障了部门的正常运行和日常工作的正常开展，项目支出保障了重点工作的开展，绩效目标得到较好实现，绩效管理水平不断提高，绩效指标体系逐渐丰富和完善。 </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    单位预算项目绩效自评报告及部门预算项目支出绩效自评表（2025年度）详见第四部分附件</w:t>
      </w:r>
      <w:bookmarkStart w:id="119" w:name="_Toc15396613"/>
      <w:bookmarkStart w:id="120" w:name="_Toc15377225"/>
      <w:bookmarkStart w:id="121" w:name="_Toc29989"/>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pStyle w:val="2"/>
        <w:rPr>
          <w:rFonts w:hint="eastAsia"/>
          <w:lang w:val="en-US" w:eastAsia="zh-CN"/>
        </w:rPr>
      </w:pPr>
    </w:p>
    <w:p>
      <w:pPr>
        <w:pageBreakBefore w:val="0"/>
        <w:numPr>
          <w:ilvl w:val="0"/>
          <w:numId w:val="0"/>
        </w:numPr>
        <w:kinsoku/>
        <w:wordWrap/>
        <w:overflowPunct/>
        <w:topLinePunct w:val="0"/>
        <w:bidi w:val="0"/>
        <w:spacing w:line="576" w:lineRule="exact"/>
        <w:ind w:left="0" w:leftChars="0"/>
        <w:jc w:val="center"/>
        <w:outlineLvl w:val="0"/>
        <w:rPr>
          <w:rFonts w:hint="eastAsia" w:ascii="方正小标宋简体" w:hAnsi="方正小标宋简体" w:eastAsia="方正小标宋简体" w:cs="方正小标宋简体"/>
          <w:color w:val="auto"/>
          <w:sz w:val="44"/>
          <w:szCs w:val="44"/>
          <w:highlight w:val="none"/>
        </w:rPr>
      </w:pPr>
      <w:bookmarkStart w:id="122" w:name="_Toc29194"/>
      <w:r>
        <w:rPr>
          <w:rFonts w:hint="eastAsia" w:ascii="方正小标宋简体" w:hAnsi="方正小标宋简体" w:eastAsia="方正小标宋简体" w:cs="方正小标宋简体"/>
          <w:color w:val="auto"/>
          <w:sz w:val="44"/>
          <w:szCs w:val="44"/>
          <w:highlight w:val="none"/>
        </w:rPr>
        <w:t>第</w:t>
      </w:r>
      <w:r>
        <w:rPr>
          <w:rFonts w:hint="eastAsia" w:ascii="方正小标宋简体" w:hAnsi="方正小标宋简体" w:eastAsia="方正小标宋简体" w:cs="方正小标宋简体"/>
          <w:color w:val="auto"/>
          <w:sz w:val="44"/>
          <w:szCs w:val="44"/>
          <w:highlight w:val="none"/>
          <w:lang w:eastAsia="zh-CN"/>
        </w:rPr>
        <w:t>三</w:t>
      </w:r>
      <w:r>
        <w:rPr>
          <w:rFonts w:hint="eastAsia" w:ascii="方正小标宋简体" w:hAnsi="方正小标宋简体" w:eastAsia="方正小标宋简体" w:cs="方正小标宋简体"/>
          <w:color w:val="auto"/>
          <w:sz w:val="44"/>
          <w:szCs w:val="44"/>
          <w:highlight w:val="none"/>
        </w:rPr>
        <w:t>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名词解释</w:t>
      </w:r>
      <w:bookmarkEnd w:id="119"/>
      <w:bookmarkEnd w:id="120"/>
      <w:bookmarkEnd w:id="121"/>
      <w:bookmarkEnd w:id="122"/>
    </w:p>
    <w:p>
      <w:pPr>
        <w:pageBreakBefore w:val="0"/>
        <w:kinsoku/>
        <w:wordWrap/>
        <w:overflowPunct/>
        <w:topLinePunct w:val="0"/>
        <w:bidi w:val="0"/>
        <w:spacing w:line="576" w:lineRule="exact"/>
        <w:ind w:left="0" w:leftChars="0"/>
        <w:jc w:val="left"/>
        <w:rPr>
          <w:rFonts w:ascii="Times New Roman" w:hAnsi="Times New Roman"/>
          <w:b/>
          <w:color w:val="auto"/>
          <w:sz w:val="44"/>
          <w:szCs w:val="44"/>
          <w:highlight w:val="none"/>
        </w:rPr>
      </w:pP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bookmarkStart w:id="123" w:name="_Toc28497"/>
      <w:bookmarkStart w:id="124" w:name="_Toc5538"/>
      <w:bookmarkStart w:id="125" w:name="_Toc27413"/>
      <w:bookmarkStart w:id="126" w:name="_Toc15377226"/>
      <w:r>
        <w:rPr>
          <w:rFonts w:hint="eastAsia" w:ascii="仿宋_GB2312" w:hAnsi="仿宋_GB2312" w:eastAsia="仿宋_GB2312" w:cs="仿宋_GB2312"/>
          <w:b w:val="0"/>
          <w:bCs w:val="0"/>
          <w:color w:val="auto"/>
          <w:kern w:val="2"/>
          <w:sz w:val="32"/>
          <w:szCs w:val="32"/>
          <w:highlight w:val="none"/>
          <w:lang w:val="en-US" w:eastAsia="zh-CN" w:bidi="ar-SA"/>
        </w:rPr>
        <w:t>1.财政拨款收入：指单位从同级财政部门取得的财政预算资金。</w:t>
      </w:r>
      <w:bookmarkEnd w:id="123"/>
      <w:bookmarkEnd w:id="124"/>
      <w:bookmarkEnd w:id="125"/>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2.事业收入：指事业单位开展专业业务活动及辅助活动取得的收入。</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3.经营收入：指事业单位在专业业务活动及其辅助活动之外开展非独立核算经营活动取得的收入。</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bookmarkStart w:id="127" w:name="_Toc27219"/>
      <w:bookmarkStart w:id="128" w:name="_Toc32244"/>
      <w:bookmarkStart w:id="129" w:name="_Toc9023"/>
      <w:r>
        <w:rPr>
          <w:rFonts w:hint="eastAsia" w:ascii="仿宋_GB2312" w:hAnsi="仿宋_GB2312" w:eastAsia="仿宋_GB2312" w:cs="仿宋_GB2312"/>
          <w:b w:val="0"/>
          <w:bCs w:val="0"/>
          <w:color w:val="auto"/>
          <w:kern w:val="2"/>
          <w:sz w:val="32"/>
          <w:szCs w:val="32"/>
          <w:highlight w:val="none"/>
          <w:lang w:val="en-US" w:eastAsia="zh-CN" w:bidi="ar-SA"/>
        </w:rPr>
        <w:t>4.其他收入：指单位取得的除上述收入以外的各项收入。</w:t>
      </w:r>
      <w:bookmarkEnd w:id="127"/>
      <w:bookmarkEnd w:id="128"/>
      <w:bookmarkEnd w:id="129"/>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 xml:space="preserve">6.年初结转和结余：指以前年度尚未完成、结转到本年按有关规定继续使用的资金。 </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7.结余分配：指事业单位按照事业单位会计制度的规定从非财政补助结余中分配的事业基金和职工福利基金等。</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8、年末结转和结余：指单位按有关规定结转到下年或以后年度继续使用的资金。</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9.社会保障和就业支出（类）行政事业单位离退休（款）机关事业单位养老保险缴费支出（项）:指机关事业单位实施养老保险制度由单位缴纳的基本养老保险缴费支出。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10.社会保障和就业支出（类）行政事业单位离退休（款）机关事业单位职业年金缴费支出（项）：指机关事业单位实施养老保险制度由单位缴纳的职业年金缴费支出。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11.社会保障和就业支出（类）红十字事业（款）行政运行（项）：指单位基本支出。</w:t>
      </w:r>
    </w:p>
    <w:p>
      <w:pPr>
        <w:pageBreakBefore w:val="0"/>
        <w:kinsoku/>
        <w:wordWrap/>
        <w:overflowPunct/>
        <w:topLinePunct w:val="0"/>
        <w:bidi w:val="0"/>
        <w:snapToGrid/>
        <w:spacing w:line="576" w:lineRule="exact"/>
        <w:ind w:left="0" w:leftChars="0" w:firstLine="640"/>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12.社会保障和就业支出（类）红十字事业（款）其他红十字事业支出（项）：指红十字事业行政运行的支出。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13.医疗卫生与计划生育支出（类）行政事业单位医疗（款）行政单位医疗（项）：指反映财政部门集中安排的行政事业单位基本养老保险缴费经费，未参加医疗保险的行政事业单位的公费医疗经费，按国家规定享受离休人员、红军老战士待遇人员的医疗经费。</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14.住房保障支出（类）住房改革支出（款）住房公积金（项）：指反映行政事业单位按人力资源和会保障部、财政部规定的基本工资和津贴补贴以及规定比例为职工缴纳的住房公积金。</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15.住房保障支出（类）住房改革支出（款）购房补贴（项）：指按房改政策规定，行政事业单位向符合条件职工（含离退休人员）、军队（含武警）向转役复原离退休人员发放的用于购买住房的补贴。</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16.基本支出：指为保障机构正常运转、完成日常工作任务而发生的人员支出和公用支出。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17.项目支出：指在基本支出之外为完成特定行政任务和事业发展目标所发生的支出。 </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18.经营支出：指事业单位在专业业务活动及其辅助活动之外开展非独立核算经营活动发生的支出。</w:t>
      </w:r>
    </w:p>
    <w:p>
      <w:pPr>
        <w:pageBreakBefore w:val="0"/>
        <w:kinsoku/>
        <w:wordWrap/>
        <w:overflowPunct/>
        <w:topLinePunct w:val="0"/>
        <w:bidi w:val="0"/>
        <w:snapToGrid/>
        <w:spacing w:line="576" w:lineRule="exact"/>
        <w:ind w:left="0" w:leftChars="0" w:firstLine="64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kinsoku/>
        <w:wordWrap/>
        <w:overflowPunct/>
        <w:topLinePunct w:val="0"/>
        <w:bidi w:val="0"/>
        <w:snapToGrid/>
        <w:spacing w:line="576" w:lineRule="exact"/>
        <w:ind w:left="0" w:leftChars="0" w:firstLine="640"/>
        <w:textAlignment w:val="auto"/>
        <w:rPr>
          <w:rStyle w:val="29"/>
          <w:rFonts w:hint="eastAsia" w:ascii="Times New Roman" w:hAnsi="Times New Roman" w:eastAsia="黑体"/>
          <w:b w:val="0"/>
          <w:color w:val="auto"/>
          <w:sz w:val="44"/>
          <w:szCs w:val="44"/>
          <w:highlight w:val="none"/>
          <w:lang w:eastAsia="zh-CN"/>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_GB2312" w:eastAsia="仿宋_GB2312" w:cs="仿宋_GB2312"/>
          <w:b w:val="0"/>
          <w:bCs w:val="0"/>
          <w:color w:val="auto"/>
          <w:kern w:val="2"/>
          <w:sz w:val="32"/>
          <w:szCs w:val="32"/>
          <w:highlight w:val="none"/>
          <w:lang w:val="en-US" w:eastAsia="zh-CN" w:bidi="ar-SA"/>
        </w:rPr>
        <w:br w:type="page"/>
      </w:r>
      <w:bookmarkStart w:id="130" w:name="_Toc15396614"/>
      <w:r>
        <w:rPr>
          <w:rFonts w:hint="eastAsia" w:eastAsia="仿宋_GB2312" w:cs="仿宋_GB2312"/>
          <w:color w:val="auto"/>
          <w:kern w:val="2"/>
          <w:sz w:val="32"/>
          <w:szCs w:val="32"/>
          <w:highlight w:val="none"/>
          <w:lang w:val="en-US" w:eastAsia="zh-CN" w:bidi="ar-SA"/>
        </w:rPr>
        <w:t xml:space="preserve">                </w:t>
      </w:r>
      <w:r>
        <w:rPr>
          <w:rFonts w:hint="eastAsia" w:ascii="方正小标宋简体" w:hAnsi="方正小标宋简体" w:eastAsia="方正小标宋简体" w:cs="方正小标宋简体"/>
          <w:color w:val="auto"/>
          <w:sz w:val="44"/>
          <w:szCs w:val="44"/>
          <w:highlight w:val="none"/>
        </w:rPr>
        <w:t>第四部分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 xml:space="preserve"> 附</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件</w:t>
      </w:r>
      <w:bookmarkEnd w:id="130"/>
    </w:p>
    <w:p>
      <w:pPr>
        <w:keepNext w:val="0"/>
        <w:keepLines w:val="0"/>
        <w:pageBreakBefore w:val="0"/>
        <w:kinsoku/>
        <w:wordWrap/>
        <w:overflowPunct/>
        <w:topLinePunct w:val="0"/>
        <w:autoSpaceDE/>
        <w:autoSpaceDN/>
        <w:bidi w:val="0"/>
        <w:spacing w:line="576" w:lineRule="exact"/>
        <w:ind w:left="0" w:leftChars="0"/>
        <w:jc w:val="left"/>
        <w:textAlignment w:val="auto"/>
        <w:outlineLvl w:val="9"/>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6" w:lineRule="exact"/>
        <w:ind w:left="0" w:leftChars="0"/>
        <w:jc w:val="left"/>
        <w:textAlignment w:val="auto"/>
        <w:outlineLvl w:val="1"/>
        <w:rPr>
          <w:rFonts w:hint="eastAsia" w:ascii="Times New Roman" w:hAnsi="Times New Roman" w:eastAsia="黑体" w:cs="方正小标宋简体"/>
          <w:color w:val="auto"/>
          <w:sz w:val="44"/>
          <w:szCs w:val="44"/>
          <w:highlight w:val="none"/>
          <w:lang w:val="en-US" w:eastAsia="zh-CN"/>
        </w:rPr>
      </w:pPr>
      <w:bookmarkStart w:id="131" w:name="_Toc24008"/>
      <w:bookmarkStart w:id="132" w:name="_Toc20625"/>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131"/>
      <w:bookmarkEnd w:id="132"/>
    </w:p>
    <w:p>
      <w:pPr>
        <w:keepNext w:val="0"/>
        <w:keepLines w:val="0"/>
        <w:pageBreakBefore w:val="0"/>
        <w:widowControl/>
        <w:kinsoku/>
        <w:wordWrap/>
        <w:overflowPunct/>
        <w:topLinePunct w:val="0"/>
        <w:autoSpaceDE/>
        <w:autoSpaceDN/>
        <w:bidi w:val="0"/>
        <w:spacing w:line="576" w:lineRule="exact"/>
        <w:ind w:left="0" w:left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hint="eastAsia" w:ascii="黑体" w:hAnsi="黑体" w:eastAsia="黑体" w:cs="黑体"/>
          <w:b/>
          <w:bCs w:val="0"/>
          <w:sz w:val="44"/>
          <w:szCs w:val="44"/>
          <w:shd w:val="clear" w:color="auto" w:fill="FFFFFF"/>
          <w:lang w:eastAsia="zh-CN"/>
        </w:rPr>
      </w:pPr>
      <w:r>
        <w:rPr>
          <w:rFonts w:hint="eastAsia" w:ascii="黑体" w:hAnsi="黑体" w:eastAsia="黑体" w:cs="黑体"/>
          <w:b/>
          <w:bCs w:val="0"/>
          <w:sz w:val="44"/>
          <w:szCs w:val="44"/>
          <w:shd w:val="clear" w:color="auto" w:fill="FFFFFF"/>
          <w:lang w:eastAsia="zh-CN"/>
        </w:rPr>
        <w:t>茂县红十字会</w:t>
      </w:r>
    </w:p>
    <w:p>
      <w:pPr>
        <w:widowControl/>
        <w:spacing w:line="578" w:lineRule="exact"/>
        <w:contextualSpacing/>
        <w:jc w:val="center"/>
        <w:rPr>
          <w:szCs w:val="32"/>
          <w:shd w:val="clear" w:color="auto" w:fill="FFFFFF"/>
        </w:rPr>
      </w:pPr>
      <w:r>
        <w:rPr>
          <w:rFonts w:hint="eastAsia" w:ascii="黑体" w:hAnsi="黑体" w:eastAsia="黑体" w:cs="黑体"/>
          <w:b/>
          <w:bCs w:val="0"/>
          <w:sz w:val="44"/>
          <w:szCs w:val="44"/>
          <w:shd w:val="clear" w:color="auto" w:fill="FFFFFF"/>
          <w:lang w:val="en-US" w:eastAsia="zh-CN"/>
        </w:rPr>
        <w:t>2025年</w:t>
      </w:r>
      <w:r>
        <w:rPr>
          <w:rFonts w:hint="eastAsia" w:ascii="黑体" w:hAnsi="黑体" w:eastAsia="黑体" w:cs="黑体"/>
          <w:b/>
          <w:bCs w:val="0"/>
          <w:sz w:val="44"/>
          <w:szCs w:val="44"/>
          <w:shd w:val="clear" w:color="auto" w:fill="FFFFFF"/>
        </w:rPr>
        <w:t>部门预算绩效评价报告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hint="eastAsia" w:ascii="黑体" w:hAnsi="黑体" w:eastAsia="黑体" w:cs="黑体"/>
          <w:sz w:val="32"/>
          <w:szCs w:val="32"/>
        </w:rPr>
      </w:pPr>
      <w:r>
        <w:rPr>
          <w:rFonts w:hint="eastAsia" w:ascii="黑体" w:hAnsi="黑体" w:eastAsia="黑体" w:cs="黑体"/>
          <w:color w:val="000000"/>
          <w:kern w:val="0"/>
          <w:sz w:val="32"/>
          <w:szCs w:val="32"/>
          <w:shd w:val="clear" w:color="auto" w:fill="FFFFFF"/>
          <w:lang w:val="zh-CN"/>
        </w:rPr>
        <w:t>一、部门（单位）基本情况</w:t>
      </w:r>
    </w:p>
    <w:p>
      <w:pPr>
        <w:keepNext w:val="0"/>
        <w:keepLines w:val="0"/>
        <w:pageBreakBefore w:val="0"/>
        <w:kinsoku/>
        <w:wordWrap/>
        <w:overflowPunct/>
        <w:topLinePunct w:val="0"/>
        <w:autoSpaceDE/>
        <w:autoSpaceDN/>
        <w:bidi w:val="0"/>
        <w:snapToGrid w:val="0"/>
        <w:spacing w:line="576" w:lineRule="exact"/>
        <w:ind w:firstLine="642" w:firstLineChars="200"/>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（一）机构组成</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茂县</w:t>
      </w:r>
      <w:r>
        <w:rPr>
          <w:rFonts w:hint="eastAsia" w:ascii="仿宋_GB2312" w:hAnsi="仿宋_GB2312" w:eastAsia="仿宋_GB2312" w:cs="仿宋_GB2312"/>
          <w:sz w:val="32"/>
          <w:szCs w:val="32"/>
        </w:rPr>
        <w:t>红十字会为独立的一级预算单位，内设机构共二个：办公室、综合股。茂县红十字会编制共6名，其中：参公管理6名（含1名工勤）。</w:t>
      </w:r>
    </w:p>
    <w:p>
      <w:pPr>
        <w:keepNext w:val="0"/>
        <w:keepLines w:val="0"/>
        <w:pageBreakBefore w:val="0"/>
        <w:kinsoku/>
        <w:wordWrap/>
        <w:overflowPunct/>
        <w:topLinePunct w:val="0"/>
        <w:autoSpaceDE/>
        <w:autoSpaceDN/>
        <w:bidi w:val="0"/>
        <w:snapToGrid w:val="0"/>
        <w:spacing w:line="576" w:lineRule="exact"/>
        <w:ind w:firstLine="642" w:firstLineChars="200"/>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（二）机构职能</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主要职责是：</w:t>
      </w:r>
      <w:r>
        <w:rPr>
          <w:rFonts w:hint="eastAsia" w:ascii="仿宋_GB2312" w:hAnsi="仿宋_GB2312" w:eastAsia="仿宋_GB2312" w:cs="仿宋_GB2312"/>
          <w:sz w:val="32"/>
          <w:szCs w:val="32"/>
        </w:rPr>
        <w:t>传播国际红十字运动知识和国际人道主义法。宣传、贯彻《中华人民共和国红十字会法》，依照红十字会法和红十字章程组织协调开展我县红十字会工作；开展备灾救灾工作。在自然灾害和突发事件中,开展救护和救助工作;依法接受国内外组织和个人的捐赠,及时向灾区群众和受难者提供人道主义援助,突发事件中对受害者组织实施救助工作。</w:t>
      </w:r>
    </w:p>
    <w:p>
      <w:pPr>
        <w:keepNext w:val="0"/>
        <w:keepLines w:val="0"/>
        <w:pageBreakBefore w:val="0"/>
        <w:kinsoku/>
        <w:wordWrap/>
        <w:overflowPunct/>
        <w:topLinePunct w:val="0"/>
        <w:autoSpaceDE/>
        <w:autoSpaceDN/>
        <w:bidi w:val="0"/>
        <w:snapToGrid w:val="0"/>
        <w:spacing w:line="576" w:lineRule="exact"/>
        <w:ind w:firstLine="642" w:firstLineChars="200"/>
        <w:textAlignment w:val="auto"/>
        <w:rPr>
          <w:rFonts w:hint="eastAsia" w:ascii="仿宋_GB2312" w:hAnsi="仿宋_GB2312" w:eastAsia="仿宋_GB2312" w:cs="仿宋_GB2312"/>
          <w:b/>
          <w:bCs/>
          <w:color w:val="000000"/>
          <w:kern w:val="0"/>
          <w:sz w:val="32"/>
          <w:szCs w:val="32"/>
          <w:u w:val="none"/>
          <w:shd w:val="clear" w:color="auto" w:fill="FFFFFF"/>
          <w:lang w:val="zh-CN"/>
        </w:rPr>
      </w:pPr>
      <w:r>
        <w:rPr>
          <w:rFonts w:hint="eastAsia" w:ascii="仿宋_GB2312" w:hAnsi="仿宋_GB2312" w:eastAsia="仿宋_GB2312" w:cs="仿宋_GB2312"/>
          <w:b/>
          <w:bCs/>
          <w:color w:val="000000"/>
          <w:kern w:val="0"/>
          <w:sz w:val="32"/>
          <w:szCs w:val="32"/>
          <w:u w:val="none"/>
          <w:shd w:val="clear" w:color="auto" w:fill="FFFFFF"/>
          <w:lang w:val="zh-CN"/>
        </w:rPr>
        <w:t>（三）人员概况</w:t>
      </w:r>
    </w:p>
    <w:p>
      <w:pPr>
        <w:keepNext w:val="0"/>
        <w:keepLines w:val="0"/>
        <w:pageBreakBefore w:val="0"/>
        <w:widowControl/>
        <w:numPr>
          <w:ilvl w:val="0"/>
          <w:numId w:val="0"/>
        </w:numPr>
        <w:kinsoku/>
        <w:wordWrap/>
        <w:overflowPunct/>
        <w:topLinePunct w:val="0"/>
        <w:autoSpaceDE/>
        <w:autoSpaceDN/>
        <w:bidi w:val="0"/>
        <w:spacing w:line="576" w:lineRule="exact"/>
        <w:ind w:firstLine="640" w:firstLineChars="200"/>
        <w:jc w:val="left"/>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kern w:val="0"/>
          <w:sz w:val="32"/>
          <w:szCs w:val="32"/>
          <w:u w:val="none"/>
          <w:lang w:eastAsia="zh-CN"/>
        </w:rPr>
        <w:t>截至</w:t>
      </w:r>
      <w:r>
        <w:rPr>
          <w:rFonts w:hint="eastAsia" w:ascii="仿宋_GB2312" w:hAnsi="仿宋_GB2312" w:eastAsia="仿宋_GB2312" w:cs="仿宋_GB2312"/>
          <w:kern w:val="0"/>
          <w:sz w:val="32"/>
          <w:szCs w:val="32"/>
          <w:u w:val="none"/>
          <w:lang w:val="en-US" w:eastAsia="zh-CN"/>
        </w:rPr>
        <w:t>2025年，茂县红十字会现有参照公务员管理的事业编制6人，在职人员6人（其中行政工勤1人）。</w:t>
      </w:r>
    </w:p>
    <w:p>
      <w:pPr>
        <w:widowControl/>
        <w:adjustRightInd w:val="0"/>
        <w:snapToGrid w:val="0"/>
        <w:spacing w:line="578" w:lineRule="exact"/>
        <w:ind w:firstLine="640" w:firstLineChars="200"/>
        <w:contextualSpacing/>
        <w:jc w:val="left"/>
        <w:rPr>
          <w:rFonts w:hint="eastAsia" w:ascii="黑体" w:hAnsi="黑体" w:eastAsia="黑体" w:cs="黑体"/>
          <w:color w:val="000000"/>
          <w:kern w:val="0"/>
          <w:sz w:val="32"/>
          <w:szCs w:val="32"/>
          <w:u w:val="none"/>
          <w:shd w:val="clear" w:color="auto" w:fill="FFFFFF"/>
        </w:rPr>
      </w:pPr>
      <w:r>
        <w:rPr>
          <w:rFonts w:hint="eastAsia" w:ascii="黑体" w:hAnsi="黑体" w:eastAsia="黑体" w:cs="黑体"/>
          <w:color w:val="000000"/>
          <w:kern w:val="0"/>
          <w:sz w:val="32"/>
          <w:szCs w:val="32"/>
          <w:u w:val="none"/>
          <w:shd w:val="clear" w:color="auto" w:fill="FFFFFF"/>
        </w:rPr>
        <w:t>二、部门资金收支情况</w:t>
      </w:r>
    </w:p>
    <w:p>
      <w:pPr>
        <w:keepNext w:val="0"/>
        <w:keepLines w:val="0"/>
        <w:pageBreakBefore w:val="0"/>
        <w:kinsoku/>
        <w:wordWrap/>
        <w:overflowPunct/>
        <w:topLinePunct w:val="0"/>
        <w:autoSpaceDE/>
        <w:autoSpaceDN/>
        <w:bidi w:val="0"/>
        <w:snapToGrid w:val="0"/>
        <w:spacing w:line="576"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（一）收入情况</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151.42</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131.43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政府性基金预算财政拨款收入 19.99 万元。</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年决算总收入</w:t>
      </w:r>
      <w:r>
        <w:rPr>
          <w:rFonts w:hint="eastAsia" w:ascii="仿宋_GB2312" w:hAnsi="仿宋_GB2312" w:eastAsia="仿宋_GB2312" w:cs="仿宋_GB2312"/>
          <w:sz w:val="32"/>
          <w:szCs w:val="32"/>
          <w:lang w:val="en-US" w:eastAsia="zh-CN"/>
        </w:rPr>
        <w:t>151.42</w:t>
      </w:r>
      <w:r>
        <w:rPr>
          <w:rFonts w:hint="eastAsia" w:ascii="仿宋_GB2312" w:hAnsi="仿宋_GB2312" w:eastAsia="仿宋_GB2312" w:cs="仿宋_GB2312"/>
          <w:sz w:val="32"/>
          <w:szCs w:val="32"/>
        </w:rPr>
        <w:t>万元，其中：社会保障就业支出</w:t>
      </w:r>
      <w:r>
        <w:rPr>
          <w:rFonts w:hint="eastAsia" w:ascii="仿宋_GB2312" w:hAnsi="仿宋_GB2312" w:eastAsia="仿宋_GB2312" w:cs="仿宋_GB2312"/>
          <w:sz w:val="32"/>
          <w:szCs w:val="32"/>
          <w:lang w:val="en-US" w:eastAsia="zh-CN"/>
        </w:rPr>
        <w:t>114.69</w:t>
      </w:r>
      <w:r>
        <w:rPr>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2"/>
          <w:lang w:val="en-US" w:eastAsia="zh-CN"/>
        </w:rPr>
        <w:t>9.74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19.99万元</w:t>
      </w:r>
      <w:r>
        <w:rPr>
          <w:rFonts w:hint="eastAsia" w:ascii="仿宋_GB2312" w:hAnsi="仿宋_GB2312" w:eastAsia="仿宋_GB2312" w:cs="仿宋_GB2312"/>
          <w:sz w:val="32"/>
          <w:szCs w:val="32"/>
        </w:rPr>
        <w:t>。支出决算总额</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相比增加</w:t>
      </w:r>
      <w:r>
        <w:rPr>
          <w:rFonts w:hint="eastAsia" w:ascii="仿宋_GB2312" w:hAnsi="仿宋_GB2312" w:eastAsia="仿宋_GB2312" w:cs="仿宋_GB2312"/>
          <w:sz w:val="32"/>
          <w:szCs w:val="32"/>
          <w:lang w:val="en-US" w:eastAsia="zh-CN"/>
        </w:rPr>
        <w:t>28.28</w:t>
      </w:r>
      <w:r>
        <w:rPr>
          <w:rFonts w:hint="eastAsia" w:ascii="仿宋_GB2312" w:hAnsi="仿宋_GB2312" w:eastAsia="仿宋_GB2312" w:cs="仿宋_GB2312"/>
          <w:sz w:val="32"/>
          <w:szCs w:val="32"/>
        </w:rPr>
        <w:t>万元，主要原因</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人员工资、保险变动</w:t>
      </w:r>
      <w:r>
        <w:rPr>
          <w:rFonts w:hint="eastAsia" w:ascii="仿宋_GB2312" w:hAnsi="仿宋_GB2312" w:eastAsia="仿宋_GB2312" w:cs="仿宋_GB2312"/>
          <w:sz w:val="32"/>
          <w:szCs w:val="32"/>
          <w:lang w:eastAsia="zh-CN"/>
        </w:rPr>
        <w:t>和当年新增项目</w:t>
      </w:r>
      <w:r>
        <w:rPr>
          <w:rFonts w:hint="eastAsia" w:ascii="仿宋_GB2312" w:hAnsi="仿宋_GB2312" w:eastAsia="仿宋_GB2312" w:cs="仿宋_GB2312"/>
          <w:sz w:val="32"/>
          <w:szCs w:val="32"/>
          <w:lang w:val="en-US" w:eastAsia="zh-CN"/>
        </w:rPr>
        <w:t>2个</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内容及涉及范围：人员经费包括基本工资、津贴补贴、奖金、其他社会保障缴费、退休费生活补助、住房公积金等；日常公用经费包括办公费、差旅费、培训费、公务接待费、劳务费、公务用车运行维护费、其他商品和服务支出等。</w:t>
      </w:r>
    </w:p>
    <w:p>
      <w:pPr>
        <w:keepNext w:val="0"/>
        <w:keepLines w:val="0"/>
        <w:pageBreakBefore w:val="0"/>
        <w:numPr>
          <w:ilvl w:val="0"/>
          <w:numId w:val="1"/>
        </w:numPr>
        <w:kinsoku/>
        <w:wordWrap/>
        <w:overflowPunct/>
        <w:topLinePunct w:val="0"/>
        <w:autoSpaceDE/>
        <w:autoSpaceDN/>
        <w:bidi w:val="0"/>
        <w:snapToGrid w:val="0"/>
        <w:spacing w:line="576"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支出情况</w:t>
      </w:r>
    </w:p>
    <w:p>
      <w:pPr>
        <w:keepNext w:val="0"/>
        <w:keepLines w:val="0"/>
        <w:pageBreakBefore w:val="0"/>
        <w:numPr>
          <w:ilvl w:val="0"/>
          <w:numId w:val="0"/>
        </w:numPr>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w:t>
      </w:r>
      <w:r>
        <w:rPr>
          <w:rFonts w:hint="eastAsia" w:ascii="仿宋_GB2312" w:hAnsi="仿宋_GB2312" w:eastAsia="仿宋_GB2312" w:cs="仿宋_GB2312"/>
          <w:sz w:val="32"/>
          <w:szCs w:val="32"/>
          <w:lang w:eastAsia="zh-CN"/>
        </w:rPr>
        <w:t>预算支出</w:t>
      </w:r>
      <w:r>
        <w:rPr>
          <w:rFonts w:hint="eastAsia" w:ascii="仿宋_GB2312" w:hAnsi="仿宋_GB2312" w:eastAsia="仿宋_GB2312" w:cs="仿宋_GB2312"/>
          <w:sz w:val="32"/>
          <w:szCs w:val="32"/>
        </w:rPr>
        <w:t>合计</w:t>
      </w:r>
      <w:r>
        <w:rPr>
          <w:rFonts w:hint="eastAsia" w:ascii="仿宋_GB2312" w:hAnsi="仿宋_GB2312" w:eastAsia="仿宋_GB2312" w:cs="仿宋_GB2312"/>
          <w:sz w:val="32"/>
          <w:szCs w:val="32"/>
          <w:lang w:val="en-US" w:eastAsia="zh-CN"/>
        </w:rPr>
        <w:t>151.42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年决算</w:t>
      </w:r>
      <w:r>
        <w:rPr>
          <w:rFonts w:hint="eastAsia" w:ascii="仿宋_GB2312" w:hAnsi="仿宋_GB2312" w:eastAsia="仿宋_GB2312" w:cs="仿宋_GB2312"/>
          <w:sz w:val="32"/>
          <w:szCs w:val="32"/>
          <w:lang w:eastAsia="zh-CN"/>
        </w:rPr>
        <w:t>报表支出</w:t>
      </w:r>
      <w:r>
        <w:rPr>
          <w:rFonts w:hint="eastAsia" w:ascii="仿宋_GB2312" w:hAnsi="仿宋_GB2312" w:eastAsia="仿宋_GB2312" w:cs="仿宋_GB2312"/>
          <w:sz w:val="32"/>
          <w:szCs w:val="32"/>
          <w:lang w:val="en-US" w:eastAsia="zh-CN"/>
        </w:rPr>
        <w:t>151.42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其中：社会保障就业支出</w:t>
      </w:r>
      <w:r>
        <w:rPr>
          <w:rFonts w:hint="eastAsia" w:ascii="仿宋_GB2312" w:hAnsi="仿宋_GB2312" w:eastAsia="仿宋_GB2312" w:cs="仿宋_GB2312"/>
          <w:sz w:val="32"/>
          <w:szCs w:val="32"/>
          <w:lang w:val="en-US" w:eastAsia="zh-CN"/>
        </w:rPr>
        <w:t>114.69</w:t>
      </w:r>
      <w:r>
        <w:rPr>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2"/>
          <w:lang w:val="en-US" w:eastAsia="zh-CN"/>
        </w:rPr>
        <w:t>9.74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19.99万元</w:t>
      </w:r>
      <w:r>
        <w:rPr>
          <w:rFonts w:hint="eastAsia" w:ascii="仿宋_GB2312" w:hAnsi="仿宋_GB2312" w:eastAsia="仿宋_GB2312" w:cs="仿宋_GB2312"/>
          <w:sz w:val="32"/>
          <w:szCs w:val="32"/>
        </w:rPr>
        <w:t>。支出决算总额较202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28.28</w:t>
      </w:r>
      <w:r>
        <w:rPr>
          <w:rFonts w:hint="eastAsia" w:ascii="仿宋_GB2312" w:hAnsi="仿宋_GB2312" w:eastAsia="仿宋_GB2312" w:cs="仿宋_GB2312"/>
          <w:sz w:val="32"/>
          <w:szCs w:val="32"/>
        </w:rPr>
        <w:t>万元，主要原因</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人员工资、保险变动</w:t>
      </w:r>
      <w:r>
        <w:rPr>
          <w:rFonts w:hint="eastAsia" w:ascii="仿宋_GB2312" w:hAnsi="仿宋_GB2312" w:eastAsia="仿宋_GB2312" w:cs="仿宋_GB2312"/>
          <w:sz w:val="32"/>
          <w:szCs w:val="32"/>
          <w:lang w:eastAsia="zh-CN"/>
        </w:rPr>
        <w:t>以及当年新增项目</w:t>
      </w:r>
      <w:r>
        <w:rPr>
          <w:rFonts w:hint="eastAsia" w:ascii="仿宋_GB2312" w:hAnsi="仿宋_GB2312" w:eastAsia="仿宋_GB2312" w:cs="仿宋_GB2312"/>
          <w:sz w:val="32"/>
          <w:szCs w:val="32"/>
          <w:lang w:val="en-US" w:eastAsia="zh-CN"/>
        </w:rPr>
        <w:t>2个</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内容及涉及范围：人员经费包括基本工资、津贴补贴、奖金、其他社会保障缴费、退休费生活补助、住房公积金等；日常公用经费包括办公费、差旅费、培训费、公务接待费、劳务费、公务用车运行维护费、其他商品和服务支出等。</w:t>
      </w:r>
    </w:p>
    <w:p>
      <w:pPr>
        <w:keepNext w:val="0"/>
        <w:keepLines w:val="0"/>
        <w:pageBreakBefore w:val="0"/>
        <w:widowControl/>
        <w:numPr>
          <w:ilvl w:val="0"/>
          <w:numId w:val="1"/>
        </w:numPr>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200" w:firstLine="320" w:firstLineChars="1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lang w:eastAsia="zh-CN"/>
        </w:rPr>
        <w:t>茂县红十字会</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年决算报表结转结余</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color w:val="000000"/>
          <w:kern w:val="0"/>
          <w:sz w:val="32"/>
          <w:szCs w:val="32"/>
          <w:shd w:val="clear" w:color="auto" w:fill="FFFFFF"/>
        </w:rPr>
        <w:t>。</w:t>
      </w:r>
    </w:p>
    <w:p>
      <w:pPr>
        <w:widowControl/>
        <w:adjustRightInd w:val="0"/>
        <w:snapToGrid w:val="0"/>
        <w:spacing w:line="578" w:lineRule="exact"/>
        <w:ind w:firstLine="640" w:firstLineChars="200"/>
        <w:contextualSpacing/>
        <w:jc w:val="left"/>
        <w:rPr>
          <w:rFonts w:hint="eastAsia" w:ascii="黑体" w:hAnsi="黑体" w:eastAsia="黑体" w:cs="黑体"/>
          <w:color w:val="000000" w:themeColor="text1"/>
          <w:kern w:val="0"/>
          <w:sz w:val="32"/>
          <w:szCs w:val="32"/>
          <w:shd w:val="clear" w:color="auto" w:fill="FFFFFF"/>
          <w14:textFill>
            <w14:solidFill>
              <w14:schemeClr w14:val="tx1"/>
            </w14:solidFill>
          </w14:textFill>
        </w:rPr>
      </w:pPr>
      <w:r>
        <w:rPr>
          <w:rFonts w:hint="eastAsia" w:ascii="黑体" w:hAnsi="黑体" w:eastAsia="黑体" w:cs="黑体"/>
          <w:color w:val="000000"/>
          <w:kern w:val="0"/>
          <w:sz w:val="32"/>
          <w:szCs w:val="32"/>
          <w:shd w:val="clear" w:color="auto" w:fill="FFFFFF"/>
        </w:rPr>
        <w:t>三、部门预算绩效分析</w:t>
      </w:r>
    </w:p>
    <w:p>
      <w:pPr>
        <w:keepNext w:val="0"/>
        <w:keepLines w:val="0"/>
        <w:pageBreakBefore w:val="0"/>
        <w:kinsoku/>
        <w:wordWrap/>
        <w:overflowPunct/>
        <w:topLinePunct w:val="0"/>
        <w:autoSpaceDE/>
        <w:autoSpaceDN/>
        <w:bidi w:val="0"/>
        <w:adjustRightInd w:val="0"/>
        <w:snapToGrid w:val="0"/>
        <w:spacing w:line="576" w:lineRule="exact"/>
        <w:ind w:firstLine="642" w:firstLineChars="200"/>
        <w:contextualSpacing/>
        <w:jc w:val="left"/>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（一）部门预算总体绩效分析</w:t>
      </w:r>
    </w:p>
    <w:p>
      <w:pPr>
        <w:keepNext w:val="0"/>
        <w:keepLines w:val="0"/>
        <w:pageBreakBefore w:val="0"/>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履职效能</w:t>
      </w:r>
    </w:p>
    <w:p>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eastAsia="zh-CN"/>
        </w:rPr>
        <w:t>本年度我</w:t>
      </w:r>
      <w:r>
        <w:rPr>
          <w:rFonts w:hint="eastAsia" w:ascii="仿宋_GB2312" w:hAnsi="仿宋_GB2312" w:eastAsia="仿宋_GB2312" w:cs="仿宋_GB2312"/>
          <w:sz w:val="32"/>
          <w:szCs w:val="32"/>
        </w:rPr>
        <w:t>会通过开</w:t>
      </w:r>
      <w:r>
        <w:rPr>
          <w:rFonts w:hint="eastAsia" w:ascii="仿宋_GB2312" w:hAnsi="仿宋_GB2312" w:eastAsia="仿宋_GB2312" w:cs="仿宋_GB2312"/>
          <w:sz w:val="32"/>
          <w:szCs w:val="32"/>
          <w:lang w:eastAsia="zh-CN"/>
        </w:rPr>
        <w:t>展人道援助</w:t>
      </w:r>
      <w:r>
        <w:rPr>
          <w:rFonts w:hint="eastAsia" w:ascii="仿宋_GB2312" w:hAnsi="仿宋_GB2312" w:eastAsia="仿宋_GB2312" w:cs="仿宋_GB2312"/>
          <w:sz w:val="32"/>
          <w:szCs w:val="32"/>
        </w:rPr>
        <w:t>工作，组织应急救护</w:t>
      </w:r>
      <w:r>
        <w:rPr>
          <w:rFonts w:hint="eastAsia" w:ascii="仿宋_GB2312" w:hAnsi="仿宋_GB2312" w:eastAsia="仿宋_GB2312" w:cs="仿宋_GB2312"/>
          <w:sz w:val="32"/>
          <w:szCs w:val="32"/>
          <w:lang w:eastAsia="zh-CN"/>
        </w:rPr>
        <w:t>员</w:t>
      </w:r>
      <w:r>
        <w:rPr>
          <w:rFonts w:hint="eastAsia" w:ascii="仿宋_GB2312" w:hAnsi="仿宋_GB2312" w:eastAsia="仿宋_GB2312" w:cs="仿宋_GB2312"/>
          <w:sz w:val="32"/>
          <w:szCs w:val="32"/>
        </w:rPr>
        <w:t>培训</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应急救护普及</w:t>
      </w:r>
      <w:r>
        <w:rPr>
          <w:rFonts w:hint="eastAsia" w:ascii="仿宋_GB2312" w:hAnsi="仿宋_GB2312" w:eastAsia="仿宋_GB2312" w:cs="仿宋_GB2312"/>
          <w:sz w:val="32"/>
          <w:szCs w:val="32"/>
          <w:lang w:eastAsia="zh-CN"/>
        </w:rPr>
        <w:t>培训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宣传</w:t>
      </w:r>
      <w:r>
        <w:rPr>
          <w:rFonts w:hint="eastAsia" w:ascii="仿宋_GB2312" w:hAnsi="仿宋_GB2312" w:eastAsia="仿宋_GB2312" w:cs="仿宋_GB2312"/>
          <w:sz w:val="32"/>
          <w:szCs w:val="32"/>
        </w:rPr>
        <w:t>防灾避险和卫生健康知识，提升公众的自救互救能力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参与无偿献血、遗体和人体器官捐献工作，推动造血干细胞捐献，发挥人道主义精神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开展红十字志愿服务、红十字青少年工作，培养青少年的社会责任感和奉献精神。</w:t>
      </w:r>
    </w:p>
    <w:p>
      <w:pPr>
        <w:keepNext w:val="0"/>
        <w:keepLines w:val="0"/>
        <w:pageBreakBefore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en-US" w:eastAsia="zh-CN"/>
        </w:rPr>
        <w:t>2.</w:t>
      </w:r>
      <w:r>
        <w:rPr>
          <w:rFonts w:hint="eastAsia" w:ascii="仿宋_GB2312" w:hAnsi="仿宋_GB2312" w:eastAsia="仿宋_GB2312" w:cs="仿宋_GB2312"/>
          <w:color w:val="000000"/>
          <w:kern w:val="0"/>
          <w:sz w:val="32"/>
          <w:szCs w:val="32"/>
          <w:shd w:val="clear" w:color="auto" w:fill="FFFFFF"/>
          <w:lang w:val="zh-CN"/>
        </w:rPr>
        <w:t>预算管理</w:t>
      </w:r>
    </w:p>
    <w:p>
      <w:pPr>
        <w:keepNext w:val="0"/>
        <w:keepLines w:val="0"/>
        <w:pageBreakBefore w:val="0"/>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根据年度工作计划和目标任务制定预算，确保资金分配合理。实施事前绩效评估，确保预算绩效目标的科学性和合理性。进行绩效运行监控，及时调整预算执行，确保资金使用符合预期目标。通过绩效自评，</w:t>
      </w: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能够自我监督预算执行情况，提高预算管理的透明度和规范性</w:t>
      </w:r>
      <w:r>
        <w:rPr>
          <w:rFonts w:hint="eastAsia" w:ascii="仿宋_GB2312" w:hAnsi="仿宋_GB2312" w:eastAsia="仿宋_GB2312" w:cs="仿宋_GB2312"/>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76" w:lineRule="exact"/>
        <w:ind w:left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lang w:val="zh-CN"/>
        </w:rPr>
        <w:t>财务管理</w:t>
      </w:r>
    </w:p>
    <w:p>
      <w:pPr>
        <w:keepNext w:val="0"/>
        <w:keepLines w:val="0"/>
        <w:pageBreakBefore w:val="0"/>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我单位</w:t>
      </w:r>
      <w:r>
        <w:rPr>
          <w:rFonts w:hint="eastAsia" w:ascii="仿宋_GB2312" w:hAnsi="仿宋_GB2312" w:eastAsia="仿宋_GB2312" w:cs="仿宋_GB2312"/>
          <w:sz w:val="32"/>
          <w:szCs w:val="32"/>
        </w:rPr>
        <w:t>严格遵循财务管理制度，确保资金安全和合规使用。</w:t>
      </w:r>
      <w:r>
        <w:rPr>
          <w:rFonts w:hint="eastAsia" w:ascii="仿宋_GB2312" w:hAnsi="仿宋_GB2312" w:eastAsia="仿宋_GB2312" w:cs="仿宋_GB2312"/>
          <w:sz w:val="32"/>
          <w:szCs w:val="32"/>
          <w:lang w:eastAsia="zh-CN"/>
        </w:rPr>
        <w:t>并且</w:t>
      </w:r>
      <w:r>
        <w:rPr>
          <w:rFonts w:hint="eastAsia" w:ascii="仿宋_GB2312" w:hAnsi="仿宋_GB2312" w:eastAsia="仿宋_GB2312" w:cs="仿宋_GB2312"/>
          <w:sz w:val="32"/>
          <w:szCs w:val="32"/>
        </w:rPr>
        <w:t>定期进行内部审计，确保财务活动的透明和规范，防止财务风险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通过财务管理培训，提升财务人员的专业能力和责任意识，提高财务管理效率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采用现代化财务管理系统，提高数据处理速度和准确性，优化财务决策</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w:t>
      </w:r>
    </w:p>
    <w:p>
      <w:pPr>
        <w:keepNext w:val="0"/>
        <w:keepLines w:val="0"/>
        <w:pageBreakBefore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lang w:val="zh-CN"/>
        </w:rPr>
        <w:t>资产管理</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国有资产日常管理情况：按照《茂县行政事业单位国有资产管理暂行办法》要求，严格落实国有资产清查、登记、上报制度，设置固定资产卡片、总账</w:t>
      </w:r>
      <w:bookmarkStart w:id="148" w:name="_GoBack"/>
      <w:bookmarkEnd w:id="148"/>
      <w:r>
        <w:rPr>
          <w:rFonts w:hint="eastAsia" w:ascii="仿宋_GB2312" w:hAnsi="仿宋_GB2312" w:eastAsia="仿宋_GB2312" w:cs="仿宋_GB2312"/>
          <w:kern w:val="2"/>
          <w:sz w:val="32"/>
          <w:szCs w:val="32"/>
          <w:lang w:val="en-US" w:eastAsia="zh-CN" w:bidi="ar-SA"/>
        </w:rPr>
        <w:t>及明细账簿，并定期进行了清查盘点，及时更新国有资产管理信息系统，做到账账相符，账实相符，明确责任并履行好职责。截至目前固定资产原值59</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2</w:t>
      </w:r>
      <w:r>
        <w:rPr>
          <w:rFonts w:hint="eastAsia" w:hAnsi="仿宋_GB2312" w:cs="仿宋_GB2312"/>
          <w:kern w:val="2"/>
          <w:sz w:val="32"/>
          <w:szCs w:val="32"/>
          <w:lang w:val="en-US" w:eastAsia="zh-CN" w:bidi="ar-SA"/>
        </w:rPr>
        <w:t>万</w:t>
      </w:r>
      <w:r>
        <w:rPr>
          <w:rFonts w:hint="eastAsia" w:ascii="仿宋_GB2312" w:hAnsi="仿宋_GB2312" w:eastAsia="仿宋_GB2312" w:cs="仿宋_GB2312"/>
          <w:kern w:val="2"/>
          <w:sz w:val="32"/>
          <w:szCs w:val="32"/>
          <w:lang w:val="en-US" w:eastAsia="zh-CN" w:bidi="ar-SA"/>
        </w:rPr>
        <w:t>元，累计折旧41</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47</w:t>
      </w:r>
      <w:r>
        <w:rPr>
          <w:rFonts w:hint="eastAsia" w:hAnsi="仿宋_GB2312" w:cs="仿宋_GB2312"/>
          <w:kern w:val="2"/>
          <w:sz w:val="32"/>
          <w:szCs w:val="32"/>
          <w:lang w:val="en-US" w:eastAsia="zh-CN" w:bidi="ar-SA"/>
        </w:rPr>
        <w:t>万</w:t>
      </w:r>
      <w:r>
        <w:rPr>
          <w:rFonts w:hint="eastAsia" w:ascii="仿宋_GB2312" w:hAnsi="仿宋_GB2312" w:eastAsia="仿宋_GB2312" w:cs="仿宋_GB2312"/>
          <w:kern w:val="2"/>
          <w:sz w:val="32"/>
          <w:szCs w:val="32"/>
          <w:lang w:val="en-US" w:eastAsia="zh-CN" w:bidi="ar-SA"/>
        </w:rPr>
        <w:t>元，净值17</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73</w:t>
      </w:r>
      <w:r>
        <w:rPr>
          <w:rFonts w:hint="eastAsia" w:hAnsi="仿宋_GB2312" w:cs="仿宋_GB2312"/>
          <w:kern w:val="2"/>
          <w:sz w:val="32"/>
          <w:szCs w:val="32"/>
          <w:lang w:val="en-US" w:eastAsia="zh-CN" w:bidi="ar-SA"/>
        </w:rPr>
        <w:t>万</w:t>
      </w:r>
      <w:r>
        <w:rPr>
          <w:rFonts w:hint="eastAsia" w:ascii="仿宋_GB2312" w:hAnsi="仿宋_GB2312" w:eastAsia="仿宋_GB2312" w:cs="仿宋_GB2312"/>
          <w:kern w:val="2"/>
          <w:sz w:val="32"/>
          <w:szCs w:val="32"/>
          <w:lang w:val="en-US" w:eastAsia="zh-CN" w:bidi="ar-SA"/>
        </w:rPr>
        <w:t xml:space="preserve">元，无出租出借、对外投资、闲置情况。                </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制度建立情况：建立建全资产管理的各项规章制度，有购置、申领、使用、报废处置等内部控制制度。</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资产处置情况：按照规定履行审批或备案手续，并及时做好账务处理，处置收益或残值按照“收支两条线”管理原则，纳入了财政预算或残值管理，无擅自处置国有资产现象。</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资产动态管理情况：及时登记资产卡片，并向财政管理部门上传有关资产数据，实现了动态管理及时核对账簿。</w:t>
      </w:r>
    </w:p>
    <w:p>
      <w:pPr>
        <w:pStyle w:val="6"/>
        <w:keepNext w:val="0"/>
        <w:keepLines w:val="0"/>
        <w:pageBreakBefore w:val="0"/>
        <w:kinsoku/>
        <w:wordWrap/>
        <w:overflowPunct/>
        <w:topLinePunct w:val="0"/>
        <w:autoSpaceDE/>
        <w:autoSpaceDN/>
        <w:bidi w:val="0"/>
        <w:adjustRightInd w:val="0"/>
        <w:snapToGrid w:val="0"/>
        <w:spacing w:before="130"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资产出租出借情况：单位无出租出借国有资产情况。</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资产产权登记情况：没有国有资产产权登记证书。</w:t>
      </w:r>
    </w:p>
    <w:p>
      <w:pPr>
        <w:pStyle w:val="6"/>
        <w:keepNext w:val="0"/>
        <w:keepLines w:val="0"/>
        <w:pageBreakBefore w:val="0"/>
        <w:kinsoku/>
        <w:wordWrap/>
        <w:overflowPunct/>
        <w:topLinePunct w:val="0"/>
        <w:autoSpaceDE/>
        <w:autoSpaceDN/>
        <w:bidi w:val="0"/>
        <w:adjustRightInd w:val="0"/>
        <w:snapToGrid w:val="0"/>
        <w:spacing w:before="130" w:line="576" w:lineRule="exact"/>
        <w:ind w:firstLine="672" w:firstLineChars="21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罚没资产管理情况：无罚没资产情况。</w:t>
      </w:r>
    </w:p>
    <w:p>
      <w:pPr>
        <w:keepNext w:val="0"/>
        <w:keepLines w:val="0"/>
        <w:pageBreakBefore w:val="0"/>
        <w:numPr>
          <w:ilvl w:val="0"/>
          <w:numId w:val="0"/>
        </w:numPr>
        <w:kinsoku/>
        <w:wordWrap/>
        <w:overflowPunct/>
        <w:topLinePunct w:val="0"/>
        <w:autoSpaceDE/>
        <w:autoSpaceDN/>
        <w:bidi w:val="0"/>
        <w:adjustRightInd w:val="0"/>
        <w:snapToGrid w:val="0"/>
        <w:spacing w:line="576" w:lineRule="exact"/>
        <w:ind w:left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zh-CN" w:eastAsia="zh-CN" w:bidi="ar-SA"/>
        </w:rPr>
        <w:t>采购管理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kern w:val="2"/>
          <w:sz w:val="32"/>
          <w:szCs w:val="32"/>
          <w:lang w:val="zh-CN" w:eastAsia="zh-CN" w:bidi="ar-SA"/>
        </w:rPr>
        <w:t>制定明确的采购需求，按照相关规定选择合适的采购方式，确保采购活动的合法性和效率；实施采购合同管理，确保合同的履行和监督，避免合同风险；对采购过程进行透明公开，接受社会监督，提高采购活动的公信力。</w:t>
      </w:r>
    </w:p>
    <w:p>
      <w:pPr>
        <w:keepNext w:val="0"/>
        <w:keepLines w:val="0"/>
        <w:pageBreakBefore w:val="0"/>
        <w:numPr>
          <w:ilvl w:val="0"/>
          <w:numId w:val="2"/>
        </w:numPr>
        <w:kinsoku/>
        <w:wordWrap/>
        <w:overflowPunct/>
        <w:topLinePunct w:val="0"/>
        <w:autoSpaceDE/>
        <w:autoSpaceDN/>
        <w:bidi w:val="0"/>
        <w:adjustRightInd w:val="0"/>
        <w:snapToGrid w:val="0"/>
        <w:spacing w:line="576" w:lineRule="exact"/>
        <w:ind w:firstLine="642" w:firstLineChars="200"/>
        <w:contextualSpacing/>
        <w:jc w:val="left"/>
        <w:textAlignment w:val="auto"/>
        <w:rPr>
          <w:rFonts w:hint="eastAsia" w:ascii="仿宋_GB2312" w:hAnsi="仿宋_GB2312" w:eastAsia="仿宋_GB2312" w:cs="仿宋_GB2312"/>
          <w:b/>
          <w:bCs/>
          <w:color w:val="auto"/>
          <w:kern w:val="0"/>
          <w:sz w:val="32"/>
          <w:szCs w:val="32"/>
          <w:shd w:val="clear" w:color="auto" w:fill="FFFFFF"/>
          <w:lang w:val="zh-CN"/>
        </w:rPr>
      </w:pPr>
      <w:r>
        <w:rPr>
          <w:rFonts w:hint="eastAsia" w:ascii="仿宋_GB2312" w:hAnsi="仿宋_GB2312" w:eastAsia="仿宋_GB2312" w:cs="仿宋_GB2312"/>
          <w:b/>
          <w:bCs/>
          <w:color w:val="auto"/>
          <w:kern w:val="0"/>
          <w:sz w:val="32"/>
          <w:szCs w:val="32"/>
          <w:shd w:val="clear" w:color="auto" w:fill="FFFFFF"/>
          <w:lang w:val="zh-CN"/>
        </w:rPr>
        <w:t>部门预算项目绩效分析</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常年项目绩效分析。该类项目总数</w:t>
      </w:r>
      <w:r>
        <w:rPr>
          <w:rFonts w:hint="eastAsia" w:ascii="仿宋_GB2312" w:hAnsi="仿宋_GB2312" w:eastAsia="仿宋_GB2312" w:cs="仿宋_GB2312"/>
          <w:kern w:val="2"/>
          <w:sz w:val="32"/>
          <w:szCs w:val="32"/>
          <w:lang w:val="en-US" w:eastAsia="zh-CN" w:bidi="ar-SA"/>
        </w:rPr>
        <w:t>18</w:t>
      </w:r>
      <w:r>
        <w:rPr>
          <w:rFonts w:hint="eastAsia" w:ascii="仿宋_GB2312" w:hAnsi="仿宋_GB2312" w:eastAsia="仿宋_GB2312" w:cs="仿宋_GB2312"/>
          <w:kern w:val="2"/>
          <w:sz w:val="32"/>
          <w:szCs w:val="32"/>
          <w:lang w:val="zh-CN" w:eastAsia="zh-CN" w:bidi="ar-SA"/>
        </w:rPr>
        <w:t>个，涉及预算总金额</w:t>
      </w:r>
      <w:r>
        <w:rPr>
          <w:rFonts w:hint="eastAsia" w:ascii="仿宋_GB2312" w:hAnsi="仿宋_GB2312" w:eastAsia="仿宋_GB2312" w:cs="仿宋_GB2312"/>
          <w:kern w:val="2"/>
          <w:sz w:val="32"/>
          <w:szCs w:val="32"/>
          <w:lang w:val="en-US" w:eastAsia="zh-CN" w:bidi="ar-SA"/>
        </w:rPr>
        <w:t>151.42</w:t>
      </w:r>
      <w:r>
        <w:rPr>
          <w:rFonts w:hint="eastAsia" w:ascii="仿宋_GB2312" w:hAnsi="仿宋_GB2312" w:eastAsia="仿宋_GB2312" w:cs="仿宋_GB2312"/>
          <w:kern w:val="2"/>
          <w:sz w:val="32"/>
          <w:szCs w:val="32"/>
          <w:lang w:val="zh-CN" w:eastAsia="zh-CN" w:bidi="ar-SA"/>
        </w:rPr>
        <w:t>万元，1—12月预算执行总体进度为</w:t>
      </w:r>
      <w:r>
        <w:rPr>
          <w:rFonts w:hint="eastAsia" w:ascii="仿宋_GB2312" w:hAnsi="仿宋_GB2312"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zh-CN" w:eastAsia="zh-CN" w:bidi="ar-SA"/>
        </w:rPr>
        <w:t>%，其中：预算结余率大于10%的项目共计</w:t>
      </w:r>
      <w:r>
        <w:rPr>
          <w:rFonts w:hint="eastAsia" w:ascii="仿宋_GB2312" w:hAnsi="仿宋_GB2312" w:eastAsia="仿宋_GB2312" w:cs="仿宋_GB2312"/>
          <w:kern w:val="2"/>
          <w:sz w:val="32"/>
          <w:szCs w:val="32"/>
          <w:lang w:val="en-US" w:eastAsia="zh-CN" w:bidi="ar-SA"/>
        </w:rPr>
        <w:t>0</w:t>
      </w:r>
      <w:r>
        <w:rPr>
          <w:rFonts w:hint="eastAsia" w:ascii="仿宋_GB2312" w:hAnsi="仿宋_GB2312" w:eastAsia="仿宋_GB2312" w:cs="仿宋_GB2312"/>
          <w:kern w:val="2"/>
          <w:sz w:val="32"/>
          <w:szCs w:val="32"/>
          <w:lang w:val="zh-CN" w:eastAsia="zh-CN" w:bidi="ar-SA"/>
        </w:rPr>
        <w:t>个。</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阶段（一次性）项目绩效分析。该类项目总数</w:t>
      </w: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zh-CN" w:eastAsia="zh-CN" w:bidi="ar-SA"/>
        </w:rPr>
        <w:t>个，涉及预算总金额</w:t>
      </w:r>
      <w:r>
        <w:rPr>
          <w:rFonts w:hint="eastAsia" w:ascii="仿宋_GB2312" w:hAnsi="仿宋_GB2312" w:eastAsia="仿宋_GB2312" w:cs="仿宋_GB2312"/>
          <w:kern w:val="2"/>
          <w:sz w:val="32"/>
          <w:szCs w:val="32"/>
          <w:lang w:val="en-US" w:eastAsia="zh-CN" w:bidi="ar-SA"/>
        </w:rPr>
        <w:t>20.5</w:t>
      </w:r>
      <w:r>
        <w:rPr>
          <w:rFonts w:hint="eastAsia" w:ascii="仿宋_GB2312" w:hAnsi="仿宋_GB2312" w:eastAsia="仿宋_GB2312" w:cs="仿宋_GB2312"/>
          <w:kern w:val="2"/>
          <w:sz w:val="32"/>
          <w:szCs w:val="32"/>
          <w:lang w:val="zh-CN" w:eastAsia="zh-CN" w:bidi="ar-SA"/>
        </w:rPr>
        <w:t>万元，1—12月预算执行总体进度为</w:t>
      </w:r>
      <w:r>
        <w:rPr>
          <w:rFonts w:hint="eastAsia" w:ascii="仿宋_GB2312" w:hAnsi="仿宋_GB2312"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zh-CN" w:eastAsia="zh-CN" w:bidi="ar-SA"/>
        </w:rPr>
        <w:t>%，其中：预算结余率大于10%的项目共计</w:t>
      </w:r>
      <w:r>
        <w:rPr>
          <w:rFonts w:hint="eastAsia" w:ascii="仿宋_GB2312" w:hAnsi="仿宋_GB2312" w:eastAsia="仿宋_GB2312" w:cs="仿宋_GB2312"/>
          <w:kern w:val="2"/>
          <w:sz w:val="32"/>
          <w:szCs w:val="32"/>
          <w:lang w:val="en-US" w:eastAsia="zh-CN" w:bidi="ar-SA"/>
        </w:rPr>
        <w:t>0</w:t>
      </w:r>
      <w:r>
        <w:rPr>
          <w:rFonts w:hint="eastAsia" w:ascii="仿宋_GB2312" w:hAnsi="仿宋_GB2312" w:eastAsia="仿宋_GB2312" w:cs="仿宋_GB2312"/>
          <w:kern w:val="2"/>
          <w:sz w:val="32"/>
          <w:szCs w:val="32"/>
          <w:lang w:val="zh-CN" w:eastAsia="zh-CN" w:bidi="ar-SA"/>
        </w:rPr>
        <w:t>个。</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zh-CN" w:eastAsia="zh-CN" w:bidi="ar-SA"/>
        </w:rPr>
        <w:t>项目决策</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围绕决策程序、目标设置、项目入库进行绩效分析：所有项目均经过严格的评审和批准程序，确保决策的透明性和合理性。目标设置方面，我们基于深入研究和实际需求制定，确保目标的实际性和挑战性。项目入库过程严格遵循了政策和程序要求。</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zh-CN" w:eastAsia="zh-CN" w:bidi="ar-SA"/>
        </w:rPr>
        <w:t>项目执行</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2025年茂县红十字事业发展工作经费</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0.5</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0.5</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eastAsia="仿宋_GB2312" w:cs="Times New Roman"/>
          <w:color w:val="000000"/>
          <w:kern w:val="0"/>
          <w:sz w:val="32"/>
          <w:szCs w:val="32"/>
          <w:shd w:val="clear" w:color="auto" w:fill="FFFFFF"/>
          <w:lang w:val="en-US" w:eastAsia="zh-CN" w:bidi="ar-SA"/>
        </w:rPr>
        <w:t>2025年</w:t>
      </w:r>
      <w:r>
        <w:rPr>
          <w:rFonts w:hint="default" w:ascii="Times New Roman" w:hAnsi="Times New Roman" w:eastAsia="仿宋_GB2312" w:cs="Times New Roman"/>
          <w:color w:val="000000"/>
          <w:kern w:val="0"/>
          <w:sz w:val="32"/>
          <w:szCs w:val="32"/>
          <w:shd w:val="clear" w:color="auto" w:fill="FFFFFF"/>
          <w:lang w:val="en-US" w:eastAsia="zh-CN" w:bidi="ar-SA"/>
        </w:rPr>
        <w:t>革命老区城镇社区博爱家园项目，预算数</w:t>
      </w:r>
      <w:r>
        <w:rPr>
          <w:rFonts w:hint="eastAsia" w:ascii="Times New Roman" w:hAnsi="Times New Roman" w:eastAsia="仿宋_GB2312" w:cs="Times New Roman"/>
          <w:color w:val="000000"/>
          <w:kern w:val="0"/>
          <w:sz w:val="32"/>
          <w:szCs w:val="32"/>
          <w:shd w:val="clear" w:color="auto" w:fill="FFFFFF"/>
          <w:lang w:val="en-US" w:eastAsia="zh-CN" w:bidi="ar-SA"/>
        </w:rPr>
        <w:t>20</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19.99</w:t>
      </w:r>
      <w:r>
        <w:rPr>
          <w:rFonts w:hint="default" w:ascii="Times New Roman" w:hAnsi="Times New Roman" w:eastAsia="仿宋_GB2312" w:cs="Times New Roman"/>
          <w:color w:val="000000"/>
          <w:kern w:val="0"/>
          <w:sz w:val="32"/>
          <w:szCs w:val="32"/>
          <w:shd w:val="clear" w:color="auto" w:fill="FFFFFF"/>
          <w:lang w:val="en-US" w:eastAsia="zh-CN" w:bidi="ar-SA"/>
        </w:rPr>
        <w:t>万元，执行进度</w:t>
      </w:r>
      <w:r>
        <w:rPr>
          <w:rFonts w:hint="eastAsia" w:ascii="Times New Roman" w:hAnsi="Times New Roman" w:eastAsia="仿宋_GB2312" w:cs="Times New Roman"/>
          <w:color w:val="000000"/>
          <w:kern w:val="0"/>
          <w:sz w:val="32"/>
          <w:szCs w:val="32"/>
          <w:shd w:val="clear" w:color="auto" w:fill="FFFFFF"/>
          <w:lang w:val="en-US" w:eastAsia="zh-CN" w:bidi="ar-SA"/>
        </w:rPr>
        <w:t>99.9</w:t>
      </w:r>
      <w:r>
        <w:rPr>
          <w:rFonts w:hint="default" w:ascii="Times New Roman" w:hAnsi="Times New Roman" w:eastAsia="仿宋_GB2312" w:cs="Times New Roman"/>
          <w:color w:val="000000"/>
          <w:kern w:val="0"/>
          <w:sz w:val="32"/>
          <w:szCs w:val="32"/>
          <w:shd w:val="clear" w:color="auto" w:fill="FFFFFF"/>
          <w:lang w:val="en-US" w:eastAsia="zh-CN" w:bidi="ar-SA"/>
        </w:rPr>
        <w:t>%。</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color w:val="auto"/>
          <w:kern w:val="0"/>
          <w:sz w:val="32"/>
          <w:szCs w:val="32"/>
          <w:lang w:val="zh-CN" w:eastAsia="zh-CN" w:bidi="ar-SA"/>
        </w:rPr>
        <w:t>资金下达后，保证资金使用安全、规范；资金支付范围、支付标准、支付进度、支付依据等合规合法，与预算相符。保证资金使用进度100%。</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zh-CN" w:eastAsia="zh-CN" w:bidi="ar-SA"/>
        </w:rPr>
        <w:t>目标实现</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zh-CN" w:eastAsia="zh-CN" w:bidi="ar-SA"/>
        </w:rPr>
        <w:t>项目完成后，由相关人员对项目进行验收，验收合格后，及时支付全部资金。保证资金支付进度为100%。</w:t>
      </w:r>
    </w:p>
    <w:p>
      <w:pPr>
        <w:keepNext w:val="0"/>
        <w:keepLines w:val="0"/>
        <w:pageBreakBefore w:val="0"/>
        <w:numPr>
          <w:ilvl w:val="0"/>
          <w:numId w:val="2"/>
        </w:numPr>
        <w:kinsoku/>
        <w:wordWrap/>
        <w:overflowPunct/>
        <w:topLinePunct w:val="0"/>
        <w:autoSpaceDE/>
        <w:autoSpaceDN/>
        <w:bidi w:val="0"/>
        <w:snapToGrid w:val="0"/>
        <w:spacing w:line="576" w:lineRule="exact"/>
        <w:ind w:left="0" w:leftChars="0" w:firstLine="642" w:firstLineChars="200"/>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绩效结果应用情况</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绩效结果为管理层提供了重要的决策支持信息。根据绩效数据，本单位能够评估项目的效率、效果以及资源利用情况，从而对策略进行调整和优化；基于绩效结果，本单位可以更精准地进行资源分配。将资源投向表现好、影响大的项目或区域，减少对表现不佳项目的投入；绩效结果可以用于识别职工培训和发展的需要，帮助我会制定针对性的培训计划，提升职工的专业技能和工作表现。</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红十字会通常会对外信息公开，这有助于增加其工作的透明度，让公众能够了解红十字会的工作成效和资源使用情况；能够增强公众对其的信任与支持，这对于维持和增加捐款非常重要；还可以鼓励更多的志愿者和捐赠者参与进来，共同推动红十字会的目标实现。</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绩效结果帮助我会识别运行中存在的问题和挑战，如救援效率低下、资金使用不合理等问题；一旦识别出具体问题，我会会制定相应的改进措施，例如优化流程、调整资源配置、加强员工培训等；实施改进措施后，持续跟踪其效果，并进行再次评估，确保问题得到实际解决；我单位通常会将绩效管理视为一个持续的过程，通过不断地评估和反馈循环来追求卓越和效率的提高。</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rPr>
        <w:t>四、评价结论及建议</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（一）评价结论</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spacing w:val="0"/>
          <w:position w:val="0"/>
          <w:sz w:val="32"/>
          <w:shd w:val="clear" w:fill="FFFFFF"/>
          <w:lang w:val="zh-CN"/>
        </w:rPr>
      </w:pPr>
      <w:r>
        <w:rPr>
          <w:rFonts w:hint="eastAsia" w:ascii="仿宋_GB2312" w:hAnsi="仿宋_GB2312" w:eastAsia="仿宋_GB2312" w:cs="仿宋_GB2312"/>
          <w:color w:val="000000"/>
          <w:spacing w:val="0"/>
          <w:position w:val="0"/>
          <w:sz w:val="32"/>
          <w:shd w:val="clear" w:fill="FFFFFF"/>
        </w:rPr>
        <w:t>本年，根据我单位年初工作规划，围绕县委、县政府全面建成小康社会的发展蓝图，积极履职，强化管理，较好</w:t>
      </w:r>
      <w:r>
        <w:rPr>
          <w:rFonts w:hint="eastAsia" w:ascii="仿宋_GB2312" w:hAnsi="仿宋_GB2312" w:eastAsia="仿宋_GB2312" w:cs="仿宋_GB2312"/>
          <w:color w:val="000000"/>
          <w:spacing w:val="0"/>
          <w:position w:val="0"/>
          <w:sz w:val="32"/>
          <w:shd w:val="clear" w:fill="FFFFFF"/>
          <w:lang w:eastAsia="zh-CN"/>
        </w:rPr>
        <w:t>地</w:t>
      </w:r>
      <w:r>
        <w:rPr>
          <w:rFonts w:hint="eastAsia" w:ascii="仿宋_GB2312" w:hAnsi="仿宋_GB2312" w:eastAsia="仿宋_GB2312" w:cs="仿宋_GB2312"/>
          <w:color w:val="000000"/>
          <w:spacing w:val="0"/>
          <w:position w:val="0"/>
          <w:sz w:val="32"/>
          <w:shd w:val="clear" w:fill="FFFFFF"/>
        </w:rPr>
        <w:t>完成了上年度工作目标。通过加强预算收支管理，不断建立健全内部管理制度，梳理内部管理流程，单位整体支出管理情况得到提升</w:t>
      </w:r>
      <w:r>
        <w:rPr>
          <w:rFonts w:hint="eastAsia" w:ascii="仿宋_GB2312" w:hAnsi="仿宋_GB2312" w:eastAsia="仿宋_GB2312" w:cs="仿宋_GB2312"/>
          <w:color w:val="000000"/>
          <w:spacing w:val="0"/>
          <w:position w:val="0"/>
          <w:sz w:val="32"/>
          <w:shd w:val="clear" w:fill="FFFFFF"/>
          <w:lang w:val="zh-CN"/>
        </w:rPr>
        <w:t>财务管理规范有序，通过加强预算收支管理，严格执行内控制度，各项目标任务圆满完成。对照《部门预算绩效评价指标体系》的评价项目，通过自评打分，202</w:t>
      </w:r>
      <w:r>
        <w:rPr>
          <w:rFonts w:hint="eastAsia" w:ascii="仿宋_GB2312" w:hAnsi="仿宋_GB2312" w:eastAsia="仿宋_GB2312" w:cs="仿宋_GB2312"/>
          <w:color w:val="000000"/>
          <w:spacing w:val="0"/>
          <w:position w:val="0"/>
          <w:sz w:val="32"/>
          <w:shd w:val="clear" w:fill="FFFFFF"/>
          <w:lang w:val="en-US" w:eastAsia="zh-CN"/>
        </w:rPr>
        <w:t>5</w:t>
      </w:r>
      <w:r>
        <w:rPr>
          <w:rFonts w:hint="eastAsia" w:ascii="仿宋_GB2312" w:hAnsi="仿宋_GB2312" w:eastAsia="仿宋_GB2312" w:cs="仿宋_GB2312"/>
          <w:color w:val="000000"/>
          <w:spacing w:val="0"/>
          <w:position w:val="0"/>
          <w:sz w:val="32"/>
          <w:shd w:val="clear" w:fill="FFFFFF"/>
          <w:lang w:val="zh-CN"/>
        </w:rPr>
        <w:t>年整体支出绩效评价为良好。</w:t>
      </w:r>
    </w:p>
    <w:p>
      <w:pPr>
        <w:widowControl/>
        <w:numPr>
          <w:ilvl w:val="0"/>
          <w:numId w:val="3"/>
        </w:numPr>
        <w:adjustRightInd w:val="0"/>
        <w:snapToGrid w:val="0"/>
        <w:spacing w:line="578" w:lineRule="exact"/>
        <w:ind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存在问题</w:t>
      </w:r>
    </w:p>
    <w:p>
      <w:pPr>
        <w:keepNext w:val="0"/>
        <w:keepLines w:val="0"/>
        <w:pageBreakBefore w:val="0"/>
        <w:widowControl w:val="0"/>
        <w:numPr>
          <w:ilvl w:val="0"/>
          <w:numId w:val="0"/>
        </w:numPr>
        <w:kinsoku/>
        <w:wordWrap/>
        <w:overflowPunct/>
        <w:topLinePunct w:val="0"/>
        <w:autoSpaceDE/>
        <w:autoSpaceDN/>
        <w:bidi w:val="0"/>
        <w:spacing w:before="0" w:after="0" w:line="576" w:lineRule="exact"/>
        <w:ind w:left="640" w:leftChars="0" w:right="0" w:rightChars="0"/>
        <w:jc w:val="left"/>
        <w:textAlignment w:val="auto"/>
        <w:rPr>
          <w:rFonts w:hint="eastAsia" w:ascii="仿宋_GB2312" w:hAnsi="仿宋_GB2312" w:eastAsia="仿宋_GB2312" w:cs="仿宋_GB2312"/>
          <w:color w:val="000000"/>
          <w:spacing w:val="0"/>
          <w:position w:val="0"/>
          <w:sz w:val="32"/>
          <w:shd w:val="clear" w:fill="FFFFFF"/>
        </w:rPr>
      </w:pPr>
      <w:r>
        <w:rPr>
          <w:rFonts w:hint="eastAsia" w:ascii="仿宋_GB2312" w:hAnsi="仿宋_GB2312" w:eastAsia="仿宋_GB2312" w:cs="仿宋_GB2312"/>
          <w:color w:val="000000"/>
          <w:spacing w:val="0"/>
          <w:position w:val="0"/>
          <w:sz w:val="32"/>
          <w:shd w:val="clear" w:fill="FFFFFF"/>
        </w:rPr>
        <w:t>业务水平有待提升，内部管理制度还需不断健全。</w:t>
      </w:r>
    </w:p>
    <w:p>
      <w:pPr>
        <w:keepNext w:val="0"/>
        <w:keepLines w:val="0"/>
        <w:pageBreakBefore w:val="0"/>
        <w:widowControl w:val="0"/>
        <w:numPr>
          <w:ilvl w:val="0"/>
          <w:numId w:val="3"/>
        </w:numPr>
        <w:kinsoku/>
        <w:wordWrap/>
        <w:overflowPunct/>
        <w:topLinePunct w:val="0"/>
        <w:autoSpaceDE/>
        <w:autoSpaceDN/>
        <w:bidi w:val="0"/>
        <w:spacing w:before="0" w:after="0" w:line="576" w:lineRule="exact"/>
        <w:ind w:left="0" w:leftChars="0" w:right="0" w:rightChars="0" w:firstLine="642" w:firstLineChars="200"/>
        <w:jc w:val="left"/>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改进建议</w:t>
      </w:r>
    </w:p>
    <w:p>
      <w:pPr>
        <w:keepNext w:val="0"/>
        <w:keepLines w:val="0"/>
        <w:pageBreakBefore w:val="0"/>
        <w:widowControl w:val="0"/>
        <w:numPr>
          <w:ilvl w:val="0"/>
          <w:numId w:val="0"/>
        </w:numPr>
        <w:kinsoku/>
        <w:wordWrap/>
        <w:overflowPunct/>
        <w:topLinePunct w:val="0"/>
        <w:autoSpaceDE/>
        <w:autoSpaceDN/>
        <w:bidi w:val="0"/>
        <w:spacing w:before="0" w:after="0" w:line="576" w:lineRule="exact"/>
        <w:ind w:right="0" w:rightChars="0" w:firstLine="640" w:firstLineChars="200"/>
        <w:jc w:val="left"/>
        <w:textAlignment w:val="auto"/>
        <w:rPr>
          <w:rFonts w:hint="eastAsia" w:ascii="仿宋_GB2312" w:hAnsi="仿宋_GB2312" w:eastAsia="仿宋_GB2312" w:cs="仿宋_GB2312"/>
          <w:color w:val="000000"/>
          <w:spacing w:val="0"/>
          <w:position w:val="0"/>
          <w:sz w:val="32"/>
          <w:shd w:val="clear" w:fill="FFFFFF"/>
        </w:rPr>
      </w:pPr>
      <w:r>
        <w:rPr>
          <w:rFonts w:hint="eastAsia" w:ascii="仿宋_GB2312" w:hAnsi="仿宋_GB2312" w:eastAsia="仿宋_GB2312" w:cs="仿宋_GB2312"/>
          <w:color w:val="000000"/>
          <w:spacing w:val="0"/>
          <w:position w:val="0"/>
          <w:sz w:val="32"/>
          <w:shd w:val="clear" w:fill="FFFFFF"/>
        </w:rPr>
        <w:t>通过加强预算收支管理，不断建立健全内部管理制度，梳理内部管理流程，单位整体支出管理情况得到提升。</w:t>
      </w:r>
    </w:p>
    <w:p>
      <w:pPr>
        <w:keepNext w:val="0"/>
        <w:keepLines w:val="0"/>
        <w:pageBreakBefore w:val="0"/>
        <w:widowControl w:val="0"/>
        <w:numPr>
          <w:ilvl w:val="0"/>
          <w:numId w:val="0"/>
        </w:numPr>
        <w:kinsoku/>
        <w:wordWrap/>
        <w:overflowPunct/>
        <w:topLinePunct w:val="0"/>
        <w:autoSpaceDE/>
        <w:autoSpaceDN/>
        <w:bidi w:val="0"/>
        <w:spacing w:before="0" w:after="0" w:line="576" w:lineRule="exact"/>
        <w:ind w:left="640" w:leftChars="0" w:right="0" w:rightChars="0"/>
        <w:jc w:val="left"/>
        <w:textAlignment w:val="auto"/>
        <w:rPr>
          <w:rFonts w:hint="eastAsia" w:ascii="仿宋_GB2312" w:hAnsi="仿宋_GB2312" w:eastAsia="仿宋_GB2312" w:cs="仿宋_GB2312"/>
          <w:kern w:val="0"/>
          <w:sz w:val="32"/>
          <w:szCs w:val="32"/>
        </w:rPr>
      </w:pPr>
    </w:p>
    <w:p>
      <w:pPr>
        <w:spacing w:line="578" w:lineRule="exact"/>
        <w:contextualSpacing/>
        <w:jc w:val="left"/>
        <w:rPr>
          <w:rFonts w:hint="eastAsia" w:ascii="仿宋_GB2312" w:hAnsi="仿宋_GB2312" w:eastAsia="仿宋_GB2312" w:cs="仿宋_GB2312"/>
          <w:sz w:val="32"/>
          <w:szCs w:val="32"/>
        </w:rPr>
      </w:pPr>
    </w:p>
    <w:p>
      <w:pPr>
        <w:spacing w:line="20" w:lineRule="exact"/>
        <w:rPr>
          <w:rFonts w:eastAsia="黑体"/>
        </w:rPr>
      </w:pPr>
      <w:r>
        <w:rPr>
          <w:rFonts w:hint="eastAsia" w:ascii="仿宋_GB2312" w:hAnsi="仿宋_GB2312" w:eastAsia="仿宋_GB2312" w:cs="仿宋_GB2312"/>
          <w:color w:val="000000"/>
          <w:kern w:val="0"/>
          <w:sz w:val="32"/>
          <w:szCs w:val="32"/>
          <w:shd w:val="clear" w:color="auto" w:fill="FFFFFF"/>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1"/>
                <w:szCs w:val="21"/>
              </w:rPr>
            </w:pPr>
            <w:r>
              <w:rPr>
                <w:rFonts w:eastAsia="黑体"/>
                <w:sz w:val="21"/>
                <w:szCs w:val="21"/>
              </w:rPr>
              <w:br w:type="page"/>
            </w:r>
            <w:r>
              <w:rPr>
                <w:rFonts w:hint="eastAsia" w:ascii="宋体" w:hAnsi="宋体" w:eastAsia="宋体" w:cs="宋体"/>
                <w:color w:val="000000"/>
                <w:kern w:val="0"/>
                <w:sz w:val="21"/>
                <w:szCs w:val="21"/>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茂县红十字会</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151.42</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151.42</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151.42</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151.42</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841"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发展基层红十字会组织、基层红十字会会员、志愿者工作、救护员培训工作、应急救护基地运行维护费等红十字事业发展工作经费。通过开展保护人的生命和健康，维护人的尊严，培育和践行社会主义核心价值观，弘扬人道、博爱、奉献精神，保障和规范红十字会依法履行职责，更好地促进红十字事业发展</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777"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三年</w:t>
            </w:r>
          </w:p>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2023</w:t>
            </w:r>
            <w:r>
              <w:rPr>
                <w:rFonts w:ascii="宋体" w:hAnsi="宋体" w:eastAsia="宋体" w:cs="宋体"/>
                <w:color w:val="000000"/>
                <w:kern w:val="0"/>
                <w:sz w:val="21"/>
                <w:szCs w:val="21"/>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2024</w:t>
            </w:r>
            <w:r>
              <w:rPr>
                <w:rFonts w:ascii="宋体" w:hAnsi="宋体" w:eastAsia="宋体" w:cs="宋体"/>
                <w:color w:val="000000"/>
                <w:kern w:val="0"/>
                <w:sz w:val="21"/>
                <w:szCs w:val="21"/>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2025</w:t>
            </w:r>
            <w:r>
              <w:rPr>
                <w:rFonts w:ascii="宋体" w:hAnsi="宋体" w:eastAsia="宋体" w:cs="宋体"/>
                <w:color w:val="000000"/>
                <w:kern w:val="0"/>
                <w:sz w:val="21"/>
                <w:szCs w:val="21"/>
              </w:rPr>
              <w:t>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r>
              <w:rPr>
                <w:rFonts w:ascii="宋体" w:hAnsi="宋体" w:eastAsia="宋体" w:cs="宋体"/>
                <w:color w:val="000000"/>
                <w:kern w:val="0"/>
                <w:sz w:val="21"/>
                <w:szCs w:val="21"/>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12.7</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12.7</w:t>
            </w:r>
            <w:r>
              <w:rPr>
                <w:rFonts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16.82%</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11.21%</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10.08%</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预算年终结余</w:t>
            </w:r>
            <w:r>
              <w:rPr>
                <w:rFonts w:ascii="宋体" w:hAnsi="宋体" w:eastAsia="宋体" w:cs="宋体"/>
                <w:color w:val="000000"/>
                <w:kern w:val="0"/>
                <w:sz w:val="21"/>
                <w:szCs w:val="21"/>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15.77</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15.77%</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15.77%</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一般性支出</w:t>
            </w:r>
            <w:r>
              <w:rPr>
                <w:rFonts w:ascii="宋体" w:hAnsi="宋体" w:eastAsia="宋体" w:cs="宋体"/>
                <w:color w:val="000000"/>
                <w:kern w:val="0"/>
                <w:sz w:val="21"/>
                <w:szCs w:val="21"/>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6.1</w:t>
            </w:r>
            <w:r>
              <w:rPr>
                <w:rFonts w:ascii="宋体" w:hAnsi="宋体" w:eastAsia="宋体" w:cs="宋体"/>
                <w:color w:val="000000"/>
                <w:kern w:val="0"/>
                <w:sz w:val="18"/>
                <w:szCs w:val="18"/>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6.1为上年一般性支出金额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x</w:t>
            </w:r>
            <w:r>
              <w:rPr>
                <w:rFonts w:ascii="宋体" w:hAnsi="宋体" w:eastAsia="宋体" w:cs="宋体"/>
                <w:color w:val="000000"/>
                <w:kern w:val="0"/>
                <w:sz w:val="21"/>
                <w:szCs w:val="21"/>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按期完成各项任务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在本年度内较好地完成各项工作任务≥95%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开展大病救助工作</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完成大病救助</w:t>
            </w:r>
            <w:r>
              <w:rPr>
                <w:rFonts w:hint="eastAsia" w:ascii="宋体" w:hAnsi="宋体" w:eastAsia="宋体" w:cs="宋体"/>
                <w:color w:val="000000"/>
                <w:kern w:val="0"/>
                <w:sz w:val="21"/>
                <w:szCs w:val="21"/>
              </w:rPr>
              <w:t>≥20人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开展应急救护普及培训</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完成开展普及培训</w:t>
            </w:r>
            <w:r>
              <w:rPr>
                <w:rFonts w:hint="eastAsia" w:ascii="宋体" w:hAnsi="宋体" w:eastAsia="宋体" w:cs="宋体"/>
                <w:color w:val="000000"/>
                <w:kern w:val="0"/>
                <w:sz w:val="21"/>
                <w:szCs w:val="21"/>
              </w:rPr>
              <w:t>≥1800人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发展红十字会员、志愿者、三救三献等红十字事业工作</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开展应急救护救护员培训</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完成救护员培训</w:t>
            </w:r>
            <w:r>
              <w:rPr>
                <w:rFonts w:hint="eastAsia" w:ascii="宋体" w:hAnsi="宋体" w:eastAsia="宋体" w:cs="宋体"/>
                <w:color w:val="000000"/>
                <w:kern w:val="0"/>
                <w:sz w:val="21"/>
                <w:szCs w:val="21"/>
              </w:rPr>
              <w:t>≥260人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发展红十字事业是救助社会生命的极其重要的社会工作，要不断地提高红十字事业地发展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tabs>
                <w:tab w:val="left" w:pos="239"/>
              </w:tabs>
              <w:spacing w:line="24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ab/>
            </w:r>
            <w:r>
              <w:rPr>
                <w:rFonts w:hint="eastAsia" w:ascii="宋体" w:hAnsi="宋体" w:eastAsia="宋体" w:cs="宋体"/>
                <w:color w:val="000000"/>
                <w:kern w:val="0"/>
                <w:sz w:val="21"/>
                <w:szCs w:val="21"/>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提升改善贫困人员生活水平率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1"/>
                <w:szCs w:val="21"/>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bl>
    <w:p>
      <w:pPr>
        <w:rPr>
          <w:rFonts w:eastAsia="黑体"/>
          <w:sz w:val="24"/>
        </w:rPr>
      </w:pPr>
    </w:p>
    <w:p>
      <w:pPr>
        <w:rPr>
          <w:rFonts w:eastAsia="黑体"/>
        </w:rPr>
      </w:pPr>
      <w:r>
        <w:rPr>
          <w:rFonts w:eastAsia="黑体"/>
        </w:rPr>
        <w:br w:type="page"/>
      </w:r>
    </w:p>
    <w:p>
      <w:pPr>
        <w:pStyle w:val="15"/>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tbl>
      <w:tblPr>
        <w:tblStyle w:val="17"/>
        <w:tblpPr w:leftFromText="180" w:rightFromText="180" w:vertAnchor="text" w:horzAnchor="page" w:tblpX="1185" w:tblpY="410"/>
        <w:tblOverlap w:val="never"/>
        <w:tblW w:w="100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3"/>
        <w:gridCol w:w="1909"/>
        <w:gridCol w:w="936"/>
        <w:gridCol w:w="986"/>
        <w:gridCol w:w="509"/>
        <w:gridCol w:w="576"/>
        <w:gridCol w:w="756"/>
        <w:gridCol w:w="1067"/>
        <w:gridCol w:w="503"/>
        <w:gridCol w:w="450"/>
        <w:gridCol w:w="1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00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51322323T000007894488-茂县红十字会红十字事业发展工作经费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茂县红十字会本级</w:t>
            </w:r>
          </w:p>
        </w:tc>
        <w:tc>
          <w:tcPr>
            <w:tcW w:w="1067"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茂县红十字会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展基层红十字会组织、基层红十字会会员、志愿者工作、救护员培训工作、应急救护基地运行维护费等红十字事业发展工作经费。通过开展保护人的生命和健康，维护人的尊严，培育和践行社会主义核心价值观，弘扬人道、博爱、奉献精神，保障和规范红十字会依法履行职责，更好地促进红十字事业发展</w:t>
            </w:r>
          </w:p>
        </w:tc>
        <w:tc>
          <w:tcPr>
            <w:tcW w:w="36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开展应急救护知识普及培训13场次，受训人次1961人；组织救护员培训3场次，350余人参训，培训合格并发放救护员证324个</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新建基层红十字会组织4个，新发展红十字会员49人、招募红十字志愿者36人。完成会员与志愿者信息登记入库工作，常态化组织志愿者开展志愿服务活动，全年累计服务时长达1151.5小时</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实施博爱家园项目2个</w:t>
            </w:r>
          </w:p>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发展红十字会员、志愿者、三救三献红十字事业工作</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开展大病救助工作</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开展应急救护培训、应急救护普及培训</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此项工作在2025年度内完成</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5"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就发展红十字事业是救助社会生命的极其重要的社会工作，要不断的提高红十字事业的发展</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进一步提升改善贫困人员生活水平</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进一步提升改善</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全县人民队红十字事业发展的满意度</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74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8"/>
                <w:szCs w:val="18"/>
                <w:u w:val="none"/>
              </w:rPr>
            </w:pPr>
            <w:r>
              <w:rPr>
                <w:rFonts w:hint="eastAsia" w:ascii="宋体" w:hAnsi="宋体" w:eastAsia="宋体" w:cs="宋体"/>
                <w:color w:val="000000"/>
                <w:kern w:val="0"/>
                <w:sz w:val="18"/>
                <w:szCs w:val="18"/>
                <w:lang w:val="zh-CN" w:eastAsia="zh-CN" w:bidi="ar"/>
              </w:rPr>
              <w:t>我会加强项目管理，按照项目方案完成工作，达到项目目标，各项指标均达到年度要求，完成率较好，在项目管理上执行多种举措督促监管，做到了项目建设规范有序，项目运行效果明显。评价总分为</w:t>
            </w:r>
            <w:r>
              <w:rPr>
                <w:rFonts w:hint="eastAsia" w:ascii="宋体" w:hAnsi="宋体" w:eastAsia="宋体" w:cs="宋体"/>
                <w:color w:val="000000"/>
                <w:kern w:val="0"/>
                <w:sz w:val="18"/>
                <w:szCs w:val="18"/>
                <w:lang w:val="en-US" w:eastAsia="zh-CN" w:bidi="ar"/>
              </w:rPr>
              <w:t>89分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8"/>
                <w:szCs w:val="18"/>
                <w:u w:val="none"/>
              </w:rPr>
            </w:pPr>
            <w:r>
              <w:rPr>
                <w:rFonts w:hint="eastAsia" w:ascii="宋体" w:hAnsi="宋体" w:eastAsia="宋体" w:cs="宋体"/>
                <w:color w:val="000000"/>
                <w:kern w:val="0"/>
                <w:sz w:val="18"/>
                <w:szCs w:val="18"/>
                <w:lang w:val="zh-CN" w:eastAsia="zh-CN" w:bidi="ar"/>
              </w:rPr>
              <w:t>在项目决策、项目管理、项目结果等方面表现较好，但在项目实施过程中，我们面临一些问题和挑战，包括人道救助资源配置的不平衡、以及志愿者招募难度大、红十字会知名度不高，影响了人道救助效率和公众参与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8"/>
                <w:szCs w:val="18"/>
                <w:u w:val="none"/>
              </w:rPr>
            </w:pPr>
            <w:r>
              <w:rPr>
                <w:rFonts w:hint="eastAsia" w:ascii="宋体" w:hAnsi="宋体" w:eastAsia="宋体" w:cs="宋体"/>
                <w:color w:val="000000"/>
                <w:kern w:val="0"/>
                <w:sz w:val="18"/>
                <w:szCs w:val="18"/>
                <w:lang w:val="zh-CN" w:eastAsia="zh-CN" w:bidi="ar"/>
              </w:rPr>
              <w:t>要加大对偏远和资源匮乏地区的关注和支持，平衡资源配置；通过举办应急救护普及培训和其他宣传活动，增强红十字会的社会影响力，招募更多志愿者；利用现代媒体和互联网技术，提高红十字会工作的可见度和认知度。通过这些措施，我们相信红十字会能够更好地完成其使命，更有效地服务社会和公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0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8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00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51322325T000013446991-革命老区城镇社区博爱家园项目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茂县红十字会本级</w:t>
            </w:r>
          </w:p>
        </w:tc>
        <w:tc>
          <w:tcPr>
            <w:tcW w:w="1067"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茂县红十字会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围绕社会公益事业资金的公益惠民属性，在凤仪镇选定项目社区，一是配置一台AED，方便就近为心脏骤停患者通过AED 进行心肺复苏，抢救生命，组织开展项目点有关人员AED 正确使用培训;二是配备一个小型备灾救灾储藏室，储备救灾物资，可供开展社区救灾救援工作;三是配备一个服务社区群众的“博爱小屋”，配置居民可能会用到但家庭一般不会购买的设备器具，如轮椅、拐杖、活动梯子、工具箱、电钻、铲子、活动担架、急救箱、雨伞等，具体配备器具根据当地居民需求确定;四是开展应急逃生演练和救护培训，提高群众自救互救能力和健康水平。2025年拟申请资金预算 10 万元（省级下达中央专项彩票公益金支持地方社会公益事业发展资金）</w:t>
            </w:r>
          </w:p>
        </w:tc>
        <w:tc>
          <w:tcPr>
            <w:tcW w:w="36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博爱家园项目2个，资金预算20万元。其中“四川省革命老区城镇社区博爱家园项目”已完工，完成投资9.99万元。项目配置AED（心脏体外自动除颤器）1台，应急救灾储备室1个，博爱小屋1个。开展应急演练1场，应急救护培训2场。惠及凤仪镇内南社区4000余名社区居民；“四川省2025年第二批革命老区城镇社区博爱家园项目”工作正有序推进，</w:t>
            </w:r>
            <w:r>
              <w:rPr>
                <w:rFonts w:hint="eastAsia" w:ascii="宋体" w:hAnsi="宋体" w:eastAsia="宋体" w:cs="宋体"/>
                <w:i w:val="0"/>
                <w:iCs w:val="0"/>
                <w:color w:val="000000"/>
                <w:kern w:val="0"/>
                <w:sz w:val="18"/>
                <w:szCs w:val="18"/>
                <w:u w:val="none"/>
                <w:lang w:val="en-US" w:eastAsia="zh-CN" w:bidi="ar"/>
              </w:rPr>
              <w:t>如期在</w:t>
            </w:r>
            <w:r>
              <w:rPr>
                <w:rFonts w:hint="default" w:ascii="宋体" w:hAnsi="宋体" w:eastAsia="宋体" w:cs="宋体"/>
                <w:i w:val="0"/>
                <w:iCs w:val="0"/>
                <w:color w:val="000000"/>
                <w:kern w:val="0"/>
                <w:sz w:val="18"/>
                <w:szCs w:val="18"/>
                <w:u w:val="none"/>
                <w:lang w:val="en-US" w:eastAsia="zh-CN" w:bidi="ar"/>
              </w:rPr>
              <w:t>2025年年底前完成。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99.94%</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99.94%</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配备社区小型备灾救灾储藏室</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配备社区红十字博爱小屋</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开展应急逃生演练、开展救护知识普及宣传和救护员培训</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安装AED体外除颤仪</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项目规划编制完整性、合规性</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更好地发挥公益惠民的效果</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项目所在社区持续发展作用</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4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color w:val="000000"/>
                <w:kern w:val="0"/>
                <w:sz w:val="21"/>
                <w:szCs w:val="21"/>
                <w:lang w:val="zh-CN" w:eastAsia="zh-CN" w:bidi="ar"/>
              </w:rPr>
              <w:t>我会加强项目管理，按照项目方案完成工作，达到项目目标，各项指标均达到年度要求，完成率较好，在项目管理上执行多种举措督促监管，做到了项目建设规范有序，项目运行效果明显。评价总分为</w:t>
            </w:r>
            <w:r>
              <w:rPr>
                <w:rFonts w:hint="eastAsia" w:ascii="宋体" w:hAnsi="宋体" w:eastAsia="宋体" w:cs="宋体"/>
                <w:color w:val="000000"/>
                <w:kern w:val="0"/>
                <w:sz w:val="21"/>
                <w:szCs w:val="21"/>
                <w:lang w:val="en-US" w:eastAsia="zh-CN" w:bidi="ar"/>
              </w:rPr>
              <w:t>89分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color w:val="000000"/>
                <w:kern w:val="0"/>
                <w:sz w:val="21"/>
                <w:szCs w:val="21"/>
                <w:lang w:val="zh-CN" w:eastAsia="zh-CN" w:bidi="ar"/>
              </w:rPr>
              <w:t>在项目决策、项目管理、项目结果等方面表现较好，但在项目实施过程中，我们面临一些问题和挑战，包括人道救助资源配置的不平衡、以及志愿者招募难度大、红十字会知名度不高，影响了人道救助效率和公众参与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color w:val="000000"/>
                <w:kern w:val="0"/>
                <w:sz w:val="21"/>
                <w:szCs w:val="21"/>
                <w:lang w:val="zh-CN" w:eastAsia="zh-CN" w:bidi="ar"/>
              </w:rPr>
              <w:t>要加大对偏远和资源匮乏地区的关注和支持，平衡资源配置；通过举办应急救护普及培训和其他宣传活动，增强红十字会的社会影响力，招募更多志愿者；利用现代媒体和互联网技术，提高红十字会工作的可见度和认知度。通过这些措施，我们相信红十字会能够更好地完成其使命，更有效地服务社会和公众。</w:t>
            </w:r>
          </w:p>
        </w:tc>
      </w:tr>
    </w:tbl>
    <w:p>
      <w:pPr>
        <w:pageBreakBefore w:val="0"/>
        <w:kinsoku/>
        <w:wordWrap/>
        <w:overflowPunct/>
        <w:topLinePunct w:val="0"/>
        <w:bidi w:val="0"/>
        <w:spacing w:line="576" w:lineRule="exact"/>
        <w:ind w:left="0" w:leftChars="0"/>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kern w:val="0"/>
          <w:sz w:val="32"/>
          <w:szCs w:val="32"/>
          <w:highlight w:val="none"/>
          <w:shd w:val="clear" w:color="auto" w:fill="FFFFFF"/>
          <w:lang w:val="zh-CN"/>
        </w:rPr>
      </w:pPr>
    </w:p>
    <w:p>
      <w:pPr>
        <w:pStyle w:val="6"/>
        <w:pageBreakBefore w:val="0"/>
        <w:kinsoku/>
        <w:wordWrap/>
        <w:overflowPunct/>
        <w:topLinePunct w:val="0"/>
        <w:bidi w:val="0"/>
        <w:spacing w:beforeLines="0" w:line="576" w:lineRule="exact"/>
        <w:ind w:left="0" w:leftChars="0"/>
        <w:outlineLvl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6" w:lineRule="exact"/>
        <w:ind w:left="0" w:leftChars="0"/>
        <w:jc w:val="both"/>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spacing w:line="578" w:lineRule="exact"/>
        <w:jc w:val="center"/>
        <w:rPr>
          <w:rFonts w:hint="eastAsia" w:ascii="黑体" w:hAnsi="黑体" w:eastAsia="黑体" w:cs="黑体"/>
          <w:b/>
          <w:bCs/>
          <w:color w:val="auto"/>
          <w:kern w:val="2"/>
          <w:sz w:val="44"/>
          <w:szCs w:val="44"/>
          <w:lang w:val="en-US"/>
        </w:rPr>
      </w:pPr>
      <w:r>
        <w:rPr>
          <w:rFonts w:hint="eastAsia" w:ascii="黑体" w:hAnsi="黑体" w:eastAsia="黑体" w:cs="黑体"/>
          <w:b/>
          <w:bCs/>
          <w:color w:val="auto"/>
          <w:kern w:val="2"/>
          <w:sz w:val="44"/>
          <w:szCs w:val="44"/>
          <w:lang w:val="en-US"/>
        </w:rPr>
        <w:t>专项预算项目绩效评价报告</w:t>
      </w:r>
    </w:p>
    <w:p>
      <w:pPr>
        <w:pStyle w:val="35"/>
        <w:spacing w:line="578" w:lineRule="exact"/>
        <w:jc w:val="center"/>
      </w:pPr>
      <w:r>
        <w:rPr>
          <w:rFonts w:hint="eastAsia" w:ascii="仿宋_GB2312" w:hAnsi="仿宋_GB2312" w:eastAsia="仿宋_GB2312" w:cs="仿宋_GB2312"/>
          <w:b w:val="0"/>
          <w:bCs w:val="0"/>
          <w:color w:val="auto"/>
          <w:kern w:val="2"/>
          <w:sz w:val="32"/>
          <w:szCs w:val="32"/>
          <w:lang w:val="en-US"/>
        </w:rPr>
        <w:t>（</w:t>
      </w:r>
      <w:r>
        <w:rPr>
          <w:rFonts w:hint="eastAsia" w:eastAsia="仿宋_GB2312" w:cs="Times New Roman"/>
          <w:b w:val="0"/>
          <w:bCs w:val="0"/>
          <w:kern w:val="0"/>
          <w:position w:val="0"/>
          <w:sz w:val="32"/>
          <w:szCs w:val="32"/>
          <w:highlight w:val="none"/>
          <w:lang w:val="en-US" w:eastAsia="zh-CN" w:bidi="ar-SA"/>
        </w:rPr>
        <w:t>本部门不涉及此类项目</w:t>
      </w:r>
      <w:r>
        <w:rPr>
          <w:rFonts w:hint="eastAsia" w:ascii="仿宋_GB2312" w:hAnsi="仿宋_GB2312" w:eastAsia="仿宋_GB2312" w:cs="仿宋_GB2312"/>
          <w:b w:val="0"/>
          <w:bCs w:val="0"/>
          <w:color w:val="auto"/>
          <w:kern w:val="2"/>
          <w:sz w:val="32"/>
          <w:szCs w:val="32"/>
          <w:lang w:val="en-US"/>
        </w:rPr>
        <w:t>）</w:t>
      </w:r>
    </w:p>
    <w:p>
      <w:pPr>
        <w:pStyle w:val="35"/>
        <w:spacing w:line="578" w:lineRule="exact"/>
        <w:ind w:firstLine="640"/>
        <w:jc w:val="center"/>
        <w:rPr>
          <w:rFonts w:ascii="Times New Roman" w:hAnsi="Times New Roman"/>
          <w:color w:val="auto"/>
          <w:kern w:val="2"/>
          <w:sz w:val="32"/>
          <w:szCs w:val="32"/>
        </w:rPr>
      </w:pPr>
    </w:p>
    <w:p>
      <w:pPr>
        <w:pStyle w:val="15"/>
        <w:pageBreakBefore w:val="0"/>
        <w:kinsoku/>
        <w:wordWrap/>
        <w:overflowPunct/>
        <w:topLinePunct w:val="0"/>
        <w:bidi w:val="0"/>
        <w:spacing w:after="0" w:line="576" w:lineRule="exact"/>
        <w:ind w:left="0" w:leftChars="0" w:firstLine="480"/>
        <w:jc w:val="center"/>
        <w:rPr>
          <w:rFonts w:ascii="Times New Roman" w:eastAsia="黑体"/>
          <w:sz w:val="24"/>
          <w:szCs w:val="24"/>
        </w:rPr>
      </w:pPr>
    </w:p>
    <w:p>
      <w:pPr>
        <w:keepNext w:val="0"/>
        <w:keepLines w:val="0"/>
        <w:pageBreakBefore w:val="0"/>
        <w:widowControl w:val="0"/>
        <w:kinsoku/>
        <w:wordWrap/>
        <w:overflowPunct/>
        <w:topLinePunct w:val="0"/>
        <w:autoSpaceDE/>
        <w:autoSpaceDN/>
        <w:bidi w:val="0"/>
        <w:spacing w:line="576" w:lineRule="exact"/>
        <w:ind w:left="0" w:leftChars="0"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6" w:lineRule="exact"/>
        <w:ind w:left="0" w:leftChars="0"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6" w:lineRule="exact"/>
        <w:ind w:left="0" w:leftChars="0"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3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pageBreakBefore w:val="0"/>
        <w:widowControl/>
        <w:kinsoku/>
        <w:wordWrap/>
        <w:overflowPunct/>
        <w:topLinePunct w:val="0"/>
        <w:bidi w:val="0"/>
        <w:spacing w:line="576" w:lineRule="exact"/>
        <w:ind w:left="0" w:leftChars="0"/>
        <w:jc w:val="center"/>
        <w:outlineLvl w:val="0"/>
        <w:rPr>
          <w:rFonts w:hint="eastAsia" w:ascii="方正小标宋简体" w:hAnsi="方正小标宋简体" w:eastAsia="方正小标宋简体" w:cs="方正小标宋简体"/>
          <w:b w:val="0"/>
          <w:color w:val="auto"/>
          <w:sz w:val="44"/>
          <w:szCs w:val="44"/>
          <w:highlight w:val="none"/>
        </w:rPr>
      </w:pPr>
      <w:bookmarkStart w:id="134" w:name="_Toc15763"/>
      <w:r>
        <w:rPr>
          <w:rFonts w:hint="eastAsia" w:ascii="方正小标宋简体" w:hAnsi="方正小标宋简体" w:eastAsia="方正小标宋简体" w:cs="方正小标宋简体"/>
          <w:color w:val="auto"/>
          <w:sz w:val="44"/>
          <w:szCs w:val="44"/>
          <w:highlight w:val="none"/>
        </w:rPr>
        <w:t>第</w:t>
      </w:r>
      <w:r>
        <w:rPr>
          <w:rStyle w:val="29"/>
          <w:rFonts w:hint="eastAsia" w:ascii="方正小标宋简体" w:hAnsi="方正小标宋简体" w:eastAsia="方正小标宋简体" w:cs="方正小标宋简体"/>
          <w:b w:val="0"/>
          <w:color w:val="auto"/>
          <w:sz w:val="44"/>
          <w:szCs w:val="44"/>
          <w:highlight w:val="none"/>
        </w:rPr>
        <w:t>五部分 附表</w:t>
      </w:r>
      <w:bookmarkEnd w:id="126"/>
      <w:bookmarkEnd w:id="133"/>
      <w:bookmarkEnd w:id="134"/>
      <w:bookmarkStart w:id="135" w:name="_Toc15396619"/>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35"/>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36" w:name="_Toc15396620"/>
      <w:r>
        <w:rPr>
          <w:rFonts w:hint="eastAsia" w:ascii="Times New Roman" w:hAnsi="Times New Roman" w:eastAsia="仿宋_GB2312" w:cs="仿宋_GB2312"/>
          <w:color w:val="auto"/>
          <w:sz w:val="32"/>
          <w:szCs w:val="32"/>
          <w:highlight w:val="none"/>
        </w:rPr>
        <w:t>二、收入决算表</w:t>
      </w:r>
      <w:bookmarkEnd w:id="136"/>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37" w:name="_Toc15396621"/>
      <w:r>
        <w:rPr>
          <w:rFonts w:hint="eastAsia" w:ascii="Times New Roman" w:hAnsi="Times New Roman" w:eastAsia="仿宋_GB2312" w:cs="仿宋_GB2312"/>
          <w:color w:val="auto"/>
          <w:sz w:val="32"/>
          <w:szCs w:val="32"/>
          <w:highlight w:val="none"/>
        </w:rPr>
        <w:t>三、支出决算表</w:t>
      </w:r>
      <w:bookmarkEnd w:id="137"/>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38" w:name="_Toc15396622"/>
      <w:r>
        <w:rPr>
          <w:rFonts w:hint="eastAsia" w:ascii="Times New Roman" w:hAnsi="Times New Roman" w:eastAsia="仿宋_GB2312" w:cs="仿宋_GB2312"/>
          <w:color w:val="auto"/>
          <w:sz w:val="32"/>
          <w:szCs w:val="32"/>
          <w:highlight w:val="none"/>
        </w:rPr>
        <w:t>四、财政拨款收入支出决算总表</w:t>
      </w:r>
      <w:bookmarkEnd w:id="138"/>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39" w:name="_Toc15396623"/>
      <w:r>
        <w:rPr>
          <w:rFonts w:hint="eastAsia" w:ascii="Times New Roman" w:hAnsi="Times New Roman" w:eastAsia="仿宋_GB2312" w:cs="仿宋_GB2312"/>
          <w:color w:val="auto"/>
          <w:sz w:val="32"/>
          <w:szCs w:val="32"/>
          <w:highlight w:val="none"/>
        </w:rPr>
        <w:t>五、财政拨款支出决算明细表</w:t>
      </w:r>
      <w:bookmarkEnd w:id="139"/>
      <w:bookmarkStart w:id="140" w:name="_Toc15396624"/>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40"/>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1" w:name="_Toc15396625"/>
      <w:r>
        <w:rPr>
          <w:rFonts w:hint="eastAsia" w:ascii="Times New Roman" w:hAnsi="Times New Roman" w:eastAsia="仿宋_GB2312" w:cs="仿宋_GB2312"/>
          <w:color w:val="auto"/>
          <w:sz w:val="32"/>
          <w:szCs w:val="32"/>
          <w:highlight w:val="none"/>
        </w:rPr>
        <w:t>七、一般公共预算财政拨款支出决算明细表</w:t>
      </w:r>
      <w:bookmarkEnd w:id="141"/>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2" w:name="_Toc15396626"/>
      <w:r>
        <w:rPr>
          <w:rFonts w:hint="eastAsia" w:ascii="Times New Roman" w:hAnsi="Times New Roman" w:eastAsia="仿宋_GB2312" w:cs="仿宋_GB2312"/>
          <w:color w:val="auto"/>
          <w:sz w:val="32"/>
          <w:szCs w:val="32"/>
          <w:highlight w:val="none"/>
        </w:rPr>
        <w:t>八、一般公共预算财政拨款基本支出决算表</w:t>
      </w:r>
      <w:bookmarkEnd w:id="142"/>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3" w:name="_Toc15396627"/>
      <w:r>
        <w:rPr>
          <w:rFonts w:hint="eastAsia" w:ascii="Times New Roman" w:hAnsi="Times New Roman" w:eastAsia="仿宋_GB2312" w:cs="仿宋_GB2312"/>
          <w:color w:val="auto"/>
          <w:sz w:val="32"/>
          <w:szCs w:val="32"/>
          <w:highlight w:val="none"/>
        </w:rPr>
        <w:t>九、一般公共预算财政拨款项目支出决算表</w:t>
      </w:r>
      <w:bookmarkEnd w:id="143"/>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4" w:name="_Toc15396628"/>
      <w:r>
        <w:rPr>
          <w:rFonts w:hint="eastAsia" w:ascii="Times New Roman" w:hAnsi="Times New Roman" w:eastAsia="仿宋_GB2312" w:cs="仿宋_GB2312"/>
          <w:color w:val="auto"/>
          <w:sz w:val="32"/>
          <w:szCs w:val="32"/>
          <w:highlight w:val="none"/>
        </w:rPr>
        <w:t>十、</w:t>
      </w:r>
      <w:bookmarkEnd w:id="144"/>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5" w:name="_Toc15396629"/>
      <w:r>
        <w:rPr>
          <w:rFonts w:hint="eastAsia" w:ascii="Times New Roman" w:hAnsi="Times New Roman" w:eastAsia="仿宋_GB2312" w:cs="仿宋_GB2312"/>
          <w:color w:val="auto"/>
          <w:sz w:val="32"/>
          <w:szCs w:val="32"/>
          <w:highlight w:val="none"/>
        </w:rPr>
        <w:t>十一、</w:t>
      </w:r>
      <w:bookmarkEnd w:id="14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rPr>
      </w:pPr>
      <w:bookmarkStart w:id="146" w:name="_Toc15396630"/>
      <w:r>
        <w:rPr>
          <w:rFonts w:hint="eastAsia" w:ascii="Times New Roman" w:hAnsi="Times New Roman" w:eastAsia="仿宋_GB2312" w:cs="仿宋_GB2312"/>
          <w:color w:val="auto"/>
          <w:sz w:val="32"/>
          <w:szCs w:val="32"/>
          <w:highlight w:val="none"/>
        </w:rPr>
        <w:t>十二、</w:t>
      </w:r>
      <w:bookmarkEnd w:id="14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outlineLvl w:val="9"/>
        <w:rPr>
          <w:rFonts w:hint="eastAsia" w:ascii="Times New Roman" w:hAnsi="Times New Roman" w:eastAsia="仿宋_GB2312" w:cs="仿宋_GB2312"/>
          <w:color w:val="auto"/>
          <w:sz w:val="32"/>
          <w:szCs w:val="32"/>
          <w:highlight w:val="none"/>
          <w:lang w:eastAsia="zh-CN"/>
        </w:rPr>
      </w:pPr>
      <w:bookmarkStart w:id="147" w:name="_Toc15396631"/>
      <w:r>
        <w:rPr>
          <w:rFonts w:hint="eastAsia" w:ascii="Times New Roman" w:hAnsi="Times New Roman" w:eastAsia="仿宋_GB2312" w:cs="仿宋_GB2312"/>
          <w:color w:val="auto"/>
          <w:sz w:val="32"/>
          <w:szCs w:val="32"/>
          <w:highlight w:val="none"/>
        </w:rPr>
        <w:t>十三、</w:t>
      </w:r>
      <w:bookmarkEnd w:id="147"/>
      <w:r>
        <w:rPr>
          <w:rFonts w:hint="eastAsia" w:ascii="Times New Roman" w:hAnsi="Times New Roman" w:eastAsia="仿宋_GB2312" w:cs="仿宋_GB2312"/>
          <w:color w:val="auto"/>
          <w:sz w:val="32"/>
          <w:szCs w:val="32"/>
          <w:highlight w:val="none"/>
          <w:lang w:eastAsia="zh-CN"/>
        </w:rPr>
        <w:t>财政拨款“三公”经费支出决算表</w:t>
      </w:r>
    </w:p>
    <w:p>
      <w:pPr>
        <w:pageBreakBefore w:val="0"/>
        <w:kinsoku/>
        <w:wordWrap/>
        <w:overflowPunct/>
        <w:topLinePunct w:val="0"/>
        <w:bidi w:val="0"/>
        <w:spacing w:line="576" w:lineRule="exact"/>
        <w:ind w:left="0" w:leftChars="0"/>
        <w:rPr>
          <w:rFonts w:hint="eastAsia" w:ascii="Times New Roman" w:hAnsi="Times New Roman"/>
          <w:sz w:val="32"/>
          <w:szCs w:val="32"/>
          <w:lang w:eastAsia="zh-CN"/>
        </w:rPr>
      </w:pPr>
    </w:p>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Nakula"/>
    <w:panose1 w:val="00000000000000000000"/>
    <w:charset w:val="00"/>
    <w:family w:val="roman"/>
    <w:pitch w:val="default"/>
    <w:sig w:usb0="00000000" w:usb1="00000000" w:usb2="00000000" w:usb3="00000000" w:csb0="00000000" w:csb1="00000000"/>
  </w:font>
  <w:font w:name="Nakula">
    <w:panose1 w:val="00000400000000000000"/>
    <w:charset w:val="00"/>
    <w:family w:val="auto"/>
    <w:pitch w:val="default"/>
    <w:sig w:usb0="A0008207" w:usb1="00000000" w:usb2="00000000" w:usb3="00000000" w:csb0="00000045"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文泉驿正黑">
    <w:panose1 w:val="02000603000000000000"/>
    <w:charset w:val="86"/>
    <w:family w:val="auto"/>
    <w:pitch w:val="default"/>
    <w:sig w:usb0="900002BF" w:usb1="2BDF7DFB" w:usb2="00000036" w:usb3="00000000" w:csb0="603E000D" w:csb1="D2D7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00000001" w:usb1="08000000" w:usb2="00000000" w:usb3="00000000" w:csb0="00040000" w:csb1="00000000"/>
  </w:font>
  <w:font w:name="方正公文小标宋">
    <w:panose1 w:val="02000000000000000000"/>
    <w:charset w:val="86"/>
    <w:family w:val="auto"/>
    <w:pitch w:val="default"/>
    <w:sig w:usb0="00000001" w:usb1="0800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4875BE"/>
    <w:multiLevelType w:val="singleLevel"/>
    <w:tmpl w:val="984875BE"/>
    <w:lvl w:ilvl="0" w:tentative="0">
      <w:start w:val="2"/>
      <w:numFmt w:val="chineseCounting"/>
      <w:suff w:val="nothing"/>
      <w:lvlText w:val="（%1）"/>
      <w:lvlJc w:val="left"/>
      <w:rPr>
        <w:rFonts w:hint="eastAsia"/>
      </w:rPr>
    </w:lvl>
  </w:abstractNum>
  <w:abstractNum w:abstractNumId="1">
    <w:nsid w:val="F8A9427B"/>
    <w:multiLevelType w:val="singleLevel"/>
    <w:tmpl w:val="F8A9427B"/>
    <w:lvl w:ilvl="0" w:tentative="0">
      <w:start w:val="2"/>
      <w:numFmt w:val="chineseCounting"/>
      <w:suff w:val="nothing"/>
      <w:lvlText w:val="（%1）"/>
      <w:lvlJc w:val="left"/>
      <w:rPr>
        <w:rFonts w:hint="eastAsia"/>
      </w:rPr>
    </w:lvl>
  </w:abstractNum>
  <w:abstractNum w:abstractNumId="2">
    <w:nsid w:val="731BC45F"/>
    <w:multiLevelType w:val="singleLevel"/>
    <w:tmpl w:val="731BC45F"/>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36931"/>
    <w:rsid w:val="012A5EC2"/>
    <w:rsid w:val="015975B8"/>
    <w:rsid w:val="0294766C"/>
    <w:rsid w:val="02D84414"/>
    <w:rsid w:val="02FEBE30"/>
    <w:rsid w:val="0355755F"/>
    <w:rsid w:val="04817F8D"/>
    <w:rsid w:val="04916F1E"/>
    <w:rsid w:val="05A87954"/>
    <w:rsid w:val="060602D8"/>
    <w:rsid w:val="061E35DE"/>
    <w:rsid w:val="06460E22"/>
    <w:rsid w:val="066E0107"/>
    <w:rsid w:val="06A251D1"/>
    <w:rsid w:val="073E0AA0"/>
    <w:rsid w:val="07996F6E"/>
    <w:rsid w:val="07DFD8BA"/>
    <w:rsid w:val="08B23693"/>
    <w:rsid w:val="09867E8F"/>
    <w:rsid w:val="0A2032A3"/>
    <w:rsid w:val="0CA8290A"/>
    <w:rsid w:val="0D060C66"/>
    <w:rsid w:val="0D35B1ED"/>
    <w:rsid w:val="0D4252AC"/>
    <w:rsid w:val="0E254B6B"/>
    <w:rsid w:val="0E430D28"/>
    <w:rsid w:val="0E673DDE"/>
    <w:rsid w:val="0EE534F0"/>
    <w:rsid w:val="0F98263C"/>
    <w:rsid w:val="101860EC"/>
    <w:rsid w:val="101F47CC"/>
    <w:rsid w:val="10C055FF"/>
    <w:rsid w:val="11694EBD"/>
    <w:rsid w:val="11733FDD"/>
    <w:rsid w:val="11772AA4"/>
    <w:rsid w:val="11796CCB"/>
    <w:rsid w:val="118107EC"/>
    <w:rsid w:val="1202500A"/>
    <w:rsid w:val="12AA264D"/>
    <w:rsid w:val="12E24EE2"/>
    <w:rsid w:val="130C6BA3"/>
    <w:rsid w:val="133A44C3"/>
    <w:rsid w:val="13D50BC4"/>
    <w:rsid w:val="14B17F78"/>
    <w:rsid w:val="15097A8D"/>
    <w:rsid w:val="165E0673"/>
    <w:rsid w:val="16B831D5"/>
    <w:rsid w:val="16BB723D"/>
    <w:rsid w:val="17E50567"/>
    <w:rsid w:val="186504BB"/>
    <w:rsid w:val="19A445FC"/>
    <w:rsid w:val="19EA2F53"/>
    <w:rsid w:val="1A5D54D3"/>
    <w:rsid w:val="1BE8440E"/>
    <w:rsid w:val="1CD1476C"/>
    <w:rsid w:val="1D155CEE"/>
    <w:rsid w:val="1D1638FE"/>
    <w:rsid w:val="1D65301C"/>
    <w:rsid w:val="1D750D86"/>
    <w:rsid w:val="1E0E1328"/>
    <w:rsid w:val="1E110F21"/>
    <w:rsid w:val="1E312DEB"/>
    <w:rsid w:val="1E740ACF"/>
    <w:rsid w:val="1FF35744"/>
    <w:rsid w:val="1FF6BC77"/>
    <w:rsid w:val="2186353C"/>
    <w:rsid w:val="218A68E9"/>
    <w:rsid w:val="22177DFE"/>
    <w:rsid w:val="22F67252"/>
    <w:rsid w:val="23860B96"/>
    <w:rsid w:val="23BA5CB6"/>
    <w:rsid w:val="240371BF"/>
    <w:rsid w:val="240D3B04"/>
    <w:rsid w:val="244F3473"/>
    <w:rsid w:val="24C97D99"/>
    <w:rsid w:val="25A718F0"/>
    <w:rsid w:val="25BB59F6"/>
    <w:rsid w:val="260F557C"/>
    <w:rsid w:val="26970054"/>
    <w:rsid w:val="27053DD4"/>
    <w:rsid w:val="27613D55"/>
    <w:rsid w:val="281408E2"/>
    <w:rsid w:val="29514C99"/>
    <w:rsid w:val="29F04DE6"/>
    <w:rsid w:val="29FD04D3"/>
    <w:rsid w:val="2A6D4BE6"/>
    <w:rsid w:val="2BFF7BC6"/>
    <w:rsid w:val="2C370BC7"/>
    <w:rsid w:val="2C8A61B5"/>
    <w:rsid w:val="2CE92FEB"/>
    <w:rsid w:val="2DB62255"/>
    <w:rsid w:val="2DF04E50"/>
    <w:rsid w:val="2E586DFA"/>
    <w:rsid w:val="2E6F0FF4"/>
    <w:rsid w:val="2F040D46"/>
    <w:rsid w:val="2F6B035B"/>
    <w:rsid w:val="2FAE5751"/>
    <w:rsid w:val="2FB1A395"/>
    <w:rsid w:val="2FBC2844"/>
    <w:rsid w:val="2FD9A7D8"/>
    <w:rsid w:val="2FDBF714"/>
    <w:rsid w:val="2FF69125"/>
    <w:rsid w:val="30AB6865"/>
    <w:rsid w:val="319F7F4E"/>
    <w:rsid w:val="32BD1EF1"/>
    <w:rsid w:val="32F900E8"/>
    <w:rsid w:val="3304709D"/>
    <w:rsid w:val="330662B0"/>
    <w:rsid w:val="331D35FA"/>
    <w:rsid w:val="338848C3"/>
    <w:rsid w:val="33A773CB"/>
    <w:rsid w:val="349D6851"/>
    <w:rsid w:val="35B73417"/>
    <w:rsid w:val="366D1A7D"/>
    <w:rsid w:val="36AA5135"/>
    <w:rsid w:val="36BE0DA7"/>
    <w:rsid w:val="37264B94"/>
    <w:rsid w:val="37353F00"/>
    <w:rsid w:val="37614B2E"/>
    <w:rsid w:val="376B6AA6"/>
    <w:rsid w:val="376D39B2"/>
    <w:rsid w:val="379540A7"/>
    <w:rsid w:val="37CB7AC8"/>
    <w:rsid w:val="37E16F03"/>
    <w:rsid w:val="37F53A3B"/>
    <w:rsid w:val="382330C5"/>
    <w:rsid w:val="389B6C89"/>
    <w:rsid w:val="38A44524"/>
    <w:rsid w:val="38D469F0"/>
    <w:rsid w:val="39627CCD"/>
    <w:rsid w:val="39782A20"/>
    <w:rsid w:val="397BAF1F"/>
    <w:rsid w:val="3A427B13"/>
    <w:rsid w:val="3AB79AF3"/>
    <w:rsid w:val="3AE834C0"/>
    <w:rsid w:val="3B7EF35A"/>
    <w:rsid w:val="3B9FDB6C"/>
    <w:rsid w:val="3BF5BC2F"/>
    <w:rsid w:val="3C0331F7"/>
    <w:rsid w:val="3C3C519A"/>
    <w:rsid w:val="3CEBA265"/>
    <w:rsid w:val="3D98207C"/>
    <w:rsid w:val="3DEE7CF3"/>
    <w:rsid w:val="3E740A63"/>
    <w:rsid w:val="3E78745D"/>
    <w:rsid w:val="3E854E75"/>
    <w:rsid w:val="3EE17838"/>
    <w:rsid w:val="3F55381A"/>
    <w:rsid w:val="3F7F7599"/>
    <w:rsid w:val="3FF4CAE0"/>
    <w:rsid w:val="3FF7B227"/>
    <w:rsid w:val="3FFD828B"/>
    <w:rsid w:val="410372B2"/>
    <w:rsid w:val="41596145"/>
    <w:rsid w:val="4289576B"/>
    <w:rsid w:val="445A2900"/>
    <w:rsid w:val="44E268DA"/>
    <w:rsid w:val="450D13D7"/>
    <w:rsid w:val="454D4212"/>
    <w:rsid w:val="45506656"/>
    <w:rsid w:val="46800A43"/>
    <w:rsid w:val="470A17AF"/>
    <w:rsid w:val="470E1780"/>
    <w:rsid w:val="4768268B"/>
    <w:rsid w:val="486A6C7A"/>
    <w:rsid w:val="48783354"/>
    <w:rsid w:val="48883A03"/>
    <w:rsid w:val="4A627F82"/>
    <w:rsid w:val="4ABB6AB7"/>
    <w:rsid w:val="4B0E749A"/>
    <w:rsid w:val="4B2477C4"/>
    <w:rsid w:val="4B4F25DA"/>
    <w:rsid w:val="4BE068DB"/>
    <w:rsid w:val="4D577224"/>
    <w:rsid w:val="4DBF1CEB"/>
    <w:rsid w:val="4DF0007C"/>
    <w:rsid w:val="4E1D2BBC"/>
    <w:rsid w:val="4EAB630A"/>
    <w:rsid w:val="4ECE2238"/>
    <w:rsid w:val="4F833267"/>
    <w:rsid w:val="4FE9BD67"/>
    <w:rsid w:val="4FFB052F"/>
    <w:rsid w:val="50D45419"/>
    <w:rsid w:val="51C55131"/>
    <w:rsid w:val="524D2C93"/>
    <w:rsid w:val="52552958"/>
    <w:rsid w:val="537E6D0A"/>
    <w:rsid w:val="53F74C96"/>
    <w:rsid w:val="54B2718B"/>
    <w:rsid w:val="55170BA8"/>
    <w:rsid w:val="553218C9"/>
    <w:rsid w:val="555979A7"/>
    <w:rsid w:val="55D517B0"/>
    <w:rsid w:val="563F7BDE"/>
    <w:rsid w:val="567E1AA5"/>
    <w:rsid w:val="56E47B74"/>
    <w:rsid w:val="57175D52"/>
    <w:rsid w:val="576E13E8"/>
    <w:rsid w:val="57BD3DD4"/>
    <w:rsid w:val="57C43922"/>
    <w:rsid w:val="58141314"/>
    <w:rsid w:val="58BE4FB2"/>
    <w:rsid w:val="59017B4C"/>
    <w:rsid w:val="591F781C"/>
    <w:rsid w:val="59701E26"/>
    <w:rsid w:val="599856E8"/>
    <w:rsid w:val="59BD150F"/>
    <w:rsid w:val="5ACEF07D"/>
    <w:rsid w:val="5AF92295"/>
    <w:rsid w:val="5B250254"/>
    <w:rsid w:val="5B9733C8"/>
    <w:rsid w:val="5BDD79E6"/>
    <w:rsid w:val="5BF561CA"/>
    <w:rsid w:val="5BFF5DFC"/>
    <w:rsid w:val="5C6861F4"/>
    <w:rsid w:val="5CD71FC4"/>
    <w:rsid w:val="5D1F11B5"/>
    <w:rsid w:val="5D695134"/>
    <w:rsid w:val="5DA71965"/>
    <w:rsid w:val="5DAE1B18"/>
    <w:rsid w:val="5DE057CC"/>
    <w:rsid w:val="5DE331B2"/>
    <w:rsid w:val="5DE7D9E5"/>
    <w:rsid w:val="5EBF067F"/>
    <w:rsid w:val="5ECEC941"/>
    <w:rsid w:val="5F0B0C6C"/>
    <w:rsid w:val="5F130902"/>
    <w:rsid w:val="5FBF9FF3"/>
    <w:rsid w:val="5FCD4E2C"/>
    <w:rsid w:val="5FDD1BE4"/>
    <w:rsid w:val="5FED59B9"/>
    <w:rsid w:val="5FEF394A"/>
    <w:rsid w:val="5FF5BFB9"/>
    <w:rsid w:val="5FF67715"/>
    <w:rsid w:val="60393974"/>
    <w:rsid w:val="60EF159F"/>
    <w:rsid w:val="62864182"/>
    <w:rsid w:val="62BF3928"/>
    <w:rsid w:val="62DB47B4"/>
    <w:rsid w:val="63704743"/>
    <w:rsid w:val="63B3701E"/>
    <w:rsid w:val="64140C79"/>
    <w:rsid w:val="646D1D84"/>
    <w:rsid w:val="647F5392"/>
    <w:rsid w:val="64FF6595"/>
    <w:rsid w:val="65073E19"/>
    <w:rsid w:val="65E66580"/>
    <w:rsid w:val="664B1D71"/>
    <w:rsid w:val="664B4E8E"/>
    <w:rsid w:val="67277B67"/>
    <w:rsid w:val="67AA3209"/>
    <w:rsid w:val="689606E5"/>
    <w:rsid w:val="694D5389"/>
    <w:rsid w:val="698D0931"/>
    <w:rsid w:val="699257FF"/>
    <w:rsid w:val="69925ED5"/>
    <w:rsid w:val="69BB13B3"/>
    <w:rsid w:val="6A350C4E"/>
    <w:rsid w:val="6A7FE5F3"/>
    <w:rsid w:val="6B053271"/>
    <w:rsid w:val="6BDD78B3"/>
    <w:rsid w:val="6C4A05C8"/>
    <w:rsid w:val="6C8742B8"/>
    <w:rsid w:val="6D2E5B0C"/>
    <w:rsid w:val="6DBF5E93"/>
    <w:rsid w:val="6DD04D3F"/>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8129CA"/>
    <w:rsid w:val="71992E7C"/>
    <w:rsid w:val="72020806"/>
    <w:rsid w:val="72233669"/>
    <w:rsid w:val="72734D90"/>
    <w:rsid w:val="73160E6D"/>
    <w:rsid w:val="7332FE48"/>
    <w:rsid w:val="734359DE"/>
    <w:rsid w:val="73770376"/>
    <w:rsid w:val="739774FE"/>
    <w:rsid w:val="73AB61DA"/>
    <w:rsid w:val="73AD73D5"/>
    <w:rsid w:val="73B6EB34"/>
    <w:rsid w:val="73BE3A85"/>
    <w:rsid w:val="73FA497D"/>
    <w:rsid w:val="744731E5"/>
    <w:rsid w:val="74BBD01D"/>
    <w:rsid w:val="74DB0643"/>
    <w:rsid w:val="74ED5379"/>
    <w:rsid w:val="75DEEEC2"/>
    <w:rsid w:val="75E32345"/>
    <w:rsid w:val="76E3355F"/>
    <w:rsid w:val="76E87542"/>
    <w:rsid w:val="76FF5125"/>
    <w:rsid w:val="776F6FFA"/>
    <w:rsid w:val="778769C8"/>
    <w:rsid w:val="77A75DCA"/>
    <w:rsid w:val="77DC22F5"/>
    <w:rsid w:val="783E271A"/>
    <w:rsid w:val="78616DE9"/>
    <w:rsid w:val="78E55F35"/>
    <w:rsid w:val="78E875D7"/>
    <w:rsid w:val="79086DAD"/>
    <w:rsid w:val="79D7FD79"/>
    <w:rsid w:val="79EE5BA4"/>
    <w:rsid w:val="79F07014"/>
    <w:rsid w:val="7A894339"/>
    <w:rsid w:val="7AD284E8"/>
    <w:rsid w:val="7AFF7572"/>
    <w:rsid w:val="7B6C7DFB"/>
    <w:rsid w:val="7BBFBED0"/>
    <w:rsid w:val="7BC3E394"/>
    <w:rsid w:val="7BEF3B37"/>
    <w:rsid w:val="7BFFAB64"/>
    <w:rsid w:val="7C1F3737"/>
    <w:rsid w:val="7C571FDD"/>
    <w:rsid w:val="7CBFC87B"/>
    <w:rsid w:val="7CFE0F48"/>
    <w:rsid w:val="7D272ABC"/>
    <w:rsid w:val="7D7EC23E"/>
    <w:rsid w:val="7D8E50C6"/>
    <w:rsid w:val="7DB90E81"/>
    <w:rsid w:val="7E810BD5"/>
    <w:rsid w:val="7E8ADEBF"/>
    <w:rsid w:val="7E955D07"/>
    <w:rsid w:val="7EEF11D3"/>
    <w:rsid w:val="7EFD26F0"/>
    <w:rsid w:val="7EFE4840"/>
    <w:rsid w:val="7F0971A6"/>
    <w:rsid w:val="7F1D62E7"/>
    <w:rsid w:val="7F3F679B"/>
    <w:rsid w:val="7F4FC4EF"/>
    <w:rsid w:val="7F5E4D54"/>
    <w:rsid w:val="7F6E0135"/>
    <w:rsid w:val="7F79F205"/>
    <w:rsid w:val="7FA30C79"/>
    <w:rsid w:val="7FA79C44"/>
    <w:rsid w:val="7FAE52D2"/>
    <w:rsid w:val="7FAF8ABF"/>
    <w:rsid w:val="7FB7269E"/>
    <w:rsid w:val="7FC96657"/>
    <w:rsid w:val="7FD5F171"/>
    <w:rsid w:val="7FDA9588"/>
    <w:rsid w:val="7FDF220F"/>
    <w:rsid w:val="7FEDC5F7"/>
    <w:rsid w:val="7FEDD9DE"/>
    <w:rsid w:val="7FF5890D"/>
    <w:rsid w:val="7FF93490"/>
    <w:rsid w:val="99FF2014"/>
    <w:rsid w:val="A6DD0D7F"/>
    <w:rsid w:val="A77AF2A3"/>
    <w:rsid w:val="ACFF4FBB"/>
    <w:rsid w:val="ADC6F725"/>
    <w:rsid w:val="B7AFB5D6"/>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BBA48"/>
    <w:rsid w:val="ED7FD312"/>
    <w:rsid w:val="EEBC3C7C"/>
    <w:rsid w:val="EF2E1AC6"/>
    <w:rsid w:val="EF53993F"/>
    <w:rsid w:val="EF6FD633"/>
    <w:rsid w:val="EFBFB2F4"/>
    <w:rsid w:val="EFBFFA21"/>
    <w:rsid w:val="F2BEBCB8"/>
    <w:rsid w:val="F36FB518"/>
    <w:rsid w:val="F3DE1A04"/>
    <w:rsid w:val="F3F722E5"/>
    <w:rsid w:val="F4FBCD07"/>
    <w:rsid w:val="FA5F1E70"/>
    <w:rsid w:val="FA5FDB97"/>
    <w:rsid w:val="FAEF1B86"/>
    <w:rsid w:val="FB6B110F"/>
    <w:rsid w:val="FB7F486A"/>
    <w:rsid w:val="FBFF5B2E"/>
    <w:rsid w:val="FD7FFE2B"/>
    <w:rsid w:val="FDEE196B"/>
    <w:rsid w:val="FDFE6575"/>
    <w:rsid w:val="FEDFDDC2"/>
    <w:rsid w:val="FEED32F6"/>
    <w:rsid w:val="FEF781DD"/>
    <w:rsid w:val="FF3F7E3F"/>
    <w:rsid w:val="FFBA12D7"/>
    <w:rsid w:val="FFCBD314"/>
    <w:rsid w:val="FFCE850E"/>
    <w:rsid w:val="FFDFF91C"/>
    <w:rsid w:val="FFDFFAEE"/>
    <w:rsid w:val="FFEF6777"/>
    <w:rsid w:val="FFF9B57B"/>
    <w:rsid w:val="FFFAE872"/>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4"/>
    <w:basedOn w:val="1"/>
    <w:next w:val="1"/>
    <w:semiHidden/>
    <w:unhideWhenUsed/>
    <w:qFormat/>
    <w:uiPriority w:val="39"/>
    <w:pPr>
      <w:ind w:left="1260" w:leftChars="600"/>
    </w:p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9"/>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34" textRotate="1"/>
    <customShpInfo spid="_x0000_s1035"/>
    <customShpInfo spid="_x0000_s1036"/>
    <customShpInfo spid="_x0000_s1037"/>
    <customShpInfo spid="_x0000_s1038"/>
    <customShpInfo spid="_x0000_s1039"/>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8453</Words>
  <Characters>9639</Characters>
  <Lines>61</Lines>
  <Paragraphs>17</Paragraphs>
  <TotalTime>0</TotalTime>
  <ScaleCrop>false</ScaleCrop>
  <LinksUpToDate>false</LinksUpToDate>
  <CharactersWithSpaces>9761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user</cp:lastModifiedBy>
  <cp:lastPrinted>2026-09-01T17:00:00Z</cp:lastPrinted>
  <dcterms:modified xsi:type="dcterms:W3CDTF">2026-09-02T08:50:02Z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6A8F03982AAB4D64A283B2044D796765_13</vt:lpwstr>
  </property>
  <property fmtid="{D5CDD505-2E9C-101B-9397-08002B2CF9AE}" pid="4" name="KSOTemplateDocerSaveRecord">
    <vt:lpwstr>eyJoZGlkIjoiMzkyYTNiOWY5ZTQ2MTdiNzRjMjRmYTI4MTg2NGUwNTkiLCJ1c2VySWQiOiI4OTExNDQ5NjAifQ==</vt:lpwstr>
  </property>
</Properties>
</file>