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5"/>
        <w:outlineLvl w:val="9"/>
        <w:rPr>
          <w:rFonts w:ascii="Times New Roman" w:eastAsia="方正小标宋简体" w:cs="Times New Roman" w:hAnsi="Times New Roman" w:hint="eastAsia"/>
          <w:color w:val="auto"/>
          <w:kern w:val="2"/>
          <w:sz w:val="72"/>
          <w:szCs w:val="72"/>
          <w:lang w:val="en-US" w:eastAsia="zh-CN" w:bidi="ar-SA"/>
          <w:highlight w:val="auto"/>
        </w:rPr>
      </w:pPr>
      <w:bookmarkStart w:id="0" w:name="_Toc15378441"/>
      <w:bookmarkStart w:id="1" w:name="_Toc15377193"/>
      <w:bookmarkStart w:id="2" w:name="_Toc15396597"/>
      <w:bookmarkStart w:id="3" w:name="_Toc15396475"/>
      <w:bookmarkStart w:id="4" w:name="_Toc15377425"/>
      <w:bookmarkStart w:id="5" w:name="_Toc15306267"/>
      <w:bookmarkStart w:id="6" w:name="_GoBack"/>
      <w:bookmarkEnd w:id="6"/>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rPr>
          <w:rFonts w:ascii="Times New Roman" w:eastAsia="方正小标宋简体" w:cs="Times New Roman" w:hAnsi="Times New Roman" w:hint="eastAsia"/>
          <w:color w:val="auto"/>
          <w:kern w:val="2"/>
          <w:sz w:val="72"/>
          <w:szCs w:val="72"/>
          <w:lang w:val="en-US" w:eastAsia="zh-CN" w:bidi="ar-SA"/>
          <w:highlight w:val="auto"/>
        </w:rPr>
      </w:pPr>
    </w:p>
    <w:p>
      <w:pPr>
        <w:pStyle w:val="15"/>
        <w:jc w:val="center"/>
        <w:rPr>
          <w:rFonts w:ascii="黑体" w:eastAsia="黑体" w:cs="黑体" w:hint="eastAsia"/>
          <w:b/>
          <w:bCs/>
          <w:color w:val="auto"/>
          <w:kern w:val="2"/>
          <w:sz w:val="44"/>
          <w:szCs w:val="44"/>
          <w:lang w:val="en-US" w:eastAsia="zh-CN" w:bidi="ar-SA"/>
          <w:highlight w:val="auto"/>
        </w:rPr>
      </w:pPr>
      <w:r>
        <w:rPr>
          <w:rFonts w:ascii="黑体" w:eastAsia="黑体" w:cs="黑体" w:hint="eastAsia"/>
          <w:b/>
          <w:bCs/>
          <w:color w:val="auto"/>
          <w:kern w:val="2"/>
          <w:sz w:val="44"/>
          <w:szCs w:val="44"/>
          <w:lang w:val="en-US" w:eastAsia="zh-CN" w:bidi="ar-SA"/>
          <w:highlight w:val="auto"/>
        </w:rPr>
        <w:t>2025年度四川省阿坝州</w:t>
      </w:r>
    </w:p>
    <w:p>
      <w:pPr>
        <w:pStyle w:val="15"/>
        <w:jc w:val="center"/>
        <w:outlineLvl w:val="0"/>
        <w:rPr>
          <w:rFonts w:ascii="黑体" w:eastAsia="黑体" w:cs="黑体" w:hint="eastAsia"/>
          <w:b/>
          <w:bCs/>
          <w:color w:val="auto"/>
          <w:kern w:val="2"/>
          <w:sz w:val="44"/>
          <w:szCs w:val="44"/>
          <w:lang w:val="en-US" w:eastAsia="zh-CN" w:bidi="ar-SA"/>
          <w:highlight w:val="auto"/>
        </w:rPr>
      </w:pPr>
      <w:bookmarkStart w:id="7" w:name="_Toc4917"/>
      <w:bookmarkStart w:id="8" w:name="_Toc21343"/>
      <w:bookmarkStart w:id="9" w:name="_Toc9886"/>
      <w:bookmarkStart w:id="10" w:name="_Toc26399"/>
      <w:bookmarkStart w:id="11" w:name="_Toc32562"/>
      <w:bookmarkStart w:id="12" w:name="_Toc3448"/>
      <w:r>
        <w:rPr>
          <w:rFonts w:ascii="黑体" w:eastAsia="黑体" w:cs="黑体" w:hint="eastAsia"/>
          <w:b/>
          <w:bCs/>
          <w:color w:val="auto"/>
          <w:kern w:val="2"/>
          <w:sz w:val="44"/>
          <w:szCs w:val="44"/>
          <w:lang w:val="en-US" w:eastAsia="zh-CN" w:bidi="ar-SA"/>
          <w:highlight w:val="auto"/>
        </w:rPr>
        <w:t>茂县红十字会</w:t>
      </w:r>
      <w:bookmarkEnd w:id="7"/>
      <w:bookmarkEnd w:id="8"/>
      <w:bookmarkEnd w:id="9"/>
      <w:bookmarkEnd w:id="10"/>
      <w:bookmarkEnd w:id="11"/>
      <w:bookmarkEnd w:id="12"/>
    </w:p>
    <w:p>
      <w:pPr>
        <w:pStyle w:val="15"/>
        <w:jc w:val="center"/>
        <w:rPr>
          <w:rFonts w:ascii="黑体" w:eastAsia="黑体" w:cs="黑体" w:hint="eastAsia"/>
          <w:b/>
          <w:bCs/>
          <w:color w:val="auto"/>
          <w:kern w:val="2"/>
          <w:sz w:val="44"/>
          <w:szCs w:val="44"/>
          <w:lang w:val="en-US" w:eastAsia="zh-CN" w:bidi="ar-SA"/>
          <w:highlight w:val="auto"/>
        </w:rPr>
      </w:pPr>
      <w:r>
        <w:rPr>
          <w:rFonts w:ascii="黑体" w:eastAsia="黑体" w:cs="黑体" w:hint="eastAsia"/>
          <w:b/>
          <w:bCs/>
          <w:color w:val="auto"/>
          <w:kern w:val="2"/>
          <w:sz w:val="44"/>
          <w:szCs w:val="44"/>
          <w:lang w:val="en-US" w:eastAsia="zh-CN" w:bidi="ar-SA"/>
          <w:highlight w:val="auto"/>
        </w:rPr>
        <w:t>单位决算</w:t>
      </w:r>
    </w:p>
    <w:p>
      <w:pPr>
        <w:spacing w:line="600" w:lineRule="exact"/>
        <w:jc w:val="center"/>
        <w:outlineLvl w:val="9"/>
        <w:rPr>
          <w:rFonts w:ascii="Times New Roman" w:eastAsia="方正小标宋简体" w:hAnsi="Times New Roman"/>
          <w:color w:val="auto"/>
          <w:sz w:val="72"/>
          <w:szCs w:val="72"/>
          <w:highlight w:val="auto"/>
        </w:rPr>
      </w:pPr>
    </w:p>
    <w:p>
      <w:pPr>
        <w:pStyle w:val="28"/>
        <w:outlineLvl w:val="9"/>
        <w:rPr>
          <w:rFonts w:ascii="Times New Roman" w:hAnsi="Times New Roman"/>
        </w:rPr>
        <w:sectPr>
          <w:headerReference w:type="default" r:id="rId2"/>
          <w:headerReference w:type="first" r:id="rId3"/>
          <w:footerReference w:type="default" r:id="rId4"/>
          <w:pgSz w:w="11906" w:h="16838"/>
          <w:pgMar w:top="1440" w:right="1800" w:bottom="1440" w:left="1800" w:header="851" w:footer="992" w:gutter="0"/>
          <w:pgNumType w:fmt="numberInDash" w:start="1"/>
          <w:titlePg/>
          <w:docGrid w:type="lines" w:linePitch="312" w:charSpace="0"/>
        </w:sectPr>
      </w:pPr>
    </w:p>
    <w:bookmarkEnd w:id="0" w:displacedByCustomXml="next"/>
    <w:bookmarkEnd w:id="1" w:displacedByCustomXml="next"/>
    <w:bookmarkEnd w:id="2" w:displacedByCustomXml="next"/>
    <w:bookmarkEnd w:id="3" w:displacedByCustomXml="next"/>
    <w:bookmarkEnd w:id="4" w:displacedByCustomXml="next"/>
    <w:bookmarkEnd w:id="5" w:displacedByCustomXml="next"/>
    <w:sdt>
      <w:sdtPr>
        <w:rPr>
          <w:rFonts w:ascii="宋体" w:eastAsia="宋体" w:cs="Times New Roman"/>
          <w:kern w:val="2"/>
          <w:sz w:val="21"/>
          <w:szCs w:val="24"/>
          <w:lang w:val="en-US" w:eastAsia="zh-CN" w:bidi="ar-SA"/>
        </w:rPr>
        <w:id w:val="-1413226325"/>
        <w15:color w:val="DBDBDB"/>
        <w:docPartObj>
          <w:docPartGallery w:val="Table of Contents"/>
          <w:docPartUnique/>
        </w:docPartObj>
      </w:sdtPr>
      <w:sdtEndPr>
        <w:rPr>
          <w:rFonts w:ascii="Times New Roman" w:eastAsia="方正小标宋简体" w:cs="方正小标宋简体" w:hAnsi="Times New Roman" w:hint="eastAsia"/>
          <w:b/>
          <w:bCs/>
          <w:color w:val="auto"/>
          <w:kern w:val="44"/>
          <w:sz w:val="44"/>
          <w:szCs w:val="44"/>
        </w:rPr>
      </w:sdtEndPr>
      <w:sdtContent>
        <w:p>
          <w:pPr>
            <w:spacing w:before="0" w:after="0" w:line="240" w:lineRule="auto"/>
            <w:ind w:left="0" w:right="0" w:firstLine="0"/>
            <w:jc w:val="center"/>
            <w:rPr>
              <w:rFonts w:ascii="Times New Roman" w:eastAsia="方正小标宋简体" w:cs="方正小标宋简体" w:hAnsi="Times New Roman" w:hint="eastAsia"/>
              <w:b/>
              <w:bCs/>
              <w:color w:val="auto"/>
              <w:kern w:val="44"/>
              <w:sz w:val="44"/>
              <w:szCs w:val="44"/>
              <w:lang w:val="en-US" w:eastAsia="zh-CN" w:bidi="ar-SA"/>
              <w:highlight w:val="auto"/>
            </w:rPr>
          </w:pPr>
          <w:r>
            <w:rPr>
              <w:rFonts w:ascii="黑体" w:eastAsia="黑体" w:cs="黑体" w:hint="eastAsia"/>
              <w:sz w:val="44"/>
              <w:szCs w:val="44"/>
            </w:rPr>
            <w:t>目</w:t>
          </w:r>
          <w:r>
            <w:rPr>
              <w:rFonts w:ascii="黑体" w:eastAsia="黑体" w:cs="黑体" w:hint="eastAsia"/>
              <w:sz w:val="44"/>
              <w:szCs w:val="44"/>
              <w:lang w:val="en-US" w:eastAsia="zh-CN"/>
            </w:rPr>
            <w:t xml:space="preserve">  </w:t>
          </w:r>
          <w:r>
            <w:rPr>
              <w:rFonts w:ascii="黑体" w:eastAsia="黑体" w:cs="黑体" w:hint="eastAsia"/>
              <w:sz w:val="44"/>
              <w:szCs w:val="44"/>
            </w:rPr>
            <w:t>录</w:t>
          </w:r>
        </w:p>
      </w:sdtContent>
    </w:sdt>
    <w:sdt>
      <w:sdtPr>
        <w:rPr>
          <w:rFonts w:ascii="宋体" w:eastAsia="宋体" w:cs="Times New Roman"/>
          <w:kern w:val="2"/>
          <w:sz w:val="21"/>
          <w:szCs w:val="24"/>
          <w:lang w:val="en-US" w:eastAsia="zh-CN" w:bidi="ar-SA"/>
        </w:rPr>
        <w:id w:val="568402720"/>
        <w15:color w:val="DBDBDB"/>
        <w:docPartObj>
          <w:docPartGallery w:val="Table of Contents"/>
          <w:docPartUnique/>
        </w:docPartObj>
      </w:sdtPr>
      <w:sdtEndPr>
        <w:rPr>
          <w:rFonts w:ascii="仿宋_GB2312" w:eastAsia="仿宋_GB2312" w:cs="仿宋_GB2312" w:hint="eastAsia"/>
          <w:sz w:val="28"/>
          <w:szCs w:val="28"/>
        </w:rPr>
      </w:sdtEndPr>
      <w:sdtContent>
        <w:p>
          <w:pPr>
            <w:spacing w:before="0" w:after="0" w:line="240" w:lineRule="auto"/>
            <w:ind w:left="0" w:right="0" w:firstLine="0"/>
            <w:jc w:val="center"/>
            <w:rPr>
              <w:rFonts w:ascii="宋体" w:eastAsia="宋体"/>
              <w:sz w:val="21"/>
            </w:rPr>
          </w:pPr>
        </w:p>
        <w:p>
          <w:pPr>
            <w:pStyle w:val="21"/>
            <w:tabs>
              <w:tab w:val="right" w:leader="dot" w:pos="8296"/>
            </w:tabs>
            <w:rPr>
              <w:rFonts w:ascii="宋体" w:eastAsia="宋体"/>
              <w:sz w:val="21"/>
            </w:rPr>
          </w:pPr>
          <w:r>
            <w:rPr>
              <w:rFonts w:ascii="仿宋_GB2312" w:eastAsia="仿宋_GB2312" w:cs="仿宋_GB2312" w:hint="eastAsia"/>
              <w:sz w:val="32"/>
              <w:szCs w:val="32"/>
            </w:rPr>
            <w:t>公开时间：202</w:t>
          </w:r>
          <w:r>
            <w:rPr>
              <w:rFonts w:ascii="仿宋_GB2312" w:eastAsia="仿宋_GB2312" w:cs="仿宋_GB2312" w:hint="eastAsia"/>
              <w:sz w:val="32"/>
              <w:szCs w:val="32"/>
              <w:lang w:val="en-US" w:eastAsia="zh-CN"/>
            </w:rPr>
            <w:t>5</w:t>
          </w:r>
          <w:r>
            <w:rPr>
              <w:rFonts w:ascii="仿宋_GB2312" w:eastAsia="仿宋_GB2312" w:cs="仿宋_GB2312" w:hint="eastAsia"/>
              <w:sz w:val="32"/>
              <w:szCs w:val="32"/>
            </w:rPr>
            <w:t>年9月</w:t>
          </w:r>
          <w:r>
            <w:rPr>
              <w:rFonts w:ascii="仿宋_GB2312" w:eastAsia="仿宋_GB2312" w:cs="仿宋_GB2312" w:hint="eastAsia"/>
              <w:sz w:val="32"/>
              <w:szCs w:val="32"/>
              <w:lang w:val="en-US" w:eastAsia="zh-CN"/>
            </w:rPr>
            <w:t>4</w:t>
          </w:r>
          <w:r>
            <w:rPr>
              <w:rFonts w:ascii="仿宋_GB2312" w:eastAsia="仿宋_GB2312" w:cs="仿宋_GB2312" w:hint="eastAsia"/>
              <w:sz w:val="32"/>
              <w:szCs w:val="32"/>
            </w:rPr>
            <w:t>日</w:t>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TOC \o "1-3" \h \u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_Toc3112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第一部分</w:t>
          </w:r>
          <w:r>
            <w:rPr>
              <w:rFonts w:ascii="仿宋_GB2312" w:eastAsia="仿宋_GB2312" w:cs="仿宋_GB2312" w:hint="eastAsia"/>
              <w:sz w:val="28"/>
              <w:szCs w:val="28"/>
              <w:lang w:val="en-US" w:eastAsia="zh-CN"/>
              <w:highlight w:val="auto"/>
            </w:rPr>
            <w:t xml:space="preserve"> </w:t>
          </w:r>
          <w:r>
            <w:rPr>
              <w:rFonts w:ascii="仿宋_GB2312" w:eastAsia="仿宋_GB2312" w:cs="仿宋_GB2312" w:hint="eastAsia"/>
              <w:sz w:val="28"/>
              <w:szCs w:val="28"/>
              <w:highlight w:val="auto"/>
            </w:rPr>
            <w:t xml:space="preserve"> </w:t>
          </w:r>
          <w:r>
            <w:rPr>
              <w:rFonts w:ascii="仿宋_GB2312" w:eastAsia="仿宋_GB2312" w:cs="仿宋_GB2312" w:hint="eastAsia"/>
              <w:bCs w:val="0"/>
              <w:sz w:val="28"/>
              <w:szCs w:val="28"/>
              <w:highlight w:val="auto"/>
            </w:rPr>
            <w:t>部门概况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2</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_Toc15035 </w:instrText>
          </w:r>
          <w:r>
            <w:rPr>
              <w:rFonts w:ascii="仿宋_GB2312" w:eastAsia="仿宋_GB2312" w:cs="仿宋_GB2312" w:hint="eastAsia"/>
              <w:sz w:val="28"/>
              <w:szCs w:val="28"/>
            </w:rPr>
            <w:fldChar w:fldCharType="separate"/>
          </w:r>
          <w:r>
            <w:rPr>
              <w:rFonts w:ascii="仿宋_GB2312" w:eastAsia="仿宋_GB2312" w:cs="仿宋_GB2312" w:hint="eastAsia"/>
              <w:bCs/>
              <w:kern w:val="2"/>
              <w:sz w:val="28"/>
              <w:szCs w:val="28"/>
              <w:lang w:val="en-US" w:eastAsia="zh-CN" w:bidi="ar-SA"/>
            </w:rPr>
            <w:t>一、</w:t>
          </w:r>
          <w:r>
            <w:rPr>
              <w:rFonts w:ascii="仿宋_GB2312" w:eastAsia="仿宋_GB2312" w:cs="仿宋_GB2312" w:hint="eastAsia"/>
              <w:sz w:val="28"/>
              <w:szCs w:val="28"/>
              <w:lang w:eastAsia="zh-CN"/>
              <w:highlight w:val="auto"/>
            </w:rPr>
            <w:t>部门职责</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3</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_Toc9042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二、机</w:t>
          </w:r>
          <w:r>
            <w:rPr>
              <w:rFonts w:ascii="仿宋_GB2312" w:eastAsia="仿宋_GB2312" w:cs="仿宋_GB2312" w:hint="eastAsia"/>
              <w:bCs w:val="0"/>
              <w:sz w:val="28"/>
              <w:szCs w:val="28"/>
              <w:highlight w:val="auto"/>
            </w:rPr>
            <w:t>构设置</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3</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_Toc28302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eastAsia="zh-CN"/>
              <w:highlight w:val="auto"/>
            </w:rPr>
            <w:t>一、</w:t>
          </w:r>
          <w:r>
            <w:rPr>
              <w:rFonts w:ascii="仿宋_GB2312" w:eastAsia="仿宋_GB2312" w:cs="仿宋_GB2312" w:hint="eastAsia"/>
              <w:sz w:val="28"/>
              <w:szCs w:val="28"/>
              <w:highlight w:val="auto"/>
            </w:rPr>
            <w:t>收入支出决算总体情况说明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4</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_Toc6150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eastAsia="zh-CN"/>
              <w:highlight w:val="auto"/>
            </w:rPr>
            <w:t>二、收入决算情况说明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4</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_Toc27524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eastAsia="zh-CN"/>
              <w:highlight w:val="auto"/>
            </w:rPr>
            <w:t>三、</w:t>
          </w:r>
          <w:r>
            <w:rPr>
              <w:rFonts w:ascii="仿宋_GB2312" w:eastAsia="仿宋_GB2312" w:cs="仿宋_GB2312" w:hint="eastAsia"/>
              <w:sz w:val="28"/>
              <w:szCs w:val="28"/>
              <w:highlight w:val="auto"/>
            </w:rPr>
            <w:t>支出决算情况说明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5</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_Toc27910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四、财政拨款收入支出决算总体情况说明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6</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_Toc29056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五、一般公共预算财政拨款支出决算情况说明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6</w:t>
          </w:r>
          <w:r>
            <w:rPr>
              <w:rFonts w:ascii="仿宋_GB2312" w:eastAsia="仿宋_GB2312" w:cs="仿宋_GB2312" w:hint="eastAsia"/>
              <w:sz w:val="28"/>
              <w:szCs w:val="28"/>
            </w:rPr>
            <w:fldChar w:fldCharType="end"/>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_Toc4673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（一）一般公共预算财政拨款支出决算总体情况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6</w:t>
          </w:r>
          <w:r>
            <w:rPr>
              <w:rFonts w:ascii="仿宋_GB2312" w:eastAsia="仿宋_GB2312" w:cs="仿宋_GB2312" w:hint="eastAsia"/>
              <w:sz w:val="28"/>
              <w:szCs w:val="28"/>
            </w:rPr>
            <w:fldChar w:fldCharType="end"/>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_Toc2530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（二）一般公共预算财政拨款支出决算结构情况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7</w:t>
          </w:r>
          <w:r>
            <w:rPr>
              <w:rFonts w:ascii="仿宋_GB2312" w:eastAsia="仿宋_GB2312" w:cs="仿宋_GB2312" w:hint="eastAsia"/>
              <w:sz w:val="28"/>
              <w:szCs w:val="28"/>
            </w:rPr>
            <w:fldChar w:fldCharType="end"/>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_Toc10242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（三）一般公共预算财政拨款支出决算具体情况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8</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_Toc18062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六、一般公共预算财政拨款基本支出决算情况说明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8</w:t>
          </w:r>
          <w:r>
            <w:rPr>
              <w:rFonts w:ascii="仿宋_GB2312" w:eastAsia="仿宋_GB2312" w:cs="仿宋_GB2312" w:hint="eastAsia"/>
              <w:sz w:val="28"/>
              <w:szCs w:val="28"/>
            </w:rPr>
            <w:fldChar w:fldCharType="end"/>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_Toc10323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（二）“三公”经费财政拨款支出决算具体情况说明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9</w:t>
          </w:r>
          <w:r>
            <w:rPr>
              <w:rFonts w:ascii="仿宋_GB2312" w:eastAsia="仿宋_GB2312" w:cs="仿宋_GB2312" w:hint="eastAsia"/>
              <w:sz w:val="28"/>
              <w:szCs w:val="28"/>
            </w:rPr>
            <w:fldChar w:fldCharType="end"/>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_Toc4659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八、政府性基金预算支出决算情况说明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0</w:t>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_Toc4278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eastAsia="zh-CN"/>
              <w:highlight w:val="auto"/>
            </w:rPr>
            <w:t>九、</w:t>
          </w:r>
          <w:r>
            <w:rPr>
              <w:rFonts w:ascii="仿宋_GB2312" w:eastAsia="仿宋_GB2312" w:cs="仿宋_GB2312" w:hint="eastAsia"/>
              <w:sz w:val="28"/>
              <w:szCs w:val="28"/>
              <w:highlight w:val="auto"/>
            </w:rPr>
            <w:t>国有资本经营预算支出决算情况说明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0</w:t>
          </w:r>
        </w:p>
        <w:p>
          <w:pPr>
            <w:pStyle w:val="25"/>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_Toc25522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eastAsia="zh-CN"/>
              <w:highlight w:val="auto"/>
            </w:rPr>
            <w:t>十、</w:t>
          </w:r>
          <w:r>
            <w:rPr>
              <w:rFonts w:ascii="仿宋_GB2312" w:eastAsia="仿宋_GB2312" w:cs="仿宋_GB2312" w:hint="eastAsia"/>
              <w:sz w:val="28"/>
              <w:szCs w:val="28"/>
              <w:highlight w:val="auto"/>
            </w:rPr>
            <w:t>其他重要事项的情况说明</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1</w:t>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_Toc13923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（一）机关运行经费支出情况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1</w:t>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_Toc30164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（二）政府采购支出情况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1</w:t>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_Toc421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（三）国有资产占有使用情况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1</w:t>
          </w:r>
        </w:p>
        <w:p>
          <w:pPr>
            <w:pStyle w:val="17"/>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_Toc28088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（四）预算绩效管理情况</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1</w:t>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textAlignment w:val="auto"/>
            <w:rPr>
              <w:rFonts w:ascii="仿宋_GB2312" w:eastAsia="仿宋_GB2312" w:cs="仿宋_GB2312" w:hint="eastAsia"/>
              <w:sz w:val="28"/>
              <w:szCs w:val="28"/>
            </w:rPr>
          </w:pPr>
          <w:r>
            <w:rPr>
              <w:rFonts w:ascii="仿宋_GB2312" w:eastAsia="仿宋_GB2312" w:cs="仿宋_GB2312" w:hint="eastAsia"/>
              <w:sz w:val="28"/>
              <w:szCs w:val="28"/>
              <w:lang w:eastAsia="zh-CN"/>
              <w:highlight w:val="auto"/>
            </w:rPr>
            <w:t>第</w:t>
          </w: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_Toc28953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eastAsia="zh-CN"/>
              <w:highlight w:val="auto"/>
            </w:rPr>
            <w:t>三</w:t>
          </w:r>
          <w:r>
            <w:rPr>
              <w:rFonts w:ascii="仿宋_GB2312" w:eastAsia="仿宋_GB2312" w:cs="仿宋_GB2312" w:hint="eastAsia"/>
              <w:sz w:val="28"/>
              <w:szCs w:val="28"/>
              <w:highlight w:val="auto"/>
            </w:rPr>
            <w:t>部分</w:t>
          </w:r>
          <w:r>
            <w:rPr>
              <w:rFonts w:ascii="仿宋_GB2312" w:eastAsia="仿宋_GB2312" w:cs="仿宋_GB2312" w:hint="eastAsia"/>
              <w:sz w:val="28"/>
              <w:szCs w:val="28"/>
              <w:lang w:val="en-US" w:eastAsia="zh-CN"/>
              <w:highlight w:val="auto"/>
            </w:rPr>
            <w:t xml:space="preserve">  </w:t>
          </w:r>
          <w:r>
            <w:rPr>
              <w:rFonts w:ascii="仿宋_GB2312" w:eastAsia="仿宋_GB2312" w:cs="仿宋_GB2312" w:hint="eastAsia"/>
              <w:sz w:val="28"/>
              <w:szCs w:val="28"/>
              <w:highlight w:val="auto"/>
            </w:rPr>
            <w:t>名词解释</w:t>
          </w:r>
          <w:r>
            <w:rPr>
              <w:rFonts w:ascii="仿宋_GB2312" w:eastAsia="仿宋_GB2312" w:cs="仿宋_GB2312" w:hint="eastAsia"/>
              <w:sz w:val="28"/>
              <w:szCs w:val="28"/>
            </w:rPr>
            <w:tab/>
          </w: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PAGEREF _Toc28953 \h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lang w:val="en-US" w:eastAsia="zh-CN"/>
            </w:rPr>
            <w:t>12</w:t>
          </w:r>
          <w:r>
            <w:rPr>
              <w:rFonts w:ascii="仿宋_GB2312" w:eastAsia="仿宋_GB2312" w:cs="仿宋_GB2312" w:hint="eastAsia"/>
              <w:sz w:val="28"/>
              <w:szCs w:val="28"/>
            </w:rPr>
            <w:fldChar w:fldCharType="end"/>
          </w:r>
          <w:r>
            <w:rPr>
              <w:rFonts w:ascii="仿宋_GB2312" w:eastAsia="仿宋_GB2312" w:cs="仿宋_GB2312" w:hint="eastAsia"/>
              <w:sz w:val="28"/>
              <w:szCs w:val="28"/>
            </w:rPr>
            <w:fldChar w:fldCharType="end"/>
          </w:r>
        </w:p>
        <w:p>
          <w:pPr>
            <w:pStyle w:val="21"/>
            <w:keepNext w:val="0"/>
            <w:keepLines w:val="0"/>
            <w:pageBreakBefore w:val="0"/>
            <w:widowControl w:val="0"/>
            <w:tabs>
              <w:tab w:val="clear" w:pos="8296"/>
              <w:tab w:val="right" w:leader="dot" w:pos="8306"/>
            </w:tabs>
            <w:kinsoku/>
            <w:wordWrap/>
            <w:overflowPunct/>
            <w:topLinePunct w:val="0"/>
            <w:autoSpaceDE/>
            <w:autoSpaceDN/>
            <w:bidi w:val="0"/>
            <w:adjustRightInd/>
            <w:snapToGrid/>
            <w:spacing w:line="500" w:lineRule="exact"/>
            <w:jc w:val="both"/>
            <w:textAlignment w:val="auto"/>
            <w:rPr>
              <w:rFonts w:ascii="仿宋_GB2312" w:eastAsia="仿宋_GB2312" w:cs="仿宋_GB2312" w:hint="eastAsia"/>
              <w:sz w:val="28"/>
              <w:szCs w:val="28"/>
              <w:lang w:val="en-US" w:eastAsia="zh-CN"/>
            </w:rPr>
          </w:pPr>
          <w:r>
            <w:rPr>
              <w:rFonts w:ascii="仿宋_GB2312" w:eastAsia="仿宋_GB2312" w:cs="仿宋_GB2312" w:hint="eastAsia"/>
              <w:sz w:val="28"/>
              <w:szCs w:val="28"/>
              <w:lang w:val="en-US" w:eastAsia="zh-CN"/>
              <w:highlight w:val="auto"/>
            </w:rPr>
            <w:t xml:space="preserve">第四部分  </w:t>
          </w:r>
          <w:r>
            <w:rPr>
              <w:rFonts w:ascii="仿宋_GB2312" w:eastAsia="仿宋_GB2312" w:cs="仿宋_GB2312" w:hint="eastAsia"/>
              <w:sz w:val="28"/>
              <w:szCs w:val="28"/>
              <w:lang w:val="en-US" w:eastAsia="zh-CN"/>
            </w:rPr>
            <w:fldChar w:fldCharType="begin"/>
          </w:r>
          <w:r>
            <w:rPr>
              <w:rFonts w:ascii="仿宋_GB2312" w:eastAsia="仿宋_GB2312" w:cs="仿宋_GB2312" w:hint="eastAsia"/>
              <w:sz w:val="28"/>
              <w:szCs w:val="28"/>
              <w:lang w:val="en-US" w:eastAsia="zh-CN"/>
            </w:rPr>
            <w:instrText xml:space="preserve"> HYPERLINK \l _Toc6538 </w:instrText>
          </w:r>
          <w:r>
            <w:rPr>
              <w:rFonts w:ascii="仿宋_GB2312" w:eastAsia="仿宋_GB2312" w:cs="仿宋_GB2312" w:hint="eastAsia"/>
              <w:sz w:val="28"/>
              <w:szCs w:val="28"/>
              <w:lang w:val="en-US" w:eastAsia="zh-CN"/>
            </w:rPr>
            <w:fldChar w:fldCharType="separate"/>
          </w:r>
          <w:r>
            <w:rPr>
              <w:rFonts w:ascii="仿宋_GB2312" w:eastAsia="仿宋_GB2312" w:cs="仿宋_GB2312" w:hint="eastAsia"/>
              <w:sz w:val="28"/>
              <w:szCs w:val="28"/>
              <w:lang w:val="en-US" w:eastAsia="zh-CN"/>
              <w:highlight w:val="auto"/>
            </w:rPr>
            <w:t>附件</w:t>
          </w:r>
          <w:r>
            <w:rPr>
              <w:rFonts w:ascii="仿宋_GB2312" w:eastAsia="仿宋_GB2312" w:cs="仿宋_GB2312" w:hint="eastAsia"/>
              <w:b/>
              <w:bCs/>
              <w:sz w:val="28"/>
              <w:szCs w:val="28"/>
              <w:lang w:val="en-US" w:eastAsia="zh-CN"/>
            </w:rPr>
            <w:t>..........................................</w:t>
          </w:r>
          <w:r>
            <w:rPr>
              <w:rFonts w:ascii="仿宋_GB2312" w:eastAsia="仿宋_GB2312" w:cs="仿宋_GB2312" w:hint="eastAsia"/>
              <w:sz w:val="28"/>
              <w:szCs w:val="28"/>
              <w:lang w:val="en-US" w:eastAsia="zh-CN"/>
            </w:rPr>
            <w:t>1</w:t>
          </w:r>
          <w:r>
            <w:rPr>
              <w:rFonts w:ascii="仿宋_GB2312" w:eastAsia="仿宋_GB2312" w:cs="仿宋_GB2312" w:hint="eastAsia"/>
              <w:sz w:val="28"/>
              <w:szCs w:val="28"/>
              <w:lang w:val="en-US" w:eastAsia="zh-CN"/>
            </w:rPr>
            <w:fldChar w:fldCharType="end"/>
          </w:r>
          <w:r>
            <w:rPr>
              <w:rFonts w:ascii="仿宋_GB2312" w:eastAsia="仿宋_GB2312" w:cs="仿宋_GB2312" w:hint="eastAsia"/>
              <w:sz w:val="28"/>
              <w:szCs w:val="28"/>
              <w:lang w:val="en-US" w:eastAsia="zh-CN"/>
            </w:rPr>
            <w:t>5</w:t>
          </w:r>
          <w:r>
            <w:rPr>
              <w:rFonts w:ascii="仿宋_GB2312" w:eastAsia="仿宋_GB2312" w:cs="仿宋_GB2312" w:hint="eastAsia"/>
              <w:sz w:val="28"/>
              <w:szCs w:val="28"/>
            </w:rPr>
            <w:fldChar w:fldCharType="begin"/>
          </w:r>
          <w:r>
            <w:rPr>
              <w:rFonts w:ascii="仿宋_GB2312" w:eastAsia="仿宋_GB2312" w:cs="仿宋_GB2312" w:hint="eastAsia"/>
              <w:sz w:val="28"/>
              <w:szCs w:val="28"/>
            </w:rPr>
            <w:instrText xml:space="preserve"> HYPERLINK \l _Toc28059 </w:instrText>
          </w:r>
          <w:r>
            <w:rPr>
              <w:rFonts w:ascii="仿宋_GB2312" w:eastAsia="仿宋_GB2312" w:cs="仿宋_GB2312" w:hint="eastAsia"/>
              <w:sz w:val="28"/>
              <w:szCs w:val="28"/>
            </w:rPr>
            <w:fldChar w:fldCharType="separate"/>
          </w:r>
          <w:r>
            <w:rPr>
              <w:rFonts w:ascii="仿宋_GB2312" w:eastAsia="仿宋_GB2312" w:cs="仿宋_GB2312" w:hint="eastAsia"/>
              <w:sz w:val="28"/>
              <w:szCs w:val="28"/>
              <w:highlight w:val="auto"/>
            </w:rPr>
            <w:t>第五部分 附表</w:t>
          </w:r>
          <w:r>
            <w:rPr>
              <w:rFonts w:ascii="仿宋_GB2312" w:eastAsia="仿宋_GB2312" w:cs="仿宋_GB2312" w:hint="eastAsia"/>
              <w:sz w:val="28"/>
              <w:szCs w:val="28"/>
            </w:rPr>
            <w:tab/>
          </w:r>
          <w:r>
            <w:rPr>
              <w:rFonts w:ascii="仿宋_GB2312" w:eastAsia="仿宋_GB2312" w:cs="仿宋_GB2312" w:hint="eastAsia"/>
              <w:sz w:val="28"/>
              <w:szCs w:val="28"/>
              <w:lang w:val="en-US" w:eastAsia="zh-CN"/>
            </w:rPr>
            <w:t>1</w:t>
          </w:r>
          <w:r>
            <w:rPr>
              <w:rFonts w:ascii="仿宋_GB2312" w:eastAsia="仿宋_GB2312" w:cs="仿宋_GB2312" w:hint="eastAsia"/>
              <w:sz w:val="28"/>
              <w:szCs w:val="28"/>
            </w:rPr>
            <w:fldChar w:fldCharType="end"/>
          </w:r>
          <w:r>
            <w:rPr>
              <w:rFonts w:ascii="仿宋_GB2312" w:eastAsia="仿宋_GB2312" w:cs="仿宋_GB2312" w:hint="eastAsia"/>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_Toc16991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一、收入支出决算总表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_Toc25253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二、收入决算表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_Toc9073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三、支出决算表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_Toc16356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四、财政拨款收入支出决算总表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_Toc17138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五、财政拨款支出决算明细表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_Toc4549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六、一般公共预算财政拨款支出决算表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_Toc14791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七、一般公共预算财政拨款支出决算明细表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_Toc28418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八、一般公共预算财政拨款基本支出决算表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_Toc18307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九、一般公共预算财政拨款项目支出决算表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_Toc5528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十、政府性基金预算财政拨款收入支出决算表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_Toc9214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十一、国有资本经营预算财政拨款收入支出决算表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pStyle w:val="37"/>
            <w:keepNext w:val="0"/>
            <w:keepLines w:val="0"/>
            <w:pageBreakBefore w:val="0"/>
            <w:tabs>
              <w:tab w:val="right" w:leader="dot" w:pos="8306"/>
            </w:tabs>
            <w:kinsoku/>
            <w:wordWrap/>
            <w:overflowPunct/>
            <w:topLinePunct w:val="0"/>
            <w:autoSpaceDE/>
            <w:autoSpaceDN/>
            <w:bidi w:val="0"/>
            <w:adjustRightInd/>
            <w:snapToGrid/>
            <w:spacing w:line="500" w:lineRule="exact"/>
            <w:jc w:val="left"/>
            <w:textAlignment w:val="auto"/>
            <w:rPr>
              <w:rFonts w:ascii="仿宋_GB2312" w:eastAsia="仿宋_GB2312" w:cs="仿宋_GB2312" w:hint="eastAsia"/>
              <w:b w:val="0"/>
              <w:bCs w:val="0"/>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_Toc20620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十二、国有资本经营预算财政拨款支出决算表</w:t>
            <w:tab/>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keepNext w:val="0"/>
            <w:keepLines w:val="0"/>
            <w:pageBreakBefore w:val="0"/>
            <w:widowControl w:val="0"/>
            <w:kinsoku/>
            <w:wordWrap/>
            <w:overflowPunct/>
            <w:topLinePunct w:val="0"/>
            <w:autoSpaceDE/>
            <w:autoSpaceDN/>
            <w:bidi w:val="0"/>
            <w:adjustRightInd/>
            <w:snapToGrid/>
            <w:spacing w:line="500" w:lineRule="exact"/>
            <w:ind w:firstLineChars="200" w:firstLine="560"/>
            <w:jc w:val="left"/>
            <w:textAlignment w:val="auto"/>
            <w:rPr>
              <w:rFonts w:eastAsia="仿宋_GB2312" w:hint="eastAsia"/>
              <w:sz w:val="28"/>
              <w:szCs w:val="28"/>
              <w:lang w:val="en-US" w:eastAsia="zh-CN"/>
            </w:rPr>
          </w:pPr>
          <w:r>
            <w:rPr>
              <w:rFonts w:ascii="仿宋_GB2312" w:eastAsia="仿宋_GB2312" w:cs="仿宋_GB2312" w:hint="eastAsia"/>
              <w:b w:val="0"/>
              <w:bCs w:val="0"/>
              <w:sz w:val="28"/>
              <w:szCs w:val="28"/>
            </w:rPr>
            <w:fldChar w:fldCharType="begin"/>
          </w:r>
          <w:r>
            <w:rPr>
              <w:rFonts w:ascii="仿宋_GB2312" w:eastAsia="仿宋_GB2312" w:cs="仿宋_GB2312" w:hint="eastAsia"/>
              <w:b w:val="0"/>
              <w:bCs w:val="0"/>
              <w:sz w:val="28"/>
              <w:szCs w:val="28"/>
            </w:rPr>
            <w:instrText xml:space="preserve"> HYPERLINK \l _Toc16013 </w:instrText>
          </w:r>
          <w:r>
            <w:rPr>
              <w:rFonts w:ascii="仿宋_GB2312" w:eastAsia="仿宋_GB2312" w:cs="仿宋_GB2312" w:hint="eastAsia"/>
              <w:b w:val="0"/>
              <w:bCs w:val="0"/>
              <w:sz w:val="28"/>
              <w:szCs w:val="28"/>
            </w:rPr>
            <w:fldChar w:fldCharType="separate"/>
          </w:r>
          <w:r>
            <w:rPr>
              <w:rFonts w:ascii="仿宋_GB2312" w:eastAsia="仿宋_GB2312" w:cs="仿宋_GB2312" w:hint="eastAsia"/>
              <w:b w:val="0"/>
              <w:bCs w:val="0"/>
              <w:sz w:val="28"/>
              <w:szCs w:val="28"/>
            </w:rPr>
            <w:t>十三、财政拨款“三公”经费支出决算表</w:t>
          </w:r>
          <w:r>
            <w:rPr>
              <w:rFonts w:ascii="仿宋_GB2312" w:eastAsia="仿宋_GB2312" w:cs="仿宋_GB2312" w:hint="eastAsia"/>
              <w:b w:val="0"/>
              <w:bCs w:val="0"/>
              <w:sz w:val="28"/>
              <w:szCs w:val="28"/>
              <w:lang w:val="en-US" w:eastAsia="zh-CN"/>
            </w:rPr>
            <w:t>..................1</w:t>
          </w:r>
          <w:r>
            <w:rPr>
              <w:rFonts w:ascii="仿宋_GB2312" w:eastAsia="仿宋_GB2312" w:cs="仿宋_GB2312" w:hint="eastAsia"/>
              <w:b w:val="0"/>
              <w:bCs w:val="0"/>
              <w:sz w:val="28"/>
              <w:szCs w:val="28"/>
            </w:rPr>
            <w:fldChar w:fldCharType="end"/>
          </w:r>
          <w:r>
            <w:rPr>
              <w:rFonts w:ascii="仿宋_GB2312" w:eastAsia="仿宋_GB2312" w:cs="仿宋_GB2312" w:hint="eastAsia"/>
              <w:b w:val="0"/>
              <w:bCs w:val="0"/>
              <w:sz w:val="28"/>
              <w:szCs w:val="28"/>
              <w:lang w:val="en-US" w:eastAsia="zh-CN"/>
            </w:rPr>
            <w:t>9</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eastAsia="方正小标宋简体" w:cs="方正小标宋简体" w:hAnsi="Times New Roman" w:hint="eastAsia"/>
              <w:b w:val="0"/>
              <w:color w:val="auto"/>
              <w:sz w:val="44"/>
              <w:szCs w:val="44"/>
              <w:highlight w:val="auto"/>
            </w:rPr>
          </w:pPr>
          <w:r>
            <w:rPr>
              <w:rFonts w:ascii="仿宋_GB2312" w:eastAsia="仿宋_GB2312" w:cs="仿宋_GB2312" w:hint="eastAsia"/>
              <w:sz w:val="28"/>
              <w:szCs w:val="28"/>
            </w:rPr>
            <w:fldChar w:fldCharType="end"/>
          </w:r>
        </w:p>
        <w:bookmarkStart w:id="13" w:name="_Toc3112" w:displacedByCustomXml="next"/>
        <w:bookmarkStart w:id="14" w:name="_Toc5322" w:displacedByCustomXml="next"/>
      </w:sdtContent>
    </w:sdt>
    <w:p>
      <w:pPr>
        <w:rPr>
          <w:rFonts w:ascii="Times New Roman" w:eastAsia="方正小标宋简体" w:cs="方正小标宋简体" w:hAnsi="Times New Roman" w:hint="eastAsia"/>
          <w:b w:val="0"/>
          <w:color w:val="auto"/>
          <w:sz w:val="44"/>
          <w:szCs w:val="44"/>
          <w:highlight w:val="auto"/>
        </w:rPr>
      </w:pPr>
    </w:p>
    <w:p>
      <w:pPr>
        <w:pStyle w:val="1"/>
        <w:keepNext/>
        <w:keepLines/>
        <w:pageBreakBefore w:val="0"/>
        <w:widowControl w:val="0"/>
        <w:kinsoku/>
        <w:wordWrap/>
        <w:overflowPunct/>
        <w:topLinePunct w:val="0"/>
        <w:autoSpaceDE/>
        <w:autoSpaceDN/>
        <w:bidi w:val="0"/>
        <w:adjustRightInd/>
        <w:snapToGrid/>
        <w:spacing w:before="0" w:after="0" w:line="576" w:lineRule="exact"/>
        <w:jc w:val="center"/>
        <w:textAlignment w:val="auto"/>
        <w:rPr>
          <w:rFonts w:ascii="Times New Roman" w:eastAsia="黑体" w:hAnsi="Times New Roman"/>
          <w:color w:val="auto"/>
          <w:sz w:val="44"/>
          <w:szCs w:val="44"/>
          <w:highlight w:val="auto"/>
        </w:rPr>
      </w:pPr>
      <w:bookmarkStart w:id="15" w:name="_Toc26746"/>
      <w:bookmarkStart w:id="16" w:name="_Toc29989"/>
      <w:bookmarkStart w:id="17" w:name="_Toc15396613"/>
      <w:bookmarkStart w:id="18" w:name="_Toc349"/>
      <w:bookmarkStart w:id="19" w:name="_Toc15377225"/>
      <w:bookmarkEnd w:id="13"/>
      <w:bookmarkEnd w:id="14"/>
      <w:r>
        <w:rPr>
          <w:rFonts w:ascii="Times New Roman" w:eastAsia="方正小标宋简体" w:cs="方正小标宋简体" w:hAnsi="Times New Roman" w:hint="eastAsia"/>
          <w:b w:val="0"/>
          <w:color w:val="auto"/>
          <w:sz w:val="44"/>
          <w:szCs w:val="44"/>
          <w:highlight w:val="auto"/>
        </w:rPr>
        <w:t>第一部分</w:t>
      </w:r>
      <w:r>
        <w:rPr>
          <w:rFonts w:ascii="Times New Roman" w:eastAsia="方正小标宋简体" w:cs="方正小标宋简体" w:hAnsi="Times New Roman" w:hint="eastAsia"/>
          <w:b w:val="0"/>
          <w:color w:val="auto"/>
          <w:sz w:val="44"/>
          <w:szCs w:val="44"/>
          <w:lang w:val="en-US" w:eastAsia="zh-CN"/>
          <w:highlight w:val="auto"/>
        </w:rPr>
        <w:t xml:space="preserve"> </w:t>
      </w:r>
      <w:r>
        <w:rPr>
          <w:rFonts w:ascii="Times New Roman" w:eastAsia="方正小标宋简体" w:cs="方正小标宋简体" w:hAnsi="Times New Roman" w:hint="eastAsia"/>
          <w:b w:val="0"/>
          <w:color w:val="auto"/>
          <w:sz w:val="44"/>
          <w:szCs w:val="44"/>
          <w:highlight w:val="auto"/>
        </w:rPr>
        <w:t xml:space="preserve"> </w:t>
      </w:r>
      <w:r>
        <w:rPr>
          <w:rStyle w:val="1Char"/>
          <w:rFonts w:ascii="Times New Roman" w:eastAsia="方正小标宋简体" w:cs="方正小标宋简体" w:hAnsi="Times New Roman" w:hint="eastAsia"/>
          <w:b w:val="0"/>
          <w:bCs w:val="0"/>
          <w:color w:val="auto"/>
          <w:sz w:val="44"/>
          <w:szCs w:val="44"/>
          <w:highlight w:val="auto"/>
        </w:rPr>
        <w:t>部门概况</w:t>
      </w:r>
      <w:bookmarkEnd w:id="15"/>
    </w:p>
    <w:p>
      <w:pPr>
        <w:pStyle w:val="2"/>
        <w:keepNext/>
        <w:keepLines/>
        <w:pageBreakBefore w:val="0"/>
        <w:widowControl w:val="0"/>
        <w:kinsoku/>
        <w:wordWrap/>
        <w:overflowPunct/>
        <w:topLinePunct w:val="0"/>
        <w:autoSpaceDE/>
        <w:autoSpaceDN/>
        <w:bidi w:val="0"/>
        <w:adjustRightInd/>
        <w:snapToGrid/>
        <w:spacing w:before="0" w:after="0" w:line="576" w:lineRule="exact"/>
        <w:ind w:left="0" w:firstLineChars="200" w:firstLine="640"/>
        <w:textAlignment w:val="auto"/>
        <w:outlineLvl w:val="1"/>
        <w:rPr>
          <w:rFonts w:ascii="黑体" w:eastAsia="黑体" w:cs="黑体" w:hint="eastAsia"/>
          <w:b/>
          <w:bCs/>
          <w:kern w:val="2"/>
          <w:sz w:val="32"/>
          <w:szCs w:val="32"/>
          <w:lang w:val="en-US" w:eastAsia="zh-CN" w:bidi="ar-SA"/>
        </w:rPr>
      </w:pPr>
      <w:bookmarkStart w:id="20" w:name="_Toc26269"/>
    </w:p>
    <w:p>
      <w:pPr>
        <w:pStyle w:val="2"/>
        <w:keepNext/>
        <w:keepLines/>
        <w:pageBreakBefore w:val="0"/>
        <w:widowControl w:val="0"/>
        <w:kinsoku/>
        <w:wordWrap/>
        <w:overflowPunct/>
        <w:topLinePunct w:val="0"/>
        <w:autoSpaceDE/>
        <w:autoSpaceDN/>
        <w:bidi w:val="0"/>
        <w:adjustRightInd/>
        <w:snapToGrid/>
        <w:spacing w:before="0" w:after="0" w:line="576" w:lineRule="exact"/>
        <w:ind w:left="0" w:firstLineChars="200" w:firstLine="640"/>
        <w:textAlignment w:val="auto"/>
        <w:outlineLvl w:val="1"/>
        <w:rPr>
          <w:rFonts w:ascii="黑体" w:eastAsia="黑体" w:cs="黑体" w:hint="eastAsia"/>
          <w:sz w:val="32"/>
          <w:szCs w:val="32"/>
        </w:rPr>
      </w:pPr>
      <w:bookmarkStart w:id="21" w:name="_Toc14114"/>
      <w:r>
        <w:rPr>
          <w:rFonts w:ascii="黑体" w:eastAsia="黑体" w:cs="黑体" w:hint="eastAsia"/>
          <w:b/>
          <w:bCs/>
          <w:kern w:val="2"/>
          <w:sz w:val="32"/>
          <w:szCs w:val="32"/>
          <w:lang w:val="en-US" w:eastAsia="zh-CN" w:bidi="ar-SA"/>
        </w:rPr>
        <w:t>一、</w:t>
      </w:r>
      <w:r>
        <w:rPr>
          <w:rFonts w:ascii="黑体" w:eastAsia="黑体" w:cs="黑体" w:hint="eastAsia"/>
          <w:b w:val="0"/>
          <w:color w:val="auto"/>
          <w:lang w:eastAsia="zh-CN"/>
          <w:highlight w:val="auto"/>
        </w:rPr>
        <w:t>部门职责</w:t>
      </w:r>
      <w:bookmarkEnd w:id="20"/>
      <w:bookmarkEnd w:id="21"/>
    </w:p>
    <w:p>
      <w:pPr>
        <w:pStyle w:val="2"/>
        <w:keepNext/>
        <w:keepLines/>
        <w:pageBreakBefore w:val="0"/>
        <w:widowControl w:val="0"/>
        <w:kinsoku/>
        <w:wordWrap/>
        <w:overflowPunct/>
        <w:topLinePunct w:val="0"/>
        <w:bidi w:val="0"/>
        <w:spacing w:before="0" w:after="0" w:line="576" w:lineRule="exact"/>
        <w:ind w:left="0" w:firstLineChars="200" w:firstLine="640"/>
        <w:outlineLvl w:val="9"/>
        <w:rPr>
          <w:lang w:val="en-US" w:eastAsia="zh-CN"/>
        </w:rPr>
      </w:pPr>
      <w:bookmarkStart w:id="22" w:name="_Toc22828"/>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传播国际红十字运动知识和国际人道主义法。宣传、贯彻《中华人民共和国红十字会法》，依照红十字会法和红十字会章程组织协调开展我县红十字会工作；开展备灾救灾工作。在自然灾害和突发事件中,开展救护和救助工作;依法接受国内外组织和个人的捐赠,及时向灾区群众和受难者提供人道主义援助,在突发事件中对受害者组织实施救助工作。</w:t>
      </w:r>
      <w:bookmarkEnd w:id="22"/>
    </w:p>
    <w:p>
      <w:pPr>
        <w:pStyle w:val="2"/>
        <w:keepNext/>
        <w:keepLines/>
        <w:pageBreakBefore w:val="0"/>
        <w:widowControl w:val="0"/>
        <w:kinsoku/>
        <w:wordWrap/>
        <w:overflowPunct/>
        <w:topLinePunct w:val="0"/>
        <w:bidi w:val="0"/>
        <w:spacing w:before="0" w:after="0" w:line="576" w:lineRule="exact"/>
        <w:ind w:left="0" w:firstLineChars="200" w:firstLine="640"/>
        <w:outlineLvl w:val="1"/>
        <w:rPr>
          <w:rStyle w:val="2Char"/>
          <w:rFonts w:ascii="Times New Roman" w:hAnsi="Times New Roman"/>
          <w:b w:val="0"/>
          <w:bCs w:val="0"/>
          <w:color w:val="auto"/>
          <w:highlight w:val="auto"/>
        </w:rPr>
      </w:pPr>
      <w:bookmarkStart w:id="23" w:name="_Toc24512"/>
      <w:bookmarkStart w:id="24" w:name="_Toc15377200"/>
      <w:bookmarkStart w:id="25" w:name="_Toc5016"/>
      <w:bookmarkStart w:id="26" w:name="_Toc15396601"/>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23"/>
      <w:bookmarkEnd w:id="24"/>
      <w:bookmarkEnd w:id="25"/>
      <w:bookmarkEnd w:id="26"/>
    </w:p>
    <w:p>
      <w:pPr>
        <w:pStyle w:val="2"/>
        <w:keepNext/>
        <w:keepLines/>
        <w:pageBreakBefore w:val="0"/>
        <w:widowControl w:val="0"/>
        <w:kinsoku/>
        <w:wordWrap/>
        <w:overflowPunct/>
        <w:topLinePunct w:val="0"/>
        <w:bidi w:val="0"/>
        <w:spacing w:before="0" w:after="0" w:line="576" w:lineRule="exact"/>
        <w:ind w:left="0" w:firstLineChars="200" w:firstLine="640"/>
        <w:outlineLvl w:val="9"/>
        <w:rPr>
          <w:rFonts w:ascii="仿宋_GB2312" w:eastAsia="仿宋_GB2312" w:cs="仿宋_GB2312" w:hint="eastAsia"/>
          <w:b w:val="0"/>
          <w:bCs w:val="0"/>
          <w:color w:val="auto"/>
          <w:kern w:val="2"/>
          <w:sz w:val="32"/>
          <w:szCs w:val="32"/>
          <w:lang w:val="en-US" w:eastAsia="zh-CN" w:bidi="ar-SA"/>
          <w:highlight w:val="auto"/>
        </w:rPr>
      </w:pPr>
      <w:r>
        <w:rPr>
          <w:rFonts w:ascii="仿宋_GB2312" w:eastAsia="仿宋_GB2312" w:cs="仿宋_GB2312" w:hint="eastAsia"/>
          <w:b w:val="0"/>
          <w:bCs w:val="0"/>
          <w:color w:val="auto"/>
          <w:kern w:val="2"/>
          <w:sz w:val="32"/>
          <w:szCs w:val="32"/>
          <w:lang w:val="en-US" w:eastAsia="zh-CN" w:bidi="ar-SA"/>
          <w:highlight w:val="auto"/>
        </w:rPr>
        <w:t>茂县红十字会下属二级单位0个，其中行政单位0个，参照公务员法管理的事业单位1个，其他事业单位0个。</w:t>
      </w:r>
    </w:p>
    <w:p>
      <w:pPr>
        <w:pageBreakBefore w:val="0"/>
        <w:widowControl/>
        <w:kinsoku/>
        <w:wordWrap/>
        <w:overflowPunct/>
        <w:topLinePunct w:val="0"/>
        <w:bidi w:val="0"/>
        <w:spacing w:line="576" w:lineRule="exact"/>
        <w:ind w:left="0" w:firstLineChars="100" w:firstLine="440"/>
        <w:jc w:val="left"/>
        <w:rPr>
          <w:rFonts w:ascii="方正小标宋简体" w:eastAsia="方正小标宋简体" w:cs="方正小标宋简体" w:hint="eastAsia"/>
          <w:b w:val="0"/>
          <w:color w:val="auto"/>
          <w:sz w:val="44"/>
          <w:szCs w:val="44"/>
          <w:highlight w:val="auto"/>
        </w:rPr>
      </w:pPr>
      <w:bookmarkStart w:id="27" w:name="_Toc31676"/>
      <w:bookmarkStart w:id="28" w:name="_Toc15377204"/>
      <w:bookmarkStart w:id="29" w:name="_Toc15396602"/>
    </w:p>
    <w:p>
      <w:pPr>
        <w:pStyle w:val="28"/>
        <w:rPr>
          <w:rFonts w:ascii="方正小标宋简体" w:eastAsia="方正小标宋简体" w:cs="方正小标宋简体" w:hint="eastAsia"/>
          <w:b w:val="0"/>
          <w:color w:val="auto"/>
          <w:sz w:val="44"/>
          <w:szCs w:val="44"/>
          <w:highlight w:val="auto"/>
        </w:rPr>
      </w:pPr>
    </w:p>
    <w:p>
      <w:pPr>
        <w:rPr>
          <w:rFonts w:ascii="方正小标宋简体" w:eastAsia="方正小标宋简体" w:cs="方正小标宋简体" w:hint="eastAsia"/>
          <w:b w:val="0"/>
          <w:color w:val="auto"/>
          <w:sz w:val="44"/>
          <w:szCs w:val="44"/>
          <w:highlight w:val="auto"/>
        </w:rPr>
      </w:pPr>
    </w:p>
    <w:p>
      <w:pPr>
        <w:pStyle w:val="28"/>
        <w:rPr>
          <w:rFonts w:ascii="方正小标宋简体" w:eastAsia="方正小标宋简体" w:cs="方正小标宋简体" w:hint="eastAsia"/>
          <w:b w:val="0"/>
          <w:color w:val="auto"/>
          <w:sz w:val="44"/>
          <w:szCs w:val="44"/>
          <w:highlight w:val="auto"/>
        </w:rPr>
      </w:pPr>
    </w:p>
    <w:p>
      <w:pPr>
        <w:rPr>
          <w:rFonts w:ascii="方正小标宋简体" w:eastAsia="方正小标宋简体" w:cs="方正小标宋简体" w:hint="eastAsia"/>
          <w:b w:val="0"/>
          <w:color w:val="auto"/>
          <w:sz w:val="44"/>
          <w:szCs w:val="44"/>
          <w:highlight w:val="auto"/>
        </w:rPr>
      </w:pPr>
    </w:p>
    <w:p>
      <w:pPr>
        <w:pStyle w:val="28"/>
        <w:rPr>
          <w:rFonts w:ascii="方正小标宋简体" w:eastAsia="方正小标宋简体" w:cs="方正小标宋简体" w:hint="eastAsia"/>
          <w:b w:val="0"/>
          <w:color w:val="auto"/>
          <w:sz w:val="44"/>
          <w:szCs w:val="44"/>
          <w:highlight w:val="auto"/>
        </w:rPr>
      </w:pPr>
    </w:p>
    <w:p>
      <w:pPr>
        <w:rPr>
          <w:rFonts w:hint="eastAsia"/>
        </w:rPr>
      </w:pPr>
    </w:p>
    <w:p>
      <w:pPr>
        <w:pageBreakBefore w:val="0"/>
        <w:widowControl/>
        <w:kinsoku/>
        <w:wordWrap/>
        <w:overflowPunct/>
        <w:topLinePunct w:val="0"/>
        <w:bidi w:val="0"/>
        <w:spacing w:line="576" w:lineRule="exact"/>
        <w:ind w:left="0" w:firstLineChars="100" w:firstLine="440"/>
        <w:jc w:val="left"/>
        <w:rPr>
          <w:rFonts w:ascii="Times New Roman" w:hAnsi="Times New Roman"/>
          <w:color w:val="auto"/>
          <w:sz w:val="44"/>
          <w:szCs w:val="44"/>
          <w:highlight w:val="auto"/>
        </w:rPr>
      </w:pPr>
      <w:r>
        <w:rPr>
          <w:rFonts w:ascii="方正小标宋简体" w:eastAsia="方正小标宋简体" w:cs="方正小标宋简体" w:hint="eastAsia"/>
          <w:b w:val="0"/>
          <w:color w:val="auto"/>
          <w:sz w:val="44"/>
          <w:szCs w:val="44"/>
          <w:highlight w:val="auto"/>
        </w:rPr>
        <w:t>第二部分</w:t>
      </w:r>
      <w:r>
        <w:rPr>
          <w:rFonts w:ascii="方正小标宋简体" w:eastAsia="方正小标宋简体" w:cs="方正小标宋简体" w:hint="eastAsia"/>
          <w:b w:val="0"/>
          <w:color w:val="auto"/>
          <w:sz w:val="44"/>
          <w:szCs w:val="44"/>
          <w:lang w:val="en-US" w:eastAsia="zh-CN"/>
          <w:highlight w:val="auto"/>
        </w:rPr>
        <w:t xml:space="preserve"> </w:t>
      </w:r>
      <w:r>
        <w:rPr>
          <w:rFonts w:ascii="方正小标宋简体" w:eastAsia="方正小标宋简体" w:cs="方正小标宋简体" w:hint="eastAsia"/>
          <w:b w:val="0"/>
          <w:color w:val="auto"/>
          <w:sz w:val="44"/>
          <w:szCs w:val="44"/>
          <w:highlight w:val="auto"/>
        </w:rPr>
        <w:t xml:space="preserve"> </w:t>
      </w:r>
      <w:r>
        <w:rPr>
          <w:rFonts w:ascii="方正小标宋简体" w:eastAsia="方正小标宋简体" w:cs="方正小标宋简体" w:hint="eastAsia"/>
          <w:b w:val="0"/>
          <w:color w:val="auto"/>
          <w:sz w:val="44"/>
          <w:szCs w:val="44"/>
          <w:lang w:val="en-US" w:eastAsia="zh-CN"/>
          <w:highlight w:val="auto"/>
        </w:rPr>
        <w:t>2025年度</w:t>
      </w:r>
      <w:r>
        <w:rPr>
          <w:rFonts w:ascii="方正小标宋简体" w:eastAsia="方正小标宋简体" w:cs="方正小标宋简体" w:hint="eastAsia"/>
          <w:b w:val="0"/>
          <w:color w:val="auto"/>
          <w:sz w:val="44"/>
          <w:szCs w:val="44"/>
          <w:highlight w:val="auto"/>
        </w:rPr>
        <w:t>部门决算情况说明</w:t>
      </w:r>
      <w:bookmarkEnd w:id="27"/>
      <w:bookmarkEnd w:id="28"/>
      <w:bookmarkEnd w:id="29"/>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30" w:name="_Toc15396603"/>
      <w:bookmarkStart w:id="31" w:name="_Toc15377205"/>
      <w:bookmarkStart w:id="32" w:name="_Toc17532"/>
      <w:bookmarkStart w:id="33" w:name="_Toc28302"/>
      <w:bookmarkStart w:id="34" w:name="_Toc29459"/>
      <w:bookmarkStart w:id="35" w:name="_Toc21510"/>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30"/>
      <w:bookmarkEnd w:id="31"/>
      <w:bookmarkEnd w:id="32"/>
      <w:bookmarkEnd w:id="33"/>
      <w:bookmarkEnd w:id="34"/>
      <w:bookmarkEnd w:id="35"/>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9"/>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36" w:name="_Toc21561"/>
      <w:r>
        <w:rPr>
          <w:rFonts w:ascii="仿宋" w:eastAsia="仿宋" w:hint="eastAsia"/>
          <w:color w:val="FF0000"/>
          <w:sz w:val="32"/>
          <w:szCs w:val="32"/>
        </w:rPr>
        <w:drawing>
          <wp:anchor distT="0" distB="0" distL="114298" distR="114298" simplePos="0" relativeHeight="2" behindDoc="1" locked="0" layoutInCell="1" hidden="0" allowOverlap="1">
            <wp:simplePos x="0" y="0"/>
            <wp:positionH relativeFrom="column">
              <wp:posOffset>809625</wp:posOffset>
            </wp:positionH>
            <wp:positionV relativeFrom="paragraph">
              <wp:posOffset>1096010</wp:posOffset>
            </wp:positionV>
            <wp:extent cx="3076575" cy="2105025"/>
            <wp:effectExtent l="0" t="0" r="0" b="0"/>
            <wp:wrapNone/>
            <wp:docPr id="7" name="Object 5"/>
            <wp:cNvGraphicFramePr>
              <a:graphicFrameLocks noChangeAspect="1"/>
            </wp:cNvGraphicFramePr>
            <a:graphic>
              <a:graphicData uri="http://schemas.openxmlformats.org/drawingml/2006/picture">
                <pic:pic>
                  <pic:nvPicPr>
                    <pic:cNvPr id="9" name="Object 5 9"/>
                    <pic:cNvPicPr/>
                  </pic:nvPicPr>
                  <pic:blipFill>
                    <a:blip r:embed="rId7"/>
                    <a:stretch>
                      <a:fillRect/>
                    </a:stretch>
                  </pic:blipFill>
                  <pic:spPr>
                    <a:xfrm rot="0">
                      <a:off x="0" y="0"/>
                      <a:ext cx="3076575" cy="2105025"/>
                    </a:xfrm>
                    <a:prstGeom prst="rect"/>
                    <a:noFill/>
                    <a:ln w="9525" cmpd="sng" cap="flat">
                      <a:noFill/>
                      <a:prstDash val="solid"/>
                      <a:miter/>
                    </a:ln>
                  </pic:spPr>
                </pic:pic>
              </a:graphicData>
            </a:graphic>
          </wp:anchor>
        </w:drawing>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2025年度收入、支出总计均为151.42万元。与2024年度相比，收入、支出总计各增加28.28万元，增长22.97%。主要变动原因是：人员工资保险的变动以及项目增加。</w:t>
      </w:r>
      <w:bookmarkEnd w:id="36"/>
    </w:p>
    <w:p>
      <w:pPr>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p>
    <w:p>
      <w:pPr>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p>
    <w:p>
      <w:pPr>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rPr>
          <w:rFonts w:ascii="Times New Roman" w:eastAsia="仿宋_GB2312" w:cs="仿宋_GB2312" w:hAnsi="Times New Roman" w:hint="eastAsia"/>
          <w:color w:val="auto"/>
          <w:sz w:val="32"/>
          <w:szCs w:val="32"/>
          <w:highlight w:val="auto"/>
        </w:rPr>
      </w:pPr>
    </w:p>
    <w:p>
      <w:pPr>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rPr>
          <w:rFonts w:ascii="Times New Roman" w:eastAsia="仿宋_GB2312" w:cs="仿宋_GB2312" w:hAnsi="Times New Roman" w:hint="eastAsia"/>
          <w:color w:val="auto"/>
          <w:sz w:val="32"/>
          <w:szCs w:val="32"/>
          <w:highlight w:val="auto"/>
        </w:rPr>
      </w:pPr>
    </w:p>
    <w:p>
      <w:pPr>
        <w:pStyle w:val="33"/>
        <w:keepNext w:val="0"/>
        <w:keepLines w:val="0"/>
        <w:pageBreakBefore w:val="0"/>
        <w:widowControl w:val="0"/>
        <w:kinsoku/>
        <w:wordWrap/>
        <w:overflowPunct/>
        <w:topLinePunct w:val="0"/>
        <w:autoSpaceDE/>
        <w:autoSpaceDN/>
        <w:bidi w:val="0"/>
        <w:adjustRightInd/>
        <w:snapToGrid/>
        <w:spacing w:line="576" w:lineRule="exact"/>
        <w:textAlignment w:val="auto"/>
        <w:outlineLvl w:val="1"/>
        <w:rPr>
          <w:rFonts w:ascii="Times New Roman" w:eastAsia="黑体" w:hAnsi="Times New Roman" w:hint="eastAsia"/>
          <w:color w:val="auto"/>
          <w:sz w:val="32"/>
          <w:szCs w:val="32"/>
          <w:lang w:eastAsia="zh-CN"/>
          <w:highlight w:val="auto"/>
        </w:rPr>
      </w:pPr>
      <w:bookmarkStart w:id="37" w:name="_Toc18141"/>
      <w:bookmarkStart w:id="38" w:name="_Toc15377206"/>
      <w:bookmarkStart w:id="39" w:name="_Toc15396604"/>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40" w:name="_Toc28865"/>
      <w:bookmarkStart w:id="41" w:name="_Toc14076"/>
      <w:bookmarkStart w:id="42" w:name="_Toc6150"/>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r>
        <w:rPr>
          <w:rFonts w:ascii="Times New Roman" w:eastAsia="黑体" w:hAnsi="Times New Roman" w:hint="eastAsia"/>
          <w:color w:val="auto"/>
          <w:sz w:val="32"/>
          <w:szCs w:val="32"/>
          <w:lang w:eastAsia="zh-CN"/>
          <w:highlight w:val="auto"/>
        </w:rPr>
        <w:t>二、收入决算情况说明</w:t>
      </w:r>
      <w:bookmarkEnd w:id="37"/>
      <w:bookmarkEnd w:id="38"/>
      <w:bookmarkEnd w:id="39"/>
      <w:bookmarkEnd w:id="40"/>
      <w:bookmarkEnd w:id="41"/>
      <w:bookmarkEnd w:id="42"/>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9"/>
        <w:rPr>
          <w:rFonts w:ascii="Times New Roman" w:eastAsia="仿宋_GB2312" w:cs="仿宋_GB2312" w:hAnsi="Times New Roman" w:hint="eastAsia"/>
          <w:color w:val="auto"/>
          <w:sz w:val="32"/>
          <w:szCs w:val="32"/>
          <w:lang w:eastAsia="zh-CN"/>
          <w:highlight w:val="auto"/>
        </w:rPr>
      </w:pPr>
      <w:bookmarkStart w:id="43" w:name="_Toc10728"/>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2025年度本年收入合计151.42万元，其中：一般公共预算财政拨款收入131.43万元，占86.8%</w:t>
      </w:r>
      <w:bookmarkEnd w:id="43"/>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；政府性基金预算财政拨款收入19.99万元，占13.2%。</w:t>
      </w: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r>
        <w:rPr>
          <w:rFonts w:ascii="仿宋" w:eastAsia="仿宋"/>
          <w:color w:val="000000"/>
          <w:kern w:val="2"/>
          <w:sz w:val="32"/>
          <w:szCs w:val="32"/>
        </w:rPr>
        <w:drawing>
          <wp:anchor distT="0" distB="0" distL="114298" distR="114298" simplePos="0" relativeHeight="4" behindDoc="1" locked="0" layoutInCell="1" hidden="0" allowOverlap="1">
            <wp:simplePos x="0" y="0"/>
            <wp:positionH relativeFrom="column">
              <wp:posOffset>412749</wp:posOffset>
            </wp:positionH>
            <wp:positionV relativeFrom="paragraph">
              <wp:posOffset>163830</wp:posOffset>
            </wp:positionV>
            <wp:extent cx="3872230" cy="2821305"/>
            <wp:effectExtent l="0" t="0" r="0" b="0"/>
            <wp:wrapNone/>
            <wp:docPr id="10" name="Object 8"/>
            <wp:cNvGraphicFramePr>
              <a:graphicFrameLocks noChangeAspect="1"/>
            </wp:cNvGraphicFramePr>
            <a:graphic>
              <a:graphicData uri="http://schemas.openxmlformats.org/drawingml/2006/picture">
                <pic:pic>
                  <pic:nvPicPr>
                    <pic:cNvPr id="12" name="Object 8 12"/>
                    <pic:cNvPicPr/>
                  </pic:nvPicPr>
                  <pic:blipFill>
                    <a:blip r:embed="rId8"/>
                    <a:stretch>
                      <a:fillRect/>
                    </a:stretch>
                  </pic:blipFill>
                  <pic:spPr>
                    <a:xfrm rot="0">
                      <a:off x="0" y="0"/>
                      <a:ext cx="3872230" cy="2821305"/>
                    </a:xfrm>
                    <a:prstGeom prst="rect"/>
                    <a:noFill/>
                    <a:ln w="9525" cmpd="sng" cap="flat">
                      <a:noFill/>
                      <a:prstDash val="solid"/>
                      <a:miter/>
                    </a:ln>
                  </pic:spPr>
                </pic:pic>
              </a:graphicData>
            </a:graphic>
          </wp:anchor>
        </w:drawing>
      </w: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576" w:lineRule="exact"/>
        <w:textAlignment w:val="auto"/>
        <w:outlineLvl w:val="1"/>
        <w:rPr>
          <w:rFonts w:ascii="Times New Roman" w:eastAsia="黑体" w:hAnsi="Times New Roman" w:hint="eastAsia"/>
          <w:color w:val="auto"/>
          <w:sz w:val="32"/>
          <w:szCs w:val="32"/>
          <w:lang w:eastAsia="zh-CN"/>
          <w:highlight w:val="auto"/>
        </w:rPr>
      </w:pPr>
      <w:bookmarkStart w:id="44" w:name="_Toc15396605"/>
      <w:bookmarkStart w:id="45" w:name="_Toc15377207"/>
      <w:bookmarkStart w:id="46" w:name="_Toc20946"/>
    </w:p>
    <w:p>
      <w:pPr>
        <w:pStyle w:val="33"/>
        <w:keepNext w:val="0"/>
        <w:keepLines w:val="0"/>
        <w:pageBreakBefore w:val="0"/>
        <w:widowControl w:val="0"/>
        <w:kinsoku/>
        <w:wordWrap/>
        <w:overflowPunct/>
        <w:topLinePunct w:val="0"/>
        <w:autoSpaceDE/>
        <w:autoSpaceDN/>
        <w:bidi w:val="0"/>
        <w:adjustRightInd/>
        <w:snapToGrid/>
        <w:spacing w:line="576" w:lineRule="exact"/>
        <w:textAlignment w:val="auto"/>
        <w:outlineLvl w:val="1"/>
        <w:rPr>
          <w:rFonts w:ascii="Times New Roman" w:eastAsia="黑体" w:hAnsi="Times New Roman" w:hint="eastAsia"/>
          <w:color w:val="auto"/>
          <w:sz w:val="32"/>
          <w:szCs w:val="32"/>
          <w:lang w:eastAsia="zh-CN"/>
          <w:highlight w:val="auto"/>
        </w:rPr>
      </w:pPr>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47" w:name="_Toc29493"/>
      <w:bookmarkStart w:id="48" w:name="_Toc27524"/>
      <w:bookmarkStart w:id="49" w:name="_Toc7361"/>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44"/>
      <w:bookmarkEnd w:id="45"/>
      <w:bookmarkEnd w:id="46"/>
      <w:bookmarkEnd w:id="47"/>
      <w:bookmarkEnd w:id="48"/>
      <w:bookmarkEnd w:id="49"/>
    </w:p>
    <w:p>
      <w:pPr>
        <w:pStyle w:val="33"/>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9"/>
        <w:rPr>
          <w:rFonts w:ascii="仿宋_GB2312" w:eastAsia="仿宋_GB2312" w:cs="仿宋_GB2312"/>
          <w:b w:val="0"/>
          <w:bCs w:val="0"/>
          <w:color w:val="000000"/>
          <w:kern w:val="2"/>
          <w:sz w:val="32"/>
          <w:szCs w:val="32"/>
          <w14:textFill>
            <w14:solidFill>
              <w14:srgbClr w14:val="000000"/>
            </w14:solidFill>
          </w14:textFill>
          <w:lang w:val="en-US" w:eastAsia="zh-CN" w:bidi="ar-SA"/>
          <w:highlight w:val="auto"/>
        </w:rPr>
      </w:pPr>
      <w:bookmarkStart w:id="50" w:name="_Toc8489"/>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2025年度本年支出合计151.42万元，其中：基本支出130.93万元，占86.5%</w:t>
      </w:r>
      <w:bookmarkEnd w:id="50"/>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;项目支出20.49万元，占13.5%。</w:t>
      </w: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r>
        <w:rPr>
          <w:rFonts w:ascii="仿宋" w:eastAsia="仿宋"/>
          <w:color w:val="000000"/>
          <w:kern w:val="2"/>
          <w:sz w:val="32"/>
          <w:szCs w:val="32"/>
        </w:rPr>
        <w:drawing>
          <wp:anchor distT="0" distB="0" distL="114298" distR="114298" simplePos="0" relativeHeight="6" behindDoc="1" locked="0" layoutInCell="1" hidden="0" allowOverlap="1">
            <wp:simplePos x="0" y="0"/>
            <wp:positionH relativeFrom="column">
              <wp:posOffset>278765</wp:posOffset>
            </wp:positionH>
            <wp:positionV relativeFrom="paragraph">
              <wp:posOffset>283209</wp:posOffset>
            </wp:positionV>
            <wp:extent cx="4319270" cy="2466340"/>
            <wp:effectExtent l="0" t="0" r="0" b="0"/>
            <wp:wrapNone/>
            <wp:docPr id="13" name="Object 9"/>
            <wp:cNvGraphicFramePr>
              <a:graphicFrameLocks noChangeAspect="1"/>
            </wp:cNvGraphicFramePr>
            <a:graphic>
              <a:graphicData uri="http://schemas.openxmlformats.org/drawingml/2006/picture">
                <pic:pic>
                  <pic:nvPicPr>
                    <pic:cNvPr id="15" name="Object 9 15"/>
                    <pic:cNvPicPr/>
                  </pic:nvPicPr>
                  <pic:blipFill>
                    <a:blip r:embed="rId9"/>
                    <a:stretch>
                      <a:fillRect/>
                    </a:stretch>
                  </pic:blipFill>
                  <pic:spPr>
                    <a:xfrm rot="0">
                      <a:off x="0" y="0"/>
                      <a:ext cx="4319270" cy="2466340"/>
                    </a:xfrm>
                    <a:prstGeom prst="rect"/>
                    <a:noFill/>
                    <a:ln w="9525" cmpd="sng" cap="flat">
                      <a:noFill/>
                      <a:prstDash val="solid"/>
                      <a:miter/>
                    </a:ln>
                  </pic:spPr>
                </pic:pic>
              </a:graphicData>
            </a:graphic>
          </wp:anchor>
        </w:drawing>
      </w: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ind w:left="0" w:firstLineChars="250" w:firstLine="800"/>
        <w:rPr>
          <w:rFonts w:ascii="Times New Roman" w:eastAsia="仿宋_GB2312" w:cs="仿宋_GB2312" w:hAnsi="Times New Roman" w:hint="eastAsia"/>
          <w:color w:val="auto"/>
          <w:sz w:val="32"/>
          <w:szCs w:val="32"/>
          <w:lang w:eastAsia="zh-CN"/>
          <w:highlight w:val="auto"/>
        </w:rPr>
      </w:pPr>
    </w:p>
    <w:p>
      <w:pPr>
        <w:pageBreakBefore w:val="0"/>
        <w:widowControl w:val="0"/>
        <w:kinsoku/>
        <w:wordWrap/>
        <w:overflowPunct/>
        <w:topLinePunct w:val="0"/>
        <w:bidi w:val="0"/>
        <w:spacing w:line="576" w:lineRule="exact"/>
        <w:outlineLvl w:val="1"/>
        <w:rPr>
          <w:rFonts w:ascii="Times New Roman" w:eastAsia="黑体" w:hAnsi="Times New Roman" w:hint="eastAsia"/>
          <w:color w:val="auto"/>
          <w:sz w:val="32"/>
          <w:szCs w:val="32"/>
          <w:highlight w:val="auto"/>
        </w:rPr>
      </w:pPr>
      <w:bookmarkStart w:id="51" w:name="_Toc15377208"/>
      <w:bookmarkStart w:id="52" w:name="_Toc28499"/>
      <w:bookmarkStart w:id="53" w:name="_Toc15396606"/>
    </w:p>
    <w:p>
      <w:pPr>
        <w:pageBreakBefore w:val="0"/>
        <w:widowControl w:val="0"/>
        <w:kinsoku/>
        <w:wordWrap/>
        <w:overflowPunct/>
        <w:topLinePunct w:val="0"/>
        <w:bidi w:val="0"/>
        <w:spacing w:line="576" w:lineRule="exact"/>
        <w:ind w:left="0" w:firstLineChars="200" w:firstLine="640"/>
        <w:outlineLvl w:val="1"/>
        <w:rPr>
          <w:rFonts w:ascii="Times New Roman" w:eastAsia="黑体" w:hAnsi="Times New Roman" w:hint="eastAsia"/>
          <w:color w:val="auto"/>
          <w:sz w:val="32"/>
          <w:szCs w:val="32"/>
          <w:highlight w:val="auto"/>
        </w:rPr>
      </w:pPr>
      <w:bookmarkStart w:id="54" w:name="_Toc24021"/>
      <w:bookmarkStart w:id="55" w:name="_Toc21005"/>
      <w:bookmarkStart w:id="56" w:name="_Toc27910"/>
    </w:p>
    <w:p>
      <w:pPr>
        <w:pageBreakBefore w:val="0"/>
        <w:widowControl w:val="0"/>
        <w:kinsoku/>
        <w:wordWrap/>
        <w:overflowPunct/>
        <w:topLinePunct w:val="0"/>
        <w:bidi w:val="0"/>
        <w:spacing w:line="576" w:lineRule="exact"/>
        <w:ind w:left="0" w:firstLineChars="200" w:firstLine="640"/>
        <w:outlineLvl w:val="1"/>
        <w:rPr>
          <w:rStyle w:val="2Char"/>
          <w:rFonts w:ascii="Times New Roman" w:eastAsia="黑体" w:hAnsi="Times New Roman"/>
          <w:b w:val="0"/>
          <w:color w:val="auto"/>
          <w:highlight w:val="auto"/>
        </w:rPr>
      </w:pPr>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51"/>
      <w:bookmarkEnd w:id="52"/>
      <w:bookmarkEnd w:id="53"/>
      <w:bookmarkEnd w:id="54"/>
      <w:bookmarkEnd w:id="55"/>
      <w:bookmarkEnd w:id="56"/>
    </w:p>
    <w:p>
      <w:pPr>
        <w:pageBreakBefore w:val="0"/>
        <w:widowControl w:val="0"/>
        <w:kinsoku/>
        <w:wordWrap/>
        <w:overflowPunct/>
        <w:topLinePunct w:val="0"/>
        <w:bidi w:val="0"/>
        <w:spacing w:line="576" w:lineRule="exact"/>
        <w:ind w:left="0" w:firstLine="640"/>
        <w:rPr>
          <w:rFonts w:ascii="Times New Roman" w:eastAsia="仿宋" w:cs="仿宋_GB2312" w:hAnsi="Times New Roman" w:hint="eastAsia"/>
          <w:color w:val="auto"/>
          <w:kern w:val="2"/>
          <w:sz w:val="32"/>
          <w:szCs w:val="32"/>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2025年度财政拨款收入、支出总计均为151.42万元。与2024年度相比，财政拨款收入总计、支出总计各增加28.28万元，增长22.97%。主要变动原因是：人员工资保险的变动以及项目增加</w:t>
      </w:r>
      <w:r>
        <w:rPr>
          <w:rFonts w:ascii="仿宋" w:eastAsia="仿宋" w:hint="eastAsia"/>
          <w:color w:val="000000"/>
          <w:sz w:val="32"/>
          <w:szCs w:val="32"/>
          <w:lang w:eastAsia="zh-CN"/>
        </w:rPr>
        <w:t>。</w:t>
      </w:r>
    </w:p>
    <w:p>
      <w:pPr>
        <w:pageBreakBefore w:val="0"/>
        <w:widowControl w:val="0"/>
        <w:kinsoku/>
        <w:wordWrap/>
        <w:overflowPunct/>
        <w:topLinePunct w:val="0"/>
        <w:bidi w:val="0"/>
        <w:spacing w:line="576" w:lineRule="exact"/>
        <w:rPr>
          <w:rFonts w:ascii="Times New Roman" w:eastAsia="仿宋_GB2312" w:cs="仿宋_GB2312" w:hAnsi="Times New Roman" w:hint="eastAsia"/>
          <w:color w:val="auto"/>
          <w:kern w:val="2"/>
          <w:sz w:val="32"/>
          <w:szCs w:val="32"/>
          <w:lang w:val="en-US" w:eastAsia="zh-CN" w:bidi="ar-SA"/>
          <w:highlight w:val="auto"/>
        </w:rPr>
      </w:pPr>
      <w:r>
        <w:rPr>
          <w:rFonts w:ascii="仿宋" w:eastAsia="仿宋"/>
          <w:color w:val="000000"/>
          <w:sz w:val="32"/>
          <w:szCs w:val="32"/>
        </w:rPr>
        <w:drawing>
          <wp:anchor distT="0" distB="0" distL="114298" distR="114298" simplePos="0" relativeHeight="8" behindDoc="1" locked="0" layoutInCell="1" hidden="0" allowOverlap="1">
            <wp:simplePos x="0" y="0"/>
            <wp:positionH relativeFrom="column">
              <wp:posOffset>809625</wp:posOffset>
            </wp:positionH>
            <wp:positionV relativeFrom="paragraph">
              <wp:posOffset>210820</wp:posOffset>
            </wp:positionV>
            <wp:extent cx="3876040" cy="2628900"/>
            <wp:effectExtent l="0" t="0" r="0" b="0"/>
            <wp:wrapNone/>
            <wp:docPr id="16" name="Object 10"/>
            <wp:cNvGraphicFramePr>
              <a:graphicFrameLocks noChangeAspect="1"/>
            </wp:cNvGraphicFramePr>
            <a:graphic>
              <a:graphicData uri="http://schemas.openxmlformats.org/drawingml/2006/picture">
                <pic:pic>
                  <pic:nvPicPr>
                    <pic:cNvPr id="18" name="Object 10 18"/>
                    <pic:cNvPicPr/>
                  </pic:nvPicPr>
                  <pic:blipFill>
                    <a:blip r:embed="rId10"/>
                    <a:stretch>
                      <a:fillRect/>
                    </a:stretch>
                  </pic:blipFill>
                  <pic:spPr>
                    <a:xfrm rot="0">
                      <a:off x="0" y="0"/>
                      <a:ext cx="3876040" cy="2628900"/>
                    </a:xfrm>
                    <a:prstGeom prst="rect"/>
                    <a:noFill/>
                    <a:ln w="9525" cmpd="sng" cap="flat">
                      <a:noFill/>
                      <a:prstDash val="solid"/>
                      <a:miter/>
                    </a:ln>
                  </pic:spPr>
                </pic:pic>
              </a:graphicData>
            </a:graphic>
          </wp:anchor>
        </w:drawing>
      </w: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Chars="200" w:firstLine="640"/>
        <w:outlineLvl w:val="1"/>
        <w:rPr>
          <w:rFonts w:ascii="Times New Roman" w:eastAsia="黑体" w:hAnsi="Times New Roman" w:hint="eastAsia"/>
          <w:color w:val="auto"/>
          <w:sz w:val="32"/>
          <w:szCs w:val="32"/>
          <w:highlight w:val="auto"/>
        </w:rPr>
      </w:pPr>
      <w:bookmarkStart w:id="57" w:name="_Toc15396607"/>
      <w:bookmarkStart w:id="58" w:name="_Toc23543"/>
      <w:bookmarkStart w:id="59" w:name="_Toc15377209"/>
    </w:p>
    <w:p>
      <w:pPr>
        <w:pageBreakBefore w:val="0"/>
        <w:widowControl w:val="0"/>
        <w:kinsoku/>
        <w:wordWrap/>
        <w:overflowPunct/>
        <w:topLinePunct w:val="0"/>
        <w:bidi w:val="0"/>
        <w:spacing w:line="576" w:lineRule="exact"/>
        <w:ind w:left="0" w:firstLineChars="200" w:firstLine="640"/>
        <w:outlineLvl w:val="1"/>
        <w:rPr>
          <w:rStyle w:val="2Char"/>
          <w:rFonts w:ascii="Times New Roman" w:eastAsia="黑体" w:hAnsi="Times New Roman"/>
          <w:b w:val="0"/>
          <w:color w:val="auto"/>
          <w:highlight w:val="auto"/>
        </w:rPr>
      </w:pPr>
      <w:bookmarkStart w:id="60" w:name="_Toc1252"/>
      <w:bookmarkStart w:id="61" w:name="_Toc29056"/>
      <w:bookmarkStart w:id="62" w:name="_Toc14551"/>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57"/>
      <w:bookmarkEnd w:id="58"/>
      <w:bookmarkEnd w:id="59"/>
      <w:bookmarkEnd w:id="60"/>
      <w:bookmarkEnd w:id="61"/>
      <w:bookmarkEnd w:id="62"/>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63" w:name="_Toc15377210"/>
      <w:bookmarkStart w:id="64" w:name="_Toc11667"/>
      <w:bookmarkStart w:id="65" w:name="_Toc19588"/>
      <w:bookmarkStart w:id="66" w:name="_Toc4673"/>
      <w:r>
        <w:rPr>
          <w:rFonts w:ascii="Times New Roman" w:eastAsia="楷体_GB2312" w:cs="楷体_GB2312" w:hAnsi="Times New Roman" w:hint="eastAsia"/>
          <w:b/>
          <w:color w:val="auto"/>
          <w:sz w:val="32"/>
          <w:szCs w:val="32"/>
          <w:highlight w:val="auto"/>
        </w:rPr>
        <w:t>（一）一般公共预算财政拨款支出决算总体情况</w:t>
      </w:r>
      <w:bookmarkEnd w:id="63"/>
      <w:bookmarkEnd w:id="64"/>
      <w:bookmarkEnd w:id="65"/>
      <w:bookmarkEnd w:id="66"/>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2025年度一般公共预算财政拨款支出131.43万元，占本年支出合计的86.8%。与2024年度相比，一般公共预算财政拨款支出增加8.29万元，增长6.7%。主要变动原因是：人员工资保险的变动。</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p>
    <w:p>
      <w:pPr>
        <w:pageBreakBefore w:val="0"/>
        <w:widowControl w:val="0"/>
        <w:kinsoku/>
        <w:wordWrap/>
        <w:overflowPunct/>
        <w:topLinePunct w:val="0"/>
        <w:bidi w:val="0"/>
        <w:spacing w:line="576" w:lineRule="exact"/>
        <w:rPr>
          <w:rFonts w:ascii="仿宋_GB2312" w:eastAsia="仿宋_GB2312" w:cs="仿宋_GB2312"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bookmarkStart w:id="67" w:name="_Toc15377211"/>
      <w:r>
        <w:rPr>
          <w:rFonts w:ascii="仿宋" w:eastAsia="仿宋"/>
          <w:color w:val="000000"/>
          <w:sz w:val="32"/>
          <w:szCs w:val="32"/>
        </w:rPr>
        <w:drawing>
          <wp:anchor distT="0" distB="0" distL="114298" distR="114298" simplePos="0" relativeHeight="10" behindDoc="1" locked="0" layoutInCell="1" hidden="0" allowOverlap="1">
            <wp:simplePos x="0" y="0"/>
            <wp:positionH relativeFrom="column">
              <wp:posOffset>482600</wp:posOffset>
            </wp:positionH>
            <wp:positionV relativeFrom="paragraph">
              <wp:posOffset>154305</wp:posOffset>
            </wp:positionV>
            <wp:extent cx="4381500" cy="2714625"/>
            <wp:effectExtent l="0" t="0" r="0" b="0"/>
            <wp:wrapNone/>
            <wp:docPr id="19" name="Object 11"/>
            <wp:cNvGraphicFramePr>
              <a:graphicFrameLocks noChangeAspect="1"/>
            </wp:cNvGraphicFramePr>
            <a:graphic>
              <a:graphicData uri="http://schemas.openxmlformats.org/drawingml/2006/picture">
                <pic:pic>
                  <pic:nvPicPr>
                    <pic:cNvPr id="21" name="Object 11 21"/>
                    <pic:cNvPicPr/>
                  </pic:nvPicPr>
                  <pic:blipFill>
                    <a:blip r:embed="rId11"/>
                    <a:stretch>
                      <a:fillRect/>
                    </a:stretch>
                  </pic:blipFill>
                  <pic:spPr>
                    <a:xfrm rot="0">
                      <a:off x="0" y="0"/>
                      <a:ext cx="4381500" cy="2714625"/>
                    </a:xfrm>
                    <a:prstGeom prst="rect"/>
                    <a:noFill/>
                    <a:ln w="9525" cmpd="sng" cap="flat">
                      <a:noFill/>
                      <a:prstDash val="solid"/>
                      <a:miter/>
                    </a:ln>
                  </pic:spPr>
                </pic:pic>
              </a:graphicData>
            </a:graphic>
          </wp:anchor>
        </w:drawing>
      </w: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9"/>
        <w:rPr>
          <w:rFonts w:ascii="Times New Roman" w:eastAsia="楷体_GB2312" w:cs="楷体_GB2312" w:hAnsi="Times New Roman" w:hint="eastAsia"/>
          <w:b/>
          <w:color w:val="auto"/>
          <w:sz w:val="32"/>
          <w:szCs w:val="32"/>
          <w:highlight w:val="auto"/>
        </w:rPr>
      </w:pPr>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68" w:name="_Toc3113"/>
      <w:bookmarkStart w:id="69" w:name="_Toc28345"/>
      <w:bookmarkStart w:id="70" w:name="_Toc2530"/>
      <w:r>
        <w:rPr>
          <w:rFonts w:ascii="Times New Roman" w:eastAsia="楷体_GB2312" w:cs="楷体_GB2312" w:hAnsi="Times New Roman" w:hint="eastAsia"/>
          <w:b/>
          <w:color w:val="auto"/>
          <w:sz w:val="32"/>
          <w:szCs w:val="32"/>
          <w:highlight w:val="auto"/>
        </w:rPr>
        <w:t>（二）一般公共预算财政拨款支出决算结构情况</w:t>
      </w:r>
      <w:bookmarkEnd w:id="67"/>
      <w:bookmarkEnd w:id="68"/>
      <w:bookmarkEnd w:id="69"/>
      <w:bookmarkEnd w:id="70"/>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2025年度一般公共预算财政拨款支出131.43万元，主要用于以下方面：社会保障和就业支出114.69万元，占87.3%；卫生健康支出7万元，占5.3%；住房保障支出9.74万元，占7.4%。</w:t>
      </w:r>
    </w:p>
    <w:p>
      <w:pPr>
        <w:pageBreakBefore w:val="0"/>
        <w:widowControl w:val="0"/>
        <w:kinsoku/>
        <w:wordWrap/>
        <w:overflowPunct/>
        <w:topLinePunct w:val="0"/>
        <w:bidi w:val="0"/>
        <w:spacing w:line="576" w:lineRule="exact"/>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r>
        <w:rPr>
          <w:rFonts w:ascii="仿宋" w:eastAsia="仿宋"/>
          <w:color w:val="000000"/>
          <w:kern w:val="2"/>
          <w:sz w:val="32"/>
          <w:szCs w:val="32"/>
        </w:rPr>
        <w:drawing>
          <wp:anchor distT="0" distB="0" distL="114298" distR="114298" simplePos="0" relativeHeight="12" behindDoc="1" locked="0" layoutInCell="1" hidden="0" allowOverlap="1">
            <wp:simplePos x="0" y="0"/>
            <wp:positionH relativeFrom="column">
              <wp:posOffset>824230</wp:posOffset>
            </wp:positionH>
            <wp:positionV relativeFrom="paragraph">
              <wp:posOffset>120015</wp:posOffset>
            </wp:positionV>
            <wp:extent cx="4134484" cy="2828924"/>
            <wp:effectExtent l="0" t="0" r="0" b="0"/>
            <wp:wrapNone/>
            <wp:docPr id="22" name="Object 13"/>
            <wp:cNvGraphicFramePr>
              <a:graphicFrameLocks noChangeAspect="1"/>
            </wp:cNvGraphicFramePr>
            <a:graphic>
              <a:graphicData uri="http://schemas.openxmlformats.org/drawingml/2006/picture">
                <pic:pic>
                  <pic:nvPicPr>
                    <pic:cNvPr id="24" name="Object 13 24"/>
                    <pic:cNvPicPr/>
                  </pic:nvPicPr>
                  <pic:blipFill>
                    <a:blip r:embed="rId12"/>
                    <a:stretch>
                      <a:fillRect/>
                    </a:stretch>
                  </pic:blipFill>
                  <pic:spPr>
                    <a:xfrm rot="0">
                      <a:off x="0" y="0"/>
                      <a:ext cx="4134484" cy="2828924"/>
                    </a:xfrm>
                    <a:prstGeom prst="rect"/>
                    <a:noFill/>
                    <a:ln w="9525" cmpd="sng" cap="flat">
                      <a:noFill/>
                      <a:prstDash val="solid"/>
                      <a:miter/>
                    </a:ln>
                  </pic:spPr>
                </pic:pic>
              </a:graphicData>
            </a:graphic>
          </wp:anchor>
        </w:drawing>
      </w: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71" w:name="_Toc4411"/>
      <w:bookmarkStart w:id="72" w:name="_Toc15377212"/>
      <w:bookmarkStart w:id="73" w:name="_Toc10242"/>
      <w:bookmarkStart w:id="74" w:name="_Toc25309"/>
      <w:r>
        <w:rPr>
          <w:rFonts w:ascii="Times New Roman" w:eastAsia="楷体_GB2312" w:cs="楷体_GB2312" w:hAnsi="Times New Roman" w:hint="eastAsia"/>
          <w:b/>
          <w:color w:val="auto"/>
          <w:sz w:val="32"/>
          <w:szCs w:val="32"/>
          <w:highlight w:val="auto"/>
        </w:rPr>
        <w:t>（三）一般公共预算财政拨款支出决算具体情况</w:t>
      </w:r>
      <w:bookmarkEnd w:id="71"/>
      <w:bookmarkEnd w:id="72"/>
      <w:bookmarkEnd w:id="73"/>
      <w:bookmarkEnd w:id="74"/>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75" w:name="_Toc15378460"/>
      <w:bookmarkStart w:id="76" w:name="_Toc15377444"/>
      <w:bookmarkStart w:id="77" w:name="_Toc15377213"/>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2025年度一般公共预算财政拨款支出决算数为131.43万元，完成预算100%。其中：</w:t>
      </w:r>
      <w:bookmarkEnd w:id="75"/>
      <w:bookmarkEnd w:id="76"/>
      <w:bookmarkEnd w:id="77"/>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1.社会保障和就业支出（类）行政事业单位离退休（款）机关事业单位养老保险缴费支出（项）:2025年决算数为11.73万元，完成预算100%，决算数与预算数持平。</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2.社会保障和就业支出（类）行政事业单位离退休（款）机关事业单位职业年金缴费支出（项）：2025年决算数为:5.87万元，完成预算100%，决算数与预算数持平。</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3.社会保障和就业支出（类）红十字事业（款）行政运行（项）：2025年决算数为96.59万元，完成预算100%，决算数与预算数持平。</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4.社会保障和就业支出（类）红十字事业（款）其他红十字事业支出（项）：2025年决算数为0.5万元，完成预算100%，决算数与预算数持平。</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5.医疗卫生与计划生育支出（类）行政事业单位医疗（款）行政单位医疗（项）：2025年决算数为7万元，完成预算100%，决算数与预算数持平。</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6.住房保障支出（类）住房改革支出（款）住房公积金（项）：2025年决算数为9.74万元，完成预算100%，决算数与预算数持平。</w:t>
      </w:r>
    </w:p>
    <w:p>
      <w:pPr>
        <w:pageBreakBefore w:val="0"/>
        <w:widowControl w:val="0"/>
        <w:tabs>
          <w:tab w:val="right" w:pos="8306"/>
        </w:tabs>
        <w:kinsoku/>
        <w:wordWrap/>
        <w:overflowPunct/>
        <w:topLinePunct w:val="0"/>
        <w:bidi w:val="0"/>
        <w:spacing w:line="576" w:lineRule="exact"/>
        <w:ind w:left="0" w:firstLine="640"/>
        <w:outlineLvl w:val="1"/>
        <w:rPr>
          <w:rStyle w:val="2Char"/>
          <w:rFonts w:ascii="Times New Roman" w:hAnsi="Times New Roman"/>
          <w:color w:val="auto"/>
          <w:highlight w:val="auto"/>
        </w:rPr>
      </w:pPr>
      <w:bookmarkStart w:id="78" w:name="_Toc6326"/>
      <w:bookmarkStart w:id="79" w:name="_Toc18062"/>
      <w:bookmarkStart w:id="80" w:name="_Toc21067"/>
      <w:bookmarkStart w:id="81" w:name="_Toc15272"/>
      <w:bookmarkStart w:id="82" w:name="_Toc15396608"/>
      <w:bookmarkStart w:id="83" w:name="_Toc1537721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78"/>
      <w:bookmarkEnd w:id="79"/>
      <w:bookmarkEnd w:id="80"/>
      <w:bookmarkEnd w:id="81"/>
      <w:bookmarkEnd w:id="82"/>
      <w:bookmarkEnd w:id="83"/>
      <w:r>
        <w:rPr>
          <w:rStyle w:val="2Char"/>
          <w:rFonts w:ascii="Times New Roman" w:eastAsia="黑体" w:hAnsi="Times New Roman"/>
          <w:b w:val="0"/>
          <w:color w:val="auto"/>
          <w:highlight w:val="auto"/>
        </w:rPr>
        <w:tab/>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2025年度一般公共预算财政拨款基本支出130.93万元，其中：</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人员经费123.28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7.65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ageBreakBefore w:val="0"/>
        <w:widowControl w:val="0"/>
        <w:tabs>
          <w:tab w:val="right" w:pos="8306"/>
        </w:tabs>
        <w:kinsoku/>
        <w:wordWrap/>
        <w:overflowPunct/>
        <w:topLinePunct w:val="0"/>
        <w:bidi w:val="0"/>
        <w:spacing w:line="576" w:lineRule="exact"/>
        <w:ind w:left="0" w:firstLine="640"/>
        <w:outlineLvl w:val="1"/>
        <w:rPr>
          <w:rFonts w:ascii="Times New Roman" w:eastAsia="黑体" w:hAnsi="Times New Roman" w:hint="eastAsia"/>
          <w:color w:val="auto"/>
          <w:sz w:val="32"/>
          <w:szCs w:val="32"/>
          <w:lang w:val="en-US" w:eastAsia="zh-CN"/>
          <w:highlight w:val="auto"/>
        </w:rPr>
      </w:pPr>
      <w:bookmarkStart w:id="84" w:name="_Toc15377215"/>
      <w:bookmarkStart w:id="85" w:name="_Toc20148"/>
      <w:bookmarkStart w:id="86" w:name="_Toc15396609"/>
      <w:r>
        <w:rPr>
          <w:rFonts w:ascii="Times New Roman" w:eastAsia="黑体" w:hAnsi="Times New Roman" w:hint="eastAsia"/>
          <w:color w:val="auto"/>
          <w:sz w:val="32"/>
          <w:szCs w:val="32"/>
          <w:lang w:val="en-US" w:eastAsia="zh-CN"/>
          <w:highlight w:val="auto"/>
        </w:rPr>
        <w:t>七、财政拨款“三公”经费支出决算情况说明</w:t>
      </w:r>
      <w:bookmarkEnd w:id="84"/>
      <w:bookmarkEnd w:id="85"/>
      <w:bookmarkEnd w:id="86"/>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87" w:name="_Toc17926"/>
      <w:bookmarkStart w:id="88" w:name="_Toc15377216"/>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（一）“三公”经费财政拨款支出决算总体情况说明</w:t>
      </w:r>
      <w:bookmarkEnd w:id="87"/>
      <w:bookmarkEnd w:id="88"/>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2025年度“三公”经费财政拨款支出决算为1.74万元，完成预算43.5%，与2024年相比增加1.5万元，增长625%。主要原因是：车辆老旧。</w:t>
      </w:r>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89" w:name="_Toc19477"/>
      <w:bookmarkStart w:id="90" w:name="_Toc10323"/>
      <w:bookmarkStart w:id="91" w:name="_Toc15377217"/>
      <w:bookmarkStart w:id="92" w:name="_Toc22622"/>
      <w:r>
        <w:rPr>
          <w:rFonts w:ascii="Times New Roman" w:eastAsia="楷体_GB2312" w:cs="楷体_GB2312" w:hAnsi="Times New Roman" w:hint="eastAsia"/>
          <w:b/>
          <w:color w:val="auto"/>
          <w:sz w:val="32"/>
          <w:szCs w:val="32"/>
          <w:highlight w:val="auto"/>
        </w:rPr>
        <w:t>（二）“三公”经费财政拨款支出决算具体情况说明</w:t>
      </w:r>
      <w:bookmarkEnd w:id="89"/>
      <w:bookmarkEnd w:id="90"/>
      <w:bookmarkEnd w:id="91"/>
      <w:bookmarkEnd w:id="92"/>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 w:eastAsia="仿宋" w:hint="eastAsia"/>
          <w:color w:val="000000"/>
          <w:sz w:val="32"/>
          <w:szCs w:val="32"/>
        </w:rPr>
        <w:drawing>
          <wp:anchor distT="0" distB="0" distL="114298" distR="114298" simplePos="0" relativeHeight="14" behindDoc="1" locked="0" layoutInCell="1" hidden="0" allowOverlap="1">
            <wp:simplePos x="0" y="0"/>
            <wp:positionH relativeFrom="column">
              <wp:posOffset>876300</wp:posOffset>
            </wp:positionH>
            <wp:positionV relativeFrom="paragraph">
              <wp:posOffset>859155</wp:posOffset>
            </wp:positionV>
            <wp:extent cx="3516630" cy="2101850"/>
            <wp:effectExtent l="0" t="0" r="0" b="0"/>
            <wp:wrapNone/>
            <wp:docPr id="25" name="Object 14"/>
            <wp:cNvGraphicFramePr>
              <a:graphicFrameLocks noChangeAspect="1"/>
            </wp:cNvGraphicFramePr>
            <a:graphic>
              <a:graphicData uri="http://schemas.openxmlformats.org/drawingml/2006/picture">
                <pic:pic>
                  <pic:nvPicPr>
                    <pic:cNvPr id="27" name="Object 14 27"/>
                    <pic:cNvPicPr/>
                  </pic:nvPicPr>
                  <pic:blipFill>
                    <a:blip r:embed="rId13"/>
                    <a:stretch>
                      <a:fillRect/>
                    </a:stretch>
                  </pic:blipFill>
                  <pic:spPr>
                    <a:xfrm rot="0">
                      <a:off x="0" y="0"/>
                      <a:ext cx="3516630" cy="2101850"/>
                    </a:xfrm>
                    <a:prstGeom prst="rect"/>
                    <a:noFill/>
                    <a:ln w="9525" cmpd="sng" cap="flat">
                      <a:noFill/>
                      <a:prstDash val="solid"/>
                      <a:miter/>
                    </a:ln>
                  </pic:spPr>
                </pic:pic>
              </a:graphicData>
            </a:graphic>
          </wp:anchor>
        </w:drawing>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2025年度“三公”经费财政拨款支出决算中，公务用车购置及运行维护费支出决算1.74万元，占100%。具体情况如下：</w:t>
      </w: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Times New Roman" w:eastAsia="仿宋_GB2312" w:cs="仿宋_GB2312" w:hAnsi="Times New Roman" w:hint="eastAsia"/>
          <w:color w:val="auto"/>
          <w:kern w:val="2"/>
          <w:sz w:val="32"/>
          <w:szCs w:val="32"/>
          <w:lang w:val="en-US" w:eastAsia="zh-CN" w:bidi="ar-SA"/>
          <w:highlight w:val="auto"/>
        </w:rPr>
      </w:pPr>
    </w:p>
    <w:p>
      <w:pPr>
        <w:pageBreakBefore w:val="0"/>
        <w:widowControl w:val="0"/>
        <w:kinsoku/>
        <w:wordWrap/>
        <w:overflowPunct/>
        <w:topLinePunct w:val="0"/>
        <w:bidi w:val="0"/>
        <w:snapToGrid/>
        <w:spacing w:line="576" w:lineRule="exact"/>
        <w:textAlignment w:val="auto"/>
        <w:rPr>
          <w:rFonts w:ascii="Times New Roman" w:eastAsia="仿宋_GB2312" w:cs="仿宋_GB2312" w:hAnsi="Times New Roman" w:hint="eastAsia"/>
          <w:b/>
          <w:bCs/>
          <w:color w:val="auto"/>
          <w:kern w:val="2"/>
          <w:sz w:val="32"/>
          <w:szCs w:val="32"/>
          <w:lang w:val="en-US" w:eastAsia="zh-CN" w:bidi="ar-SA"/>
          <w:highlight w:val="auto"/>
        </w:rPr>
      </w:pP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bCs/>
          <w:color w:val="auto"/>
          <w:kern w:val="2"/>
          <w:sz w:val="32"/>
          <w:szCs w:val="32"/>
          <w:lang w:val="en-US" w:eastAsia="zh-CN" w:bidi="ar-SA"/>
          <w:highlight w:val="auto"/>
        </w:rPr>
        <w:t>1.因公出国（境）经费支出：</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全年安排因公出国（境）团组，出国0万元。</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1.74万元，完成预算43.5%。公务用车购置及运行维护费支出决算与2024年相比增加1.5万元，增长625%。主要原因是：车辆老旧。</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截至2025年12月31日，单位共有公务用车1辆，其中：轿车0辆、越野车1辆、载客汽车0辆。</w:t>
      </w:r>
    </w:p>
    <w:p>
      <w:pPr>
        <w:pageBreakBefore w:val="0"/>
        <w:widowControl w:val="0"/>
        <w:kinsoku/>
        <w:wordWrap/>
        <w:overflowPunct/>
        <w:topLinePunct w:val="0"/>
        <w:bidi w:val="0"/>
        <w:spacing w:line="576" w:lineRule="exact"/>
        <w:ind w:left="0" w:firstLine="640"/>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公务用车运行维护费支出1.74万元。与2024年相比增加</w:t>
      </w:r>
      <w:r>
        <w:rPr>
          <w:rFonts w:ascii="仿宋_GB2312" w:eastAsia="仿宋_GB2312" w:cs="仿宋_GB2312"/>
          <w:b w:val="0"/>
          <w:bCs w:val="0"/>
          <w:color w:val="000000"/>
          <w:kern w:val="2"/>
          <w:sz w:val="32"/>
          <w:szCs w:val="32"/>
          <w14:textFill>
            <w14:solidFill>
              <w14:srgbClr w14:val="000000"/>
            </w14:solidFill>
          </w14:textFill>
          <w:lang w:val="en-US" w:eastAsia="zh-CN" w:bidi="ar-SA"/>
          <w:highlight w:val="auto"/>
        </w:rPr>
        <w:t>1.5</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万元，增长625%。主要用于出差、下乡等所需的公务用车燃料费、维修费、过路过桥费、保险费等支出。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bookmarkStart w:id="93" w:name="_Toc15377218"/>
      <w:bookmarkStart w:id="94" w:name="_Toc15396610"/>
      <w:r>
        <w:rPr>
          <w:rFonts w:eastAsia="仿宋_GB2312" w:cs="仿宋_GB2312" w:hint="eastAsia"/>
          <w:b/>
          <w:bCs/>
          <w:color w:val="auto"/>
          <w:kern w:val="2"/>
          <w:sz w:val="32"/>
          <w:szCs w:val="32"/>
          <w:lang w:val="en-US" w:eastAsia="zh-CN" w:bidi="ar-SA"/>
          <w:highlight w:val="auto"/>
        </w:rPr>
        <w:t>：</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本年度公务接待费支出0万元，与2024年相比无变动。</w:t>
      </w:r>
    </w:p>
    <w:p>
      <w:pPr>
        <w:pageBreakBefore w:val="0"/>
        <w:widowControl w:val="0"/>
        <w:kinsoku/>
        <w:wordWrap/>
        <w:overflowPunct/>
        <w:topLinePunct w:val="0"/>
        <w:bidi w:val="0"/>
        <w:spacing w:line="576" w:lineRule="exact"/>
        <w:ind w:left="0" w:firstLine="640"/>
        <w:outlineLvl w:val="1"/>
        <w:rPr>
          <w:rStyle w:val="2Char"/>
          <w:rFonts w:ascii="Times New Roman" w:eastAsia="黑体" w:hAnsi="Times New Roman"/>
          <w:color w:val="auto"/>
          <w:highlight w:val="auto"/>
        </w:rPr>
      </w:pPr>
      <w:bookmarkStart w:id="95" w:name="_Toc8665"/>
      <w:bookmarkStart w:id="96" w:name="_Toc23394"/>
      <w:bookmarkStart w:id="97" w:name="_Toc4659"/>
      <w:bookmarkStart w:id="98" w:name="_Toc24166"/>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93"/>
      <w:bookmarkEnd w:id="94"/>
      <w:bookmarkEnd w:id="95"/>
      <w:bookmarkEnd w:id="96"/>
      <w:bookmarkEnd w:id="97"/>
      <w:bookmarkEnd w:id="98"/>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2025年度政府性基金预算财政拨款支出0万元。</w:t>
      </w:r>
    </w:p>
    <w:p>
      <w:pPr>
        <w:pageBreakBefore w:val="0"/>
        <w:widowControl w:val="0"/>
        <w:kinsoku/>
        <w:wordWrap/>
        <w:overflowPunct/>
        <w:topLinePunct w:val="0"/>
        <w:bidi w:val="0"/>
        <w:spacing w:line="576" w:lineRule="exact"/>
        <w:ind w:left="0" w:firstLineChars="200" w:firstLine="640"/>
        <w:outlineLvl w:val="1"/>
        <w:rPr>
          <w:rStyle w:val="2Char"/>
          <w:rFonts w:ascii="Times New Roman" w:eastAsia="黑体" w:hAnsi="Times New Roman"/>
          <w:b w:val="0"/>
          <w:color w:val="auto"/>
          <w:highlight w:val="auto"/>
        </w:rPr>
      </w:pPr>
      <w:bookmarkStart w:id="99" w:name="_Toc4278"/>
      <w:bookmarkStart w:id="100" w:name="_Toc15396611"/>
      <w:bookmarkStart w:id="101" w:name="_Toc24724"/>
      <w:bookmarkStart w:id="102" w:name="_Toc15377219"/>
      <w:bookmarkStart w:id="103" w:name="_Toc31586"/>
      <w:bookmarkStart w:id="104" w:name="_Toc7135"/>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99"/>
      <w:bookmarkEnd w:id="100"/>
      <w:bookmarkEnd w:id="101"/>
      <w:bookmarkEnd w:id="102"/>
      <w:bookmarkEnd w:id="103"/>
      <w:bookmarkEnd w:id="104"/>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2025年度国有资本经营预算财政拨款支出0万元。</w:t>
      </w:r>
    </w:p>
    <w:p>
      <w:pPr>
        <w:pageBreakBefore w:val="0"/>
        <w:widowControl w:val="0"/>
        <w:kinsoku/>
        <w:wordWrap/>
        <w:overflowPunct/>
        <w:topLinePunct w:val="0"/>
        <w:bidi w:val="0"/>
        <w:spacing w:line="576" w:lineRule="exact"/>
        <w:ind w:left="0" w:firstLineChars="200" w:firstLine="640"/>
        <w:outlineLvl w:val="1"/>
        <w:rPr>
          <w:rStyle w:val="2Char"/>
          <w:rFonts w:ascii="Times New Roman" w:eastAsia="黑体" w:hAnsi="Times New Roman" w:hint="eastAsia"/>
          <w:b w:val="0"/>
          <w:color w:val="auto"/>
          <w:highlight w:val="auto"/>
        </w:rPr>
      </w:pPr>
      <w:bookmarkStart w:id="105" w:name="_Toc15377221"/>
      <w:bookmarkStart w:id="106" w:name="_Toc17947"/>
      <w:bookmarkStart w:id="107" w:name="_Toc25522"/>
      <w:bookmarkStart w:id="108" w:name="_Toc15396612"/>
      <w:bookmarkStart w:id="109" w:name="_Toc32367"/>
      <w:bookmarkStart w:id="110" w:name="_Toc23213"/>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105"/>
      <w:bookmarkEnd w:id="106"/>
      <w:bookmarkEnd w:id="107"/>
      <w:bookmarkEnd w:id="108"/>
      <w:bookmarkEnd w:id="109"/>
      <w:bookmarkEnd w:id="110"/>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111" w:name="_Toc3992"/>
      <w:bookmarkStart w:id="112" w:name="_Toc13923"/>
      <w:bookmarkStart w:id="113" w:name="_Toc15377222"/>
      <w:bookmarkStart w:id="114" w:name="_Toc19199"/>
      <w:r>
        <w:rPr>
          <w:rFonts w:ascii="Times New Roman" w:eastAsia="楷体_GB2312" w:cs="楷体_GB2312" w:hAnsi="Times New Roman" w:hint="eastAsia"/>
          <w:b/>
          <w:color w:val="auto"/>
          <w:sz w:val="32"/>
          <w:szCs w:val="32"/>
          <w:highlight w:val="auto"/>
        </w:rPr>
        <w:t>（一）机关运行经费支出情况</w:t>
      </w:r>
      <w:bookmarkEnd w:id="111"/>
      <w:bookmarkEnd w:id="112"/>
      <w:bookmarkEnd w:id="113"/>
      <w:bookmarkEnd w:id="114"/>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2025年度，茂县红十字会机关运行经费支出7.65万元，与2024年相比增加2.7万元，增长54.5%。主要原因是：本年度增加彩票公益基金项目2个。</w:t>
      </w:r>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115" w:name="_Toc1637"/>
      <w:bookmarkStart w:id="116" w:name="_Toc15377223"/>
      <w:bookmarkStart w:id="117" w:name="_Toc30164"/>
      <w:bookmarkStart w:id="118" w:name="_Toc28379"/>
      <w:r>
        <w:rPr>
          <w:rFonts w:ascii="Times New Roman" w:eastAsia="楷体_GB2312" w:cs="楷体_GB2312" w:hAnsi="Times New Roman" w:hint="eastAsia"/>
          <w:b/>
          <w:color w:val="auto"/>
          <w:sz w:val="32"/>
          <w:szCs w:val="32"/>
          <w:highlight w:val="auto"/>
        </w:rPr>
        <w:t>（二）政府采购支出情况</w:t>
      </w:r>
      <w:bookmarkEnd w:id="115"/>
      <w:bookmarkEnd w:id="116"/>
      <w:bookmarkEnd w:id="117"/>
      <w:bookmarkEnd w:id="118"/>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2025年度，茂县红十字会政府采购支出0万元。</w:t>
      </w:r>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119" w:name="_Toc13023"/>
      <w:bookmarkStart w:id="120" w:name="_Toc15377224"/>
      <w:bookmarkStart w:id="121" w:name="_Toc421"/>
      <w:bookmarkStart w:id="122" w:name="_Toc30591"/>
      <w:r>
        <w:rPr>
          <w:rFonts w:ascii="Times New Roman" w:eastAsia="楷体_GB2312" w:cs="楷体_GB2312" w:hAnsi="Times New Roman" w:hint="eastAsia"/>
          <w:b/>
          <w:color w:val="auto"/>
          <w:sz w:val="32"/>
          <w:szCs w:val="32"/>
          <w:highlight w:val="auto"/>
        </w:rPr>
        <w:t>（三）国有资产占有使用情况</w:t>
      </w:r>
      <w:bookmarkEnd w:id="119"/>
      <w:bookmarkEnd w:id="120"/>
      <w:bookmarkEnd w:id="121"/>
      <w:bookmarkEnd w:id="122"/>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截至2025年12月31日，茂县红十字会共有车辆1辆，其中：主要负责人用车0辆、机要通信用车0辆、应急保障用车1辆、其他用车0辆。</w:t>
      </w:r>
    </w:p>
    <w:p>
      <w:pPr>
        <w:pageBreakBefore w:val="0"/>
        <w:widowControl w:val="0"/>
        <w:kinsoku/>
        <w:wordWrap/>
        <w:overflowPunct/>
        <w:topLinePunct w:val="0"/>
        <w:bidi w:val="0"/>
        <w:spacing w:line="576" w:lineRule="exact"/>
        <w:ind w:left="0" w:firstLineChars="200" w:firstLine="640"/>
        <w:outlineLvl w:val="2"/>
        <w:rPr>
          <w:rFonts w:ascii="Times New Roman" w:eastAsia="楷体_GB2312" w:cs="楷体_GB2312" w:hAnsi="Times New Roman" w:hint="eastAsia"/>
          <w:b/>
          <w:color w:val="auto"/>
          <w:sz w:val="32"/>
          <w:szCs w:val="32"/>
          <w:highlight w:val="auto"/>
        </w:rPr>
      </w:pPr>
      <w:bookmarkStart w:id="123" w:name="_Toc28088"/>
      <w:bookmarkStart w:id="124" w:name="_Toc17019"/>
      <w:bookmarkStart w:id="125" w:name="_Toc8479"/>
      <w:r>
        <w:rPr>
          <w:rFonts w:ascii="Times New Roman" w:eastAsia="楷体_GB2312" w:cs="楷体_GB2312" w:hAnsi="Times New Roman" w:hint="eastAsia"/>
          <w:b/>
          <w:color w:val="auto"/>
          <w:sz w:val="32"/>
          <w:szCs w:val="32"/>
          <w:highlight w:val="auto"/>
        </w:rPr>
        <w:t>（四）预算绩效管理情况</w:t>
      </w:r>
      <w:bookmarkEnd w:id="123"/>
      <w:bookmarkEnd w:id="124"/>
      <w:bookmarkEnd w:id="125"/>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根据预算绩效管理要求，我会在2025年度预算编制阶段，组织对红十字会事业发展工作经费项目开展了预算事前绩效评估，对2个项目编制了绩效目标，在预算执行过程中，选取2个项目开展绩效监控并开展绩效自评。此项目</w:t>
      </w:r>
      <w:r>
        <w:rPr>
          <w:rFonts w:ascii="仿宋_GB2312" w:eastAsia="仿宋_GB2312" w:cs="仿宋_GB2312" w:hint="eastAsia"/>
          <w:b w:val="0"/>
          <w:bCs w:val="0"/>
          <w:color w:val="000000"/>
          <w:kern w:val="2"/>
          <w:sz w:val="32"/>
          <w:szCs w:val="32"/>
          <w14:textFill>
            <w14:solidFill>
              <w14:srgbClr w14:val="000000"/>
            </w14:solidFill>
          </w14:textFill>
          <w:lang w:val="zh-CN" w:eastAsia="zh-CN" w:bidi="ar-SA"/>
          <w:highlight w:val="auto"/>
        </w:rPr>
        <w:t>提升了红十字会的服务能力，增强了其在灾害应对、救助、救护等方面的效能。强化了应急救援队伍的建设与培训、提高了物资储备和调配效率、扩大了健康教育和献血推广活动。</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br/>
        <w:t xml:space="preserve">    我会按要求对2025年部门整体支出开展绩效自评，自查自评结果良好，全年基本支出保障了部门的正常运行和日常工作的正常开展，项目支出保障了重点工作的开展，绩效目标得到较好实现，绩效管理水平不断提高，绩效指标体系逐渐丰富和完善。 </w:t>
        <w:br/>
        <w:t xml:space="preserve">    单位预算项目绩效自评报告及部门预算项目支出绩效自评表（2025年度）详见第四部分附件。</w:t>
      </w: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both"/>
        <w:outlineLvl w:val="0"/>
        <w:rPr>
          <w:rFonts w:ascii="方正小标宋简体" w:eastAsia="方正小标宋简体" w:cs="方正小标宋简体" w:hint="eastAsia"/>
          <w:color w:val="auto"/>
          <w:sz w:val="44"/>
          <w:szCs w:val="44"/>
          <w:lang w:eastAsia="zh-CN"/>
          <w:highlight w:val="auto"/>
        </w:rPr>
      </w:pPr>
    </w:p>
    <w:p>
      <w:pPr>
        <w:pageBreakBefore w:val="0"/>
        <w:widowControl w:val="0"/>
        <w:kinsoku/>
        <w:wordWrap/>
        <w:overflowPunct/>
        <w:topLinePunct w:val="0"/>
        <w:bidi w:val="0"/>
        <w:spacing w:line="576" w:lineRule="exact"/>
        <w:ind w:left="0"/>
        <w:jc w:val="center"/>
        <w:outlineLvl w:val="0"/>
        <w:rPr>
          <w:rFonts w:ascii="方正小标宋简体" w:eastAsia="方正小标宋简体" w:cs="方正小标宋简体" w:hint="eastAsia"/>
          <w:color w:val="auto"/>
          <w:sz w:val="44"/>
          <w:szCs w:val="44"/>
          <w:highlight w:val="auto"/>
        </w:rPr>
      </w:pPr>
      <w:bookmarkStart w:id="126" w:name="_Toc28953"/>
      <w:r>
        <w:rPr>
          <w:rFonts w:ascii="方正小标宋简体" w:eastAsia="方正小标宋简体" w:cs="方正小标宋简体" w:hint="eastAsia"/>
          <w:color w:val="auto"/>
          <w:sz w:val="44"/>
          <w:szCs w:val="44"/>
          <w:lang w:eastAsia="zh-CN"/>
          <w:highlight w:val="auto"/>
        </w:rPr>
        <w:t>第三</w:t>
      </w:r>
      <w:r>
        <w:rPr>
          <w:rFonts w:ascii="方正小标宋简体" w:eastAsia="方正小标宋简体" w:cs="方正小标宋简体" w:hint="eastAsia"/>
          <w:color w:val="auto"/>
          <w:sz w:val="44"/>
          <w:szCs w:val="44"/>
          <w:highlight w:val="auto"/>
        </w:rPr>
        <w:t>部分</w:t>
      </w:r>
      <w:r>
        <w:rPr>
          <w:rFonts w:ascii="方正小标宋简体" w:eastAsia="方正小标宋简体" w:cs="方正小标宋简体" w:hint="eastAsia"/>
          <w:color w:val="auto"/>
          <w:sz w:val="44"/>
          <w:szCs w:val="44"/>
          <w:lang w:val="en-US" w:eastAsia="zh-CN"/>
          <w:highlight w:val="auto"/>
        </w:rPr>
        <w:t xml:space="preserve">  </w:t>
      </w:r>
      <w:r>
        <w:rPr>
          <w:rFonts w:ascii="方正小标宋简体" w:eastAsia="方正小标宋简体" w:cs="方正小标宋简体" w:hint="eastAsia"/>
          <w:color w:val="auto"/>
          <w:sz w:val="44"/>
          <w:szCs w:val="44"/>
          <w:highlight w:val="auto"/>
        </w:rPr>
        <w:t>名词解释</w:t>
      </w:r>
      <w:bookmarkEnd w:id="16"/>
      <w:bookmarkEnd w:id="17"/>
      <w:bookmarkEnd w:id="18"/>
      <w:bookmarkEnd w:id="19"/>
      <w:bookmarkEnd w:id="126"/>
    </w:p>
    <w:p>
      <w:pPr>
        <w:pageBreakBefore w:val="0"/>
        <w:widowControl w:val="0"/>
        <w:kinsoku/>
        <w:wordWrap/>
        <w:overflowPunct/>
        <w:topLinePunct w:val="0"/>
        <w:bidi w:val="0"/>
        <w:spacing w:line="576" w:lineRule="exact"/>
        <w:ind w:left="0"/>
        <w:jc w:val="left"/>
        <w:rPr>
          <w:rFonts w:ascii="Times New Roman" w:hAnsi="Times New Roman"/>
          <w:b/>
          <w:color w:val="auto"/>
          <w:sz w:val="44"/>
          <w:szCs w:val="44"/>
          <w:highlight w:val="auto"/>
        </w:rPr>
      </w:pP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27" w:name="_Toc28497"/>
      <w:bookmarkStart w:id="128" w:name="_Toc27413"/>
      <w:bookmarkStart w:id="129" w:name="_Toc5538"/>
      <w:bookmarkStart w:id="130" w:name="_Toc15377226"/>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1.财政拨款收入：指单位从同级财政部门取得的财政预算资金。</w:t>
      </w:r>
      <w:bookmarkEnd w:id="127"/>
      <w:bookmarkEnd w:id="128"/>
      <w:bookmarkEnd w:id="129"/>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2.事业收入：指事业单位开展专业业务活动及辅助活动取得的收入。</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3.经营收入：指事业单位在专业业务活动及其辅助活动之外开展非独立核算经营活动取得的收入。</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31" w:name="_Toc27219"/>
      <w:bookmarkStart w:id="132" w:name="_Toc9023"/>
      <w:bookmarkStart w:id="133" w:name="_Toc32244"/>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4.其他收入：指单位取得的除上述收入以外的各项收入。</w:t>
      </w:r>
      <w:bookmarkEnd w:id="131"/>
      <w:bookmarkEnd w:id="132"/>
      <w:bookmarkEnd w:id="133"/>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 xml:space="preserve">6.年初结转和结余：指以前年度尚未完成、结转到本年按有关规定继续使用的资金。 </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7.结余分配：指事业单位按照事业单位会计制度的规定从非财政补助结余中分配的事业基金和职工福利基金等。</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8、年末结转和结余：指单位按有关规定结转到下年或以后年度继续使用的资金。</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auto"/>
          <w:kern w:val="2"/>
          <w:sz w:val="32"/>
          <w:szCs w:val="32"/>
          <w:lang w:val="en-US" w:eastAsia="zh-CN" w:bidi="ar-SA"/>
          <w:highlight w:val="auto"/>
        </w:rPr>
      </w:pPr>
      <w:r>
        <w:rPr>
          <w:rFonts w:ascii="仿宋_GB2312" w:eastAsia="仿宋_GB2312" w:cs="仿宋_GB2312" w:hint="eastAsia"/>
          <w:b w:val="0"/>
          <w:bCs w:val="0"/>
          <w:color w:val="auto"/>
          <w:kern w:val="2"/>
          <w:sz w:val="32"/>
          <w:szCs w:val="32"/>
          <w:lang w:val="en-US" w:eastAsia="zh-CN" w:bidi="ar-SA"/>
          <w:highlight w:val="auto"/>
        </w:rPr>
        <w:t>9.社会保障和就业支出（类）行政事业单位离退休（款）机关事业单位养老保险缴费支出（项）:指机关事业单位实施养老保险制度由单位缴纳的基本养老保险缴费支出。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auto"/>
          <w:kern w:val="2"/>
          <w:sz w:val="32"/>
          <w:szCs w:val="32"/>
          <w:lang w:val="en-US" w:eastAsia="zh-CN" w:bidi="ar-SA"/>
          <w:highlight w:val="auto"/>
        </w:rPr>
      </w:pPr>
      <w:r>
        <w:rPr>
          <w:rFonts w:ascii="仿宋_GB2312" w:eastAsia="仿宋_GB2312" w:cs="仿宋_GB2312" w:hint="eastAsia"/>
          <w:b w:val="0"/>
          <w:bCs w:val="0"/>
          <w:color w:val="auto"/>
          <w:kern w:val="2"/>
          <w:sz w:val="32"/>
          <w:szCs w:val="32"/>
          <w:lang w:val="en-US" w:eastAsia="zh-CN" w:bidi="ar-SA"/>
          <w:highlight w:val="auto"/>
        </w:rPr>
        <w:t>10.社会保障和就业支出（类）行政事业单位离退休（款）机关事业单位职业年金缴费支出（项）：指机关事业单位实施养老保险制度由单位缴纳的职业年金缴费支出。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11.社会保障和就业支出（类）红十字事业（款）行政运行（项）：指单位基本支出。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12.社会保障和就业支出（类）红十字事业（款）其他红十字事业支出（项）：指红十字事业行政运行的支出。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13.医疗卫生与计划生育支出（类）行政事业单位医疗（款）行政单位医疗（项）：指反映财政部门集中安排的行政事业单位基本养老保险缴费经费，未参加医疗保险的行政事业单位的公费医疗经费，按国家规定享受离休人员、红军老战士待遇人员的医疗经费。</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14.住房保障支出（类）住房改革支出（款）住房公积金（项）：指反映行政事业单位按</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rPr>
        <w:t>人力资源和社会保障部</w:t>
      </w: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、财政部规定的基本工资和津贴补贴以及规定比例为职工缴纳的住房公积金。</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15.住房保障支出（类）住房改革支出（款）购房补贴（项）：指按房改政策规定，行政事业单位向符合条件职工（含离退休人员）、军队（含武警）向转役复原离退休人员发放的用于购买住房的补贴。</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16.基本支出：指为保障机构正常运转、完成日常工作任务而发生的人员支出和公用支出。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 xml:space="preserve">17.项目支出：指在基本支出之外为完成特定行政任务和事业发展目标所发生的支出。 </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18.经营支出：指事业单位在专业业务活动及其辅助活动之外开展非独立核算经营活动发生的支出。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widowControl w:val="0"/>
        <w:kinsoku/>
        <w:wordWrap/>
        <w:overflowPunct/>
        <w:topLinePunct w:val="0"/>
        <w:bidi w:val="0"/>
        <w:snapToGrid/>
        <w:spacing w:line="576" w:lineRule="exact"/>
        <w:ind w:left="0" w:firstLine="640"/>
        <w:textAlignment w:val="auto"/>
        <w:rPr>
          <w:rStyle w:val="1Char"/>
          <w:rFonts w:ascii="方正小标宋简体" w:eastAsia="方正小标宋简体" w:cs="方正小标宋简体" w:hint="eastAsia"/>
          <w:b w:val="0"/>
          <w:bCs w:val="0"/>
          <w:color w:val="auto"/>
          <w:lang w:eastAsia="zh-CN"/>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br w:type="page"/>
      </w:r>
      <w:bookmarkStart w:id="134" w:name="_Toc15396614"/>
      <w:r>
        <w:rPr>
          <w:rFonts w:eastAsia="仿宋_GB2312" w:cs="仿宋_GB2312" w:hint="eastAsia"/>
          <w:color w:val="auto"/>
          <w:kern w:val="2"/>
          <w:sz w:val="32"/>
          <w:szCs w:val="32"/>
          <w:lang w:val="en-US" w:eastAsia="zh-CN" w:bidi="ar-SA"/>
          <w:highlight w:val="auto"/>
        </w:rPr>
        <w:t xml:space="preserve">            </w:t>
      </w:r>
      <w:r>
        <w:rPr>
          <w:rFonts w:ascii="方正小标宋简体" w:eastAsia="方正小标宋简体" w:cs="方正小标宋简体" w:hint="eastAsia"/>
          <w:b w:val="0"/>
          <w:bCs w:val="0"/>
          <w:color w:val="auto"/>
          <w:sz w:val="44"/>
          <w:szCs w:val="44"/>
          <w:highlight w:val="auto"/>
        </w:rPr>
        <w:t>第四部分</w:t>
      </w:r>
      <w:r>
        <w:rPr>
          <w:rFonts w:ascii="方正小标宋简体" w:eastAsia="方正小标宋简体" w:cs="方正小标宋简体" w:hint="eastAsia"/>
          <w:b w:val="0"/>
          <w:bCs w:val="0"/>
          <w:color w:val="auto"/>
          <w:sz w:val="44"/>
          <w:szCs w:val="44"/>
          <w:lang w:val="en-US" w:eastAsia="zh-CN"/>
          <w:highlight w:val="auto"/>
        </w:rPr>
        <w:t xml:space="preserve"> </w:t>
      </w:r>
      <w:r>
        <w:rPr>
          <w:rFonts w:ascii="方正小标宋简体" w:eastAsia="方正小标宋简体" w:cs="方正小标宋简体" w:hint="eastAsia"/>
          <w:b w:val="0"/>
          <w:bCs w:val="0"/>
          <w:color w:val="auto"/>
          <w:sz w:val="44"/>
          <w:szCs w:val="44"/>
          <w:highlight w:val="auto"/>
        </w:rPr>
        <w:t xml:space="preserve"> 附件</w:t>
      </w:r>
      <w:bookmarkEnd w:id="134"/>
    </w:p>
    <w:p>
      <w:pPr>
        <w:widowControl/>
        <w:spacing w:line="578" w:lineRule="exact"/>
        <w:jc w:val="center"/>
        <w:textAlignment w:val="center"/>
        <w:rPr>
          <w:rFonts w:eastAsia="方正小标宋简体"/>
          <w:color w:val="000000"/>
          <w:kern w:val="0"/>
          <w:sz w:val="44"/>
          <w:szCs w:val="44"/>
        </w:rPr>
      </w:pPr>
    </w:p>
    <w:tbl>
      <w:tblPr>
        <w:tblpPr w:leftFromText="180" w:rightFromText="180" w:vertAnchor="text" w:horzAnchor="page" w:tblpX="1185" w:tblpY="410"/>
        <w:tblOverlap w:val="never"/>
        <w:tblW w:w="10005"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73"/>
        <w:gridCol w:w="1909"/>
        <w:gridCol w:w="936"/>
        <w:gridCol w:w="986"/>
        <w:gridCol w:w="509"/>
        <w:gridCol w:w="576"/>
        <w:gridCol w:w="756"/>
        <w:gridCol w:w="1067"/>
        <w:gridCol w:w="503"/>
        <w:gridCol w:w="450"/>
        <w:gridCol w:w="1640"/>
      </w:tblGrid>
      <w:tr>
        <w:trPr>
          <w:trHeight w:val="904"/>
        </w:trPr>
        <w:tc>
          <w:tcPr>
            <w:tcW w:w="1000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840"/>
        </w:trPr>
        <w:tc>
          <w:tcPr>
            <w:tcW w:w="2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7423"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51322323T000007894488-茂县红十字会红十字事业发展工作经费</w:t>
            </w:r>
          </w:p>
        </w:tc>
      </w:tr>
      <w:tr>
        <w:trPr>
          <w:trHeight w:val="640"/>
        </w:trPr>
        <w:tc>
          <w:tcPr>
            <w:tcW w:w="2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376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茂县红十字会本级</w:t>
            </w:r>
          </w:p>
        </w:tc>
        <w:tc>
          <w:tcPr>
            <w:tcW w:w="1067"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5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茂县红十字会</w:t>
            </w:r>
          </w:p>
        </w:tc>
      </w:tr>
      <w:tr>
        <w:trPr>
          <w:trHeight w:val="600"/>
        </w:trPr>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9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376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6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90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76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展基层红十字会组织、基层红十字会会员、志愿者工作、救护员培训工作、应急救护基地运行维护费等红十字事业发展工作经费。通过开展保护人的生命和健康，维护人的尊严，培育和践行社会主义核心价值观，弘扬人道、博爱、奉献精神，保障和规范红十字会依法履行职责，更好地促进红十字事业发展</w:t>
            </w:r>
          </w:p>
        </w:tc>
        <w:tc>
          <w:tcPr>
            <w:tcW w:w="36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开展应急救护知识普及培训13场次，受训人次1961人；组织救护员培训3场次，350余人参训，培训合格并发放救护员证324个</w:t>
            </w:r>
            <w:r>
              <w:rPr>
                <w:rFonts w:ascii="宋体" w:eastAsia="宋体" w:cs="宋体" w:hint="eastAsia"/>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新建基层红十字会组织4个，新发展红十字会员49人、招募红十字志愿者36人。完成会员与志愿者信息登记入库工作，常态化组织志愿者开展志愿服务活动，全年累计服务时长达1151.5小时</w:t>
            </w:r>
            <w:r>
              <w:rPr>
                <w:rFonts w:ascii="宋体" w:eastAsia="宋体" w:cs="宋体" w:hint="eastAsia"/>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实施博爱家园项目2个</w:t>
            </w:r>
          </w:p>
          <w:p>
            <w:pPr>
              <w:keepNext w:val="0"/>
              <w:keepLines w:val="0"/>
              <w:widowControl/>
              <w:suppressLineNumbers w:val="0"/>
              <w:jc w:val="left"/>
              <w:textAlignment w:val="center"/>
              <w:rPr>
                <w:rFonts w:ascii="黑体" w:eastAsia="黑体" w:cs="黑体" w:hint="eastAsia"/>
                <w:i w:val="0"/>
                <w:iCs w:val="0"/>
                <w:color w:val="000000"/>
                <w:sz w:val="18"/>
                <w:szCs w:val="18"/>
                <w:u w:val="none"/>
              </w:rPr>
            </w:pPr>
          </w:p>
        </w:tc>
      </w:tr>
      <w:tr>
        <w:trPr>
          <w:trHeight w:val="78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7423"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20"/>
        </w:trPr>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0.50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0.50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0.50</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p>
        </w:tc>
      </w:tr>
      <w:tr>
        <w:trPr>
          <w:trHeight w:val="391"/>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0.50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0.50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0.50</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07"/>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61"/>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9"/>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52"/>
        </w:trPr>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120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发展红十字会员、志愿者、三救三献红十字事业工作</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人次</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72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开展大病救助工作</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人次</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96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开展应急救护培训、应急救护普及培训</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1800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人次</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98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此项工作在2025年度内完成</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6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就发展红十字事业是救助社会生命的极其重要的社会工作，要不断的提高红十字事业的发展</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进一步提升</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74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进一步提升改善贫困人员生活水平</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进一步提升改善</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88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全县人民队红十字事业发展的满意度</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286"/>
        </w:trPr>
        <w:tc>
          <w:tcPr>
            <w:tcW w:w="741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03"/>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933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300" w:lineRule="exact"/>
              <w:jc w:val="left"/>
              <w:textAlignment w:val="center"/>
              <w:rPr>
                <w:rFonts w:ascii="微软雅黑" w:eastAsia="微软雅黑" w:cs="微软雅黑" w:hint="eastAsia"/>
                <w:i/>
                <w:iCs/>
                <w:color w:val="000000"/>
                <w:sz w:val="16"/>
                <w:szCs w:val="16"/>
                <w:u w:val="none"/>
              </w:rPr>
            </w:pPr>
            <w:r>
              <w:rPr>
                <w:rFonts w:ascii="宋体" w:eastAsia="宋体" w:cs="宋体" w:hint="eastAsia"/>
                <w:color w:val="000000"/>
                <w:kern w:val="0"/>
                <w:sz w:val="21"/>
                <w:szCs w:val="21"/>
                <w:lang w:val="zh-CN" w:eastAsia="zh-CN"/>
              </w:rPr>
              <w:t>我会加强项目管理，按照项目方案完成工作，达到项目目标，各项指标均达到年度要求，完成率较好，在项目管理上执行多种举措督促监管，做到了项目建设规范有序，项目运行效果明显。评价总分为</w:t>
            </w:r>
            <w:r>
              <w:rPr>
                <w:rFonts w:ascii="宋体" w:eastAsia="宋体" w:cs="宋体" w:hint="eastAsia"/>
                <w:color w:val="000000"/>
                <w:kern w:val="0"/>
                <w:sz w:val="21"/>
                <w:szCs w:val="21"/>
                <w:lang w:val="en-US" w:eastAsia="zh-CN"/>
              </w:rPr>
              <w:t>89分</w:t>
            </w:r>
          </w:p>
        </w:tc>
      </w:tr>
      <w:tr>
        <w:trPr>
          <w:trHeight w:val="572"/>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933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300" w:lineRule="exact"/>
              <w:jc w:val="left"/>
              <w:textAlignment w:val="center"/>
              <w:rPr>
                <w:rFonts w:ascii="微软雅黑" w:eastAsia="微软雅黑" w:cs="微软雅黑" w:hint="eastAsia"/>
                <w:i/>
                <w:iCs/>
                <w:color w:val="000000"/>
                <w:sz w:val="16"/>
                <w:szCs w:val="16"/>
                <w:u w:val="none"/>
              </w:rPr>
            </w:pPr>
            <w:r>
              <w:rPr>
                <w:rFonts w:ascii="宋体" w:eastAsia="宋体" w:cs="宋体" w:hint="eastAsia"/>
                <w:color w:val="000000"/>
                <w:kern w:val="0"/>
                <w:sz w:val="21"/>
                <w:szCs w:val="21"/>
                <w:lang w:val="zh-CN" w:eastAsia="zh-CN"/>
              </w:rPr>
              <w:t>在项目决策、项目管理、项目结果等方面表现较好，但在项目实施过程中，我们面临一些问题和挑战，包括人道救助资源配置的不平衡、以及志愿者招募难度大、红十字会知名度不高，影响了人道救助效率和公众参与度。</w:t>
            </w:r>
          </w:p>
        </w:tc>
      </w:tr>
      <w:tr>
        <w:trPr>
          <w:trHeight w:val="633"/>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933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300" w:lineRule="exact"/>
              <w:jc w:val="left"/>
              <w:textAlignment w:val="center"/>
              <w:rPr>
                <w:rFonts w:ascii="微软雅黑" w:eastAsia="微软雅黑" w:cs="微软雅黑" w:hint="eastAsia"/>
                <w:i/>
                <w:iCs/>
                <w:color w:val="000000"/>
                <w:sz w:val="16"/>
                <w:szCs w:val="16"/>
                <w:u w:val="none"/>
              </w:rPr>
            </w:pPr>
            <w:r>
              <w:rPr>
                <w:rFonts w:ascii="宋体" w:eastAsia="宋体" w:cs="宋体" w:hint="eastAsia"/>
                <w:color w:val="000000"/>
                <w:kern w:val="0"/>
                <w:sz w:val="21"/>
                <w:szCs w:val="21"/>
                <w:lang w:val="zh-CN" w:eastAsia="zh-CN"/>
              </w:rPr>
              <w:t>要加大对偏远和资源匮乏地区的关注和支持，平衡资源配置；通过举办应急救护普及培训和其他宣传活动，增强红十字会的社会影响力，招募更多志愿者；利用现代媒体和互联网技术，提高红十字会工作的可见度和认知度。通过这些措施，我们相信红十字会能够更好地完成其使命，更有效地服务社会和公众。</w:t>
            </w:r>
          </w:p>
        </w:tc>
      </w:tr>
      <w:tr>
        <w:trPr>
          <w:trHeight w:val="286"/>
        </w:trPr>
        <w:tc>
          <w:tcPr>
            <w:tcW w:w="673"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tc>
        <w:tc>
          <w:tcPr>
            <w:tcW w:w="190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93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98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0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7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75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67"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03"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4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904"/>
        </w:trPr>
        <w:tc>
          <w:tcPr>
            <w:tcW w:w="1000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hint="eastAsia"/>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286"/>
        </w:trPr>
        <w:tc>
          <w:tcPr>
            <w:tcW w:w="2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7423"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51322325T000013446991-革命老区城镇社区博爱家园项目</w:t>
            </w:r>
          </w:p>
        </w:tc>
      </w:tr>
      <w:tr>
        <w:trPr>
          <w:trHeight w:val="512"/>
        </w:trPr>
        <w:tc>
          <w:tcPr>
            <w:tcW w:w="2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376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茂县红十字会本级</w:t>
            </w:r>
          </w:p>
        </w:tc>
        <w:tc>
          <w:tcPr>
            <w:tcW w:w="1067"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5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茂县红十字会</w:t>
            </w:r>
          </w:p>
        </w:tc>
      </w:tr>
      <w:tr>
        <w:trPr>
          <w:trHeight w:val="286"/>
        </w:trPr>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9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376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6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372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76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围绕社会公益事业资金的公益惠民属性，在凤仪镇选定项目社区，一是配置一台AED，方便就近为心脏骤停患者通过AED 进行心肺复苏，抢救生命，组织开展项目点有关人员AED 正确使用培训;二是配备一个小型备灾救灾储藏室，储备救灾物资，可供开展社区救灾救援工作;三是配备一个服务社区群众的“博爱小屋”，配置居民可能会用到但家庭一般不会购买的设备器具，如轮椅、拐杖、活动梯子、工具箱、电钻、铲子、活动担架、急救箱、雨伞等，具体配备器具根据当地居民需求确定;四是开展应急逃生演练和救护培训，提高群众自救互救能力和健康水平。2025年拟申请资金预算 10 万元（省级下达中央专项彩票公益金支持地方社会公益事业发展资金）</w:t>
            </w:r>
          </w:p>
        </w:tc>
        <w:tc>
          <w:tcPr>
            <w:tcW w:w="36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实施博爱家园项目2个，资金预算20万元。其中“四川省革命老区城镇社区博爱家园项目”已完工，完成投资9.99万元。项目配置AED（心脏体外自动除颤器）1台，应急救灾储备室1个，博爱小屋1个。开展应急演练1场，应急救护培训2场。惠及凤仪镇内南社区4000余名社区居民；“四川省2025年第二批革命老区城镇社区博爱家园项目”工作正有序推进，</w:t>
            </w:r>
            <w:r>
              <w:rPr>
                <w:rFonts w:ascii="宋体" w:eastAsia="宋体" w:cs="宋体" w:hint="eastAsia"/>
                <w:i w:val="0"/>
                <w:iCs w:val="0"/>
                <w:color w:val="000000"/>
                <w:kern w:val="0"/>
                <w:sz w:val="18"/>
                <w:szCs w:val="18"/>
                <w:u w:val="none"/>
                <w:lang w:val="en-US" w:eastAsia="zh-CN"/>
              </w:rPr>
              <w:t>如期在</w:t>
            </w:r>
            <w:r>
              <w:rPr>
                <w:rFonts w:ascii="宋体" w:eastAsia="宋体" w:cs="宋体"/>
                <w:i w:val="0"/>
                <w:iCs w:val="0"/>
                <w:color w:val="000000"/>
                <w:kern w:val="0"/>
                <w:sz w:val="18"/>
                <w:szCs w:val="18"/>
                <w:u w:val="none"/>
                <w:lang w:val="en-US" w:eastAsia="zh-CN"/>
              </w:rPr>
              <w:t>2025年年底前完成。</w:t>
            </w:r>
          </w:p>
        </w:tc>
      </w:tr>
      <w:tr>
        <w:trPr>
          <w:trHeight w:val="693"/>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7423"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40"/>
        </w:trPr>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6"/>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19.99</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99.94%</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hint="eastAsia"/>
                <w:i/>
                <w:iCs/>
                <w:color w:val="000000"/>
                <w:sz w:val="18"/>
                <w:szCs w:val="18"/>
                <w:u w:val="none"/>
              </w:rPr>
            </w:pPr>
          </w:p>
        </w:tc>
      </w:tr>
      <w:tr>
        <w:trPr>
          <w:trHeight w:val="391"/>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19.99</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99.94%</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07"/>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61"/>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9"/>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84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52"/>
        </w:trPr>
        <w:tc>
          <w:tcPr>
            <w:tcW w:w="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72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配备社区小型备灾救灾储藏室</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4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配备社区红十字博爱小屋</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94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开展应急逃生演练、开展救护知识普及宣传和救护员培训</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场次</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94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安装AED体外除颤仪</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台（套）</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76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项目规划编制完整性、合规性</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74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更好地发挥公益惠民的效果</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760"/>
        </w:trPr>
        <w:tc>
          <w:tcPr>
            <w:tcW w:w="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9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9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项目所在社区持续发展作用</w:t>
            </w:r>
          </w:p>
        </w:tc>
        <w:tc>
          <w:tcPr>
            <w:tcW w:w="5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6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286"/>
        </w:trPr>
        <w:tc>
          <w:tcPr>
            <w:tcW w:w="741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50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c>
          <w:tcPr>
            <w:tcW w:w="164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03"/>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933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300" w:lineRule="exact"/>
              <w:jc w:val="left"/>
              <w:textAlignment w:val="center"/>
              <w:rPr>
                <w:rFonts w:ascii="微软雅黑" w:eastAsia="微软雅黑" w:cs="微软雅黑" w:hint="eastAsia"/>
                <w:i/>
                <w:iCs/>
                <w:color w:val="000000"/>
                <w:sz w:val="16"/>
                <w:szCs w:val="16"/>
                <w:u w:val="none"/>
              </w:rPr>
            </w:pPr>
            <w:r>
              <w:rPr>
                <w:rFonts w:ascii="宋体" w:eastAsia="宋体" w:cs="宋体" w:hint="eastAsia"/>
                <w:color w:val="000000"/>
                <w:kern w:val="0"/>
                <w:sz w:val="21"/>
                <w:szCs w:val="21"/>
                <w:lang w:val="zh-CN" w:eastAsia="zh-CN"/>
              </w:rPr>
              <w:t>我会加强项目管理，按照项目方案完成工作，达到项目目标，各项指标均达到年度要求，完成率较好，在项目管理上执行多种举措督促监管，做到了项目建设规范有序，项目运行效果明显。评价总分为</w:t>
            </w:r>
            <w:r>
              <w:rPr>
                <w:rFonts w:ascii="宋体" w:eastAsia="宋体" w:cs="宋体" w:hint="eastAsia"/>
                <w:color w:val="000000"/>
                <w:kern w:val="0"/>
                <w:sz w:val="21"/>
                <w:szCs w:val="21"/>
                <w:lang w:val="en-US" w:eastAsia="zh-CN"/>
              </w:rPr>
              <w:t>89分</w:t>
            </w:r>
          </w:p>
        </w:tc>
      </w:tr>
      <w:tr>
        <w:trPr>
          <w:trHeight w:val="572"/>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933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300" w:lineRule="exact"/>
              <w:jc w:val="left"/>
              <w:textAlignment w:val="center"/>
              <w:rPr>
                <w:rFonts w:ascii="微软雅黑" w:eastAsia="微软雅黑" w:cs="微软雅黑" w:hint="eastAsia"/>
                <w:i/>
                <w:iCs/>
                <w:color w:val="000000"/>
                <w:sz w:val="16"/>
                <w:szCs w:val="16"/>
                <w:u w:val="none"/>
              </w:rPr>
            </w:pPr>
            <w:r>
              <w:rPr>
                <w:rFonts w:ascii="宋体" w:eastAsia="宋体" w:cs="宋体" w:hint="eastAsia"/>
                <w:color w:val="000000"/>
                <w:kern w:val="0"/>
                <w:sz w:val="21"/>
                <w:szCs w:val="21"/>
                <w:lang w:val="zh-CN" w:eastAsia="zh-CN"/>
              </w:rPr>
              <w:t>在项目决策、项目管理、项目结果等方面表现较好，但在项目实施过程中，我们面临一些问题和挑战，包括人道救助资源配置的不平衡、以及志愿者招募难度大、红十字会知名度不高，影响了人道救助效率和公众参与度。</w:t>
            </w:r>
          </w:p>
        </w:tc>
      </w:tr>
      <w:tr>
        <w:trPr>
          <w:trHeight w:val="633"/>
        </w:trPr>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933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pacing w:line="300" w:lineRule="exact"/>
              <w:jc w:val="left"/>
              <w:textAlignment w:val="center"/>
              <w:rPr>
                <w:rFonts w:ascii="微软雅黑" w:eastAsia="微软雅黑" w:cs="微软雅黑" w:hint="eastAsia"/>
                <w:i/>
                <w:iCs/>
                <w:color w:val="000000"/>
                <w:sz w:val="16"/>
                <w:szCs w:val="16"/>
                <w:u w:val="none"/>
              </w:rPr>
            </w:pPr>
            <w:r>
              <w:rPr>
                <w:rFonts w:ascii="宋体" w:eastAsia="宋体" w:cs="宋体" w:hint="eastAsia"/>
                <w:color w:val="000000"/>
                <w:kern w:val="0"/>
                <w:sz w:val="21"/>
                <w:szCs w:val="21"/>
                <w:lang w:val="zh-CN" w:eastAsia="zh-CN"/>
              </w:rPr>
              <w:t>要加大对偏远和资源匮乏地区的关注和支持，平衡资源配置；通过举办应急救护普及培训和其他宣传活动，增强红十字会的社会影响力，招募更多志愿者；利用现代媒体和互联网技术，提高红十字会工作的可见度和认知度。通过这些措施，我们相信红十字会能够更好地完成其使命，更有效地服务社会和公众。</w:t>
            </w:r>
          </w:p>
        </w:tc>
      </w:tr>
    </w:tbl>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val="0"/>
        <w:kinsoku/>
        <w:wordWrap/>
        <w:overflowPunct/>
        <w:topLinePunct w:val="0"/>
        <w:bidi w:val="0"/>
        <w:spacing w:line="576" w:lineRule="exact"/>
        <w:ind w:left="0"/>
        <w:rPr>
          <w:rFonts w:ascii="Times New Roman" w:eastAsia="黑体" w:cs="黑体" w:hAnsi="Times New Roman" w:hint="eastAsia"/>
          <w:color w:val="auto"/>
          <w:kern w:val="0"/>
          <w:sz w:val="32"/>
          <w:szCs w:val="32"/>
          <w:shd w:val="clear" w:color="auto" w:fill="FFFFFF"/>
          <w:lang w:val="zh-CN"/>
          <w:highlight w:val="auto"/>
        </w:rPr>
      </w:pPr>
    </w:p>
    <w:p>
      <w:pPr>
        <w:pageBreakBefore w:val="0"/>
        <w:widowControl/>
        <w:kinsoku/>
        <w:wordWrap/>
        <w:overflowPunct/>
        <w:topLinePunct w:val="0"/>
        <w:bidi w:val="0"/>
        <w:spacing w:line="576" w:lineRule="exact"/>
        <w:ind w:left="0"/>
        <w:jc w:val="center"/>
        <w:outlineLvl w:val="0"/>
        <w:rPr>
          <w:rFonts w:ascii="方正小标宋简体" w:eastAsia="方正小标宋简体" w:cs="方正小标宋简体" w:hint="eastAsia"/>
          <w:b w:val="0"/>
          <w:color w:val="auto"/>
          <w:sz w:val="44"/>
          <w:szCs w:val="44"/>
          <w:highlight w:val="auto"/>
        </w:rPr>
      </w:pPr>
      <w:bookmarkStart w:id="135" w:name="_Toc28059"/>
      <w:bookmarkStart w:id="136" w:name="_Toc15396618"/>
      <w:bookmarkStart w:id="137" w:name="_Toc14560"/>
      <w:r>
        <w:rPr>
          <w:rFonts w:ascii="方正小标宋简体" w:eastAsia="方正小标宋简体" w:cs="方正小标宋简体" w:hint="eastAsia"/>
          <w:color w:val="auto"/>
          <w:sz w:val="44"/>
          <w:szCs w:val="44"/>
          <w:highlight w:val="auto"/>
        </w:rPr>
        <w:t>第</w:t>
      </w:r>
      <w:r>
        <w:rPr>
          <w:rStyle w:val="1Char"/>
          <w:rFonts w:ascii="方正小标宋简体" w:eastAsia="方正小标宋简体" w:cs="方正小标宋简体" w:hint="eastAsia"/>
          <w:b w:val="0"/>
          <w:color w:val="auto"/>
          <w:sz w:val="44"/>
          <w:szCs w:val="44"/>
          <w:highlight w:val="auto"/>
        </w:rPr>
        <w:t>五部分 附表</w:t>
      </w:r>
      <w:bookmarkStart w:id="138" w:name="_Toc15396619"/>
      <w:bookmarkEnd w:id="130"/>
      <w:bookmarkEnd w:id="135"/>
      <w:bookmarkEnd w:id="136"/>
      <w:bookmarkEnd w:id="137"/>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ind w:leftChars="0" w:left="0"/>
        <w:jc w:val="left"/>
        <w:textAlignment w:val="auto"/>
        <w:rPr>
          <w:rFonts w:ascii="Times New Roman" w:eastAsia="仿宋_GB2312" w:cs="仿宋_GB2312" w:hAnsi="Times New Roman" w:hint="eastAsia"/>
          <w:color w:val="auto"/>
          <w:sz w:val="32"/>
          <w:szCs w:val="32"/>
          <w:highlight w:val="auto"/>
        </w:rPr>
      </w:pP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一、收入支出决算总表</w:t>
      </w:r>
      <w:bookmarkEnd w:id="138"/>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39" w:name="_Toc15396620"/>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二、收入决算表</w:t>
      </w:r>
      <w:bookmarkEnd w:id="139"/>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0" w:name="_Toc15396621"/>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三、支出决算表</w:t>
      </w:r>
      <w:bookmarkEnd w:id="140"/>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1" w:name="_Toc15396622"/>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四、财政拨款收入支出决算总表</w:t>
      </w:r>
      <w:bookmarkEnd w:id="141"/>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2" w:name="_Toc15396623"/>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五、财政拨款支出决算明细表</w:t>
      </w:r>
      <w:bookmarkStart w:id="143" w:name="_Toc15396624"/>
      <w:bookmarkEnd w:id="142"/>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六、一般公共预算财政拨款支出决算表</w:t>
      </w:r>
      <w:bookmarkEnd w:id="143"/>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4" w:name="_Toc15396625"/>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七、一般公共预算财政拨款支出决算明细表</w:t>
      </w:r>
      <w:bookmarkEnd w:id="144"/>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5" w:name="_Toc15396626"/>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八、一般公共预算财政拨款基本支出决算表</w:t>
      </w:r>
      <w:bookmarkEnd w:id="145"/>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6" w:name="_Toc15396627"/>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九、一般公共预算财政拨款项目支出决算表</w:t>
      </w:r>
      <w:bookmarkEnd w:id="146"/>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7" w:name="_Toc15396628"/>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十、</w:t>
      </w:r>
      <w:bookmarkEnd w:id="147"/>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政府性基金预算财政拨款收入支出决算表</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8" w:name="_Toc15396629"/>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十一、</w:t>
      </w:r>
      <w:bookmarkEnd w:id="148"/>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国有资本经营预算财政拨款收入支出决算表</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49" w:name="_Toc15396630"/>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十二、</w:t>
      </w:r>
      <w:bookmarkEnd w:id="149"/>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国有资本经营预算财政拨款支出决算表</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bookmarkStart w:id="150" w:name="_Toc15396631"/>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十三、</w:t>
      </w:r>
      <w:bookmarkEnd w:id="150"/>
      <w:r>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t>财政拨款“三公”经费支出决算表</w:t>
      </w:r>
    </w:p>
    <w:p>
      <w:pPr>
        <w:pageBreakBefore w:val="0"/>
        <w:widowControl w:val="0"/>
        <w:kinsoku/>
        <w:wordWrap/>
        <w:overflowPunct/>
        <w:topLinePunct w:val="0"/>
        <w:bidi w:val="0"/>
        <w:snapToGrid/>
        <w:spacing w:line="576" w:lineRule="exact"/>
        <w:ind w:left="0" w:firstLine="640"/>
        <w:textAlignment w:val="auto"/>
        <w:rPr>
          <w:rFonts w:ascii="仿宋_GB2312" w:eastAsia="仿宋_GB2312" w:cs="仿宋_GB2312" w:hint="eastAsia"/>
          <w:b w:val="0"/>
          <w:bCs w:val="0"/>
          <w:color w:val="000000"/>
          <w:kern w:val="2"/>
          <w:sz w:val="32"/>
          <w:szCs w:val="32"/>
          <w14:textFill>
            <w14:solidFill>
              <w14:srgbClr w14:val="000000"/>
            </w14:solidFill>
          </w14:textFill>
          <w:lang w:val="en-US" w:eastAsia="zh-CN" w:bidi="ar-SA"/>
          <w:highlight w:val="auto"/>
        </w:rPr>
      </w:pPr>
    </w:p>
    <w:sectPr>
      <w:footerReference w:type="default" r:id="rId5"/>
      <w:footerReference w:type="first" r:id="rId6"/>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CC"/>
    <w:family w:val="roman"/>
    <w:pitch w:val="variable"/>
    <w:sig w:usb0="E0002EFF" w:usb1="C000785B"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7A"/>
    <w:family w:val="auto"/>
    <w:pitch w:val="variable"/>
    <w:sig w:usb0="000000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微软雅黑">
    <w:altName w:val="黑体"/>
    <w:panose1 w:val="020B0503020204020204"/>
    <w:charset w:val="86"/>
    <w:family w:val="auto"/>
    <w:pitch w:val="variable"/>
    <w:sig w:usb0="00000000" w:usb1="00000000" w:usb2="00000016" w:usb3="00000000" w:csb0="0004001F" w:csb1="00000000"/>
  </w:font>
  <w:font w:name="Cambria">
    <w:altName w:val="Noto Sans Syriac Eastern"/>
    <w:panose1 w:val="02040503050406030204"/>
    <w:charset w:val="00"/>
    <w:family w:val="roman"/>
    <w:pitch w:val="variable"/>
    <w:sig w:usb0="00000000" w:usb1="00000000" w:usb2="00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Arial">
    <w:altName w:val="Times New Roman"/>
    <w:panose1 w:val="020B0604020202020204"/>
    <w:charset w:val="01"/>
    <w:family w:val="swiss"/>
    <w:pitch w:val="variable"/>
    <w:sig w:usb0="E0002AFF" w:usb1="C0007843" w:usb2="00000009" w:usb3="00000000" w:csb0="400001FF" w:csb1="FFFF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p>
  <w:p>
    <w:pPr>
      <w:pStyle w:val="19"/>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jc w:val="center"/>
    </w:pPr>
    <w:r>
      <w:rPr>
        <w:sz w:val="18"/>
      </w:rPr>
      <mc:AlternateContent>
        <mc:Choice Requires="wps">
          <w:drawing>
            <wp:anchor distT="0" distB="0" distL="114298" distR="114298" simplePos="0" relativeHeight="34" behindDoc="0" locked="0" layoutInCell="1" hidden="0" allowOverlap="1">
              <wp:simplePos x="0" y="0"/>
              <wp:positionH relativeFrom="margin">
                <wp:align>center</wp:align>
              </wp:positionH>
              <wp:positionV relativeFrom="paragraph">
                <wp:posOffset>0</wp:posOffset>
              </wp:positionV>
              <wp:extent cx="300609" cy="133159"/>
              <wp:effectExtent l="0" t="0" r="0" b="0"/>
              <wp:wrapNone/>
              <wp:docPr id="1" name="文本框 5"/>
              <wp:cNvGraphicFramePr>
                <a:graphicFrameLocks noChangeAspect="0"/>
              </wp:cNvGraphicFramePr>
              <a:graphic>
                <a:graphicData uri="http://schemas.microsoft.com/office/word/2010/wordprocessingShape">
                  <wps:wsp>
                    <wps:cNvSpPr/>
                    <wps:spPr>
                      <a:xfrm rot="0">
                        <a:off x="0" y="0"/>
                        <a:ext cx="300609" cy="133159"/>
                      </a:xfrm>
                      <a:prstGeom prst="rect"/>
                      <a:noFill/>
                      <a:ln w="6350" cmpd="sng" cap="flat">
                        <a:noFill/>
                        <a:prstDash val="solid"/>
                        <a:round/>
                      </a:ln>
                    </wps:spPr>
                    <wps:txbx id="2">
                      <w:txbxContent>
                        <w:p>
                          <w:pPr>
                            <w:pStyle w:val="19"/>
                            <w:tabs>
                              <w:tab w:val="center" w:pos="4153"/>
                              <w:tab w:val="right" w:pos="8306"/>
                            </w:tabs>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0">
                      <a:spAutoFit/>
                    </wps:bodyPr>
                  </wps:wsp>
                </a:graphicData>
              </a:graphic>
            </wp:anchor>
          </w:drawing>
        </mc:Choice>
        <mc:Fallback>
          <w:pict>
            <v:shape type="#_x0000_t202" id="文本框 5 3" o:spid="_x0000_s3" filled="f" stroked="f" strokeweight="0.5pt" style="position:absolute;margin-left:0.0pt;margin-top:0.0pt;width:23.670004pt;height:10.485009pt;z-index:34;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- 2 -</w:t>
                    </w:r>
                    <w:r>
                      <w:fldChar w:fldCharType="end"/>
                    </w:r>
                  </w:p>
                </w:txbxContent>
              </v:textbox>
            </v:shape>
          </w:pict>
        </mc:Fallback>
      </mc:AlternateContent>
    </w:r>
  </w:p>
  <w:p>
    <w:pPr>
      <w:pStyle w:val="19"/>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9"/>
      <w:tabs>
        <w:tab w:val="center" w:pos="4153"/>
        <w:tab w:val="right" w:pos="8306"/>
      </w:tabs>
    </w:pPr>
    <w:r>
      <w:rPr>
        <w:sz w:val="18"/>
      </w:rPr>
      <mc:AlternateContent>
        <mc:Choice Requires="wps">
          <w:drawing>
            <wp:anchor distT="0" distB="0" distL="114298" distR="114298" simplePos="0" relativeHeight="36"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4" name="文本框 6"/>
              <wp:cNvGraphicFramePr>
                <a:graphicFrameLocks noChangeAspect="0"/>
              </wp:cNvGraphicFramePr>
              <a:graphic>
                <a:graphicData uri="http://schemas.microsoft.com/office/word/2010/wordprocessingShape">
                  <wps:wsp>
                    <wps:cNvSpPr/>
                    <wps:spPr>
                      <a:xfrm rot="0">
                        <a:off x="0" y="0"/>
                        <a:ext cx="227914" cy="133159"/>
                      </a:xfrm>
                      <a:prstGeom prst="rect"/>
                      <a:noFill/>
                      <a:ln w="6350" cmpd="sng" cap="flat">
                        <a:noFill/>
                        <a:prstDash val="solid"/>
                        <a:round/>
                      </a:ln>
                    </wps:spPr>
                    <wps:txbx id="5">
                      <w:txbxContent>
                        <w:p>
                          <w:pPr>
                            <w:pStyle w:val="19"/>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6 6" o:spid="_x0000_s6" filled="f" stroked="f" strokeweight="0.5pt" style="position:absolute;margin-left:0.0pt;margin-top:0.0pt;width:17.946009pt;height:10.485009pt;z-index:36;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19"/>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pPr>
      <w:spacing w:after="120"/>
      <w:ind w:leftChars="200" w:left="200"/>
    </w:pPr>
    <w:rPr>
      <w:rFonts w:ascii="仿宋_GB2312" w:hAnsi="仿宋_GB2312"/>
      <w:szCs w:val="32"/>
    </w:rPr>
  </w:style>
  <w:style w:type="paragraph" w:styleId="17">
    <w:name w:val="toc 3"/>
    <w:basedOn w:val="0"/>
    <w:next w:val="0"/>
    <w:pPr>
      <w:tabs>
        <w:tab w:val="right" w:leader="dot" w:pos="8296"/>
      </w:tabs>
      <w:ind w:leftChars="400" w:left="400"/>
    </w:pPr>
  </w:style>
  <w:style w:type="paragraph" w:styleId="18">
    <w:name w:val="Balloon Text"/>
    <w:basedOn w:val="0"/>
    <w:rPr>
      <w:sz w:val="18"/>
      <w:szCs w:val="18"/>
    </w:rPr>
  </w:style>
  <w:style w:type="paragraph" w:styleId="19">
    <w:name w:val="footer"/>
    <w:basedOn w:val="0"/>
    <w:pPr>
      <w:tabs>
        <w:tab w:val="center" w:pos="4153"/>
        <w:tab w:val="right" w:pos="8306"/>
      </w:tabs>
      <w:snapToGrid w:val="0"/>
      <w:jc w:val="left"/>
    </w:pPr>
    <w:rPr>
      <w:rFonts w:ascii="Calibri" w:hAnsi="Calibri"/>
      <w:kern w:val="0"/>
      <w:sz w:val="18"/>
      <w:szCs w:val="18"/>
    </w:rPr>
  </w:style>
  <w:style w:type="paragraph" w:styleId="20">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1">
    <w:name w:val="toc 1"/>
    <w:basedOn w:val="0"/>
    <w:next w:val="0"/>
    <w:pPr>
      <w:tabs>
        <w:tab w:val="right" w:leader="dot" w:pos="8296"/>
      </w:tabs>
      <w:spacing w:before="93"/>
      <w:jc w:val="center"/>
    </w:pPr>
    <w:rPr>
      <w:rFonts w:ascii="仿宋" w:eastAsia="仿宋"/>
      <w:sz w:val="28"/>
      <w:szCs w:val="28"/>
    </w:rPr>
  </w:style>
  <w:style w:type="paragraph" w:styleId="22">
    <w:name w:val="toc 4"/>
    <w:basedOn w:val="0"/>
    <w:next w:val="0"/>
    <w:pPr>
      <w:ind w:leftChars="600" w:left="600"/>
    </w:pPr>
  </w:style>
  <w:style w:type="paragraph" w:styleId="23">
    <w:name w:val="footnote text"/>
    <w:basedOn w:val="0"/>
    <w:next w:val="24"/>
    <w:pPr>
      <w:snapToGrid w:val="0"/>
      <w:jc w:val="left"/>
    </w:pPr>
    <w:rPr>
      <w:sz w:val="18"/>
      <w:szCs w:val="18"/>
    </w:rPr>
  </w:style>
  <w:style w:type="paragraph" w:styleId="24">
    <w:name w:val="Body Text First Indent 2"/>
    <w:basedOn w:val="16"/>
    <w:pPr>
      <w:ind w:firstLineChars="200" w:firstLine="200"/>
    </w:pPr>
  </w:style>
  <w:style w:type="paragraph" w:styleId="25">
    <w:name w:val="toc 2"/>
    <w:basedOn w:val="0"/>
    <w:next w:val="0"/>
    <w:pPr>
      <w:tabs>
        <w:tab w:val="right" w:leader="dot" w:pos="8296"/>
      </w:tabs>
      <w:ind w:leftChars="200" w:left="200"/>
    </w:pPr>
  </w:style>
  <w:style w:type="character" w:styleId="26">
    <w:name w:val="Strong"/>
    <w:basedOn w:val="10"/>
    <w:rPr>
      <w:b/>
    </w:rPr>
  </w:style>
  <w:style w:type="character" w:styleId="27">
    <w:name w:val="Hyperlink"/>
    <w:basedOn w:val="10"/>
    <w:rPr>
      <w:color w:val="0000FF"/>
      <w:u w:val="single"/>
    </w:rPr>
  </w:style>
  <w:style w:type="paragraph" w:customStyle="1" w:styleId="28">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四号正文"/>
    <w:basedOn w:val="0"/>
    <w:pPr>
      <w:spacing w:line="360" w:lineRule="auto"/>
    </w:pPr>
    <w:rPr>
      <w:rFonts w:ascii="??" w:eastAsia="宋体" w:hAnsi="??"/>
      <w:color w:val="000000"/>
      <w:kern w:val="0"/>
      <w:sz w:val="28"/>
      <w:szCs w:val="21"/>
      <w:lang w:val="zh-CN" w:eastAsia="zh-CN"/>
    </w:rPr>
  </w:style>
  <w:style w:type="paragraph" w:customStyle="1" w:styleId="37">
    <w:name w:val="WPSOffice手动目录 2"/>
    <w:pPr>
      <w:ind w:leftChars="200" w:left="200"/>
    </w:pPr>
    <w:rPr>
      <w:rFonts w:ascii="Times New Roman" w:eastAsia="宋体" w:cs="Times New Roman" w:hAnsi="Times New Roman"/>
      <w:sz w:val="20"/>
      <w:szCs w:val="2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image" Target="media/8.emf"/><Relationship Id="rId8" Type="http://schemas.openxmlformats.org/officeDocument/2006/relationships/image" Target="media/11.emf"/><Relationship Id="rId9" Type="http://schemas.openxmlformats.org/officeDocument/2006/relationships/image" Target="media/14.emf"/><Relationship Id="rId10" Type="http://schemas.openxmlformats.org/officeDocument/2006/relationships/image" Target="media/17.emf"/><Relationship Id="rId11" Type="http://schemas.openxmlformats.org/officeDocument/2006/relationships/image" Target="media/20.emf"/><Relationship Id="rId12" Type="http://schemas.openxmlformats.org/officeDocument/2006/relationships/image" Target="media/23.emf"/><Relationship Id="rId13" Type="http://schemas.openxmlformats.org/officeDocument/2006/relationships/image" Target="media/26.emf"/><Relationship Id="rId14" Type="http://schemas.openxmlformats.org/officeDocument/2006/relationships/styles" Target="styles.xml"/><Relationship Id="rId15"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Yozo_Office27021597764231179</Application>
  <Pages>20</Pages>
  <Words>6919</Words>
  <Characters>7618</Characters>
  <Lines>805</Lines>
  <Paragraphs>356</Paragraphs>
  <CharactersWithSpaces>7705</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2025-09-19T10:28:00Z</cp:lastPrinted>
  <dcterms:created xsi:type="dcterms:W3CDTF">2020-08-09T17:49:00Z</dcterms:created>
  <dcterms:modified xsi:type="dcterms:W3CDTF">2026-09-09T09:05:43Z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A351A24FB6374CE385E13487ED261C2C_13</vt:lpwstr>
  </property>
  <property fmtid="{D5CDD505-2E9C-101B-9397-08002B2CF9AE}" pid="4" name="KSOTemplateDocerSaveRecord">
    <vt:lpwstr>eyJoZGlkIjoiMzkyYTNiOWY5ZTQ2MTdiNzRjMjRmYTI4MTg2NGUwNTkiLCJ1c2VySWQiOiI4OTExNDQ5NjAifQ==</vt:lpwstr>
  </property>
</Properties>
</file>