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7193"/>
      <w:bookmarkStart w:id="1" w:name="_Toc15377425"/>
      <w:bookmarkStart w:id="2" w:name="_Toc15378441"/>
      <w:bookmarkStart w:id="3" w:name="_Toc15396475"/>
      <w:bookmarkStart w:id="4" w:name="_Toc15396597"/>
      <w:bookmarkStart w:id="5" w:name="_Toc15306267"/>
    </w:p>
    <w:p>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pPr>
        <w:jc w:val="center"/>
        <w:rPr>
          <w:rFonts w:hint="eastAsia" w:ascii="黑体" w:hAnsi="黑体" w:eastAsia="黑体" w:cs="黑体"/>
          <w:b w:val="0"/>
          <w:bCs/>
          <w:color w:val="000000" w:themeColor="text1"/>
          <w:sz w:val="44"/>
          <w:szCs w:val="44"/>
          <w14:textFill>
            <w14:solidFill>
              <w14:schemeClr w14:val="tx1"/>
            </w14:solidFill>
          </w14:textFill>
        </w:rPr>
      </w:pPr>
      <w:bookmarkStart w:id="6" w:name="_Toc15377426"/>
      <w:bookmarkStart w:id="7" w:name="_Toc15377194"/>
      <w:bookmarkStart w:id="8" w:name="_Toc15396598"/>
      <w:bookmarkStart w:id="9" w:name="_Toc15306268"/>
      <w:bookmarkStart w:id="10" w:name="_Toc15396476"/>
      <w:bookmarkStart w:id="11" w:name="_Toc15378442"/>
      <w:r>
        <w:rPr>
          <w:rFonts w:hint="eastAsia" w:ascii="黑体" w:hAnsi="黑体" w:eastAsia="黑体" w:cs="黑体"/>
          <w:b w:val="0"/>
          <w:bCs/>
          <w:color w:val="000000" w:themeColor="text1"/>
          <w:sz w:val="44"/>
          <w:szCs w:val="44"/>
          <w14:textFill>
            <w14:solidFill>
              <w14:schemeClr w14:val="tx1"/>
            </w14:solidFill>
          </w14:textFill>
        </w:rPr>
        <w:t>四川省阿坝藏族羌族自治州茂县南新镇光华小学校</w:t>
      </w:r>
      <w:r>
        <w:rPr>
          <w:rFonts w:ascii="黑体" w:hAnsi="黑体" w:eastAsia="黑体" w:cs="黑体"/>
          <w:color w:val="000000"/>
          <w:sz w:val="44"/>
          <w:u w:color="auto"/>
        </w:rPr>
        <w:t>单位决算</w:t>
      </w:r>
      <w:bookmarkEnd w:id="6"/>
      <w:bookmarkEnd w:id="7"/>
      <w:bookmarkEnd w:id="8"/>
      <w:bookmarkEnd w:id="9"/>
      <w:bookmarkEnd w:id="10"/>
      <w:bookmarkEnd w:id="11"/>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pPr>
    </w:p>
    <w:p>
      <w:pPr>
        <w:pStyle w:val="15"/>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bookmarkStart w:id="91" w:name="_GoBack"/>
      <w:bookmarkEnd w:id="91"/>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themeColor="text1"/>
          <w:sz w:val="32"/>
          <w:u w:color="auto"/>
          <w14:textFill>
            <w14:solidFill>
              <w14:schemeClr w14:val="tx1"/>
            </w14:solidFill>
          </w14:textFill>
        </w:rPr>
        <w:t>202</w:t>
      </w:r>
      <w:r>
        <w:rPr>
          <w:rFonts w:hint="eastAsia" w:ascii="黑体" w:hAnsi="黑体" w:eastAsia="黑体" w:cs="黑体"/>
          <w:color w:val="000000" w:themeColor="text1"/>
          <w:sz w:val="32"/>
          <w:u w:color="auto"/>
          <w:lang w:val="en-US" w:eastAsia="zh-CN"/>
          <w14:textFill>
            <w14:solidFill>
              <w14:schemeClr w14:val="tx1"/>
            </w14:solidFill>
          </w14:textFill>
        </w:rPr>
        <w:t>5</w:t>
      </w:r>
      <w:r>
        <w:rPr>
          <w:rFonts w:ascii="黑体" w:hAnsi="黑体" w:eastAsia="黑体" w:cs="黑体"/>
          <w:color w:val="000000"/>
          <w:sz w:val="32"/>
          <w:u w:color="auto"/>
        </w:rPr>
        <w:t>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10</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3</w:t>
      </w:r>
    </w:p>
    <w:p>
      <w:pPr>
        <w:pStyle w:val="15"/>
        <w:tabs>
          <w:tab w:val="right" w:leader="dot" w:pos="8306"/>
          <w:tab w:val="clear" w:pos="8296"/>
        </w:tabs>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3</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仿宋" w:cs="宋体"/>
          <w:color w:val="000000" w:themeColor="text1"/>
          <w:sz w:val="24"/>
          <w:szCs w:val="24"/>
          <w:lang w:val="en-US" w:eastAsia="zh-CN"/>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smallCaps/>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lang w:val="en-US" w:eastAsia="zh-CN"/>
          <w14:textFill>
            <w14:solidFill>
              <w14:schemeClr w14:val="tx1"/>
            </w14:solidFill>
          </w14:textFill>
        </w:rPr>
        <w:t>0</w:t>
      </w:r>
    </w:p>
    <w:p>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pPr>
        <w:pStyle w:val="5"/>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黑体" w:hAnsi="黑体" w:eastAsia="黑体" w:cs="黑体"/>
          <w:color w:val="000000"/>
          <w:sz w:val="32"/>
          <w:szCs w:val="32"/>
          <w:lang w:val="en-US" w:eastAsia="zh-CN"/>
        </w:rPr>
      </w:pPr>
      <w:bookmarkStart w:id="15" w:name="_Toc111208496"/>
      <w:bookmarkStart w:id="16" w:name="_Toc28564"/>
      <w:bookmarkStart w:id="17" w:name="_Toc15377197"/>
      <w:bookmarkStart w:id="18" w:name="_Toc113981010"/>
      <w:bookmarkStart w:id="19" w:name="_Toc15377204"/>
      <w:r>
        <w:rPr>
          <w:rFonts w:hint="eastAsia" w:ascii="黑体" w:hAnsi="黑体" w:eastAsia="黑体" w:cs="黑体"/>
          <w:color w:val="000000"/>
          <w:sz w:val="32"/>
          <w:szCs w:val="32"/>
        </w:rPr>
        <w:t>一、</w:t>
      </w:r>
      <w:bookmarkEnd w:id="15"/>
      <w:bookmarkEnd w:id="16"/>
      <w:bookmarkEnd w:id="17"/>
      <w:bookmarkEnd w:id="18"/>
      <w:bookmarkStart w:id="20" w:name="_Toc15378445"/>
      <w:bookmarkStart w:id="21" w:name="_Toc15377198"/>
      <w:r>
        <w:rPr>
          <w:rFonts w:hint="eastAsia" w:ascii="黑体" w:hAnsi="黑体" w:eastAsia="黑体" w:cs="黑体"/>
          <w:color w:val="000000"/>
          <w:sz w:val="32"/>
          <w:szCs w:val="32"/>
          <w:lang w:val="en-US" w:eastAsia="zh-CN"/>
        </w:rPr>
        <w:t>主要职责</w:t>
      </w:r>
    </w:p>
    <w:bookmarkEnd w:id="20"/>
    <w:bookmarkEnd w:id="21"/>
    <w:p>
      <w:pPr>
        <w:keepNext w:val="0"/>
        <w:keepLines w:val="0"/>
        <w:widowControl w:val="0"/>
        <w:suppressLineNumbers w:val="0"/>
        <w:spacing w:before="0" w:beforeAutospacing="0" w:after="0" w:afterAutospacing="0"/>
        <w:ind w:left="0" w:right="0"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2"/>
          <w:sz w:val="32"/>
          <w:szCs w:val="32"/>
          <w:lang w:val="en-US" w:eastAsia="zh-CN" w:bidi="ar"/>
        </w:rPr>
        <w:t>实施小学义务教育、学前教育，促进基础教育发展，服务并保障小学教育教学和学前教育教学工作正常开展。</w:t>
      </w:r>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黑体" w:hAnsi="黑体" w:eastAsia="黑体" w:cs="黑体"/>
          <w:color w:val="000000"/>
          <w:sz w:val="32"/>
          <w:szCs w:val="32"/>
        </w:rPr>
      </w:pPr>
      <w:bookmarkStart w:id="22" w:name="_Toc113981011"/>
      <w:bookmarkStart w:id="23" w:name="_Toc15377200"/>
      <w:bookmarkStart w:id="24" w:name="_Toc22056"/>
      <w:bookmarkStart w:id="25" w:name="_Toc111208497"/>
      <w:r>
        <w:rPr>
          <w:rFonts w:hint="eastAsia" w:ascii="黑体" w:hAnsi="黑体" w:eastAsia="黑体" w:cs="黑体"/>
          <w:color w:val="000000"/>
          <w:sz w:val="32"/>
          <w:szCs w:val="32"/>
        </w:rPr>
        <w:t>二、机构设置</w:t>
      </w:r>
      <w:bookmarkEnd w:id="22"/>
      <w:bookmarkEnd w:id="23"/>
      <w:bookmarkEnd w:id="24"/>
      <w:bookmarkEnd w:id="25"/>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 茂县南新镇光华小学校为县教育局下属二级预算单位</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编制</w:t>
      </w:r>
      <w:r>
        <w:rPr>
          <w:rFonts w:hint="eastAsia" w:ascii="仿宋_GB2312" w:hAnsi="仿宋_GB2312" w:eastAsia="仿宋_GB2312" w:cs="仿宋_GB2312"/>
          <w:color w:val="000000"/>
          <w:sz w:val="32"/>
          <w:szCs w:val="32"/>
          <w:lang w:val="en-US" w:eastAsia="zh-CN"/>
        </w:rPr>
        <w:t>30</w:t>
      </w:r>
      <w:r>
        <w:rPr>
          <w:rFonts w:hint="eastAsia" w:ascii="仿宋_GB2312" w:hAnsi="仿宋_GB2312" w:eastAsia="仿宋_GB2312" w:cs="仿宋_GB2312"/>
          <w:color w:val="000000"/>
          <w:sz w:val="32"/>
          <w:szCs w:val="32"/>
        </w:rPr>
        <w:t>人，实有</w:t>
      </w:r>
      <w:r>
        <w:rPr>
          <w:rFonts w:hint="eastAsia" w:ascii="仿宋_GB2312" w:hAnsi="仿宋_GB2312" w:eastAsia="仿宋_GB2312" w:cs="仿宋_GB2312"/>
          <w:color w:val="000000"/>
          <w:sz w:val="32"/>
          <w:szCs w:val="32"/>
          <w:lang w:val="en-US" w:eastAsia="zh-CN"/>
        </w:rPr>
        <w:t>36</w:t>
      </w:r>
      <w:r>
        <w:rPr>
          <w:rFonts w:hint="eastAsia" w:ascii="仿宋_GB2312" w:hAnsi="仿宋_GB2312" w:eastAsia="仿宋_GB2312" w:cs="仿宋_GB2312"/>
          <w:color w:val="000000"/>
          <w:sz w:val="32"/>
          <w:szCs w:val="32"/>
        </w:rPr>
        <w:t>人。人员情况：202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年末在职人员</w:t>
      </w:r>
      <w:r>
        <w:rPr>
          <w:rFonts w:hint="eastAsia" w:ascii="仿宋_GB2312" w:hAnsi="仿宋_GB2312" w:eastAsia="仿宋_GB2312" w:cs="仿宋_GB2312"/>
          <w:color w:val="000000"/>
          <w:sz w:val="32"/>
          <w:szCs w:val="32"/>
          <w:lang w:val="en-US" w:eastAsia="zh-CN"/>
        </w:rPr>
        <w:t>36</w:t>
      </w:r>
      <w:r>
        <w:rPr>
          <w:rFonts w:hint="eastAsia" w:ascii="仿宋_GB2312" w:hAnsi="仿宋_GB2312" w:eastAsia="仿宋_GB2312" w:cs="仿宋_GB2312"/>
          <w:color w:val="000000"/>
          <w:sz w:val="32"/>
          <w:szCs w:val="32"/>
        </w:rPr>
        <w:t>人，退休人员</w:t>
      </w:r>
      <w:r>
        <w:rPr>
          <w:rFonts w:hint="eastAsia" w:ascii="仿宋_GB2312" w:hAnsi="仿宋_GB2312" w:eastAsia="仿宋_GB2312" w:cs="仿宋_GB2312"/>
          <w:color w:val="000000"/>
          <w:sz w:val="32"/>
          <w:szCs w:val="32"/>
          <w:lang w:val="en-US" w:eastAsia="zh-CN"/>
        </w:rPr>
        <w:t>28</w:t>
      </w:r>
      <w:r>
        <w:rPr>
          <w:rFonts w:hint="eastAsia" w:ascii="仿宋_GB2312" w:hAnsi="仿宋_GB2312" w:eastAsia="仿宋_GB2312" w:cs="仿宋_GB2312"/>
          <w:color w:val="000000"/>
          <w:sz w:val="32"/>
          <w:szCs w:val="32"/>
        </w:rPr>
        <w:t>人。</w:t>
      </w:r>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p>
      <w:pPr>
        <w:pStyle w:val="5"/>
        <w:jc w:val="center"/>
        <w:rPr>
          <w:rFonts w:hint="eastAsia" w:ascii="黑体" w:hAnsi="黑体" w:eastAsia="黑体" w:cs="黑体"/>
          <w:b w:val="0"/>
          <w:bCs w:val="0"/>
        </w:rPr>
      </w:pPr>
      <w:bookmarkStart w:id="26" w:name="_Toc9058"/>
      <w:bookmarkStart w:id="27" w:name="_Toc111208498"/>
      <w:r>
        <w:rPr>
          <w:rFonts w:hint="eastAsia" w:ascii="黑体" w:hAnsi="黑体" w:eastAsia="黑体" w:cs="黑体"/>
          <w:b w:val="0"/>
          <w:bCs w:val="0"/>
        </w:rPr>
        <w:t xml:space="preserve">第二部分 </w:t>
      </w:r>
      <w:r>
        <w:rPr>
          <w:rFonts w:ascii="黑体" w:hAnsi="黑体" w:eastAsia="黑体" w:cs="黑体"/>
          <w:color w:val="000000" w:themeColor="text1"/>
          <w:u w:color="auto"/>
          <w14:textFill>
            <w14:solidFill>
              <w14:schemeClr w14:val="tx1"/>
            </w14:solidFill>
          </w14:textFill>
        </w:rPr>
        <w:t>202</w:t>
      </w:r>
      <w:r>
        <w:rPr>
          <w:rFonts w:hint="eastAsia" w:ascii="黑体" w:hAnsi="黑体" w:eastAsia="黑体" w:cs="黑体"/>
          <w:color w:val="000000" w:themeColor="text1"/>
          <w:u w:color="auto"/>
          <w:lang w:val="en-US" w:eastAsia="zh-CN"/>
          <w14:textFill>
            <w14:solidFill>
              <w14:schemeClr w14:val="tx1"/>
            </w14:solidFill>
          </w14:textFill>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黑体" w:hAnsi="黑体" w:eastAsia="黑体" w:cs="黑体"/>
          <w:color w:val="000000"/>
          <w:sz w:val="32"/>
          <w:szCs w:val="32"/>
        </w:rPr>
      </w:pPr>
      <w:bookmarkStart w:id="28" w:name="_Toc15377205"/>
      <w:bookmarkStart w:id="29" w:name="_Toc111208499"/>
      <w:bookmarkStart w:id="30" w:name="_Toc19710"/>
      <w:r>
        <w:rPr>
          <w:rFonts w:hint="eastAsia" w:ascii="黑体" w:hAnsi="黑体" w:eastAsia="黑体" w:cs="黑体"/>
          <w:color w:val="000000"/>
          <w:sz w:val="32"/>
          <w:szCs w:val="32"/>
        </w:rPr>
        <w:t>一、收入支出决算总体情况说</w:t>
      </w:r>
      <w:bookmarkEnd w:id="28"/>
      <w:r>
        <w:rPr>
          <w:rFonts w:hint="eastAsia" w:ascii="黑体" w:hAnsi="黑体" w:eastAsia="黑体" w:cs="黑体"/>
          <w:color w:val="000000"/>
          <w:sz w:val="32"/>
          <w:szCs w:val="32"/>
        </w:rPr>
        <w:t>明</w:t>
      </w:r>
      <w:bookmarkEnd w:id="29"/>
      <w:bookmarkEnd w:id="30"/>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rPr>
        <w:t>年度收入、支出总计均为</w:t>
      </w:r>
      <w:r>
        <w:rPr>
          <w:rFonts w:hint="eastAsia" w:ascii="仿宋_GB2312" w:hAnsi="仿宋_GB2312" w:eastAsia="仿宋_GB2312" w:cs="仿宋_GB2312"/>
          <w:color w:val="000000"/>
          <w:sz w:val="32"/>
          <w:szCs w:val="32"/>
          <w:lang w:val="en-US" w:eastAsia="zh-CN"/>
        </w:rPr>
        <w:t>967.98</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szCs w:val="32"/>
          <w:lang w:val="en-US" w:eastAsia="zh-CN"/>
        </w:rPr>
        <w:t>增加285.14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增长41.8</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人员</w:t>
      </w:r>
      <w:r>
        <w:rPr>
          <w:rFonts w:hint="eastAsia" w:ascii="仿宋_GB2312" w:hAnsi="仿宋_GB2312" w:eastAsia="仿宋_GB2312" w:cs="仿宋_GB2312"/>
          <w:color w:val="000000"/>
          <w:sz w:val="32"/>
          <w:szCs w:val="32"/>
          <w:lang w:val="en-US" w:eastAsia="zh-CN"/>
        </w:rPr>
        <w:t>增加</w:t>
      </w:r>
      <w:r>
        <w:rPr>
          <w:rFonts w:hint="eastAsia" w:ascii="仿宋_GB2312" w:hAnsi="仿宋_GB2312" w:eastAsia="仿宋_GB2312" w:cs="仿宋_GB2312"/>
          <w:color w:val="000000"/>
          <w:sz w:val="32"/>
          <w:szCs w:val="32"/>
        </w:rPr>
        <w:t>。</w:t>
      </w:r>
    </w:p>
    <w:p>
      <w:pPr>
        <w:pStyle w:val="3"/>
        <w:rPr>
          <w:rFonts w:hint="eastAsia"/>
        </w:rPr>
      </w:pPr>
    </w:p>
    <w:p>
      <w:pPr>
        <w:pStyle w:val="3"/>
        <w:rPr>
          <w:rFonts w:hint="eastAsia" w:ascii="仿宋" w:eastAsia="仿宋"/>
          <w:color w:val="000000"/>
          <w:sz w:val="32"/>
          <w:szCs w:val="32"/>
        </w:rPr>
      </w:pPr>
      <w:r>
        <w:rPr>
          <w:rFonts w:hint="eastAsia" w:ascii="仿宋" w:eastAsia="仿宋"/>
          <w:color w:val="000000"/>
          <w:sz w:val="32"/>
          <w:szCs w:val="32"/>
        </w:rPr>
        <w:drawing>
          <wp:anchor distT="0" distB="0" distL="114300" distR="114300" simplePos="0" relativeHeight="251663360" behindDoc="0" locked="0" layoutInCell="1" allowOverlap="1">
            <wp:simplePos x="0" y="0"/>
            <wp:positionH relativeFrom="column">
              <wp:posOffset>137795</wp:posOffset>
            </wp:positionH>
            <wp:positionV relativeFrom="paragraph">
              <wp:posOffset>88900</wp:posOffset>
            </wp:positionV>
            <wp:extent cx="4981575" cy="2495550"/>
            <wp:effectExtent l="4445" t="4445" r="5080" b="146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31" w:name="_Toc15377206"/>
      <w:bookmarkStart w:id="32" w:name="_Toc111208500"/>
      <w:bookmarkStart w:id="33" w:name="_Toc8125"/>
    </w:p>
    <w:p>
      <w:pPr>
        <w:pStyle w:val="3"/>
        <w:ind w:left="0" w:leftChars="0"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二、收入决算情况说明</w:t>
      </w:r>
      <w:bookmarkEnd w:id="31"/>
      <w:bookmarkEnd w:id="32"/>
      <w:bookmarkEnd w:id="33"/>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szCs w:val="32"/>
          <w:lang w:val="en-US" w:eastAsia="zh-CN"/>
        </w:rPr>
        <w:t>967.98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，其中:一般公共预算财政拨款收入967.48万元，占99.9%；政府性基金预算财政拨款收入0.5万元，占0.1%</w:t>
      </w:r>
      <w:r>
        <w:rPr>
          <w:rFonts w:hint="eastAsia" w:ascii="仿宋_GB2312" w:hAnsi="仿宋_GB2312" w:eastAsia="仿宋_GB2312" w:cs="仿宋_GB2312"/>
          <w:color w:val="000000"/>
          <w:sz w:val="32"/>
          <w:szCs w:val="32"/>
        </w:rPr>
        <w:t>。</w:t>
      </w:r>
    </w:p>
    <w:p>
      <w:pPr>
        <w:pStyle w:val="2"/>
        <w:rPr>
          <w:rFonts w:hint="eastAsia"/>
        </w:rPr>
      </w:pPr>
      <w:r>
        <w:rPr>
          <w:rFonts w:hint="eastAsia" w:ascii="思源黑体 CN Normal" w:hAnsi="思源黑体 CN Normal" w:eastAsia="思源黑体 CN Normal" w:cs="思源黑体 CN Normal"/>
          <w:color w:val="FF0000"/>
          <w:sz w:val="32"/>
          <w:szCs w:val="32"/>
          <w:lang w:val="en-US" w:eastAsia="zh-CN"/>
        </w:rPr>
        <w:t xml:space="preserve">   </w:t>
      </w:r>
    </w:p>
    <w:p>
      <w:pPr>
        <w:pStyle w:val="16"/>
        <w:ind w:left="1060" w:hanging="640"/>
        <w:jc w:val="center"/>
        <w:rPr>
          <w:rFonts w:hint="eastAsia" w:ascii="思源黑体 CN Normal" w:hAnsi="思源黑体 CN Normal" w:eastAsia="思源黑体 CN Normal" w:cs="思源黑体 CN Normal"/>
          <w:color w:val="FF0000"/>
          <w:sz w:val="32"/>
          <w:szCs w:val="32"/>
        </w:rPr>
      </w:pPr>
    </w:p>
    <w:p>
      <w:pPr>
        <w:rPr>
          <w:rFonts w:hint="eastAsia" w:ascii="思源黑体 CN Normal" w:hAnsi="思源黑体 CN Normal" w:eastAsia="思源黑体 CN Normal" w:cs="思源黑体 CN Normal"/>
          <w:color w:val="FF0000"/>
          <w:sz w:val="32"/>
          <w:szCs w:val="32"/>
        </w:rPr>
      </w:pPr>
    </w:p>
    <w:p>
      <w:pPr>
        <w:pStyle w:val="2"/>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5332730" cy="3400425"/>
            <wp:effectExtent l="4445" t="4445" r="12065" b="889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3"/>
        <w:rPr>
          <w:rFonts w:hint="eastAsia" w:ascii="思源黑体 CN Normal" w:hAnsi="思源黑体 CN Normal" w:eastAsia="思源黑体 CN Normal" w:cs="思源黑体 CN Normal"/>
          <w:color w:val="FF0000"/>
          <w:sz w:val="32"/>
          <w:szCs w:val="32"/>
        </w:rPr>
      </w:pPr>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黑体" w:hAnsi="黑体" w:eastAsia="黑体" w:cs="黑体"/>
          <w:color w:val="000000"/>
          <w:sz w:val="32"/>
          <w:szCs w:val="32"/>
        </w:rPr>
      </w:pPr>
      <w:bookmarkStart w:id="34" w:name="_Toc15377207"/>
      <w:bookmarkStart w:id="35" w:name="_Toc111208501"/>
      <w:bookmarkStart w:id="36" w:name="_Toc28283"/>
      <w:r>
        <w:rPr>
          <w:rFonts w:hint="eastAsia" w:ascii="黑体" w:hAnsi="黑体" w:eastAsia="黑体" w:cs="黑体"/>
          <w:color w:val="000000"/>
          <w:sz w:val="32"/>
          <w:szCs w:val="32"/>
          <w:lang w:eastAsia="zh-CN"/>
        </w:rPr>
        <w:t>三、</w:t>
      </w:r>
      <w:r>
        <w:rPr>
          <w:rFonts w:hint="eastAsia" w:ascii="黑体" w:hAnsi="黑体" w:eastAsia="黑体" w:cs="黑体"/>
          <w:color w:val="000000"/>
          <w:sz w:val="32"/>
          <w:szCs w:val="32"/>
        </w:rPr>
        <w:t>支出决算情况说明</w:t>
      </w:r>
      <w:bookmarkEnd w:id="34"/>
      <w:bookmarkEnd w:id="35"/>
      <w:bookmarkEnd w:id="36"/>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szCs w:val="32"/>
          <w:lang w:val="en-US" w:eastAsia="zh-CN"/>
        </w:rPr>
        <w:t>967.98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，其中:基本支出957.11万元，占98.9%；项目支出10.87万元，占1.1%</w:t>
      </w:r>
      <w:r>
        <w:rPr>
          <w:rFonts w:hint="eastAsia" w:ascii="仿宋_GB2312" w:hAnsi="仿宋_GB2312" w:eastAsia="仿宋_GB2312" w:cs="仿宋_GB2312"/>
          <w:color w:val="000000"/>
          <w:sz w:val="32"/>
          <w:szCs w:val="32"/>
        </w:rPr>
        <w:t>。</w:t>
      </w:r>
    </w:p>
    <w:p>
      <w:pPr>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5304155" cy="3429000"/>
            <wp:effectExtent l="0" t="0" r="10795"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37" w:name="_Toc15377208"/>
      <w:bookmarkStart w:id="38" w:name="_Toc111208502"/>
      <w:bookmarkStart w:id="39" w:name="_Toc19521"/>
    </w:p>
    <w:p>
      <w:pPr>
        <w:ind w:firstLine="640" w:firstLineChars="200"/>
        <w:jc w:val="both"/>
        <w:rPr>
          <w:rFonts w:hint="eastAsia" w:ascii="黑体" w:hAnsi="黑体" w:eastAsia="黑体" w:cs="黑体"/>
          <w:color w:val="000000"/>
          <w:sz w:val="32"/>
          <w:szCs w:val="32"/>
        </w:rPr>
      </w:pPr>
      <w:r>
        <w:rPr>
          <w:rFonts w:hint="eastAsia" w:ascii="黑体" w:hAnsi="黑体" w:eastAsia="黑体" w:cs="黑体"/>
          <w:color w:val="000000"/>
          <w:sz w:val="32"/>
          <w:szCs w:val="32"/>
        </w:rPr>
        <w:t>四、财政拨款收入支出决算总体情况说明</w:t>
      </w:r>
      <w:bookmarkEnd w:id="37"/>
      <w:bookmarkEnd w:id="38"/>
      <w:bookmarkEnd w:id="39"/>
    </w:p>
    <w:p>
      <w:pPr>
        <w:keepNext w:val="0"/>
        <w:keepLines w:val="0"/>
        <w:pageBreakBefore w:val="0"/>
        <w:widowControl w:val="0"/>
        <w:kinsoku w:val="0"/>
        <w:wordWrap/>
        <w:overflowPunct w:val="0"/>
        <w:topLinePunct w:val="0"/>
        <w:autoSpaceDE w:val="0"/>
        <w:autoSpaceDN w:val="0"/>
        <w:bidi w:val="0"/>
        <w:adjustRightInd w:val="0"/>
        <w:snapToGrid w:val="0"/>
        <w:spacing w:line="576" w:lineRule="exact"/>
        <w:ind w:firstLine="640" w:firstLineChars="200"/>
        <w:textAlignment w:val="auto"/>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szCs w:val="32"/>
          <w:lang w:val="en-US" w:eastAsia="zh-CN"/>
        </w:rPr>
        <w:t>967.98</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szCs w:val="32"/>
          <w:lang w:val="en-US" w:eastAsia="zh-CN"/>
        </w:rPr>
        <w:t>增加285.14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增长41.8</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人员</w:t>
      </w:r>
      <w:r>
        <w:rPr>
          <w:rFonts w:hint="eastAsia" w:ascii="仿宋_GB2312" w:hAnsi="仿宋_GB2312" w:eastAsia="仿宋_GB2312" w:cs="仿宋_GB2312"/>
          <w:color w:val="000000"/>
          <w:sz w:val="32"/>
          <w:szCs w:val="32"/>
          <w:lang w:val="en-US" w:eastAsia="zh-CN"/>
        </w:rPr>
        <w:t>增加</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 xml:space="preserve"> </w:t>
      </w:r>
    </w:p>
    <w:p>
      <w:pPr>
        <w:pStyle w:val="2"/>
        <w:rPr>
          <w:rFonts w:hint="eastAsia" w:ascii="仿宋_GB2312" w:hAnsi="仿宋_GB2312" w:eastAsia="仿宋_GB2312" w:cs="仿宋_GB2312"/>
          <w:color w:val="000000"/>
          <w:sz w:val="32"/>
          <w:u w:color="auto"/>
        </w:rPr>
      </w:pPr>
    </w:p>
    <w:p>
      <w:pPr>
        <w:pStyle w:val="3"/>
        <w:rPr>
          <w:rFonts w:hint="eastAsia" w:ascii="黑体" w:hAnsi="黑体" w:eastAsia="黑体" w:cs="黑体"/>
          <w:color w:val="000000"/>
          <w:sz w:val="32"/>
          <w:szCs w:val="32"/>
        </w:rPr>
      </w:pPr>
      <w:r>
        <w:rPr>
          <w:rFonts w:hint="eastAsia" w:ascii="仿宋" w:eastAsia="仿宋"/>
          <w:color w:val="000000"/>
          <w:sz w:val="32"/>
          <w:szCs w:val="32"/>
        </w:rPr>
        <w:drawing>
          <wp:anchor distT="0" distB="0" distL="114300" distR="114300" simplePos="0" relativeHeight="251661312" behindDoc="0" locked="0" layoutInCell="1" allowOverlap="1">
            <wp:simplePos x="0" y="0"/>
            <wp:positionH relativeFrom="column">
              <wp:posOffset>296545</wp:posOffset>
            </wp:positionH>
            <wp:positionV relativeFrom="paragraph">
              <wp:posOffset>140970</wp:posOffset>
            </wp:positionV>
            <wp:extent cx="4981575" cy="2495550"/>
            <wp:effectExtent l="4445" t="4445" r="5080" b="1460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
        <w:rPr>
          <w:rFonts w:hint="eastAsia" w:ascii="黑体" w:hAnsi="黑体" w:eastAsia="黑体" w:cs="黑体"/>
          <w:color w:val="000000"/>
          <w:sz w:val="32"/>
          <w:szCs w:val="32"/>
        </w:rPr>
      </w:pPr>
      <w:bookmarkStart w:id="40" w:name="_Toc15377209"/>
      <w:bookmarkStart w:id="41" w:name="_Toc111208503"/>
      <w:bookmarkStart w:id="42" w:name="_Toc14368"/>
      <w:r>
        <w:rPr>
          <w:rFonts w:hint="eastAsia" w:ascii="黑体" w:hAnsi="黑体" w:eastAsia="黑体" w:cs="黑体"/>
          <w:color w:val="000000"/>
          <w:sz w:val="32"/>
          <w:szCs w:val="32"/>
        </w:rPr>
        <w:t>五、一般公共预算财政拨款支出决算情况说</w:t>
      </w:r>
      <w:bookmarkEnd w:id="40"/>
      <w:r>
        <w:rPr>
          <w:rFonts w:hint="eastAsia" w:ascii="黑体" w:hAnsi="黑体" w:eastAsia="黑体" w:cs="黑体"/>
          <w:color w:val="000000"/>
          <w:sz w:val="32"/>
          <w:szCs w:val="32"/>
        </w:rPr>
        <w:t>明</w:t>
      </w:r>
      <w:bookmarkEnd w:id="41"/>
      <w:bookmarkEnd w:id="42"/>
    </w:p>
    <w:p>
      <w:pPr>
        <w:spacing w:line="600" w:lineRule="exact"/>
        <w:ind w:firstLine="642"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pPr>
        <w:ind w:firstLine="640" w:firstLineChars="200"/>
        <w:jc w:val="both"/>
        <w:rPr>
          <w:rFonts w:hint="eastAsia" w:ascii="仿宋_GB2312" w:hAnsi="仿宋_GB2312" w:eastAsia="仿宋_GB2312" w:cs="仿宋_GB2312"/>
          <w:color w:val="000000"/>
          <w:sz w:val="32"/>
          <w:szCs w:val="32"/>
        </w:rPr>
      </w:pPr>
      <w:bookmarkStart w:id="44" w:name="_Toc15377211"/>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967.48</w:t>
      </w:r>
      <w:r>
        <w:rPr>
          <w:rFonts w:hint="eastAsia" w:ascii="仿宋_GB2312" w:hAnsi="仿宋_GB2312" w:eastAsia="仿宋_GB2312" w:cs="仿宋_GB2312"/>
          <w:color w:val="000000"/>
          <w:sz w:val="32"/>
          <w:szCs w:val="32"/>
        </w:rPr>
        <w:t>万元，占本年支出合计的99.</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%。与</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szCs w:val="32"/>
          <w:lang w:val="en-US" w:eastAsia="zh-CN"/>
        </w:rPr>
        <w:t>增加287.14</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增长42.1</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人员</w:t>
      </w:r>
      <w:r>
        <w:rPr>
          <w:rFonts w:hint="eastAsia" w:ascii="仿宋_GB2312" w:hAnsi="仿宋_GB2312" w:eastAsia="仿宋_GB2312" w:cs="仿宋_GB2312"/>
          <w:color w:val="000000"/>
          <w:sz w:val="32"/>
          <w:szCs w:val="32"/>
          <w:lang w:val="en-US" w:eastAsia="zh-CN"/>
        </w:rPr>
        <w:t>增加</w:t>
      </w:r>
      <w:r>
        <w:rPr>
          <w:rFonts w:hint="eastAsia" w:ascii="仿宋_GB2312" w:hAnsi="仿宋_GB2312" w:eastAsia="仿宋_GB2312" w:cs="仿宋_GB2312"/>
          <w:color w:val="000000"/>
          <w:sz w:val="32"/>
          <w:szCs w:val="32"/>
        </w:rPr>
        <w:t xml:space="preserve">。 </w:t>
      </w:r>
    </w:p>
    <w:p>
      <w:pPr>
        <w:pStyle w:val="2"/>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r>
        <w:rPr>
          <w:rFonts w:hint="eastAsia" w:ascii="仿宋" w:eastAsia="仿宋"/>
          <w:color w:val="000000"/>
          <w:sz w:val="32"/>
          <w:szCs w:val="32"/>
        </w:rPr>
        <w:drawing>
          <wp:anchor distT="0" distB="0" distL="114300" distR="114300" simplePos="0" relativeHeight="251662336" behindDoc="1" locked="0" layoutInCell="1" allowOverlap="1">
            <wp:simplePos x="0" y="0"/>
            <wp:positionH relativeFrom="column">
              <wp:posOffset>191135</wp:posOffset>
            </wp:positionH>
            <wp:positionV relativeFrom="paragraph">
              <wp:posOffset>238125</wp:posOffset>
            </wp:positionV>
            <wp:extent cx="4995545" cy="2089150"/>
            <wp:effectExtent l="4445" t="4445" r="16510" b="14605"/>
            <wp:wrapNone/>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spacing w:line="600" w:lineRule="exact"/>
        <w:ind w:firstLine="642" w:firstLineChars="200"/>
        <w:outlineLvl w:val="2"/>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color w:val="000000"/>
          <w:sz w:val="32"/>
          <w:szCs w:val="32"/>
        </w:rPr>
        <w:t>（二）一般公共预算财政拨款支出决算结构情况</w:t>
      </w:r>
      <w:bookmarkEnd w:id="44"/>
    </w:p>
    <w:p>
      <w:pPr>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u w:color="auto"/>
          <w:lang w:val="en-US" w:eastAsia="zh-CN"/>
        </w:rPr>
        <w:t>967.48</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722.21</w:t>
      </w:r>
      <w:r>
        <w:rPr>
          <w:rFonts w:hint="eastAsia" w:ascii="仿宋_GB2312" w:hAnsi="仿宋_GB2312" w:eastAsia="仿宋_GB2312" w:cs="仿宋_GB2312"/>
          <w:color w:val="000000"/>
          <w:sz w:val="32"/>
          <w:u w:color="auto"/>
        </w:rPr>
        <w:t>万元，占74.</w:t>
      </w:r>
      <w:r>
        <w:rPr>
          <w:rFonts w:hint="eastAsia" w:ascii="仿宋_GB2312" w:hAnsi="仿宋_GB2312" w:eastAsia="仿宋_GB2312" w:cs="仿宋_GB2312"/>
          <w:color w:val="000000"/>
          <w:sz w:val="32"/>
          <w:u w:color="auto"/>
          <w:lang w:val="en-US" w:eastAsia="zh-CN"/>
        </w:rPr>
        <w:t>6</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123.24</w:t>
      </w:r>
      <w:r>
        <w:rPr>
          <w:rFonts w:hint="eastAsia" w:ascii="仿宋_GB2312" w:hAnsi="仿宋_GB2312" w:eastAsia="仿宋_GB2312" w:cs="仿宋_GB2312"/>
          <w:color w:val="000000"/>
          <w:sz w:val="32"/>
          <w:u w:color="auto"/>
        </w:rPr>
        <w:t>万元，占12.</w:t>
      </w:r>
      <w:r>
        <w:rPr>
          <w:rFonts w:hint="eastAsia" w:ascii="仿宋_GB2312" w:hAnsi="仿宋_GB2312" w:eastAsia="仿宋_GB2312" w:cs="仿宋_GB2312"/>
          <w:color w:val="000000"/>
          <w:sz w:val="32"/>
          <w:u w:color="auto"/>
          <w:lang w:val="en-US" w:eastAsia="zh-CN"/>
        </w:rPr>
        <w:t>7</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52.15</w:t>
      </w:r>
      <w:r>
        <w:rPr>
          <w:rFonts w:hint="eastAsia" w:ascii="仿宋_GB2312" w:hAnsi="仿宋_GB2312" w:eastAsia="仿宋_GB2312" w:cs="仿宋_GB2312"/>
          <w:color w:val="000000"/>
          <w:sz w:val="32"/>
          <w:u w:color="auto"/>
        </w:rPr>
        <w:t>万元，占5.</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69.89</w:t>
      </w:r>
      <w:r>
        <w:rPr>
          <w:rFonts w:hint="eastAsia" w:ascii="仿宋_GB2312" w:hAnsi="仿宋_GB2312" w:eastAsia="仿宋_GB2312" w:cs="仿宋_GB2312"/>
          <w:color w:val="000000"/>
          <w:sz w:val="32"/>
          <w:u w:color="auto"/>
        </w:rPr>
        <w:t>万元，占7.2%。</w:t>
      </w:r>
    </w:p>
    <w:p>
      <w:pPr>
        <w:pStyle w:val="8"/>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pPr>
        <w:spacing w:line="600" w:lineRule="exact"/>
        <w:ind w:firstLine="640"/>
        <w:rPr>
          <w:rFonts w:hint="eastAsia" w:ascii="仿宋_GB2312" w:hAnsi="仿宋_GB2312" w:eastAsia="仿宋_GB2312" w:cs="仿宋_GB2312"/>
          <w:color w:val="000000"/>
          <w:sz w:val="32"/>
          <w:szCs w:val="32"/>
        </w:rPr>
      </w:pPr>
      <w:bookmarkStart w:id="46" w:name="_Toc15378460"/>
      <w:bookmarkStart w:id="47" w:name="_Toc15377213"/>
      <w:bookmarkStart w:id="48" w:name="_Toc15377444"/>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u w:color="auto"/>
          <w:lang w:val="en-US" w:eastAsia="zh-CN"/>
        </w:rPr>
        <w:t>967.48</w:t>
      </w:r>
      <w:r>
        <w:rPr>
          <w:rFonts w:hint="eastAsia" w:ascii="仿宋_GB2312" w:hAnsi="仿宋_GB2312" w:eastAsia="仿宋_GB2312" w:cs="仿宋_GB2312"/>
          <w:color w:val="000000"/>
          <w:sz w:val="32"/>
          <w:u w:color="auto"/>
        </w:rPr>
        <w:t>万元，完成预算100%。其中：</w:t>
      </w:r>
      <w:bookmarkEnd w:id="46"/>
      <w:bookmarkEnd w:id="47"/>
      <w:bookmarkEnd w:id="48"/>
    </w:p>
    <w:p>
      <w:pPr>
        <w:numPr>
          <w:ilvl w:val="0"/>
          <w:numId w:val="0"/>
        </w:numPr>
        <w:spacing w:line="60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）学前教育（</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5.55</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）小学教育（</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711.84</w:t>
      </w:r>
      <w:r>
        <w:rPr>
          <w:rFonts w:hint="eastAsia" w:ascii="仿宋_GB2312" w:hAnsi="仿宋_GB2312" w:eastAsia="仿宋_GB2312" w:cs="仿宋_GB2312"/>
          <w:color w:val="000000"/>
          <w:sz w:val="32"/>
          <w:szCs w:val="32"/>
        </w:rPr>
        <w:t>万元，完成预算100%，决算数与预算数持平。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）教育费附加安排的支出（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）其他教育费附加安排的支出（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4.83</w:t>
      </w:r>
      <w:r>
        <w:rPr>
          <w:rFonts w:hint="eastAsia" w:ascii="仿宋_GB2312" w:hAnsi="仿宋_GB2312" w:eastAsia="仿宋_GB2312" w:cs="仿宋_GB2312"/>
          <w:color w:val="000000"/>
          <w:sz w:val="32"/>
          <w:szCs w:val="32"/>
        </w:rPr>
        <w:t>万元，完成预算100%，决算数与预算数持平。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83.34</w:t>
      </w:r>
      <w:r>
        <w:rPr>
          <w:rFonts w:hint="eastAsia" w:ascii="仿宋_GB2312" w:hAnsi="仿宋_GB2312" w:eastAsia="仿宋_GB2312" w:cs="仿宋_GB2312"/>
          <w:color w:val="000000"/>
          <w:sz w:val="32"/>
          <w:szCs w:val="32"/>
        </w:rPr>
        <w:t>万元，完成预算100%，决算数与预算数持平。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39.9</w:t>
      </w:r>
      <w:r>
        <w:rPr>
          <w:rFonts w:hint="eastAsia" w:ascii="仿宋_GB2312" w:hAnsi="仿宋_GB2312" w:eastAsia="仿宋_GB2312" w:cs="仿宋_GB2312"/>
          <w:color w:val="000000"/>
          <w:sz w:val="32"/>
          <w:szCs w:val="32"/>
        </w:rPr>
        <w:t>万元，完成预算100%，决算数与预算数持平。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52.15</w:t>
      </w:r>
      <w:r>
        <w:rPr>
          <w:rFonts w:hint="eastAsia" w:ascii="仿宋_GB2312" w:hAnsi="仿宋_GB2312" w:eastAsia="仿宋_GB2312" w:cs="仿宋_GB2312"/>
          <w:color w:val="000000"/>
          <w:sz w:val="32"/>
          <w:szCs w:val="32"/>
        </w:rPr>
        <w:t>万元，完成预算100%，决算数与预算数持平。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7.住房保障支出（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69.89</w:t>
      </w:r>
      <w:r>
        <w:rPr>
          <w:rFonts w:hint="eastAsia" w:ascii="仿宋_GB2312" w:hAnsi="仿宋_GB2312" w:eastAsia="仿宋_GB2312" w:cs="仿宋_GB2312"/>
          <w:color w:val="000000"/>
          <w:sz w:val="32"/>
          <w:szCs w:val="32"/>
        </w:rPr>
        <w:t>万元，完成预算100%，决算数与预算数持平。</w:t>
      </w:r>
    </w:p>
    <w:p>
      <w:pPr>
        <w:numPr>
          <w:ilvl w:val="0"/>
          <w:numId w:val="0"/>
        </w:numPr>
        <w:spacing w:line="600" w:lineRule="exact"/>
        <w:ind w:firstLine="640" w:firstLineChars="200"/>
        <w:rPr>
          <w:rFonts w:hint="eastAsia" w:ascii="黑体" w:hAnsi="黑体" w:eastAsia="黑体" w:cs="黑体"/>
          <w:color w:val="000000"/>
          <w:sz w:val="32"/>
          <w:szCs w:val="32"/>
        </w:rPr>
      </w:pPr>
      <w:bookmarkStart w:id="49" w:name="_Toc15377214"/>
      <w:bookmarkStart w:id="50" w:name="_Toc111208504"/>
      <w:bookmarkStart w:id="51" w:name="_Toc31578"/>
      <w:r>
        <w:rPr>
          <w:rFonts w:hint="eastAsia" w:ascii="黑体" w:hAnsi="黑体" w:eastAsia="黑体" w:cs="黑体"/>
          <w:color w:val="000000"/>
          <w:sz w:val="32"/>
          <w:szCs w:val="32"/>
        </w:rPr>
        <w:t>六、一般公共预算财政拨款基本支出决算情况说</w:t>
      </w:r>
      <w:bookmarkEnd w:id="49"/>
      <w:r>
        <w:rPr>
          <w:rFonts w:hint="eastAsia" w:ascii="黑体" w:hAnsi="黑体" w:eastAsia="黑体" w:cs="黑体"/>
          <w:color w:val="000000"/>
          <w:sz w:val="32"/>
          <w:szCs w:val="32"/>
        </w:rPr>
        <w:t>明</w:t>
      </w:r>
      <w:bookmarkEnd w:id="50"/>
      <w:bookmarkEnd w:id="51"/>
    </w:p>
    <w:p>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szCs w:val="32"/>
          <w:lang w:val="en-US" w:eastAsia="zh-CN"/>
        </w:rPr>
        <w:t>957.11</w:t>
      </w:r>
      <w:r>
        <w:rPr>
          <w:rFonts w:hint="eastAsia" w:ascii="仿宋_GB2312" w:hAnsi="仿宋_GB2312" w:eastAsia="仿宋_GB2312" w:cs="仿宋_GB2312"/>
          <w:color w:val="000000"/>
          <w:sz w:val="32"/>
          <w:szCs w:val="32"/>
        </w:rPr>
        <w:t>万元，其中：</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937.77</w:t>
      </w:r>
      <w:r>
        <w:rPr>
          <w:rFonts w:hint="eastAsia" w:ascii="仿宋_GB2312" w:hAnsi="仿宋_GB2312" w:eastAsia="仿宋_GB2312" w:cs="仿宋_GB2312"/>
          <w:color w:val="000000"/>
          <w:sz w:val="32"/>
          <w:u w:color="auto"/>
        </w:rPr>
        <w:t>万元，主要包括：基本工资</w:t>
      </w:r>
      <w:r>
        <w:rPr>
          <w:rFonts w:hint="eastAsia" w:ascii="仿宋_GB2312" w:hAnsi="仿宋_GB2312" w:eastAsia="仿宋_GB2312" w:cs="仿宋_GB2312"/>
          <w:color w:val="000000"/>
          <w:sz w:val="32"/>
          <w:u w:color="auto"/>
          <w:lang w:val="en-US" w:eastAsia="zh-CN"/>
        </w:rPr>
        <w:t>250.41</w:t>
      </w:r>
      <w:r>
        <w:rPr>
          <w:rFonts w:hint="eastAsia" w:ascii="仿宋_GB2312" w:hAnsi="仿宋_GB2312" w:eastAsia="仿宋_GB2312" w:cs="仿宋_GB2312"/>
          <w:color w:val="000000"/>
          <w:sz w:val="32"/>
          <w:u w:color="auto"/>
        </w:rPr>
        <w:t>万元、津贴补贴</w:t>
      </w:r>
      <w:r>
        <w:rPr>
          <w:rFonts w:hint="eastAsia" w:ascii="仿宋_GB2312" w:hAnsi="仿宋_GB2312" w:eastAsia="仿宋_GB2312" w:cs="仿宋_GB2312"/>
          <w:color w:val="000000"/>
          <w:sz w:val="32"/>
          <w:u w:color="auto"/>
          <w:lang w:val="en-US" w:eastAsia="zh-CN"/>
        </w:rPr>
        <w:t>52.03</w:t>
      </w:r>
      <w:r>
        <w:rPr>
          <w:rFonts w:hint="eastAsia" w:ascii="仿宋_GB2312" w:hAnsi="仿宋_GB2312" w:eastAsia="仿宋_GB2312" w:cs="仿宋_GB2312"/>
          <w:color w:val="000000"/>
          <w:sz w:val="32"/>
          <w:u w:color="auto"/>
        </w:rPr>
        <w:t>万元、绩效工资</w:t>
      </w:r>
      <w:r>
        <w:rPr>
          <w:rFonts w:hint="eastAsia" w:ascii="仿宋_GB2312" w:hAnsi="仿宋_GB2312" w:eastAsia="仿宋_GB2312" w:cs="仿宋_GB2312"/>
          <w:color w:val="000000"/>
          <w:sz w:val="32"/>
          <w:u w:color="auto"/>
          <w:lang w:val="en-US" w:eastAsia="zh-CN"/>
        </w:rPr>
        <w:t>316.98</w:t>
      </w:r>
      <w:r>
        <w:rPr>
          <w:rFonts w:hint="eastAsia" w:ascii="仿宋_GB2312" w:hAnsi="仿宋_GB2312" w:eastAsia="仿宋_GB2312" w:cs="仿宋_GB2312"/>
          <w:color w:val="000000"/>
          <w:sz w:val="32"/>
          <w:u w:color="auto"/>
        </w:rPr>
        <w:t>万元、机关事业单位基本养老保险缴费</w:t>
      </w:r>
      <w:r>
        <w:rPr>
          <w:rFonts w:hint="eastAsia" w:ascii="仿宋_GB2312" w:hAnsi="仿宋_GB2312" w:eastAsia="仿宋_GB2312" w:cs="仿宋_GB2312"/>
          <w:color w:val="000000"/>
          <w:sz w:val="32"/>
          <w:u w:color="auto"/>
          <w:lang w:val="en-US" w:eastAsia="zh-CN"/>
        </w:rPr>
        <w:t>83.34</w:t>
      </w:r>
      <w:r>
        <w:rPr>
          <w:rFonts w:hint="eastAsia" w:ascii="仿宋_GB2312" w:hAnsi="仿宋_GB2312" w:eastAsia="仿宋_GB2312" w:cs="仿宋_GB2312"/>
          <w:color w:val="000000"/>
          <w:sz w:val="32"/>
          <w:u w:color="auto"/>
        </w:rPr>
        <w:t>万元、职业年金缴费</w:t>
      </w:r>
      <w:r>
        <w:rPr>
          <w:rFonts w:hint="eastAsia" w:ascii="仿宋_GB2312" w:hAnsi="仿宋_GB2312" w:eastAsia="仿宋_GB2312" w:cs="仿宋_GB2312"/>
          <w:color w:val="000000"/>
          <w:sz w:val="32"/>
          <w:u w:color="auto"/>
          <w:lang w:val="en-US" w:eastAsia="zh-CN"/>
        </w:rPr>
        <w:t>39.9</w:t>
      </w:r>
      <w:r>
        <w:rPr>
          <w:rFonts w:hint="eastAsia" w:ascii="仿宋_GB2312" w:hAnsi="仿宋_GB2312" w:eastAsia="仿宋_GB2312" w:cs="仿宋_GB2312"/>
          <w:color w:val="000000"/>
          <w:sz w:val="32"/>
          <w:u w:color="auto"/>
        </w:rPr>
        <w:t>万元、职工基本医疗保险缴费</w:t>
      </w:r>
      <w:r>
        <w:rPr>
          <w:rFonts w:hint="eastAsia" w:ascii="仿宋_GB2312" w:hAnsi="仿宋_GB2312" w:eastAsia="仿宋_GB2312" w:cs="仿宋_GB2312"/>
          <w:color w:val="000000"/>
          <w:sz w:val="32"/>
          <w:u w:color="auto"/>
          <w:lang w:val="en-US" w:eastAsia="zh-CN"/>
        </w:rPr>
        <w:t>52.15</w:t>
      </w:r>
      <w:r>
        <w:rPr>
          <w:rFonts w:hint="eastAsia" w:ascii="仿宋_GB2312" w:hAnsi="仿宋_GB2312" w:eastAsia="仿宋_GB2312" w:cs="仿宋_GB2312"/>
          <w:color w:val="000000"/>
          <w:sz w:val="32"/>
          <w:u w:color="auto"/>
        </w:rPr>
        <w:t>万元、其他社会保障缴费</w:t>
      </w:r>
      <w:r>
        <w:rPr>
          <w:rFonts w:hint="eastAsia" w:ascii="仿宋_GB2312" w:hAnsi="仿宋_GB2312" w:eastAsia="仿宋_GB2312" w:cs="仿宋_GB2312"/>
          <w:color w:val="000000"/>
          <w:sz w:val="32"/>
          <w:u w:color="auto"/>
          <w:lang w:val="en-US" w:eastAsia="zh-CN"/>
        </w:rPr>
        <w:t>4.14</w:t>
      </w:r>
      <w:r>
        <w:rPr>
          <w:rFonts w:hint="eastAsia" w:ascii="仿宋_GB2312" w:hAnsi="仿宋_GB2312" w:eastAsia="仿宋_GB2312" w:cs="仿宋_GB2312"/>
          <w:color w:val="000000"/>
          <w:sz w:val="32"/>
          <w:u w:color="auto"/>
        </w:rPr>
        <w:t>万元、住房公积金</w:t>
      </w:r>
      <w:r>
        <w:rPr>
          <w:rFonts w:hint="eastAsia" w:ascii="仿宋_GB2312" w:hAnsi="仿宋_GB2312" w:eastAsia="仿宋_GB2312" w:cs="仿宋_GB2312"/>
          <w:color w:val="000000"/>
          <w:sz w:val="32"/>
          <w:u w:color="auto"/>
          <w:lang w:val="en-US" w:eastAsia="zh-CN"/>
        </w:rPr>
        <w:t>69.89</w:t>
      </w:r>
      <w:r>
        <w:rPr>
          <w:rFonts w:hint="eastAsia" w:ascii="仿宋_GB2312" w:hAnsi="仿宋_GB2312" w:eastAsia="仿宋_GB2312" w:cs="仿宋_GB2312"/>
          <w:color w:val="000000"/>
          <w:sz w:val="32"/>
          <w:u w:color="auto"/>
        </w:rPr>
        <w:t>万元、医疗费</w:t>
      </w:r>
      <w:r>
        <w:rPr>
          <w:rFonts w:hint="eastAsia" w:ascii="仿宋_GB2312" w:hAnsi="仿宋_GB2312" w:eastAsia="仿宋_GB2312" w:cs="仿宋_GB2312"/>
          <w:color w:val="000000"/>
          <w:sz w:val="32"/>
          <w:u w:color="auto"/>
          <w:lang w:val="en-US" w:eastAsia="zh-CN"/>
        </w:rPr>
        <w:t>9.21</w:t>
      </w:r>
      <w:r>
        <w:rPr>
          <w:rFonts w:hint="eastAsia" w:ascii="仿宋_GB2312" w:hAnsi="仿宋_GB2312" w:eastAsia="仿宋_GB2312" w:cs="仿宋_GB2312"/>
          <w:color w:val="000000"/>
          <w:sz w:val="32"/>
          <w:u w:color="auto"/>
        </w:rPr>
        <w:t>万元、生活补助</w:t>
      </w:r>
      <w:r>
        <w:rPr>
          <w:rFonts w:hint="eastAsia" w:ascii="仿宋_GB2312" w:hAnsi="仿宋_GB2312" w:eastAsia="仿宋_GB2312" w:cs="仿宋_GB2312"/>
          <w:color w:val="000000"/>
          <w:sz w:val="32"/>
          <w:u w:color="auto"/>
          <w:lang w:val="en-US" w:eastAsia="zh-CN"/>
        </w:rPr>
        <w:t>40.86</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抚恤金18.85</w:t>
      </w:r>
      <w:r>
        <w:rPr>
          <w:rFonts w:hint="eastAsia" w:ascii="仿宋_GB2312" w:hAnsi="仿宋_GB2312" w:eastAsia="仿宋_GB2312" w:cs="仿宋_GB2312"/>
          <w:color w:val="000000"/>
          <w:sz w:val="32"/>
          <w:u w:color="auto"/>
        </w:rPr>
        <w:t>万元、奖励金0.01万元。</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szCs w:val="32"/>
          <w:lang w:val="en-US" w:eastAsia="zh-CN"/>
        </w:rPr>
        <w:t>19.35</w:t>
      </w:r>
      <w:r>
        <w:rPr>
          <w:rFonts w:hint="eastAsia" w:ascii="仿宋_GB2312" w:hAnsi="仿宋_GB2312" w:eastAsia="仿宋_GB2312" w:cs="仿宋_GB2312"/>
          <w:color w:val="000000"/>
          <w:sz w:val="32"/>
          <w:u w:color="auto"/>
        </w:rPr>
        <w:t>万元，主要包括：办公费</w:t>
      </w:r>
      <w:r>
        <w:rPr>
          <w:rFonts w:hint="eastAsia" w:ascii="仿宋_GB2312" w:hAnsi="仿宋_GB2312" w:eastAsia="仿宋_GB2312" w:cs="仿宋_GB2312"/>
          <w:color w:val="000000"/>
          <w:sz w:val="32"/>
          <w:u w:color="auto"/>
          <w:lang w:val="en-US" w:eastAsia="zh-CN"/>
        </w:rPr>
        <w:t>4.69</w:t>
      </w:r>
      <w:r>
        <w:rPr>
          <w:rFonts w:hint="eastAsia" w:ascii="仿宋_GB2312" w:hAnsi="仿宋_GB2312" w:eastAsia="仿宋_GB2312" w:cs="仿宋_GB2312"/>
          <w:color w:val="000000"/>
          <w:sz w:val="32"/>
          <w:u w:color="auto"/>
        </w:rPr>
        <w:t>万元、电费</w:t>
      </w:r>
      <w:r>
        <w:rPr>
          <w:rFonts w:hint="eastAsia" w:ascii="仿宋_GB2312" w:hAnsi="仿宋_GB2312" w:eastAsia="仿宋_GB2312" w:cs="仿宋_GB2312"/>
          <w:color w:val="000000"/>
          <w:sz w:val="32"/>
          <w:u w:color="auto"/>
          <w:lang w:val="en-US" w:eastAsia="zh-CN"/>
        </w:rPr>
        <w:t>3.67</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val="en-US" w:eastAsia="zh-CN"/>
        </w:rPr>
        <w:t>邮电费0.7万元、</w:t>
      </w:r>
      <w:r>
        <w:rPr>
          <w:rFonts w:hint="eastAsia" w:ascii="仿宋_GB2312" w:hAnsi="仿宋_GB2312" w:eastAsia="仿宋_GB2312" w:cs="仿宋_GB2312"/>
          <w:color w:val="000000"/>
          <w:sz w:val="32"/>
          <w:u w:color="auto"/>
        </w:rPr>
        <w:t>差旅费</w:t>
      </w:r>
      <w:r>
        <w:rPr>
          <w:rFonts w:hint="eastAsia" w:ascii="仿宋_GB2312" w:hAnsi="仿宋_GB2312" w:eastAsia="仿宋_GB2312" w:cs="仿宋_GB2312"/>
          <w:color w:val="000000"/>
          <w:sz w:val="32"/>
          <w:u w:color="auto"/>
          <w:lang w:val="en-US" w:eastAsia="zh-CN"/>
        </w:rPr>
        <w:t>1.51</w:t>
      </w:r>
      <w:r>
        <w:rPr>
          <w:rFonts w:hint="eastAsia" w:ascii="仿宋_GB2312" w:hAnsi="仿宋_GB2312" w:eastAsia="仿宋_GB2312" w:cs="仿宋_GB2312"/>
          <w:color w:val="000000"/>
          <w:sz w:val="32"/>
          <w:u w:color="auto"/>
        </w:rPr>
        <w:t>万元、培训费0</w:t>
      </w:r>
      <w:r>
        <w:rPr>
          <w:rFonts w:hint="eastAsia" w:ascii="仿宋_GB2312" w:hAnsi="仿宋_GB2312" w:eastAsia="仿宋_GB2312" w:cs="仿宋_GB2312"/>
          <w:color w:val="000000"/>
          <w:sz w:val="32"/>
          <w:u w:color="auto"/>
          <w:lang w:val="en-US" w:eastAsia="zh-CN"/>
        </w:rPr>
        <w:t>.78</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其他商品和服务支出8万元</w:t>
      </w:r>
      <w:r>
        <w:rPr>
          <w:rFonts w:hint="eastAsia" w:ascii="仿宋_GB2312" w:hAnsi="仿宋_GB2312" w:eastAsia="仿宋_GB2312" w:cs="仿宋_GB2312"/>
          <w:color w:val="000000"/>
          <w:sz w:val="32"/>
          <w:u w:color="auto"/>
        </w:rPr>
        <w:t>。</w:t>
      </w:r>
    </w:p>
    <w:p>
      <w:pPr>
        <w:ind w:firstLine="640" w:firstLineChars="200"/>
        <w:jc w:val="both"/>
        <w:rPr>
          <w:rFonts w:hint="eastAsia" w:ascii="黑体" w:hAnsi="黑体" w:eastAsia="黑体" w:cs="黑体"/>
          <w:color w:val="000000"/>
          <w:sz w:val="32"/>
          <w:szCs w:val="32"/>
        </w:rPr>
      </w:pPr>
      <w:bookmarkStart w:id="52" w:name="_Toc6614"/>
      <w:bookmarkStart w:id="53" w:name="_Toc15377215"/>
      <w:bookmarkStart w:id="54" w:name="_Toc111208505"/>
      <w:r>
        <w:rPr>
          <w:rFonts w:hint="eastAsia" w:ascii="黑体" w:hAnsi="黑体" w:eastAsia="黑体" w:cs="黑体"/>
          <w:color w:val="000000"/>
          <w:sz w:val="32"/>
          <w:szCs w:val="32"/>
        </w:rPr>
        <w:t>七、财政拨款“三公”经费支出决算情况说明</w:t>
      </w:r>
      <w:bookmarkEnd w:id="52"/>
      <w:bookmarkEnd w:id="53"/>
      <w:bookmarkEnd w:id="54"/>
    </w:p>
    <w:p>
      <w:pPr>
        <w:ind w:firstLine="642" w:firstLineChars="200"/>
        <w:jc w:val="both"/>
        <w:rPr>
          <w:rFonts w:hint="eastAsia" w:ascii="仿宋_GB2312" w:hAnsi="仿宋_GB2312" w:eastAsia="仿宋_GB2312" w:cs="仿宋_GB2312"/>
          <w:color w:val="000000"/>
          <w:sz w:val="32"/>
          <w:szCs w:val="32"/>
        </w:rPr>
      </w:pPr>
      <w:bookmarkStart w:id="55" w:name="_Toc15377216"/>
      <w:r>
        <w:rPr>
          <w:rFonts w:hint="eastAsia" w:ascii="仿宋" w:hAnsi="仿宋" w:eastAsia="仿宋" w:cs="仿宋"/>
          <w:b/>
          <w:color w:val="000000"/>
          <w:sz w:val="32"/>
          <w:szCs w:val="32"/>
        </w:rPr>
        <w:t>（一）财政拨款“三公”经费支出决算总体情况说明</w:t>
      </w:r>
      <w:bookmarkEnd w:id="55"/>
    </w:p>
    <w:p>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财政拨款“三公”经费支出决算为0万元。</w:t>
      </w:r>
      <w:bookmarkStart w:id="56" w:name="_Toc15377217"/>
    </w:p>
    <w:p>
      <w:pPr>
        <w:spacing w:line="600" w:lineRule="exact"/>
        <w:ind w:firstLine="642"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5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支出决算0万元，占0%；公务用车购置及运行维护费支出决算0万元，占0%；公务接待费支出决算0万元，占0%。具体情况如下：</w:t>
      </w:r>
    </w:p>
    <w:p>
      <w:pPr>
        <w:pStyle w:val="8"/>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0" t="0" r="1016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万元,完成预算0%</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万元,完成预算0%。  </w:t>
      </w:r>
    </w:p>
    <w:p>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万元，完成预算0%</w:t>
      </w:r>
      <w:bookmarkStart w:id="57" w:name="_Toc15377218"/>
      <w:r>
        <w:rPr>
          <w:rFonts w:hint="eastAsia" w:ascii="仿宋_GB2312" w:hAnsi="仿宋_GB2312" w:eastAsia="仿宋_GB2312" w:cs="仿宋_GB2312"/>
          <w:color w:val="000000"/>
          <w:sz w:val="32"/>
          <w:u w:color="auto"/>
          <w:lang w:eastAsia="zh-CN"/>
        </w:rPr>
        <w:t>。</w:t>
      </w:r>
    </w:p>
    <w:p>
      <w:pPr>
        <w:ind w:firstLine="640" w:firstLineChars="200"/>
        <w:jc w:val="both"/>
        <w:rPr>
          <w:rFonts w:hint="eastAsia" w:ascii="黑体" w:hAnsi="黑体" w:eastAsia="黑体" w:cs="黑体"/>
          <w:color w:val="000000"/>
          <w:sz w:val="32"/>
          <w:szCs w:val="32"/>
        </w:rPr>
      </w:pPr>
      <w:bookmarkStart w:id="58" w:name="_Toc20439"/>
      <w:bookmarkStart w:id="59" w:name="_Toc111208506"/>
      <w:r>
        <w:rPr>
          <w:rFonts w:hint="eastAsia" w:ascii="黑体" w:hAnsi="黑体" w:eastAsia="黑体" w:cs="黑体"/>
          <w:color w:val="000000"/>
          <w:sz w:val="32"/>
          <w:szCs w:val="32"/>
        </w:rPr>
        <w:t>八、政府性基金预算支出决算情况说明</w:t>
      </w:r>
      <w:bookmarkEnd w:id="57"/>
      <w:bookmarkEnd w:id="58"/>
      <w:bookmarkEnd w:id="59"/>
    </w:p>
    <w:p>
      <w:pPr>
        <w:ind w:firstLine="640" w:firstLineChars="200"/>
        <w:jc w:val="both"/>
        <w:rPr>
          <w:rFonts w:hint="eastAsia" w:ascii="黑体" w:hAnsi="黑体" w:eastAsia="黑体" w:cs="黑体"/>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政府性基金预算拨款支出</w:t>
      </w:r>
      <w:r>
        <w:rPr>
          <w:rFonts w:hint="eastAsia" w:ascii="仿宋_GB2312" w:hAnsi="仿宋_GB2312" w:eastAsia="仿宋_GB2312" w:cs="仿宋_GB2312"/>
          <w:color w:val="000000"/>
          <w:sz w:val="32"/>
          <w:szCs w:val="32"/>
          <w:lang w:val="en-US" w:eastAsia="zh-CN"/>
        </w:rPr>
        <w:t>0.5</w:t>
      </w:r>
      <w:r>
        <w:rPr>
          <w:rFonts w:hint="eastAsia" w:ascii="仿宋_GB2312" w:hAnsi="仿宋_GB2312" w:eastAsia="仿宋_GB2312" w:cs="仿宋_GB2312"/>
          <w:color w:val="000000"/>
          <w:sz w:val="32"/>
          <w:szCs w:val="32"/>
        </w:rPr>
        <w:t>万元</w:t>
      </w:r>
      <w:bookmarkStart w:id="60" w:name="_Toc15377219"/>
      <w:r>
        <w:rPr>
          <w:rFonts w:hint="eastAsia" w:ascii="仿宋_GB2312" w:hAnsi="仿宋_GB2312" w:eastAsia="仿宋_GB2312" w:cs="仿宋_GB2312"/>
          <w:color w:val="000000"/>
          <w:sz w:val="32"/>
          <w:szCs w:val="32"/>
          <w:lang w:val="en-US" w:eastAsia="zh-CN"/>
        </w:rPr>
        <w:t>，占本年支出合计的</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。与</w:t>
      </w: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4年度相比，政府性基金预算财政拨款支出减少2</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，下降80</w:t>
      </w:r>
      <w:r>
        <w:rPr>
          <w:rFonts w:hint="eastAsia" w:ascii="仿宋_GB2312" w:hAnsi="仿宋_GB2312" w:eastAsia="仿宋_GB2312" w:cs="仿宋_GB2312"/>
          <w:color w:val="000000"/>
          <w:sz w:val="32"/>
          <w:szCs w:val="32"/>
        </w:rPr>
        <w:t>%。</w:t>
      </w:r>
      <w:r>
        <w:rPr>
          <w:rFonts w:hint="eastAsia" w:ascii="黑体" w:hAnsi="黑体" w:eastAsia="黑体" w:cs="黑体"/>
          <w:color w:val="000000"/>
          <w:sz w:val="32"/>
          <w:szCs w:val="32"/>
        </w:rPr>
        <w:t xml:space="preserve"> </w:t>
      </w:r>
    </w:p>
    <w:p>
      <w:pPr>
        <w:ind w:firstLine="640" w:firstLineChars="200"/>
        <w:jc w:val="both"/>
        <w:rPr>
          <w:rFonts w:hint="eastAsia" w:ascii="黑体" w:hAnsi="黑体" w:eastAsia="黑体" w:cs="黑体"/>
          <w:color w:val="000000"/>
          <w:sz w:val="32"/>
          <w:szCs w:val="32"/>
        </w:rPr>
      </w:pPr>
      <w:bookmarkStart w:id="61" w:name="_Toc111208507"/>
      <w:bookmarkStart w:id="62" w:name="_Toc23467"/>
      <w:r>
        <w:rPr>
          <w:rFonts w:hint="eastAsia" w:ascii="黑体" w:hAnsi="黑体" w:eastAsia="黑体" w:cs="黑体"/>
          <w:color w:val="000000"/>
          <w:sz w:val="32"/>
          <w:szCs w:val="32"/>
        </w:rPr>
        <w:t>九、国有资本经营预算支出决算情况说明</w:t>
      </w:r>
      <w:bookmarkEnd w:id="60"/>
      <w:bookmarkEnd w:id="61"/>
      <w:bookmarkEnd w:id="62"/>
    </w:p>
    <w:p>
      <w:pPr>
        <w:ind w:firstLine="640" w:firstLineChars="200"/>
        <w:jc w:val="both"/>
        <w:rPr>
          <w:rFonts w:hint="eastAsia" w:ascii="黑体" w:hAnsi="黑体" w:eastAsia="黑体" w:cs="黑体"/>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国有资本经营预算拨款支出0万元</w:t>
      </w:r>
      <w:r>
        <w:rPr>
          <w:rFonts w:hint="eastAsia" w:ascii="仿宋_GB2312" w:hAnsi="仿宋_GB2312" w:eastAsia="仿宋_GB2312" w:cs="仿宋_GB2312"/>
          <w:color w:val="000000"/>
          <w:sz w:val="32"/>
          <w:szCs w:val="32"/>
          <w:lang w:eastAsia="zh-CN"/>
        </w:rPr>
        <w:t>。</w:t>
      </w:r>
      <w:r>
        <w:rPr>
          <w:rFonts w:hint="eastAsia" w:ascii="黑体" w:hAnsi="黑体" w:eastAsia="黑体" w:cs="黑体"/>
          <w:color w:val="000000"/>
          <w:sz w:val="32"/>
          <w:szCs w:val="32"/>
        </w:rPr>
        <w:t xml:space="preserve"> </w:t>
      </w:r>
    </w:p>
    <w:p>
      <w:pPr>
        <w:ind w:firstLine="640" w:firstLineChars="200"/>
        <w:jc w:val="both"/>
        <w:rPr>
          <w:rFonts w:hint="eastAsia" w:ascii="黑体" w:hAnsi="黑体" w:eastAsia="黑体" w:cs="黑体"/>
          <w:color w:val="000000"/>
          <w:sz w:val="32"/>
          <w:szCs w:val="32"/>
        </w:rPr>
      </w:pPr>
      <w:bookmarkStart w:id="63" w:name="_Toc15377221"/>
      <w:bookmarkStart w:id="64" w:name="_Toc18455"/>
      <w:bookmarkStart w:id="65" w:name="_Toc111208508"/>
      <w:r>
        <w:rPr>
          <w:rFonts w:hint="eastAsia" w:ascii="黑体" w:hAnsi="黑体" w:eastAsia="黑体" w:cs="黑体"/>
          <w:color w:val="000000"/>
          <w:sz w:val="32"/>
          <w:szCs w:val="32"/>
        </w:rPr>
        <w:t>十、其他重要事项的情况说明</w:t>
      </w:r>
      <w:bookmarkEnd w:id="63"/>
      <w:bookmarkEnd w:id="64"/>
      <w:bookmarkEnd w:id="65"/>
    </w:p>
    <w:p>
      <w:pPr>
        <w:spacing w:line="600" w:lineRule="exact"/>
        <w:ind w:firstLine="642" w:firstLineChars="200"/>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r>
        <w:rPr>
          <w:rFonts w:hint="eastAsia" w:ascii="仿宋_GB2312" w:hAnsi="仿宋_GB2312" w:eastAsia="仿宋_GB2312" w:cs="仿宋_GB2312"/>
          <w:color w:val="000000"/>
          <w:sz w:val="32"/>
          <w:szCs w:val="32"/>
        </w:rPr>
        <w:t xml:space="preserve"> </w:t>
      </w:r>
    </w:p>
    <w:p>
      <w:pPr>
        <w:spacing w:line="600" w:lineRule="exact"/>
        <w:ind w:firstLine="642" w:firstLineChars="200"/>
        <w:outlineLvl w:val="2"/>
        <w:rPr>
          <w:rFonts w:hint="eastAsia" w:ascii="楷体" w:hAnsi="楷体" w:eastAsia="楷体" w:cs="楷体"/>
          <w:b/>
          <w:color w:val="000000"/>
          <w:sz w:val="32"/>
          <w:szCs w:val="32"/>
        </w:rPr>
      </w:pPr>
      <w:bookmarkStart w:id="67" w:name="_Toc15377223"/>
      <w:r>
        <w:rPr>
          <w:rFonts w:hint="eastAsia" w:ascii="楷体" w:hAnsi="楷体" w:eastAsia="楷体" w:cs="楷体"/>
          <w:b/>
          <w:color w:val="000000"/>
          <w:sz w:val="32"/>
          <w:szCs w:val="32"/>
        </w:rPr>
        <w:t>（二）政府采购支出情况</w:t>
      </w:r>
      <w:bookmarkEnd w:id="67"/>
    </w:p>
    <w:p>
      <w:pPr>
        <w:spacing w:line="600" w:lineRule="exact"/>
        <w:ind w:firstLine="640"/>
        <w:rPr>
          <w:rFonts w:hint="default" w:ascii="仿宋" w:hAnsi="仿宋" w:eastAsia="仿宋" w:cs="仿宋"/>
          <w:color w:val="000000"/>
          <w:sz w:val="32"/>
          <w:szCs w:val="32"/>
          <w:lang w:val="en-US" w:eastAsia="zh-CN"/>
        </w:rPr>
      </w:pPr>
      <w:bookmarkStart w:id="68" w:name="_Toc15377224"/>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其中：政府采购货物支出0万元、政府采购工程支出0万元、政府采购服务支出0万元。</w:t>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68"/>
    </w:p>
    <w:p>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pPr>
        <w:pStyle w:val="2"/>
        <w:rPr>
          <w:rFonts w:hint="eastAsia"/>
        </w:rPr>
      </w:pPr>
    </w:p>
    <w:p>
      <w:pPr>
        <w:spacing w:line="600" w:lineRule="exact"/>
        <w:ind w:firstLine="642" w:firstLineChars="200"/>
        <w:outlineLvl w:val="2"/>
        <w:rPr>
          <w:rFonts w:hint="eastAsia" w:ascii="仿宋" w:hAnsi="仿宋" w:eastAsia="仿宋" w:cs="仿宋"/>
          <w:sz w:val="32"/>
          <w:szCs w:val="32"/>
        </w:rPr>
      </w:pPr>
      <w:r>
        <w:rPr>
          <w:rFonts w:hint="eastAsia" w:ascii="楷体" w:hAnsi="楷体" w:eastAsia="楷体" w:cs="楷体"/>
          <w:b/>
          <w:color w:val="000000"/>
          <w:sz w:val="32"/>
          <w:szCs w:val="32"/>
        </w:rPr>
        <w:t>（四）预算绩效管理情况</w:t>
      </w:r>
      <w:r>
        <w:rPr>
          <w:rFonts w:hint="eastAsia" w:ascii="仿宋" w:hAnsi="仿宋" w:eastAsia="仿宋" w:cs="仿宋"/>
          <w:sz w:val="32"/>
          <w:szCs w:val="32"/>
        </w:rPr>
        <w:t xml:space="preserve"> </w:t>
      </w:r>
    </w:p>
    <w:p>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202</w:t>
      </w:r>
      <w:r>
        <w:rPr>
          <w:rFonts w:hint="eastAsia" w:ascii="仿宋_GB2312" w:eastAsia="仿宋_GB2312" w:cs="Times New Roman"/>
          <w:color w:val="000000" w:themeColor="text1"/>
          <w:sz w:val="32"/>
          <w:szCs w:val="32"/>
          <w:highlight w:val="none"/>
          <w:lang w:val="en-US" w:eastAsia="zh-CN"/>
          <w14:textFill>
            <w14:solidFill>
              <w14:schemeClr w14:val="tx1"/>
            </w14:solidFill>
          </w14:textFill>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预算编制阶段，组织对</w:t>
      </w:r>
      <w:r>
        <w:rPr>
          <w:rFonts w:hint="eastAsia" w:ascii="仿宋_GB2312" w:hAnsi="仿宋_GB2312" w:eastAsia="仿宋_GB2312" w:cs="仿宋_GB2312"/>
          <w:color w:val="000000"/>
          <w:sz w:val="32"/>
          <w:u w:color="auto"/>
        </w:rPr>
        <w:t>四川省阿坝藏族羌族自治州茂县南新镇光华小学校</w:t>
      </w:r>
      <w:r>
        <w:rPr>
          <w:rFonts w:hint="eastAsia" w:ascii="仿宋_GB2312" w:hAnsi="Times New Roman" w:eastAsia="仿宋_GB2312" w:cs="Times New Roman"/>
          <w:color w:val="auto"/>
          <w:sz w:val="32"/>
          <w:szCs w:val="32"/>
          <w:highlight w:val="none"/>
          <w:lang w:eastAsia="zh-CN"/>
        </w:rPr>
        <w:t>学前生午餐补助</w:t>
      </w:r>
      <w:r>
        <w:rPr>
          <w:rFonts w:hint="eastAsia" w:ascii="仿宋_GB2312" w:eastAsia="仿宋_GB2312" w:cs="Times New Roman"/>
          <w:color w:val="auto"/>
          <w:sz w:val="32"/>
          <w:szCs w:val="32"/>
          <w:highlight w:val="none"/>
          <w:lang w:eastAsia="zh-CN"/>
        </w:rPr>
        <w:t>、</w:t>
      </w:r>
      <w:r>
        <w:rPr>
          <w:rFonts w:hint="eastAsia" w:ascii="仿宋_GB2312" w:hAnsi="仿宋_GB2312" w:eastAsia="仿宋_GB2312" w:cs="仿宋_GB2312"/>
          <w:color w:val="000000"/>
          <w:sz w:val="32"/>
          <w:u w:color="auto"/>
        </w:rPr>
        <w:t>四川省阿坝藏族羌族自治州茂县南新镇光华小学校</w:t>
      </w:r>
      <w:r>
        <w:rPr>
          <w:rFonts w:hint="eastAsia" w:ascii="仿宋_GB2312" w:eastAsia="仿宋_GB2312" w:cs="Times New Roman"/>
          <w:color w:val="auto"/>
          <w:sz w:val="32"/>
          <w:szCs w:val="32"/>
          <w:highlight w:val="none"/>
          <w:lang w:eastAsia="zh-CN"/>
        </w:rPr>
        <w:t>学前生生均公用经费</w:t>
      </w:r>
      <w:r>
        <w:rPr>
          <w:rFonts w:hint="eastAsia" w:ascii="仿宋_GB2312" w:hAnsi="Times New Roman" w:eastAsia="仿宋_GB2312" w:cs="Times New Roman"/>
          <w:color w:val="auto"/>
          <w:sz w:val="32"/>
          <w:szCs w:val="32"/>
          <w:highlight w:val="none"/>
          <w:lang w:eastAsia="zh-CN"/>
        </w:rPr>
        <w:t>等</w:t>
      </w:r>
      <w:r>
        <w:rPr>
          <w:rFonts w:hint="eastAsia" w:ascii="仿宋_GB2312" w:eastAsia="仿宋_GB2312" w:cs="Times New Roman"/>
          <w:color w:val="auto"/>
          <w:sz w:val="32"/>
          <w:szCs w:val="32"/>
          <w:highlight w:val="none"/>
          <w:lang w:val="en-US" w:eastAsia="zh-CN"/>
        </w:rPr>
        <w:t>10</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个</w:t>
      </w:r>
      <w:r>
        <w:rPr>
          <w:rFonts w:hint="eastAsia" w:ascii="仿宋_GB2312" w:hAnsi="Times New Roman" w:eastAsia="仿宋_GB2312" w:cs="Times New Roman"/>
          <w:color w:val="auto"/>
          <w:sz w:val="32"/>
          <w:szCs w:val="32"/>
          <w:highlight w:val="none"/>
          <w:lang w:val="en-US" w:eastAsia="zh-CN"/>
        </w:rPr>
        <w:t>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10</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p>
    <w:p>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pPr>
        <w:pStyle w:val="5"/>
        <w:jc w:val="center"/>
        <w:rPr>
          <w:rFonts w:hint="eastAsia" w:ascii="黑体" w:hAnsi="黑体" w:eastAsia="黑体" w:cs="黑体"/>
          <w:b w:val="0"/>
          <w:bCs w:val="0"/>
        </w:rPr>
      </w:pPr>
      <w:bookmarkStart w:id="69" w:name="_Toc15377225"/>
      <w:bookmarkStart w:id="70" w:name="_Toc18122"/>
      <w:bookmarkStart w:id="71" w:name="_Toc111208509"/>
      <w:r>
        <w:rPr>
          <w:rFonts w:hint="eastAsia" w:ascii="黑体" w:hAnsi="黑体" w:eastAsia="黑体" w:cs="黑体"/>
          <w:b w:val="0"/>
          <w:bCs w:val="0"/>
        </w:rPr>
        <w:t>第三部分 名词解释</w:t>
      </w:r>
      <w:bookmarkEnd w:id="69"/>
      <w:bookmarkEnd w:id="70"/>
      <w:bookmarkEnd w:id="71"/>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9.教育支出（类）普通教育（款）学前教育（项）:反映各部门举办的学前教育支出。政府各部门对社会组织等举办的幼儿园的资助，如捐赠、补贴等，也在本科目中反映。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10.教育支出（类）普通教育（款）小学教育（项）:反映各部门举办的小学教育支出。政府各部门对社会组织等举办的小学的资助，如捐赠、补贴等，也在本科目中反映。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11.教育支出（类）教育费附加安排的支出（款）其他教育费附加安排的支出（项）:反映除上述项目以外的教育费附加支出。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15.住房保障支出（类）住房改革支出（款）住房公积金（项）:反映行政事业单位按人力资源和社会保障部、财政部规定的基本工资和津贴补贴以及规定比例为职工缴纳的住房公积金。</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16.住房保障支出（类）住房改革支出（款）购房补贴（项）:反映按房改政策规定，行政事业单位向符合条件职工（含离退休人员）、军队（含武警）向转役复员离退休人员发放的用于购买住房的补贴。</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w:t>
      </w:r>
      <w:r>
        <w:rPr>
          <w:rFonts w:hint="eastAsia" w:ascii="仿宋_GB2312" w:hAnsi="仿宋_GB2312" w:eastAsia="仿宋_GB2312" w:cs="仿宋_GB2312"/>
          <w:color w:val="000000"/>
          <w:sz w:val="32"/>
          <w:szCs w:val="32"/>
          <w:u w:color="auto"/>
        </w:rPr>
        <w:t>.基本支出：指为保障机构正常运转、完成日常工作任务而发生的人员支出和公用支出。</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18</w:t>
      </w:r>
      <w:r>
        <w:rPr>
          <w:rFonts w:hint="eastAsia" w:ascii="仿宋_GB2312" w:hAnsi="仿宋_GB2312" w:eastAsia="仿宋_GB2312" w:cs="仿宋_GB2312"/>
          <w:color w:val="000000"/>
          <w:sz w:val="32"/>
          <w:szCs w:val="32"/>
          <w:u w:color="auto"/>
        </w:rPr>
        <w:t xml:space="preserve">.项目支出：指在基本支出之外为完成特定行政任务和事业发展目标所发生的支出。 </w:t>
      </w:r>
    </w:p>
    <w:p>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19</w:t>
      </w:r>
      <w:r>
        <w:rPr>
          <w:rFonts w:hint="eastAsia" w:ascii="仿宋_GB2312" w:hAnsi="仿宋_GB2312" w:eastAsia="仿宋_GB2312" w:cs="仿宋_GB2312"/>
          <w:color w:val="000000"/>
          <w:sz w:val="32"/>
          <w:szCs w:val="32"/>
          <w:u w:color="auto"/>
        </w:rPr>
        <w:t>.经营支出：指事业单位在专业业务活动及其辅助活动之外开展非独立核算经营活动发生的支出。</w:t>
      </w:r>
    </w:p>
    <w:p>
      <w:pPr>
        <w:spacing w:line="600" w:lineRule="exact"/>
        <w:ind w:firstLine="640"/>
        <w:rPr>
          <w:rFonts w:hint="eastAsia" w:ascii="仿宋_GB2312" w:hAnsi="仿宋_GB2312" w:eastAsia="仿宋_GB2312" w:cs="仿宋_GB2312"/>
          <w:b w:val="0"/>
          <w:bCs w:val="0"/>
          <w:sz w:val="32"/>
          <w:szCs w:val="32"/>
        </w:rPr>
      </w:pPr>
      <w:r>
        <w:rPr>
          <w:rFonts w:hint="eastAsia" w:ascii="仿宋_GB2312" w:hAnsi="仿宋_GB2312" w:eastAsia="仿宋_GB2312" w:cs="仿宋_GB2312"/>
          <w:color w:val="000000"/>
          <w:sz w:val="32"/>
          <w:szCs w:val="32"/>
        </w:rPr>
        <w:t>20</w:t>
      </w:r>
      <w:r>
        <w:rPr>
          <w:rFonts w:hint="eastAsia" w:ascii="仿宋_GB2312" w:hAnsi="仿宋_GB2312" w:eastAsia="仿宋_GB2312" w:cs="仿宋_GB2312"/>
          <w:color w:val="000000"/>
          <w:sz w:val="32"/>
          <w:szCs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bookmarkStart w:id="72" w:name="_Toc111208510"/>
      <w:bookmarkStart w:id="73" w:name="_Toc25539"/>
    </w:p>
    <w:p>
      <w:pPr>
        <w:rPr>
          <w:rFonts w:hint="eastAsia" w:ascii="仿宋_GB2312" w:hAnsi="仿宋_GB2312" w:eastAsia="仿宋_GB2312" w:cs="仿宋_GB2312"/>
          <w:b w:val="0"/>
          <w:bCs w:val="0"/>
          <w:sz w:val="32"/>
          <w:szCs w:val="32"/>
        </w:rPr>
      </w:pPr>
    </w:p>
    <w:p>
      <w:pPr>
        <w:pStyle w:val="2"/>
        <w:rPr>
          <w:rFonts w:hint="eastAsia" w:ascii="仿宋_GB2312" w:hAnsi="仿宋_GB2312" w:eastAsia="仿宋_GB2312" w:cs="仿宋_GB2312"/>
          <w:b w:val="0"/>
          <w:bCs w:val="0"/>
          <w:sz w:val="32"/>
          <w:szCs w:val="32"/>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rPr>
          <w:rFonts w:hint="eastAsia" w:ascii="黑体" w:hAnsi="黑体" w:eastAsia="黑体" w:cs="黑体"/>
          <w:b w:val="0"/>
          <w:bCs w:val="0"/>
        </w:rPr>
      </w:pPr>
    </w:p>
    <w:p>
      <w:pPr>
        <w:pStyle w:val="3"/>
        <w:ind w:left="0" w:leftChars="0" w:firstLine="0" w:firstLineChars="0"/>
        <w:rPr>
          <w:rFonts w:hint="eastAsia" w:ascii="黑体" w:hAnsi="黑体" w:eastAsia="黑体" w:cs="黑体"/>
          <w:b w:val="0"/>
          <w:bCs w:val="0"/>
        </w:rPr>
      </w:pPr>
    </w:p>
    <w:p>
      <w:pPr>
        <w:pStyle w:val="3"/>
        <w:ind w:left="0" w:leftChars="0" w:firstLine="0" w:firstLineChars="0"/>
        <w:rPr>
          <w:rFonts w:hint="eastAsia" w:ascii="黑体" w:hAnsi="黑体" w:eastAsia="黑体" w:cs="黑体"/>
          <w:b w:val="0"/>
          <w:bCs w:val="0"/>
        </w:rPr>
      </w:pPr>
    </w:p>
    <w:p>
      <w:pPr>
        <w:pStyle w:val="3"/>
        <w:ind w:left="0" w:leftChars="0" w:firstLine="0" w:firstLineChars="0"/>
        <w:rPr>
          <w:rFonts w:hint="eastAsia" w:ascii="黑体" w:hAnsi="黑体" w:eastAsia="黑体" w:cs="黑体"/>
          <w:b w:val="0"/>
          <w:bCs w:val="0"/>
        </w:rPr>
      </w:pPr>
    </w:p>
    <w:p>
      <w:pPr>
        <w:pStyle w:val="3"/>
        <w:ind w:left="0" w:leftChars="0" w:firstLine="0" w:firstLineChars="0"/>
        <w:rPr>
          <w:rFonts w:hint="eastAsia" w:ascii="黑体" w:hAnsi="黑体" w:eastAsia="黑体" w:cs="黑体"/>
          <w:b w:val="0"/>
          <w:bCs w:val="0"/>
        </w:rPr>
      </w:pPr>
    </w:p>
    <w:p>
      <w:pPr>
        <w:pStyle w:val="5"/>
        <w:jc w:val="center"/>
        <w:rPr>
          <w:rFonts w:hint="eastAsia" w:ascii="黑体" w:hAnsi="黑体" w:eastAsia="黑体" w:cs="黑体"/>
          <w:b w:val="0"/>
          <w:bCs w:val="0"/>
        </w:rPr>
      </w:pPr>
      <w:r>
        <w:rPr>
          <w:rFonts w:hint="eastAsia" w:ascii="黑体" w:hAnsi="黑体" w:eastAsia="黑体" w:cs="黑体"/>
          <w:b w:val="0"/>
          <w:bCs w:val="0"/>
        </w:rPr>
        <w:t>第四部分 附件</w:t>
      </w:r>
      <w:bookmarkEnd w:id="72"/>
      <w:bookmarkEnd w:id="73"/>
    </w:p>
    <w:tbl>
      <w:tblPr>
        <w:tblStyle w:val="1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8"/>
        <w:gridCol w:w="732"/>
        <w:gridCol w:w="720"/>
        <w:gridCol w:w="986"/>
        <w:gridCol w:w="481"/>
        <w:gridCol w:w="926"/>
        <w:gridCol w:w="481"/>
        <w:gridCol w:w="1362"/>
        <w:gridCol w:w="633"/>
        <w:gridCol w:w="551"/>
        <w:gridCol w:w="8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51322321T000000135173-南新光华小学学前生生均公用经费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根据茂教【2021】174号文件,南新小学附属幼儿园学前生32人。32*600=19200元。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通过对学前生均公用经费项目的实施，使幼儿园保教工作正常运行，改善办园环境及条件。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过对十五年免费教育学前生均公用经费项目的实施，保障幼儿园保育、教育工作的正常开展，社会反映良好，满意度达到90%以上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在园幼儿人数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生均经费保障学校运转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保障学校教育工作正常运转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项目支出资金保障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通过对十五年免费教育学前生均公用经费项目的实施，保证了幼儿在园时间的正常保育教育和教师的正常教学，社会反映好，满意度达到90%以上。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51322322T000007143284-南新小学少年宫项目资金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根据阿州财教【2025】32号文件，关于下达2025年南新光华学校开展少年宫项目资金。</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通过对少年宫资金经费项目的实施，丰富学生的生活，改善办校环境及条件。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通过对少年宫资金经费项目的实施，丰富学生的生活，改善办校环境及条件。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活动室修缮验收通过率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常态开展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学生综合素质，心理健康水平持续提升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通过对少年宫资金经费项目的实施，丰富学生的生活，改善办学条件。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51322323T000009017882-茂县南新镇光华小学校退休干部春节慰问金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学校对老教师的关怀和尊重，希望老教师们过一个快乐、祥和的节日。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通过对退休教师春节慰问金项目的实施，经费按时全额发放，增强了教师职业吸引力，鼓励教师提高教育质量、促进义务教育均衡发展。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通过退休教师春节慰问金项目的实施，充分体现了党和国家对教师的关心和对教育的重视，教师感觉到了教师职业的伟大，得到了社会的高度重视，教师满意度达到了99%以上。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春节慰问退休教师人数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对老教师的关怀和尊重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教师满意度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通过教师节慰问金项目的实施，充分体现了党和国家对教师的关心和对教育的重视，教师感觉到了教师职业的伟大，得到了社会的高度重视，教师满意度达到了99%以上。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51322324T000010604091-南新小学生均公用经费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根据阿府发（2016）年18号文件十五年义务教育小学生生均公用经费标准100元/生/年，茂县南新小学在校生102人。102*100=10200元。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通过对县级生均公用经费项目的实施，使小学生在校生活正常运行，改善办学环境及条件。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通过对十五年免费教育小学生均公用经费项目的实施，保障小学生教育教学工作的正常开展，社会反映良好，满意度达到90%以上。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在校生人数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保教费保障幼儿生活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保证学生正常运转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学前生午餐补助保障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通过对十五年免费教育小学生均公用经费项目的实施，保障小学生教育教学工作的正常开展，社会反映良好，满意度达到90%以上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51322325T000012185509-茂县南新镇光华小学校校园餐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根据阿州财教（2025）15号文件。本项目的主要内容是学校2025学生校园餐补助资金。2025年预算安排26462.80元，实际执行26462.80元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小学校园餐项目到位24.55万元，支付24.55万元，支付比列为100%。通过对十五年免费小学校园餐补助项目的实施，保障幼儿午间在园就餐，促进幼儿身体健康发展，社会反映良好，满意度达到95%。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通过对十五年免费教育校园餐经费项目的实施，保证了学校时间的正常保育教育和教师的正常教学，社会反映好，满意度达到90%以上。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学前生人数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经费足额支出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保障幼儿园保育，教育正常运转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266283.8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通过对十五年免费教育校园餐经费项目的实施，保证了学校时间的正常保育教育和教师的正常教学，社会反映好，满意度达到90%以上。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51322325T000012343842-茂县南新镇光华小学校教师节慰问金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茂府教【2025】64号文件，茂县南新镇光华小学校教师节慰问经费25600元。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通过对教师节慰问金项目的实施，经费按时全额发放，增强了教师职业吸引力，鼓励教师提高教育质量、促进义务教育均衡发展。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通过教师节慰问金项目的实施，充分体现了党和国家对教师的关心和对教育的重视，教师感觉到了教师职业的伟大，得到了社会的高度重视，教师满意度达到了99%以上。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慰问金发放人数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2025年9月完成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连续保障教师节慰问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教职工满意度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财政全额保障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通过教师节慰问金项目的实施，充分体现了党和国家对教师的关心和对教育的重视，教师感觉到了教师职业的伟大，得到了社会的高度重视，教师满意度达到了99%以上。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51322325T000012847147-学前教育免除保教费（州级）资金项目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根据阿州财教【2024】75号文件。本项目的主要内容是学校2024年学生营养餐改善计划资金。2024年预算安排2307元，实际执行2307元。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通过对学前保教费项目的实施，使幼儿园保教工作正常运行，改善办学环境及条件。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通过对学前保教费项目的实施，使幼儿园保教工作正常运行，改善办学环境及条件。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保障幼儿保育，教育正常运转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家长及师生满意度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31600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财政保障经费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通过对十五年免费教育学前保教费经费项目的实施，保证了幼儿在园时间的正常保育教育和教师的正常教学，社会反映好，满意度达到90%以上。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51322325T000012962509-茂县南新镇光华小学校学前生保教费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根据阿府发（2016）18号文件，学前保教费标准490元/生/年，在校幼儿数32人*490=15680元</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通过对学前保教费项目的实施，使幼儿园保教工作正常运行，改善办学环境及条件。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通过对学前保教费项目的实施，使幼儿园保教工作正常运行，改善办学环境及条件。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南新小学幼儿园人数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保质保量完成该项目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教育资源公平性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充分保障教育教学正常运转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学生及家长满意度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幼儿园保教费项目经费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15680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通过对十五年免费教育学前保教费经费项目的实施，保证了幼儿在园时间的正常保育教育和教师的正常教学，社会反映好，满意度达到90%以上。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51322325T000012983914-学前教育交通费经费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2024年秋学期我校有幼儿32人，自缴交通费资金17700元，对幼儿上学放学交通提供保障</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通过对幼儿园32名学前生2025年学前代管资金代管费的实施，支付进度按正常进度执行，完成率达100%。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幼儿人数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金额总数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保障幼儿交通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提供幼儿交通服务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社会满意、家长满意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经费全额保障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通过对代管资金代管费项目的实施，促进幼儿健康成长，减轻家长的负担，幼儿上学、放学给家长提供了方便，社会反映良好。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0" w:type="auto"/>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51322325T000013674850-2025年生均公用经费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茂县教育局</w:t>
            </w:r>
          </w:p>
        </w:tc>
        <w:tc>
          <w:tcPr>
            <w:tcW w:w="0" w:type="auto"/>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茂县南新镇光华小学校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中央公用经费保障学校工作正常运转</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通过对小学生均公用经费项目的实施，使教育教学工作正常运行，改善办校环境及条件。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0" w:type="auto"/>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对十五年免费通过教育小学生均公用经费项目的实施，保障学校教育工作的正常开展，社会反映良好，满意度达到90%以上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10.34</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经费支出合规率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保障学校工作正常运转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项目资金保障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通过对十五年免费教育小学生均公用经费项目的实施，保证了在校学生正常保育教育和教师的正常教学，社会反映好，满意度达到90%以上。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0" w:type="auto"/>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项目负责人：张康木</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财务负责人：刘润秀</w:t>
            </w:r>
          </w:p>
        </w:tc>
      </w:tr>
    </w:tbl>
    <w:p>
      <w:pPr>
        <w:pStyle w:val="8"/>
        <w:rPr>
          <w:rFonts w:hint="eastAsia" w:ascii="仿宋" w:hAnsi="仿宋" w:eastAsia="仿宋" w:cs="仿宋"/>
          <w:sz w:val="32"/>
          <w:szCs w:val="32"/>
        </w:rPr>
      </w:pPr>
      <w:r>
        <w:rPr>
          <w:rFonts w:hint="eastAsia" w:ascii="仿宋" w:hAnsi="仿宋" w:eastAsia="仿宋" w:cs="仿宋"/>
          <w:sz w:val="32"/>
          <w:szCs w:val="32"/>
        </w:rPr>
        <w:t xml:space="preserve"> </w:t>
      </w:r>
    </w:p>
    <w:p>
      <w:pPr>
        <w:rPr>
          <w:rStyle w:val="37"/>
          <w:rFonts w:hint="eastAsia" w:ascii="黑体" w:hAnsi="黑体" w:eastAsia="黑体"/>
          <w:b w:val="0"/>
          <w:color w:val="auto"/>
          <w:highlight w:val="none"/>
        </w:rPr>
      </w:pPr>
      <w:bookmarkStart w:id="74" w:name="_Toc79163885"/>
      <w:bookmarkStart w:id="75" w:name="_Toc111208512"/>
      <w:bookmarkStart w:id="76" w:name="_Toc79163635"/>
      <w:bookmarkStart w:id="77" w:name="_Toc21200"/>
      <w:r>
        <w:rPr>
          <w:rStyle w:val="37"/>
          <w:rFonts w:hint="eastAsia" w:ascii="黑体" w:hAnsi="黑体" w:eastAsia="黑体"/>
          <w:b w:val="0"/>
          <w:color w:val="auto"/>
          <w:highlight w:val="none"/>
        </w:rPr>
        <w:br w:type="page"/>
      </w:r>
    </w:p>
    <w:p>
      <w:pPr>
        <w:suppressAutoHyphens/>
        <w:bidi w:val="0"/>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78" w:name="_Toc16431"/>
      <w:r>
        <w:rPr>
          <w:rFonts w:hint="eastAsia" w:ascii="仿宋_GB2312" w:hAnsi="仿宋_GB2312" w:eastAsia="仿宋_GB2312" w:cs="仿宋_GB2312"/>
          <w:b w:val="0"/>
          <w:bCs/>
          <w:color w:val="000000"/>
        </w:rPr>
        <w:t>一、收入支出决算总表</w:t>
      </w:r>
      <w:bookmarkEnd w:id="78"/>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79" w:name="_Toc25389"/>
      <w:r>
        <w:rPr>
          <w:rFonts w:hint="eastAsia" w:ascii="仿宋_GB2312" w:hAnsi="仿宋_GB2312" w:eastAsia="仿宋_GB2312" w:cs="仿宋_GB2312"/>
          <w:b w:val="0"/>
          <w:bCs/>
          <w:color w:val="000000"/>
        </w:rPr>
        <w:t>二、收入决算表</w:t>
      </w:r>
      <w:bookmarkEnd w:id="79"/>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0" w:name="_Toc10450"/>
      <w:r>
        <w:rPr>
          <w:rFonts w:hint="eastAsia" w:ascii="仿宋_GB2312" w:hAnsi="仿宋_GB2312" w:eastAsia="仿宋_GB2312" w:cs="仿宋_GB2312"/>
          <w:b w:val="0"/>
          <w:bCs/>
          <w:color w:val="000000"/>
        </w:rPr>
        <w:t>三、支出决算表</w:t>
      </w:r>
      <w:bookmarkEnd w:id="80"/>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1" w:name="_Toc15415"/>
      <w:r>
        <w:rPr>
          <w:rFonts w:hint="eastAsia" w:ascii="仿宋_GB2312" w:hAnsi="仿宋_GB2312" w:eastAsia="仿宋_GB2312" w:cs="仿宋_GB2312"/>
          <w:b w:val="0"/>
          <w:bCs/>
          <w:color w:val="000000"/>
        </w:rPr>
        <w:t>四、财政拨款收入支出决算总表</w:t>
      </w:r>
      <w:bookmarkEnd w:id="81"/>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2" w:name="_Toc17530"/>
      <w:r>
        <w:rPr>
          <w:rFonts w:hint="eastAsia" w:ascii="仿宋_GB2312" w:hAnsi="仿宋_GB2312" w:eastAsia="仿宋_GB2312" w:cs="仿宋_GB2312"/>
          <w:b w:val="0"/>
          <w:bCs/>
          <w:color w:val="000000"/>
        </w:rPr>
        <w:t>五、财政拨款支出决算明细表</w:t>
      </w:r>
      <w:bookmarkEnd w:id="82"/>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3" w:name="_Toc22032"/>
      <w:r>
        <w:rPr>
          <w:rFonts w:hint="eastAsia" w:ascii="仿宋_GB2312" w:hAnsi="仿宋_GB2312" w:eastAsia="仿宋_GB2312" w:cs="仿宋_GB2312"/>
          <w:b w:val="0"/>
          <w:bCs/>
          <w:color w:val="000000"/>
        </w:rPr>
        <w:t>六、一般公共预算财政拨款支出决算表</w:t>
      </w:r>
      <w:bookmarkEnd w:id="83"/>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4" w:name="_Toc3364"/>
      <w:r>
        <w:rPr>
          <w:rFonts w:hint="eastAsia" w:ascii="仿宋_GB2312" w:hAnsi="仿宋_GB2312" w:eastAsia="仿宋_GB2312" w:cs="仿宋_GB2312"/>
          <w:b w:val="0"/>
          <w:bCs/>
          <w:color w:val="000000"/>
        </w:rPr>
        <w:t>七、一般公共预算财政拨款支出决算明细表</w:t>
      </w:r>
      <w:bookmarkEnd w:id="84"/>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5" w:name="_Toc9110"/>
      <w:r>
        <w:rPr>
          <w:rFonts w:hint="eastAsia" w:ascii="仿宋_GB2312" w:hAnsi="仿宋_GB2312" w:eastAsia="仿宋_GB2312" w:cs="仿宋_GB2312"/>
          <w:b w:val="0"/>
          <w:bCs/>
          <w:color w:val="000000"/>
        </w:rPr>
        <w:t>八、一般公共预算财政拨款基本支出决算表</w:t>
      </w:r>
      <w:bookmarkEnd w:id="85"/>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6" w:name="_Toc28582"/>
      <w:r>
        <w:rPr>
          <w:rFonts w:hint="eastAsia" w:ascii="仿宋_GB2312" w:hAnsi="仿宋_GB2312" w:eastAsia="仿宋_GB2312" w:cs="仿宋_GB2312"/>
          <w:b w:val="0"/>
          <w:bCs/>
          <w:color w:val="000000"/>
        </w:rPr>
        <w:t>九、一般公共预算财政拨款项目支出决算表</w:t>
      </w:r>
      <w:bookmarkEnd w:id="86"/>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7" w:name="_Toc22001"/>
      <w:r>
        <w:rPr>
          <w:rFonts w:hint="eastAsia" w:ascii="仿宋_GB2312" w:hAnsi="仿宋_GB2312" w:eastAsia="仿宋_GB2312" w:cs="仿宋_GB2312"/>
          <w:b w:val="0"/>
          <w:bCs/>
          <w:color w:val="000000"/>
        </w:rPr>
        <w:t>十、政府性基金预算财政拨款收入支出决算表</w:t>
      </w:r>
      <w:bookmarkEnd w:id="87"/>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8" w:name="_Toc6538"/>
      <w:r>
        <w:rPr>
          <w:rFonts w:hint="eastAsia" w:ascii="仿宋_GB2312" w:hAnsi="仿宋_GB2312" w:eastAsia="仿宋_GB2312" w:cs="仿宋_GB2312"/>
          <w:b w:val="0"/>
          <w:bCs/>
          <w:color w:val="000000"/>
        </w:rPr>
        <w:t>十一、国有资本经营预算财政拨款收入支出决算表</w:t>
      </w:r>
      <w:bookmarkEnd w:id="88"/>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89" w:name="_Toc10625"/>
      <w:r>
        <w:rPr>
          <w:rFonts w:hint="eastAsia" w:ascii="仿宋_GB2312" w:hAnsi="仿宋_GB2312" w:eastAsia="仿宋_GB2312" w:cs="仿宋_GB2312"/>
          <w:b w:val="0"/>
          <w:bCs/>
          <w:color w:val="000000"/>
        </w:rPr>
        <w:t>十二、国有资本经营预算财政拨款支出决算表</w:t>
      </w:r>
      <w:bookmarkEnd w:id="89"/>
    </w:p>
    <w:p>
      <w:pPr>
        <w:pStyle w:val="6"/>
        <w:keepNext/>
        <w:keepLines/>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color w:val="000000"/>
        </w:rPr>
      </w:pPr>
      <w:bookmarkStart w:id="90" w:name="_Toc28356"/>
      <w:r>
        <w:rPr>
          <w:rFonts w:hint="eastAsia" w:ascii="仿宋_GB2312" w:hAnsi="仿宋_GB2312" w:eastAsia="仿宋_GB2312" w:cs="仿宋_GB2312"/>
          <w:b w:val="0"/>
          <w:bCs/>
          <w:color w:val="000000"/>
        </w:rPr>
        <w:t>十三、财政拨款“三公”经费支出决算表</w:t>
      </w:r>
      <w:bookmarkEnd w:id="90"/>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方正小标宋简体">
    <w:panose1 w:val="03000509000000000000"/>
    <w:charset w:val="86"/>
    <w:family w:val="auto"/>
    <w:pitch w:val="default"/>
    <w:sig w:usb0="00000001" w:usb1="080E0000" w:usb2="00000000" w:usb3="00000000" w:csb0="00040000" w:csb1="00000000"/>
  </w:font>
  <w:font w:name="Lucida Sans">
    <w:altName w:val="Noto Naskh Arabic"/>
    <w:panose1 w:val="020B0602030504020204"/>
    <w:charset w:val="01"/>
    <w:family w:val="auto"/>
    <w:pitch w:val="default"/>
    <w:sig w:usb0="00000000" w:usb1="00000000" w:usb2="00000000" w:usb3="00000000" w:csb0="00000000" w:csb1="00000000"/>
  </w:font>
  <w:font w:name="楷体">
    <w:altName w:val="方正楷体_GBK"/>
    <w:panose1 w:val="02010609060101010101"/>
    <w:charset w:val="86"/>
    <w:family w:val="auto"/>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 w:name="Nimbus Roman No9 L">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方正楷体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43A"/>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024"/>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0370"/>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6119E2"/>
    <w:rsid w:val="016F4726"/>
    <w:rsid w:val="01B354EA"/>
    <w:rsid w:val="01CF32DE"/>
    <w:rsid w:val="01D74DB7"/>
    <w:rsid w:val="01D86637"/>
    <w:rsid w:val="01F04616"/>
    <w:rsid w:val="02315D47"/>
    <w:rsid w:val="024617F2"/>
    <w:rsid w:val="02D9796E"/>
    <w:rsid w:val="03443858"/>
    <w:rsid w:val="03630182"/>
    <w:rsid w:val="037A757D"/>
    <w:rsid w:val="03F359AA"/>
    <w:rsid w:val="04246877"/>
    <w:rsid w:val="043A3897"/>
    <w:rsid w:val="045647CC"/>
    <w:rsid w:val="0463543B"/>
    <w:rsid w:val="048D6B52"/>
    <w:rsid w:val="04A56E6E"/>
    <w:rsid w:val="04D45254"/>
    <w:rsid w:val="04D550AF"/>
    <w:rsid w:val="04FD0162"/>
    <w:rsid w:val="051A6F96"/>
    <w:rsid w:val="055C757F"/>
    <w:rsid w:val="05C25E8C"/>
    <w:rsid w:val="06383B48"/>
    <w:rsid w:val="06562220"/>
    <w:rsid w:val="06951176"/>
    <w:rsid w:val="06C673A5"/>
    <w:rsid w:val="07001BE1"/>
    <w:rsid w:val="07267DE7"/>
    <w:rsid w:val="088F55D5"/>
    <w:rsid w:val="089C4B49"/>
    <w:rsid w:val="08C276F9"/>
    <w:rsid w:val="08C307AE"/>
    <w:rsid w:val="09081517"/>
    <w:rsid w:val="091B747D"/>
    <w:rsid w:val="092E626A"/>
    <w:rsid w:val="09A572B6"/>
    <w:rsid w:val="09E7329E"/>
    <w:rsid w:val="0A19737C"/>
    <w:rsid w:val="0B3A5C6C"/>
    <w:rsid w:val="0B7218AA"/>
    <w:rsid w:val="0B8769D7"/>
    <w:rsid w:val="0B99373B"/>
    <w:rsid w:val="0BA37CB5"/>
    <w:rsid w:val="0C2D757F"/>
    <w:rsid w:val="0CA6645F"/>
    <w:rsid w:val="0D0429D6"/>
    <w:rsid w:val="0D093B48"/>
    <w:rsid w:val="0D322E51"/>
    <w:rsid w:val="0D350DE1"/>
    <w:rsid w:val="0D6C338E"/>
    <w:rsid w:val="0DB37F58"/>
    <w:rsid w:val="0DB742A8"/>
    <w:rsid w:val="0E1E3623"/>
    <w:rsid w:val="0E3742D9"/>
    <w:rsid w:val="0E6D2010"/>
    <w:rsid w:val="0EC00B7E"/>
    <w:rsid w:val="0F264E85"/>
    <w:rsid w:val="0F5E6610"/>
    <w:rsid w:val="0F707EAE"/>
    <w:rsid w:val="0FB32491"/>
    <w:rsid w:val="0FB52B86"/>
    <w:rsid w:val="0FC25C6E"/>
    <w:rsid w:val="0FDB629D"/>
    <w:rsid w:val="0FFD0B0D"/>
    <w:rsid w:val="103747CF"/>
    <w:rsid w:val="103F4D68"/>
    <w:rsid w:val="10C055FF"/>
    <w:rsid w:val="116A6D7C"/>
    <w:rsid w:val="11761AF6"/>
    <w:rsid w:val="11851C0B"/>
    <w:rsid w:val="11A77DD3"/>
    <w:rsid w:val="11B47436"/>
    <w:rsid w:val="11D56DF6"/>
    <w:rsid w:val="11ED6591"/>
    <w:rsid w:val="11F85D8C"/>
    <w:rsid w:val="12744159"/>
    <w:rsid w:val="1275376E"/>
    <w:rsid w:val="12C32F26"/>
    <w:rsid w:val="13367661"/>
    <w:rsid w:val="13531FC1"/>
    <w:rsid w:val="136F089E"/>
    <w:rsid w:val="13D81ACD"/>
    <w:rsid w:val="14D728AA"/>
    <w:rsid w:val="15F1786F"/>
    <w:rsid w:val="16014ED0"/>
    <w:rsid w:val="1665477F"/>
    <w:rsid w:val="16BB723D"/>
    <w:rsid w:val="16FC296F"/>
    <w:rsid w:val="17283764"/>
    <w:rsid w:val="17A821AF"/>
    <w:rsid w:val="17BC7656"/>
    <w:rsid w:val="17D336D0"/>
    <w:rsid w:val="17EA348C"/>
    <w:rsid w:val="18115FA7"/>
    <w:rsid w:val="18117D55"/>
    <w:rsid w:val="1840212F"/>
    <w:rsid w:val="184656CF"/>
    <w:rsid w:val="18561C0B"/>
    <w:rsid w:val="189F35B2"/>
    <w:rsid w:val="1934019F"/>
    <w:rsid w:val="193C261A"/>
    <w:rsid w:val="19934117"/>
    <w:rsid w:val="19943114"/>
    <w:rsid w:val="19DE22C0"/>
    <w:rsid w:val="1A06678F"/>
    <w:rsid w:val="1AB026BC"/>
    <w:rsid w:val="1ABB32B6"/>
    <w:rsid w:val="1AD11A1D"/>
    <w:rsid w:val="1B787B60"/>
    <w:rsid w:val="1BC82E20"/>
    <w:rsid w:val="1BF70747"/>
    <w:rsid w:val="1C06153F"/>
    <w:rsid w:val="1C986C96"/>
    <w:rsid w:val="1C9B62D9"/>
    <w:rsid w:val="1CC31A6E"/>
    <w:rsid w:val="1CE343B6"/>
    <w:rsid w:val="1D5C1A72"/>
    <w:rsid w:val="1D646B79"/>
    <w:rsid w:val="1D7371C3"/>
    <w:rsid w:val="1DDC2BB3"/>
    <w:rsid w:val="1E34479D"/>
    <w:rsid w:val="1E463F1E"/>
    <w:rsid w:val="1EF81F78"/>
    <w:rsid w:val="1F620905"/>
    <w:rsid w:val="1FD12B34"/>
    <w:rsid w:val="201A6AB0"/>
    <w:rsid w:val="203B66A0"/>
    <w:rsid w:val="204C04C4"/>
    <w:rsid w:val="206D278F"/>
    <w:rsid w:val="208539D6"/>
    <w:rsid w:val="211A679A"/>
    <w:rsid w:val="21253DA0"/>
    <w:rsid w:val="219F2875"/>
    <w:rsid w:val="21A94BCD"/>
    <w:rsid w:val="21F901D7"/>
    <w:rsid w:val="22857975"/>
    <w:rsid w:val="236E69A3"/>
    <w:rsid w:val="23700C36"/>
    <w:rsid w:val="23844B7E"/>
    <w:rsid w:val="23902475"/>
    <w:rsid w:val="23B73EA6"/>
    <w:rsid w:val="23FA0B3C"/>
    <w:rsid w:val="240371BF"/>
    <w:rsid w:val="24044C11"/>
    <w:rsid w:val="242552B4"/>
    <w:rsid w:val="2435534E"/>
    <w:rsid w:val="244017F7"/>
    <w:rsid w:val="24534F10"/>
    <w:rsid w:val="24DF6C66"/>
    <w:rsid w:val="25341526"/>
    <w:rsid w:val="253D03DB"/>
    <w:rsid w:val="253F66D1"/>
    <w:rsid w:val="25A20B86"/>
    <w:rsid w:val="25B1070F"/>
    <w:rsid w:val="25BC6564"/>
    <w:rsid w:val="25DD571A"/>
    <w:rsid w:val="261E020C"/>
    <w:rsid w:val="265C1D1F"/>
    <w:rsid w:val="26834513"/>
    <w:rsid w:val="26BB36DB"/>
    <w:rsid w:val="26F1403F"/>
    <w:rsid w:val="271C5A93"/>
    <w:rsid w:val="27313A2A"/>
    <w:rsid w:val="276F1834"/>
    <w:rsid w:val="27A74232"/>
    <w:rsid w:val="27B459F9"/>
    <w:rsid w:val="27C51E91"/>
    <w:rsid w:val="280173B2"/>
    <w:rsid w:val="28513369"/>
    <w:rsid w:val="28BF6D42"/>
    <w:rsid w:val="28C822A0"/>
    <w:rsid w:val="292E058E"/>
    <w:rsid w:val="29A70519"/>
    <w:rsid w:val="29FD04D3"/>
    <w:rsid w:val="2A3D2322"/>
    <w:rsid w:val="2A487D46"/>
    <w:rsid w:val="2A9A1E2C"/>
    <w:rsid w:val="2A9C5BA4"/>
    <w:rsid w:val="2AE65071"/>
    <w:rsid w:val="2AE77F17"/>
    <w:rsid w:val="2AF2793B"/>
    <w:rsid w:val="2B073182"/>
    <w:rsid w:val="2B100DC1"/>
    <w:rsid w:val="2BEE0681"/>
    <w:rsid w:val="2C1E1BB4"/>
    <w:rsid w:val="2CAE1BBE"/>
    <w:rsid w:val="2CCF04B2"/>
    <w:rsid w:val="2CF40EA6"/>
    <w:rsid w:val="2DAF2092"/>
    <w:rsid w:val="2DF079DB"/>
    <w:rsid w:val="2E2374B8"/>
    <w:rsid w:val="2E4C04E0"/>
    <w:rsid w:val="2E67588F"/>
    <w:rsid w:val="2E7D3F3E"/>
    <w:rsid w:val="2E861045"/>
    <w:rsid w:val="2ED31D24"/>
    <w:rsid w:val="2F6A2714"/>
    <w:rsid w:val="2F803D16"/>
    <w:rsid w:val="2FF22B1D"/>
    <w:rsid w:val="303954E5"/>
    <w:rsid w:val="306C7DC6"/>
    <w:rsid w:val="306D3728"/>
    <w:rsid w:val="306D4FC5"/>
    <w:rsid w:val="30CB71E3"/>
    <w:rsid w:val="30E36C85"/>
    <w:rsid w:val="30E97669"/>
    <w:rsid w:val="31810DA9"/>
    <w:rsid w:val="31903F88"/>
    <w:rsid w:val="319F7F4E"/>
    <w:rsid w:val="31B72CAD"/>
    <w:rsid w:val="31CD0D39"/>
    <w:rsid w:val="32004B5E"/>
    <w:rsid w:val="32110C25"/>
    <w:rsid w:val="323A1C2F"/>
    <w:rsid w:val="324059AE"/>
    <w:rsid w:val="329448A6"/>
    <w:rsid w:val="32CB34CA"/>
    <w:rsid w:val="32F45598"/>
    <w:rsid w:val="33204932"/>
    <w:rsid w:val="33447C07"/>
    <w:rsid w:val="33C10429"/>
    <w:rsid w:val="345B6AD0"/>
    <w:rsid w:val="345D075E"/>
    <w:rsid w:val="34B65AB4"/>
    <w:rsid w:val="34E06478"/>
    <w:rsid w:val="35244754"/>
    <w:rsid w:val="35DA3A24"/>
    <w:rsid w:val="36154A5C"/>
    <w:rsid w:val="361C390A"/>
    <w:rsid w:val="36407D2B"/>
    <w:rsid w:val="364D41F6"/>
    <w:rsid w:val="36625EF3"/>
    <w:rsid w:val="36FD0156"/>
    <w:rsid w:val="37215C8A"/>
    <w:rsid w:val="38207F4E"/>
    <w:rsid w:val="38F8371D"/>
    <w:rsid w:val="39226F5F"/>
    <w:rsid w:val="395B30CE"/>
    <w:rsid w:val="398443D3"/>
    <w:rsid w:val="398E34A3"/>
    <w:rsid w:val="39902098"/>
    <w:rsid w:val="39C72511"/>
    <w:rsid w:val="39FD5F33"/>
    <w:rsid w:val="3A3A0F35"/>
    <w:rsid w:val="3A4E1148"/>
    <w:rsid w:val="3A502507"/>
    <w:rsid w:val="3A5B3B5A"/>
    <w:rsid w:val="3A7F4778"/>
    <w:rsid w:val="3AF15A98"/>
    <w:rsid w:val="3C8D2F9D"/>
    <w:rsid w:val="3CA134EE"/>
    <w:rsid w:val="3CD1792F"/>
    <w:rsid w:val="3CD825B8"/>
    <w:rsid w:val="3CE0510E"/>
    <w:rsid w:val="3D0E3B71"/>
    <w:rsid w:val="3D1927CA"/>
    <w:rsid w:val="3D1E4B3E"/>
    <w:rsid w:val="3D6562C9"/>
    <w:rsid w:val="3D6F2272"/>
    <w:rsid w:val="3D8344ED"/>
    <w:rsid w:val="3DB1150E"/>
    <w:rsid w:val="3E03620E"/>
    <w:rsid w:val="3E343C22"/>
    <w:rsid w:val="3F0264C5"/>
    <w:rsid w:val="3F512FA9"/>
    <w:rsid w:val="3F780536"/>
    <w:rsid w:val="3F7C601F"/>
    <w:rsid w:val="3FAC4683"/>
    <w:rsid w:val="3FBA6DA0"/>
    <w:rsid w:val="3FEA5DFB"/>
    <w:rsid w:val="40035B02"/>
    <w:rsid w:val="401C35B7"/>
    <w:rsid w:val="40786313"/>
    <w:rsid w:val="40EA7211"/>
    <w:rsid w:val="410140EC"/>
    <w:rsid w:val="4119235A"/>
    <w:rsid w:val="41677310"/>
    <w:rsid w:val="41AC44C7"/>
    <w:rsid w:val="422C2C46"/>
    <w:rsid w:val="4251506E"/>
    <w:rsid w:val="42733338"/>
    <w:rsid w:val="42B75819"/>
    <w:rsid w:val="42F033AB"/>
    <w:rsid w:val="43684120"/>
    <w:rsid w:val="43903D02"/>
    <w:rsid w:val="444F07DA"/>
    <w:rsid w:val="44601E28"/>
    <w:rsid w:val="448E6105"/>
    <w:rsid w:val="45196317"/>
    <w:rsid w:val="45DF1728"/>
    <w:rsid w:val="46042D18"/>
    <w:rsid w:val="46601D24"/>
    <w:rsid w:val="468C2B19"/>
    <w:rsid w:val="472E4611"/>
    <w:rsid w:val="475E72DC"/>
    <w:rsid w:val="476E0DE5"/>
    <w:rsid w:val="479A18A0"/>
    <w:rsid w:val="47F514AF"/>
    <w:rsid w:val="4839282C"/>
    <w:rsid w:val="48FD75BD"/>
    <w:rsid w:val="49243056"/>
    <w:rsid w:val="494C4A06"/>
    <w:rsid w:val="499332EC"/>
    <w:rsid w:val="49E113CD"/>
    <w:rsid w:val="4A113668"/>
    <w:rsid w:val="4A277A41"/>
    <w:rsid w:val="4A745623"/>
    <w:rsid w:val="4ABE6B29"/>
    <w:rsid w:val="4ACC3E2B"/>
    <w:rsid w:val="4B187071"/>
    <w:rsid w:val="4B2B2DCB"/>
    <w:rsid w:val="4B6A5BC2"/>
    <w:rsid w:val="4B6D2BD3"/>
    <w:rsid w:val="4BB5579B"/>
    <w:rsid w:val="4C7555EC"/>
    <w:rsid w:val="4C771B75"/>
    <w:rsid w:val="4D0F1DAD"/>
    <w:rsid w:val="4D135D42"/>
    <w:rsid w:val="4D493511"/>
    <w:rsid w:val="4D846266"/>
    <w:rsid w:val="4D8A3570"/>
    <w:rsid w:val="4D8D78A2"/>
    <w:rsid w:val="4D9811B6"/>
    <w:rsid w:val="4DF123A8"/>
    <w:rsid w:val="4DFE7B54"/>
    <w:rsid w:val="4E24470E"/>
    <w:rsid w:val="4E290981"/>
    <w:rsid w:val="4E6F51FA"/>
    <w:rsid w:val="4E832A53"/>
    <w:rsid w:val="4E9E44C2"/>
    <w:rsid w:val="4EBC1A30"/>
    <w:rsid w:val="4F0C0C9A"/>
    <w:rsid w:val="4F395B30"/>
    <w:rsid w:val="4F3B530F"/>
    <w:rsid w:val="4F6F7A34"/>
    <w:rsid w:val="4FD74194"/>
    <w:rsid w:val="4FDA49F5"/>
    <w:rsid w:val="50AE413E"/>
    <w:rsid w:val="51954F77"/>
    <w:rsid w:val="51E1640E"/>
    <w:rsid w:val="51EE42CA"/>
    <w:rsid w:val="51FF6894"/>
    <w:rsid w:val="52195E38"/>
    <w:rsid w:val="52232583"/>
    <w:rsid w:val="52302EF2"/>
    <w:rsid w:val="525E35BB"/>
    <w:rsid w:val="526E48F5"/>
    <w:rsid w:val="529E3A5D"/>
    <w:rsid w:val="52ED6284"/>
    <w:rsid w:val="5322283B"/>
    <w:rsid w:val="532B0C13"/>
    <w:rsid w:val="533D4F08"/>
    <w:rsid w:val="534A6576"/>
    <w:rsid w:val="53BA6F17"/>
    <w:rsid w:val="53BE2B80"/>
    <w:rsid w:val="53CC27A6"/>
    <w:rsid w:val="53CD51ED"/>
    <w:rsid w:val="53E04A6E"/>
    <w:rsid w:val="54136CE6"/>
    <w:rsid w:val="541505F1"/>
    <w:rsid w:val="542D2749"/>
    <w:rsid w:val="54520EFE"/>
    <w:rsid w:val="54992FD0"/>
    <w:rsid w:val="55872E29"/>
    <w:rsid w:val="55911EF9"/>
    <w:rsid w:val="55923320"/>
    <w:rsid w:val="55C0458D"/>
    <w:rsid w:val="56606A2E"/>
    <w:rsid w:val="56B57EA3"/>
    <w:rsid w:val="56C34335"/>
    <w:rsid w:val="56D0674C"/>
    <w:rsid w:val="570E3555"/>
    <w:rsid w:val="572528F9"/>
    <w:rsid w:val="57A97BBB"/>
    <w:rsid w:val="57CF0AB7"/>
    <w:rsid w:val="57D23F06"/>
    <w:rsid w:val="57E666CC"/>
    <w:rsid w:val="580E5A83"/>
    <w:rsid w:val="5855178F"/>
    <w:rsid w:val="58BA52C3"/>
    <w:rsid w:val="58BC5D23"/>
    <w:rsid w:val="58EF1411"/>
    <w:rsid w:val="59177DCC"/>
    <w:rsid w:val="59777DBE"/>
    <w:rsid w:val="59E040FC"/>
    <w:rsid w:val="59E11CD3"/>
    <w:rsid w:val="5A201A9E"/>
    <w:rsid w:val="5A857BDE"/>
    <w:rsid w:val="5B2A4567"/>
    <w:rsid w:val="5B5E4F14"/>
    <w:rsid w:val="5BE202EA"/>
    <w:rsid w:val="5C25514A"/>
    <w:rsid w:val="5C3435DF"/>
    <w:rsid w:val="5C447BAA"/>
    <w:rsid w:val="5C8A31FF"/>
    <w:rsid w:val="5CAD7C22"/>
    <w:rsid w:val="5CE95B0C"/>
    <w:rsid w:val="5CFA7F1D"/>
    <w:rsid w:val="5D4C3F91"/>
    <w:rsid w:val="5D577E65"/>
    <w:rsid w:val="5D6F6B2F"/>
    <w:rsid w:val="5DDC4E0A"/>
    <w:rsid w:val="5E011052"/>
    <w:rsid w:val="5E2506F8"/>
    <w:rsid w:val="5E4F64AE"/>
    <w:rsid w:val="5E5D6E1D"/>
    <w:rsid w:val="5E5E7F75"/>
    <w:rsid w:val="5E764EBF"/>
    <w:rsid w:val="5EA316D6"/>
    <w:rsid w:val="5ECE1AC8"/>
    <w:rsid w:val="5EF556B7"/>
    <w:rsid w:val="5F170948"/>
    <w:rsid w:val="5F3A07D2"/>
    <w:rsid w:val="5F593A88"/>
    <w:rsid w:val="5FE356D0"/>
    <w:rsid w:val="5FF901AE"/>
    <w:rsid w:val="5FFA3418"/>
    <w:rsid w:val="60065292"/>
    <w:rsid w:val="60651EAC"/>
    <w:rsid w:val="60BB3927"/>
    <w:rsid w:val="61914A31"/>
    <w:rsid w:val="6192502F"/>
    <w:rsid w:val="6200749A"/>
    <w:rsid w:val="620F0B35"/>
    <w:rsid w:val="6240022D"/>
    <w:rsid w:val="62A42EE2"/>
    <w:rsid w:val="62BE686B"/>
    <w:rsid w:val="62F14F12"/>
    <w:rsid w:val="630D013F"/>
    <w:rsid w:val="632E0D88"/>
    <w:rsid w:val="63347FC4"/>
    <w:rsid w:val="63604CB9"/>
    <w:rsid w:val="6489511A"/>
    <w:rsid w:val="64A36D0B"/>
    <w:rsid w:val="64C656C1"/>
    <w:rsid w:val="64F77166"/>
    <w:rsid w:val="65201386"/>
    <w:rsid w:val="652C579B"/>
    <w:rsid w:val="65473105"/>
    <w:rsid w:val="657F4183"/>
    <w:rsid w:val="658466A7"/>
    <w:rsid w:val="6596487B"/>
    <w:rsid w:val="65DF63C9"/>
    <w:rsid w:val="65E950BC"/>
    <w:rsid w:val="662A7F2C"/>
    <w:rsid w:val="66627873"/>
    <w:rsid w:val="668138C4"/>
    <w:rsid w:val="66D65FFA"/>
    <w:rsid w:val="6716225F"/>
    <w:rsid w:val="675114E9"/>
    <w:rsid w:val="67C24194"/>
    <w:rsid w:val="67EB36EB"/>
    <w:rsid w:val="68725BBA"/>
    <w:rsid w:val="68AF296B"/>
    <w:rsid w:val="68DA2DB6"/>
    <w:rsid w:val="69725134"/>
    <w:rsid w:val="6AA10091"/>
    <w:rsid w:val="6AEF6ECA"/>
    <w:rsid w:val="6B4666B6"/>
    <w:rsid w:val="6B882FFF"/>
    <w:rsid w:val="6BB306BC"/>
    <w:rsid w:val="6CB542C8"/>
    <w:rsid w:val="6CC85DA9"/>
    <w:rsid w:val="6CD8449D"/>
    <w:rsid w:val="6D2A5F93"/>
    <w:rsid w:val="6D8F2D6B"/>
    <w:rsid w:val="6D975C0A"/>
    <w:rsid w:val="6DB91990"/>
    <w:rsid w:val="6DC31436"/>
    <w:rsid w:val="6E5B0DBD"/>
    <w:rsid w:val="6E6B2E90"/>
    <w:rsid w:val="6E6F4E2B"/>
    <w:rsid w:val="6ECB49CF"/>
    <w:rsid w:val="6ECB5A2B"/>
    <w:rsid w:val="6F4D197C"/>
    <w:rsid w:val="6F502086"/>
    <w:rsid w:val="6F59718C"/>
    <w:rsid w:val="6F806E0F"/>
    <w:rsid w:val="6FF3128D"/>
    <w:rsid w:val="7007308C"/>
    <w:rsid w:val="70202A42"/>
    <w:rsid w:val="70480FAF"/>
    <w:rsid w:val="70ED3F4C"/>
    <w:rsid w:val="71C8684B"/>
    <w:rsid w:val="72227D09"/>
    <w:rsid w:val="72275320"/>
    <w:rsid w:val="7235674F"/>
    <w:rsid w:val="72E476B5"/>
    <w:rsid w:val="72F22338"/>
    <w:rsid w:val="73327580"/>
    <w:rsid w:val="733572FD"/>
    <w:rsid w:val="73410663"/>
    <w:rsid w:val="738E1597"/>
    <w:rsid w:val="73BE3A62"/>
    <w:rsid w:val="746C7E4B"/>
    <w:rsid w:val="750E6C6B"/>
    <w:rsid w:val="75295E16"/>
    <w:rsid w:val="755E374E"/>
    <w:rsid w:val="75884CEA"/>
    <w:rsid w:val="75A1188D"/>
    <w:rsid w:val="75B310E7"/>
    <w:rsid w:val="75B318F4"/>
    <w:rsid w:val="75B74FF1"/>
    <w:rsid w:val="75F61299"/>
    <w:rsid w:val="761A4623"/>
    <w:rsid w:val="76377F56"/>
    <w:rsid w:val="764B35A7"/>
    <w:rsid w:val="765B27BA"/>
    <w:rsid w:val="769E6A57"/>
    <w:rsid w:val="77B238DE"/>
    <w:rsid w:val="77FF0DFC"/>
    <w:rsid w:val="78895736"/>
    <w:rsid w:val="78A4106B"/>
    <w:rsid w:val="79975481"/>
    <w:rsid w:val="79B4511D"/>
    <w:rsid w:val="79F60BE5"/>
    <w:rsid w:val="79F71A7C"/>
    <w:rsid w:val="7A1B4027"/>
    <w:rsid w:val="7A831561"/>
    <w:rsid w:val="7A965738"/>
    <w:rsid w:val="7ABC1C9C"/>
    <w:rsid w:val="7ABD0F17"/>
    <w:rsid w:val="7AD143E2"/>
    <w:rsid w:val="7AD96FDA"/>
    <w:rsid w:val="7AF83CFD"/>
    <w:rsid w:val="7B022DCE"/>
    <w:rsid w:val="7B272834"/>
    <w:rsid w:val="7B8F71DF"/>
    <w:rsid w:val="7BEA3CED"/>
    <w:rsid w:val="7C1568F9"/>
    <w:rsid w:val="7C3A20F4"/>
    <w:rsid w:val="7C6929D9"/>
    <w:rsid w:val="7CB2612E"/>
    <w:rsid w:val="7CC25607"/>
    <w:rsid w:val="7D470F6C"/>
    <w:rsid w:val="7D6526D0"/>
    <w:rsid w:val="7DA94583"/>
    <w:rsid w:val="7DB24DA6"/>
    <w:rsid w:val="7DBD122E"/>
    <w:rsid w:val="7DE1316F"/>
    <w:rsid w:val="7DE859ED"/>
    <w:rsid w:val="7DFF1847"/>
    <w:rsid w:val="7E4C610E"/>
    <w:rsid w:val="7ECA59B1"/>
    <w:rsid w:val="7F09108F"/>
    <w:rsid w:val="7FAC3308"/>
    <w:rsid w:val="7FDC49A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418738049713"/>
          <c:y val="0.203307888040712"/>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682.84</c:v>
                </c:pt>
                <c:pt idx="1">
                  <c:v>967.98</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109908352"/>
        <c:crossesAt val="1"/>
        <c:crossBetween val="between"/>
      </c:valAx>
      <c:spPr>
        <a:solidFill>
          <a:srgbClr val="FFFFFF"/>
        </a:solidFill>
      </c:spPr>
    </c:plotArea>
    <c:legend>
      <c:legendPos val="t"/>
      <c:legendEntry>
        <c:idx val="0"/>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charset="-122"/>
                <a:cs typeface="Lucida Sans" panose="020B0602030504020204"/>
              </a:defRPr>
            </a:pPr>
          </a:p>
        </c:txPr>
      </c:legendEntry>
      <c:layout/>
      <c:overlay val="0"/>
      <c:spPr>
        <a:noFill/>
        <a:ln>
          <a:noFill/>
        </a:ln>
      </c:spPr>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charset="-122"/>
              <a:cs typeface="Lucida Sans" panose="020B0602030504020204"/>
            </a:defRPr>
          </a:pPr>
        </a:p>
      </c:txPr>
    </c:legend>
    <c:plotVisOnly val="1"/>
    <c:dispBlanksAs val="gap"/>
    <c:showDLblsOverMax val="0"/>
  </c:chart>
  <c:txPr>
    <a:bodyPr/>
    <a:lstStyle/>
    <a:p>
      <a:pPr>
        <a:defRPr lang="zh-CN" sz="1000" b="0" i="0" u="none" strike="noStrike" baseline="0">
          <a:solidFill>
            <a:srgbClr val="000000"/>
          </a:solidFill>
          <a:latin typeface="Times New Roman" panose="02020603050405020304"/>
          <a:ea typeface="宋体" charset="-122"/>
          <a:cs typeface="Lucida Sans" panose="020B0602030504020204"/>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99.9%</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manualLayout>
                  <c:x val="0.00028327771518672"/>
                  <c:y val="0.004335287296877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0.1%</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c:f>
              <c:strCache>
                <c:ptCount val="2"/>
                <c:pt idx="0">
                  <c:v>一般公共预算财政拨款收入</c:v>
                </c:pt>
                <c:pt idx="1">
                  <c:v>政府性基金预算财政拨款收入</c:v>
                </c:pt>
              </c:strCache>
            </c:strRef>
          </c:cat>
          <c:val>
            <c:numRef>
              <c:f>{680.34,2.5}</c:f>
              <c:numCache>
                <c:formatCode>General</c:formatCode>
                <c:ptCount val="2"/>
                <c:pt idx="0">
                  <c:v>680.34</c:v>
                </c:pt>
                <c:pt idx="1">
                  <c:v>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支出决算结构图</a:t>
            </a:r>
            <a:endParaRPr lang="en-US" sz="1100"/>
          </a:p>
        </c:rich>
      </c:tx>
      <c:layout/>
      <c:overlay val="0"/>
    </c:title>
    <c:autoTitleDeleted val="0"/>
    <c:plotArea>
      <c:layout/>
      <c:pieChart>
        <c:varyColors val="1"/>
        <c:ser>
          <c:idx val="1"/>
          <c:order val="0"/>
          <c:explosion val="0"/>
          <c:dPt>
            <c:idx val="0"/>
            <c:bubble3D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98.9</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1.1</a:t>
                    </a:r>
                    <a:r>
                      <a:t>%</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{667.18,15.66}</c:f>
              <c:numCache>
                <c:formatCode>General</c:formatCode>
                <c:ptCount val="2"/>
                <c:pt idx="0">
                  <c:v>667.18</c:v>
                </c:pt>
                <c:pt idx="1">
                  <c:v>15.66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447418738049713"/>
          <c:y val="0.208396946564885"/>
          <c:w val="0.951434034416826"/>
          <c:h val="0.676081424936387"/>
        </c:manualLayout>
      </c:layout>
      <c:barChart>
        <c:barDir val="col"/>
        <c:grouping val="clustered"/>
        <c:varyColors val="0"/>
        <c:ser>
          <c:idx val="0"/>
          <c:order val="0"/>
          <c:tx>
            <c:strRef>
              <c:f>Sheet1!$B$1</c:f>
              <c:strCache>
                <c:ptCount val="1"/>
                <c:pt idx="0">
                  <c:v>收支总计（万元）</c:v>
                </c:pt>
              </c:strCache>
            </c:strRef>
          </c:tx>
          <c:spPr>
            <a:solidFill>
              <a:srgbClr val="4472C4"/>
            </a:solidFill>
            <a:ln>
              <a:noFill/>
            </a:ln>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682.84</c:v>
                </c:pt>
                <c:pt idx="1">
                  <c:v>967.98</c:v>
                </c:pt>
              </c:numCache>
            </c:numRef>
          </c:val>
        </c:ser>
        <c:dLbls>
          <c:showLegendKey val="0"/>
          <c:showVal val="1"/>
          <c:showCatName val="0"/>
          <c:showSerName val="0"/>
          <c:showPercent val="0"/>
          <c:showBubbleSize val="0"/>
        </c:dLbls>
        <c:gapWidth val="150"/>
        <c:overlap val="-25"/>
        <c:axId val="109908352"/>
        <c:axId val="109910272"/>
      </c:barChart>
      <c:catAx>
        <c:axId val="1099083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109910272"/>
        <c:crosses val="autoZero"/>
        <c:auto val="1"/>
        <c:lblAlgn val="ctr"/>
        <c:lblOffset val="100"/>
        <c:noMultiLvlLbl val="0"/>
      </c:catAx>
      <c:valAx>
        <c:axId val="109910272"/>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109908352"/>
        <c:crossesAt val="1"/>
        <c:crossBetween val="between"/>
      </c:valAx>
      <c:spPr>
        <a:solidFill>
          <a:srgbClr val="FFFFFF"/>
        </a:solidFill>
      </c:spPr>
    </c:plotArea>
    <c:legend>
      <c:legendPos val="t"/>
      <c:legendEntry>
        <c:idx val="0"/>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charset="-122"/>
                <a:cs typeface="Lucida Sans" panose="020B0602030504020204"/>
              </a:defRPr>
            </a:pPr>
          </a:p>
        </c:txPr>
      </c:legendEntry>
      <c:layout/>
      <c:overlay val="0"/>
      <c:spPr>
        <a:noFill/>
        <a:ln>
          <a:noFill/>
        </a:ln>
      </c:spPr>
      <c:txPr>
        <a:bodyPr rot="0" spcFirstLastPara="0" vertOverflow="ellipsis" vert="horz" wrap="square" anchor="ctr" anchorCtr="1"/>
        <a:lstStyle/>
        <a:p>
          <a:pPr>
            <a:defRPr lang="zh-CN" sz="1800" b="0" i="0" u="none" strike="noStrike" kern="1200" baseline="0">
              <a:solidFill>
                <a:srgbClr val="000000"/>
              </a:solidFill>
              <a:latin typeface="Times New Roman" panose="02020603050405020304"/>
              <a:ea typeface="宋体" charset="-122"/>
              <a:cs typeface="Lucida Sans" panose="020B0602030504020204"/>
            </a:defRPr>
          </a:pPr>
        </a:p>
      </c:txPr>
    </c:legend>
    <c:plotVisOnly val="1"/>
    <c:dispBlanksAs val="gap"/>
    <c:showDLblsOverMax val="0"/>
  </c:chart>
  <c:txPr>
    <a:bodyPr/>
    <a:lstStyle/>
    <a:p>
      <a:pPr>
        <a:defRPr lang="zh-CN" sz="1000" b="0" i="0" u="none" strike="noStrike" baseline="0">
          <a:solidFill>
            <a:srgbClr val="000000"/>
          </a:solidFill>
          <a:latin typeface="Times New Roman" panose="02020603050405020304"/>
          <a:ea typeface="宋体" charset="-122"/>
          <a:cs typeface="Lucida Sans" panose="020B0602030504020204"/>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260449008836876"/>
          <c:y val="0.0558987937628714"/>
        </c:manualLayout>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charset="-122"/>
              <a:cs typeface="Lucida Sans" panose="020B0602030504020204"/>
            </a:defRPr>
          </a:pPr>
        </a:p>
      </c:txPr>
    </c:title>
    <c:autoTitleDeleted val="0"/>
    <c:plotArea>
      <c:layout>
        <c:manualLayout>
          <c:layoutTarget val="inner"/>
          <c:xMode val="edge"/>
          <c:yMode val="edge"/>
          <c:x val="0.285646047289229"/>
          <c:y val="0.230656075316269"/>
          <c:w val="0.563888225459756"/>
          <c:h val="0.635775228008238"/>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(4)'!$A$2:$A$3</c:f>
              <c:numCache>
                <c:formatCode>General</c:formatCode>
                <c:ptCount val="2"/>
                <c:pt idx="0">
                  <c:v>2024</c:v>
                </c:pt>
                <c:pt idx="1">
                  <c:v>2025</c:v>
                </c:pt>
              </c:numCache>
            </c:numRef>
          </c:cat>
          <c:val>
            <c:numRef>
              <c:f>'Sheet1 (4)'!$B$2:$B$3</c:f>
              <c:numCache>
                <c:formatCode>General</c:formatCode>
                <c:ptCount val="2"/>
                <c:pt idx="0">
                  <c:v>680.34</c:v>
                </c:pt>
                <c:pt idx="1">
                  <c:v>967.48</c:v>
                </c:pt>
              </c:numCache>
            </c:numRef>
          </c:val>
        </c:ser>
        <c:dLbls>
          <c:showLegendKey val="0"/>
          <c:showVal val="1"/>
          <c:showCatName val="0"/>
          <c:showSerName val="0"/>
          <c:showPercent val="0"/>
          <c:showBubbleSize val="0"/>
        </c:dLbls>
        <c:gapWidth val="150"/>
        <c:axId val="43700224"/>
        <c:axId val="43701760"/>
      </c:barChart>
      <c:catAx>
        <c:axId val="437002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43701760"/>
        <c:crosses val="autoZero"/>
        <c:auto val="1"/>
        <c:lblAlgn val="ctr"/>
        <c:lblOffset val="100"/>
        <c:noMultiLvlLbl val="0"/>
      </c:catAx>
      <c:valAx>
        <c:axId val="437017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charset="-122"/>
                <a:cs typeface="Lucida Sans" panose="020B0602030504020204"/>
              </a:defRPr>
            </a:pPr>
          </a:p>
        </c:txPr>
        <c:crossAx val="43700224"/>
        <c:crossesAt val="1"/>
        <c:crossBetween val="between"/>
      </c:valAx>
      <c:spPr>
        <a:solidFill>
          <a:srgbClr val="FFFFFF"/>
        </a:solidFill>
      </c:spPr>
    </c:plotArea>
    <c:plotVisOnly val="1"/>
    <c:dispBlanksAs val="gap"/>
    <c:showDLblsOverMax val="0"/>
  </c:chart>
  <c:txPr>
    <a:bodyPr/>
    <a:lstStyle/>
    <a:p>
      <a:pPr>
        <a:defRPr lang="zh-CN" sz="1000" b="0" i="0" u="none" strike="noStrike" baseline="0">
          <a:solidFill>
            <a:srgbClr val="000000"/>
          </a:solidFill>
          <a:latin typeface="Times New Roman" panose="02020603050405020304"/>
          <a:ea typeface="宋体"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sz="1000"/>
              <a:t>一般公共预算财政拨款支出</a:t>
            </a:r>
            <a:endParaRPr lang="en-US" sz="10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722.21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123.24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52.15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68.89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{"教育支出","社会保障和就业支出","卫生健康支出","住房保障支出"}</c:f>
              <c:strCache>
                <c:ptCount val="4"/>
                <c:pt idx="0">
                  <c:v>教育支出</c:v>
                </c:pt>
                <c:pt idx="1">
                  <c:v>社会保障和就业支出</c:v>
                </c:pt>
                <c:pt idx="2">
                  <c:v>卫生健康支出</c:v>
                </c:pt>
                <c:pt idx="3">
                  <c:v>住房保障支出</c:v>
                </c:pt>
              </c:strCache>
            </c:strRef>
          </c:cat>
          <c:val>
            <c:numRef>
              <c:f>{509.88,83.23,38.01,49.23}</c:f>
              <c:numCache>
                <c:formatCode>General</c:formatCode>
                <c:ptCount val="4"/>
                <c:pt idx="0">
                  <c:v>509.88</c:v>
                </c:pt>
                <c:pt idx="1">
                  <c:v>83.23</c:v>
                </c:pt>
                <c:pt idx="2">
                  <c:v>38.01</c:v>
                </c:pt>
                <c:pt idx="3">
                  <c:v>49.23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4885</Words>
  <Characters>5530</Characters>
  <Lines>48</Lines>
  <Paragraphs>13</Paragraphs>
  <TotalTime>6</TotalTime>
  <ScaleCrop>false</ScaleCrop>
  <LinksUpToDate>false</LinksUpToDate>
  <CharactersWithSpaces>5642</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user</cp:lastModifiedBy>
  <cp:lastPrinted>2026-08-26T15:47:00Z</cp:lastPrinted>
  <dcterms:modified xsi:type="dcterms:W3CDTF">2026-08-27T09:48:32Z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5F5EAE46023B41039AB8027ACF0B1765_13</vt:lpwstr>
  </property>
  <property fmtid="{D5CDD505-2E9C-101B-9397-08002B2CF9AE}" pid="4" name="KSOTemplateDocerSaveRecord">
    <vt:lpwstr>eyJoZGlkIjoiMjY5N2JmMDNjZDI1MGZiNTllMTBmODA1ZThhMDgwMjgifQ==</vt:lpwstr>
  </property>
</Properties>
</file>