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28EAC3">
      <w:pPr>
        <w:pageBreakBefore w:val="0"/>
        <w:kinsoku/>
        <w:wordWrap/>
        <w:overflowPunct/>
        <w:topLinePunct w:val="0"/>
        <w:autoSpaceDE/>
        <w:autoSpaceDN/>
        <w:bidi w:val="0"/>
        <w:adjustRightInd/>
        <w:snapToGrid/>
        <w:rPr>
          <w:rFonts w:hint="eastAsia" w:ascii="思源黑体 CN Normal" w:hAnsi="思源黑体 CN Normal" w:eastAsia="思源黑体 CN Normal" w:cs="思源黑体 CN Normal"/>
          <w:b/>
          <w:color w:val="000000" w:themeColor="text1"/>
          <w:sz w:val="72"/>
          <w:szCs w:val="72"/>
          <w14:textFill>
            <w14:solidFill>
              <w14:schemeClr w14:val="tx1"/>
            </w14:solidFill>
          </w14:textFill>
        </w:rPr>
      </w:pPr>
      <w:bookmarkStart w:id="0" w:name="_Toc15378441"/>
      <w:bookmarkStart w:id="1" w:name="_Toc15396597"/>
      <w:bookmarkStart w:id="2" w:name="_Toc15377193"/>
      <w:bookmarkStart w:id="3" w:name="_Toc15377425"/>
      <w:bookmarkStart w:id="4" w:name="_Toc15396475"/>
      <w:bookmarkStart w:id="5" w:name="_Toc15306267"/>
    </w:p>
    <w:p w14:paraId="74248CA5">
      <w:pPr>
        <w:pStyle w:val="8"/>
        <w:pageBreakBefore w:val="0"/>
        <w:kinsoku/>
        <w:wordWrap/>
        <w:overflowPunct/>
        <w:topLinePunct w:val="0"/>
        <w:autoSpaceDE/>
        <w:autoSpaceDN/>
        <w:bidi w:val="0"/>
        <w:adjustRightInd/>
        <w:snapToGrid/>
        <w:ind w:firstLine="0"/>
        <w:rPr>
          <w:rFonts w:hint="eastAsia" w:ascii="思源黑体 CN Normal" w:hAnsi="思源黑体 CN Normal" w:eastAsia="思源黑体 CN Normal" w:cs="思源黑体 CN Normal"/>
          <w:color w:val="000000" w:themeColor="text1"/>
          <w14:textFill>
            <w14:solidFill>
              <w14:schemeClr w14:val="tx1"/>
            </w14:solidFill>
          </w14:textFill>
        </w:rPr>
      </w:pPr>
    </w:p>
    <w:p w14:paraId="1C6C9058">
      <w:pPr>
        <w:pageBreakBefore w:val="0"/>
        <w:kinsoku/>
        <w:wordWrap/>
        <w:overflowPunct/>
        <w:topLinePunct w:val="0"/>
        <w:autoSpaceDE/>
        <w:autoSpaceDN/>
        <w:bidi w:val="0"/>
        <w:adjustRightInd/>
        <w:snapToGrid/>
        <w:jc w:val="center"/>
        <w:rPr>
          <w:rFonts w:hint="eastAsia" w:ascii="方正小标宋简体" w:hAnsi="方正小标宋简体" w:eastAsia="方正小标宋简体" w:cs="方正小标宋简体"/>
          <w:b w:val="0"/>
          <w:bCs/>
          <w:color w:val="000000" w:themeColor="text1"/>
          <w:sz w:val="44"/>
          <w:szCs w:val="44"/>
          <w14:textFill>
            <w14:solidFill>
              <w14:schemeClr w14:val="tx1"/>
            </w14:solidFill>
          </w14:textFill>
        </w:rPr>
      </w:pPr>
    </w:p>
    <w:p w14:paraId="09765E35">
      <w:pPr>
        <w:pageBreakBefore w:val="0"/>
        <w:kinsoku/>
        <w:wordWrap/>
        <w:overflowPunct/>
        <w:topLinePunct w:val="0"/>
        <w:autoSpaceDE/>
        <w:autoSpaceDN/>
        <w:bidi w:val="0"/>
        <w:adjustRightInd/>
        <w:snapToGrid/>
        <w:jc w:val="center"/>
        <w:rPr>
          <w:rFonts w:hint="eastAsia" w:ascii="方正小标宋简体" w:hAnsi="方正小标宋简体" w:eastAsia="方正小标宋简体" w:cs="方正小标宋简体"/>
          <w:b w:val="0"/>
          <w:bCs/>
          <w:color w:val="000000" w:themeColor="text1"/>
          <w:sz w:val="44"/>
          <w:szCs w:val="44"/>
          <w14:textFill>
            <w14:solidFill>
              <w14:schemeClr w14:val="tx1"/>
            </w14:solidFill>
          </w14:textFill>
        </w:rPr>
      </w:pPr>
    </w:p>
    <w:p w14:paraId="4A6B94B6">
      <w:pPr>
        <w:pageBreakBefore w:val="0"/>
        <w:kinsoku/>
        <w:wordWrap/>
        <w:overflowPunct/>
        <w:topLinePunct w:val="0"/>
        <w:autoSpaceDE/>
        <w:autoSpaceDN/>
        <w:bidi w:val="0"/>
        <w:adjustRightInd/>
        <w:snapToGrid/>
        <w:jc w:val="both"/>
        <w:rPr>
          <w:rFonts w:hint="eastAsia" w:ascii="方正小标宋简体" w:hAnsi="方正小标宋简体" w:eastAsia="方正小标宋简体" w:cs="方正小标宋简体"/>
          <w:b w:val="0"/>
          <w:bCs/>
          <w:color w:val="000000" w:themeColor="text1"/>
          <w:sz w:val="44"/>
          <w:szCs w:val="44"/>
          <w14:textFill>
            <w14:solidFill>
              <w14:schemeClr w14:val="tx1"/>
            </w14:solidFill>
          </w14:textFill>
        </w:rPr>
      </w:pPr>
    </w:p>
    <w:p w14:paraId="73D1A0AD">
      <w:pPr>
        <w:pageBreakBefore w:val="0"/>
        <w:kinsoku/>
        <w:wordWrap/>
        <w:overflowPunct/>
        <w:topLinePunct w:val="0"/>
        <w:autoSpaceDE/>
        <w:autoSpaceDN/>
        <w:bidi w:val="0"/>
        <w:adjustRightInd/>
        <w:snapToGrid/>
        <w:jc w:val="center"/>
        <w:rPr>
          <w:rFonts w:hint="eastAsia" w:ascii="黑体" w:hAnsi="黑体" w:eastAsia="黑体" w:cs="黑体"/>
          <w:b w:val="0"/>
          <w:bCs/>
          <w:color w:val="000000" w:themeColor="text1"/>
          <w:sz w:val="44"/>
          <w:szCs w:val="44"/>
          <w14:textFill>
            <w14:solidFill>
              <w14:schemeClr w14:val="tx1"/>
            </w14:solidFill>
          </w14:textFill>
        </w:rPr>
      </w:pPr>
      <w:r>
        <w:rPr>
          <w:rFonts w:hint="eastAsia" w:ascii="黑体" w:hAnsi="黑体" w:eastAsia="黑体" w:cs="黑体"/>
          <w:b w:val="0"/>
          <w:bCs/>
          <w:color w:val="000000" w:themeColor="text1"/>
          <w:sz w:val="44"/>
          <w:szCs w:val="44"/>
          <w14:textFill>
            <w14:solidFill>
              <w14:schemeClr w14:val="tx1"/>
            </w14:solidFill>
          </w14:textFill>
        </w:rPr>
        <w:t>202</w:t>
      </w:r>
      <w:r>
        <w:rPr>
          <w:rFonts w:hint="eastAsia" w:ascii="黑体" w:hAnsi="黑体" w:eastAsia="黑体" w:cs="黑体"/>
          <w:b w:val="0"/>
          <w:bCs/>
          <w:color w:val="000000" w:themeColor="text1"/>
          <w:sz w:val="44"/>
          <w:szCs w:val="44"/>
          <w:lang w:val="en-US" w:eastAsia="zh-CN"/>
          <w14:textFill>
            <w14:solidFill>
              <w14:schemeClr w14:val="tx1"/>
            </w14:solidFill>
          </w14:textFill>
        </w:rPr>
        <w:t>5</w:t>
      </w:r>
      <w:r>
        <w:rPr>
          <w:rFonts w:ascii="黑体" w:hAnsi="黑体" w:eastAsia="黑体" w:cs="黑体"/>
          <w:color w:val="000000"/>
          <w:sz w:val="44"/>
          <w:u w:color="auto"/>
        </w:rPr>
        <w:t>年度</w:t>
      </w:r>
      <w:bookmarkEnd w:id="0"/>
      <w:bookmarkEnd w:id="1"/>
      <w:bookmarkEnd w:id="2"/>
      <w:bookmarkEnd w:id="3"/>
      <w:bookmarkEnd w:id="4"/>
    </w:p>
    <w:bookmarkEnd w:id="5"/>
    <w:p w14:paraId="665EE8F0">
      <w:pPr>
        <w:pageBreakBefore w:val="0"/>
        <w:kinsoku/>
        <w:wordWrap/>
        <w:overflowPunct/>
        <w:topLinePunct w:val="0"/>
        <w:autoSpaceDE/>
        <w:autoSpaceDN/>
        <w:bidi w:val="0"/>
        <w:adjustRightInd/>
        <w:snapToGrid/>
        <w:jc w:val="center"/>
        <w:rPr>
          <w:rFonts w:hint="eastAsia" w:ascii="黑体" w:hAnsi="黑体" w:eastAsia="黑体" w:cs="黑体"/>
          <w:b w:val="0"/>
          <w:bCs/>
          <w:color w:val="000000" w:themeColor="text1"/>
          <w:sz w:val="44"/>
          <w:szCs w:val="44"/>
          <w14:textFill>
            <w14:solidFill>
              <w14:schemeClr w14:val="tx1"/>
            </w14:solidFill>
          </w14:textFill>
        </w:rPr>
      </w:pPr>
      <w:bookmarkStart w:id="6" w:name="_Toc15377194"/>
      <w:bookmarkStart w:id="7" w:name="_Toc15377426"/>
      <w:bookmarkStart w:id="8" w:name="_Toc15396476"/>
      <w:bookmarkStart w:id="9" w:name="_Toc15396598"/>
      <w:bookmarkStart w:id="10" w:name="_Toc15306268"/>
      <w:bookmarkStart w:id="11" w:name="_Toc15378442"/>
      <w:r>
        <w:rPr>
          <w:rFonts w:hint="eastAsia" w:ascii="黑体" w:hAnsi="黑体" w:eastAsia="黑体" w:cs="黑体"/>
          <w:b w:val="0"/>
          <w:bCs/>
          <w:color w:val="000000" w:themeColor="text1"/>
          <w:sz w:val="44"/>
          <w:szCs w:val="44"/>
          <w14:textFill>
            <w14:solidFill>
              <w14:schemeClr w14:val="tx1"/>
            </w14:solidFill>
          </w14:textFill>
        </w:rPr>
        <w:t>四川省阿坝藏族羌族自治州茂县</w:t>
      </w:r>
      <w:r>
        <w:rPr>
          <w:rFonts w:hint="eastAsia" w:ascii="黑体" w:hAnsi="黑体" w:eastAsia="黑体" w:cs="黑体"/>
          <w:b w:val="0"/>
          <w:bCs/>
          <w:color w:val="000000" w:themeColor="text1"/>
          <w:sz w:val="44"/>
          <w:szCs w:val="44"/>
          <w:lang w:eastAsia="zh-CN"/>
          <w14:textFill>
            <w14:solidFill>
              <w14:schemeClr w14:val="tx1"/>
            </w14:solidFill>
          </w14:textFill>
        </w:rPr>
        <w:t>凤仪镇兴茂</w:t>
      </w:r>
      <w:r>
        <w:rPr>
          <w:rFonts w:hint="eastAsia" w:ascii="黑体" w:hAnsi="黑体" w:eastAsia="黑体" w:cs="黑体"/>
          <w:b w:val="0"/>
          <w:bCs/>
          <w:color w:val="000000" w:themeColor="text1"/>
          <w:sz w:val="44"/>
          <w:szCs w:val="44"/>
          <w14:textFill>
            <w14:solidFill>
              <w14:schemeClr w14:val="tx1"/>
            </w14:solidFill>
          </w14:textFill>
        </w:rPr>
        <w:t>小学校</w:t>
      </w:r>
      <w:r>
        <w:rPr>
          <w:rFonts w:ascii="黑体" w:hAnsi="黑体" w:eastAsia="黑体" w:cs="黑体"/>
          <w:color w:val="000000"/>
          <w:sz w:val="44"/>
          <w:u w:color="auto"/>
        </w:rPr>
        <w:t>单位决算</w:t>
      </w:r>
      <w:bookmarkEnd w:id="6"/>
      <w:bookmarkEnd w:id="7"/>
      <w:bookmarkEnd w:id="8"/>
      <w:bookmarkEnd w:id="9"/>
      <w:bookmarkEnd w:id="10"/>
      <w:bookmarkEnd w:id="11"/>
    </w:p>
    <w:p w14:paraId="4A95952D">
      <w:pPr>
        <w:pStyle w:val="8"/>
        <w:pageBreakBefore w:val="0"/>
        <w:kinsoku/>
        <w:wordWrap/>
        <w:overflowPunct/>
        <w:topLinePunct w:val="0"/>
        <w:autoSpaceDE/>
        <w:autoSpaceDN/>
        <w:bidi w:val="0"/>
        <w:adjustRightInd/>
        <w:snapToGrid/>
        <w:rPr>
          <w:rFonts w:hint="eastAsia" w:ascii="思源黑体 CN Normal" w:hAnsi="思源黑体 CN Normal" w:eastAsia="思源黑体 CN Normal" w:cs="思源黑体 CN Normal"/>
          <w:color w:val="000000" w:themeColor="text1"/>
          <w14:textFill>
            <w14:solidFill>
              <w14:schemeClr w14:val="tx1"/>
            </w14:solidFill>
          </w14:textFill>
        </w:rPr>
      </w:pPr>
    </w:p>
    <w:p w14:paraId="2A17C6F9">
      <w:pPr>
        <w:pStyle w:val="8"/>
        <w:pageBreakBefore w:val="0"/>
        <w:kinsoku/>
        <w:wordWrap/>
        <w:overflowPunct/>
        <w:topLinePunct w:val="0"/>
        <w:autoSpaceDE/>
        <w:autoSpaceDN/>
        <w:bidi w:val="0"/>
        <w:adjustRightInd/>
        <w:snapToGrid/>
        <w:rPr>
          <w:rFonts w:hint="eastAsia" w:ascii="思源黑体 CN Normal" w:hAnsi="思源黑体 CN Normal" w:eastAsia="思源黑体 CN Normal" w:cs="思源黑体 CN Normal"/>
          <w:color w:val="000000" w:themeColor="text1"/>
          <w14:textFill>
            <w14:solidFill>
              <w14:schemeClr w14:val="tx1"/>
            </w14:solidFill>
          </w14:textFill>
        </w:rPr>
      </w:pPr>
    </w:p>
    <w:p w14:paraId="7A36628F">
      <w:pPr>
        <w:pStyle w:val="8"/>
        <w:pageBreakBefore w:val="0"/>
        <w:kinsoku/>
        <w:wordWrap/>
        <w:overflowPunct/>
        <w:topLinePunct w:val="0"/>
        <w:autoSpaceDE/>
        <w:autoSpaceDN/>
        <w:bidi w:val="0"/>
        <w:adjustRightInd/>
        <w:snapToGrid/>
        <w:rPr>
          <w:rFonts w:hint="eastAsia" w:ascii="思源黑体 CN Normal" w:hAnsi="思源黑体 CN Normal" w:eastAsia="思源黑体 CN Normal" w:cs="思源黑体 CN Normal"/>
          <w:color w:val="000000" w:themeColor="text1"/>
          <w14:textFill>
            <w14:solidFill>
              <w14:schemeClr w14:val="tx1"/>
            </w14:solidFill>
          </w14:textFill>
        </w:rPr>
      </w:pPr>
    </w:p>
    <w:p w14:paraId="07C698BA">
      <w:pPr>
        <w:pStyle w:val="8"/>
        <w:pageBreakBefore w:val="0"/>
        <w:kinsoku/>
        <w:wordWrap/>
        <w:overflowPunct/>
        <w:topLinePunct w:val="0"/>
        <w:autoSpaceDE/>
        <w:autoSpaceDN/>
        <w:bidi w:val="0"/>
        <w:adjustRightInd/>
        <w:snapToGrid/>
        <w:rPr>
          <w:rFonts w:hint="eastAsia" w:ascii="思源黑体 CN Normal" w:hAnsi="思源黑体 CN Normal" w:eastAsia="思源黑体 CN Normal" w:cs="思源黑体 CN Normal"/>
          <w:color w:val="000000" w:themeColor="text1"/>
          <w14:textFill>
            <w14:solidFill>
              <w14:schemeClr w14:val="tx1"/>
            </w14:solidFill>
          </w14:textFill>
        </w:rPr>
      </w:pPr>
    </w:p>
    <w:p w14:paraId="3DECCD58">
      <w:pPr>
        <w:pStyle w:val="8"/>
        <w:pageBreakBefore w:val="0"/>
        <w:kinsoku/>
        <w:wordWrap/>
        <w:overflowPunct/>
        <w:topLinePunct w:val="0"/>
        <w:autoSpaceDE/>
        <w:autoSpaceDN/>
        <w:bidi w:val="0"/>
        <w:adjustRightInd/>
        <w:snapToGrid/>
        <w:rPr>
          <w:rFonts w:hint="eastAsia" w:ascii="思源黑体 CN Normal" w:hAnsi="思源黑体 CN Normal" w:eastAsia="思源黑体 CN Normal" w:cs="思源黑体 CN Normal"/>
          <w:color w:val="000000" w:themeColor="text1"/>
          <w14:textFill>
            <w14:solidFill>
              <w14:schemeClr w14:val="tx1"/>
            </w14:solidFill>
          </w14:textFill>
        </w:rPr>
      </w:pPr>
    </w:p>
    <w:p w14:paraId="3A27A5A3">
      <w:pPr>
        <w:pStyle w:val="8"/>
        <w:pageBreakBefore w:val="0"/>
        <w:kinsoku/>
        <w:wordWrap/>
        <w:overflowPunct/>
        <w:topLinePunct w:val="0"/>
        <w:autoSpaceDE/>
        <w:autoSpaceDN/>
        <w:bidi w:val="0"/>
        <w:adjustRightInd/>
        <w:snapToGrid/>
        <w:rPr>
          <w:rFonts w:hint="eastAsia" w:ascii="思源黑体 CN Normal" w:hAnsi="思源黑体 CN Normal" w:eastAsia="思源黑体 CN Normal" w:cs="思源黑体 CN Normal"/>
          <w:color w:val="000000" w:themeColor="text1"/>
          <w14:textFill>
            <w14:solidFill>
              <w14:schemeClr w14:val="tx1"/>
            </w14:solidFill>
          </w14:textFill>
        </w:rPr>
      </w:pPr>
    </w:p>
    <w:p w14:paraId="4BB7DDDE">
      <w:pPr>
        <w:pStyle w:val="8"/>
        <w:pageBreakBefore w:val="0"/>
        <w:kinsoku/>
        <w:wordWrap/>
        <w:overflowPunct/>
        <w:topLinePunct w:val="0"/>
        <w:autoSpaceDE/>
        <w:autoSpaceDN/>
        <w:bidi w:val="0"/>
        <w:adjustRightInd/>
        <w:snapToGrid/>
        <w:rPr>
          <w:rFonts w:hint="eastAsia" w:ascii="思源黑体 CN Normal" w:hAnsi="思源黑体 CN Normal" w:eastAsia="思源黑体 CN Normal" w:cs="思源黑体 CN Normal"/>
          <w:color w:val="000000" w:themeColor="text1"/>
          <w14:textFill>
            <w14:solidFill>
              <w14:schemeClr w14:val="tx1"/>
            </w14:solidFill>
          </w14:textFill>
        </w:rPr>
      </w:pPr>
    </w:p>
    <w:p w14:paraId="1332BE9F">
      <w:pPr>
        <w:pStyle w:val="8"/>
        <w:pageBreakBefore w:val="0"/>
        <w:kinsoku/>
        <w:wordWrap/>
        <w:overflowPunct/>
        <w:topLinePunct w:val="0"/>
        <w:autoSpaceDE/>
        <w:autoSpaceDN/>
        <w:bidi w:val="0"/>
        <w:adjustRightInd/>
        <w:snapToGrid/>
        <w:rPr>
          <w:rFonts w:hint="eastAsia" w:ascii="思源黑体 CN Normal" w:hAnsi="思源黑体 CN Normal" w:eastAsia="思源黑体 CN Normal" w:cs="思源黑体 CN Normal"/>
          <w:color w:val="000000" w:themeColor="text1"/>
          <w14:textFill>
            <w14:solidFill>
              <w14:schemeClr w14:val="tx1"/>
            </w14:solidFill>
          </w14:textFill>
        </w:rPr>
      </w:pPr>
    </w:p>
    <w:p w14:paraId="373FBCFB">
      <w:pPr>
        <w:pStyle w:val="8"/>
        <w:pageBreakBefore w:val="0"/>
        <w:kinsoku/>
        <w:wordWrap/>
        <w:overflowPunct/>
        <w:topLinePunct w:val="0"/>
        <w:autoSpaceDE/>
        <w:autoSpaceDN/>
        <w:bidi w:val="0"/>
        <w:adjustRightInd/>
        <w:snapToGrid/>
        <w:rPr>
          <w:rFonts w:hint="eastAsia" w:ascii="思源黑体 CN Normal" w:hAnsi="思源黑体 CN Normal" w:eastAsia="思源黑体 CN Normal" w:cs="思源黑体 CN Normal"/>
          <w:color w:val="000000" w:themeColor="text1"/>
          <w14:textFill>
            <w14:solidFill>
              <w14:schemeClr w14:val="tx1"/>
            </w14:solidFill>
          </w14:textFill>
        </w:rPr>
      </w:pPr>
    </w:p>
    <w:p w14:paraId="5D159360">
      <w:pPr>
        <w:pStyle w:val="8"/>
        <w:pageBreakBefore w:val="0"/>
        <w:tabs>
          <w:tab w:val="left" w:pos="3600"/>
        </w:tabs>
        <w:kinsoku/>
        <w:wordWrap/>
        <w:overflowPunct/>
        <w:topLinePunct w:val="0"/>
        <w:autoSpaceDE/>
        <w:autoSpaceDN/>
        <w:bidi w:val="0"/>
        <w:adjustRightInd/>
        <w:snapToGrid/>
        <w:rPr>
          <w:rFonts w:hint="eastAsia" w:ascii="思源黑体 CN Normal" w:hAnsi="思源黑体 CN Normal" w:eastAsia="思源黑体 CN Normal" w:cs="思源黑体 CN Normal"/>
          <w:color w:val="000000" w:themeColor="text1"/>
          <w14:textFill>
            <w14:solidFill>
              <w14:schemeClr w14:val="tx1"/>
            </w14:solidFill>
          </w14:textFill>
        </w:rPr>
      </w:pPr>
      <w:r>
        <w:rPr>
          <w:rFonts w:hint="eastAsia" w:ascii="思源黑体 CN Normal" w:hAnsi="思源黑体 CN Normal" w:eastAsia="思源黑体 CN Normal" w:cs="思源黑体 CN Normal"/>
          <w:color w:val="000000" w:themeColor="text1"/>
          <w14:textFill>
            <w14:solidFill>
              <w14:schemeClr w14:val="tx1"/>
            </w14:solidFill>
          </w14:textFill>
        </w:rPr>
        <w:tab/>
      </w:r>
    </w:p>
    <w:p w14:paraId="6CE3BEFD">
      <w:pPr>
        <w:pStyle w:val="8"/>
        <w:pageBreakBefore w:val="0"/>
        <w:kinsoku/>
        <w:wordWrap/>
        <w:overflowPunct/>
        <w:topLinePunct w:val="0"/>
        <w:autoSpaceDE/>
        <w:autoSpaceDN/>
        <w:bidi w:val="0"/>
        <w:adjustRightInd/>
        <w:snapToGrid/>
        <w:rPr>
          <w:rFonts w:hint="eastAsia" w:ascii="思源黑体 CN Normal" w:hAnsi="思源黑体 CN Normal" w:eastAsia="思源黑体 CN Normal" w:cs="思源黑体 CN Normal"/>
          <w:color w:val="000000" w:themeColor="text1"/>
          <w14:textFill>
            <w14:solidFill>
              <w14:schemeClr w14:val="tx1"/>
            </w14:solidFill>
          </w14:textFill>
        </w:rPr>
      </w:pPr>
    </w:p>
    <w:p w14:paraId="502FE8F5">
      <w:pPr>
        <w:pageBreakBefore w:val="0"/>
        <w:widowControl/>
        <w:kinsoku/>
        <w:wordWrap/>
        <w:overflowPunct/>
        <w:topLinePunct w:val="0"/>
        <w:autoSpaceDE/>
        <w:autoSpaceDN/>
        <w:bidi w:val="0"/>
        <w:adjustRightInd/>
        <w:snapToGrid/>
        <w:jc w:val="center"/>
        <w:rPr>
          <w:rFonts w:hint="eastAsia" w:ascii="思源黑体 CN Normal" w:hAnsi="思源黑体 CN Normal" w:eastAsia="思源黑体 CN Normal" w:cs="思源黑体 CN Normal"/>
          <w:b w:val="0"/>
          <w:bCs w:val="0"/>
          <w:color w:val="000000" w:themeColor="text1"/>
          <w:sz w:val="36"/>
          <w:szCs w:val="36"/>
          <w14:textFill>
            <w14:solidFill>
              <w14:schemeClr w14:val="tx1"/>
            </w14:solidFill>
          </w14:textFill>
        </w:rPr>
      </w:pPr>
      <w:r>
        <w:rPr>
          <w:rFonts w:hint="eastAsia" w:ascii="思源黑体 CN Normal" w:hAnsi="思源黑体 CN Normal" w:eastAsia="思源黑体 CN Normal" w:cs="思源黑体 CN Normal"/>
          <w:b w:val="0"/>
          <w:bCs w:val="0"/>
          <w:color w:val="000000" w:themeColor="text1"/>
          <w:sz w:val="48"/>
          <w:szCs w:val="48"/>
          <w14:textFill>
            <w14:solidFill>
              <w14:schemeClr w14:val="tx1"/>
            </w14:solidFill>
          </w14:textFill>
        </w:rPr>
        <w:t>目录</w:t>
      </w:r>
    </w:p>
    <w:p w14:paraId="508B2CFA">
      <w:pPr>
        <w:pStyle w:val="15"/>
        <w:rPr>
          <w:rFonts w:hint="eastAsia"/>
          <w:color w:val="000000" w:themeColor="text1"/>
          <w:highlight w:val="none"/>
          <w14:textFill>
            <w14:solidFill>
              <w14:schemeClr w14:val="tx1"/>
            </w14:solidFill>
          </w14:textFill>
        </w:rPr>
      </w:pPr>
      <w:bookmarkStart w:id="12" w:name="_Toc15377196"/>
      <w:r>
        <w:rPr>
          <w:rFonts w:hint="eastAsia"/>
          <w:color w:val="000000" w:themeColor="text1"/>
          <w:highlight w:val="none"/>
          <w14:textFill>
            <w14:solidFill>
              <w14:schemeClr w14:val="tx1"/>
            </w14:solidFill>
          </w14:textFill>
        </w:rPr>
        <w:t>公开时间：20</w:t>
      </w:r>
      <w:r>
        <w:rPr>
          <w:rFonts w:hint="eastAsia"/>
          <w:color w:val="000000" w:themeColor="text1"/>
          <w:highlight w:val="none"/>
          <w:lang w:val="en-US" w:eastAsia="zh-CN"/>
          <w14:textFill>
            <w14:solidFill>
              <w14:schemeClr w14:val="tx1"/>
            </w14:solidFill>
          </w14:textFill>
        </w:rPr>
        <w:t>26</w:t>
      </w:r>
      <w:r>
        <w:rPr>
          <w:rFonts w:hint="eastAsia"/>
          <w:color w:val="000000" w:themeColor="text1"/>
          <w:highlight w:val="none"/>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14:textFill>
            <w14:solidFill>
              <w14:schemeClr w14:val="tx1"/>
            </w14:solidFill>
          </w14:textFill>
        </w:rPr>
        <w:t>月</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日</w:t>
      </w:r>
    </w:p>
    <w:p w14:paraId="6D067481">
      <w:pPr>
        <w:pStyle w:val="15"/>
        <w:pageBreakBefore w:val="0"/>
        <w:tabs>
          <w:tab w:val="right" w:leader="dot" w:pos="8306"/>
          <w:tab w:val="clear" w:pos="8296"/>
        </w:tabs>
        <w:kinsoku/>
        <w:wordWrap/>
        <w:overflowPunct/>
        <w:topLinePunct w:val="0"/>
        <w:autoSpaceDE/>
        <w:autoSpaceDN/>
        <w:bidi w:val="0"/>
        <w:adjustRightInd/>
        <w:snapToGrid/>
        <w:spacing w:before="0"/>
        <w:rPr>
          <w:rFonts w:hint="eastAsia" w:ascii="黑体" w:hAnsi="黑体" w:eastAsia="黑体" w:cs="黑体"/>
          <w:color w:val="000000" w:themeColor="text1"/>
          <w:sz w:val="32"/>
          <w:szCs w:val="32"/>
          <w14:textFill>
            <w14:solidFill>
              <w14:schemeClr w14:val="tx1"/>
            </w14:solidFill>
          </w14:textFill>
        </w:rPr>
      </w:pPr>
      <w:r>
        <w:rPr>
          <w:rFonts w:hint="eastAsia" w:ascii="宋体" w:hAnsi="宋体" w:eastAsia="宋体" w:cs="宋体"/>
          <w:smallCaps/>
          <w:color w:val="000000" w:themeColor="text1"/>
          <w:sz w:val="20"/>
          <w:szCs w:val="20"/>
          <w14:textFill>
            <w14:solidFill>
              <w14:schemeClr w14:val="tx1"/>
            </w14:solidFill>
          </w14:textFill>
        </w:rPr>
        <w:fldChar w:fldCharType="begin"/>
      </w:r>
      <w:r>
        <w:rPr>
          <w:rFonts w:hint="eastAsia" w:ascii="宋体" w:hAnsi="宋体" w:eastAsia="宋体" w:cs="宋体"/>
          <w:smallCaps/>
          <w:color w:val="000000" w:themeColor="text1"/>
          <w:sz w:val="20"/>
          <w:szCs w:val="20"/>
          <w14:textFill>
            <w14:solidFill>
              <w14:schemeClr w14:val="tx1"/>
            </w14:solidFill>
          </w14:textFill>
        </w:rPr>
        <w:instrText xml:space="preserve"> TOC \o "1-2" \h \z \u </w:instrText>
      </w:r>
      <w:r>
        <w:rPr>
          <w:rFonts w:hint="eastAsia" w:ascii="宋体" w:hAnsi="宋体" w:eastAsia="宋体" w:cs="宋体"/>
          <w:smallCaps/>
          <w:color w:val="000000" w:themeColor="text1"/>
          <w:sz w:val="20"/>
          <w:szCs w:val="20"/>
          <w14:textFill>
            <w14:solidFill>
              <w14:schemeClr w14:val="tx1"/>
            </w14:solidFill>
          </w14:textFill>
        </w:rPr>
        <w:fldChar w:fldCharType="separate"/>
      </w: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_Toc9016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 xml:space="preserve">第一部分 </w:t>
      </w:r>
      <w:r>
        <w:rPr>
          <w:rFonts w:hint="eastAsia" w:ascii="黑体" w:hAnsi="黑体" w:eastAsia="黑体" w:cs="黑体"/>
          <w:bCs w:val="0"/>
          <w:color w:val="000000" w:themeColor="text1"/>
          <w:sz w:val="32"/>
          <w:szCs w:val="32"/>
          <w14:textFill>
            <w14:solidFill>
              <w14:schemeClr w14:val="tx1"/>
            </w14:solidFill>
          </w14:textFill>
        </w:rPr>
        <w:t>单位</w:t>
      </w:r>
      <w:r>
        <w:rPr>
          <w:rFonts w:ascii="黑体" w:hAnsi="黑体" w:eastAsia="黑体" w:cs="黑体"/>
          <w:color w:val="000000"/>
          <w:sz w:val="32"/>
          <w:u w:color="auto"/>
        </w:rPr>
        <w:t>概况</w:t>
      </w:r>
      <w:r>
        <w:tab/>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PAGEREF _Toc9016 \h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1</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14:textFill>
            <w14:solidFill>
              <w14:schemeClr w14:val="tx1"/>
            </w14:solidFill>
          </w14:textFill>
        </w:rPr>
        <w:fldChar w:fldCharType="end"/>
      </w:r>
    </w:p>
    <w:p w14:paraId="54964618">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_Toc28564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一、</w:t>
      </w:r>
      <w:r>
        <w:rPr>
          <w:rFonts w:hint="eastAsia" w:ascii="仿宋" w:hAnsi="仿宋" w:eastAsia="仿宋" w:cs="仿宋"/>
          <w:bCs w:val="0"/>
          <w:color w:val="000000" w:themeColor="text1"/>
          <w:sz w:val="32"/>
          <w:szCs w:val="32"/>
          <w:lang w:val="en-US" w:eastAsia="zh-CN"/>
          <w14:textFill>
            <w14:solidFill>
              <w14:schemeClr w14:val="tx1"/>
            </w14:solidFill>
          </w14:textFill>
        </w:rPr>
        <w:t>主要职责</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_Toc28564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7EBE7B51">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_Toc22056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二、机构设置</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_Toc22056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0660D087">
      <w:pPr>
        <w:pStyle w:val="15"/>
        <w:pageBreakBefore w:val="0"/>
        <w:tabs>
          <w:tab w:val="right" w:leader="dot" w:pos="8306"/>
          <w:tab w:val="clear" w:pos="8296"/>
        </w:tabs>
        <w:kinsoku/>
        <w:wordWrap/>
        <w:overflowPunct/>
        <w:topLinePunct w:val="0"/>
        <w:autoSpaceDE/>
        <w:autoSpaceDN/>
        <w:bidi w:val="0"/>
        <w:adjustRightInd/>
        <w:snapToGrid/>
        <w:spacing w:before="0"/>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_Toc9058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 xml:space="preserve">第二部分 </w:t>
      </w:r>
      <w:r>
        <w:rPr>
          <w:rFonts w:ascii="黑体" w:hAnsi="黑体" w:eastAsia="黑体" w:cs="黑体"/>
          <w:color w:val="000000"/>
          <w:sz w:val="32"/>
          <w:u w:color="auto"/>
        </w:rPr>
        <w:t>2024年度</w:t>
      </w:r>
      <w:r>
        <w:rPr>
          <w:rFonts w:hint="eastAsia" w:ascii="黑体" w:hAnsi="黑体" w:eastAsia="黑体" w:cs="黑体"/>
          <w:color w:val="000000" w:themeColor="text1"/>
          <w:sz w:val="32"/>
          <w:szCs w:val="32"/>
          <w:lang w:val="en-US" w:eastAsia="zh-CN"/>
          <w14:textFill>
            <w14:solidFill>
              <w14:schemeClr w14:val="tx1"/>
            </w14:solidFill>
          </w14:textFill>
        </w:rPr>
        <w:t>单位</w:t>
      </w:r>
      <w:r>
        <w:rPr>
          <w:rFonts w:hint="eastAsia" w:ascii="黑体" w:hAnsi="黑体" w:eastAsia="黑体" w:cs="黑体"/>
          <w:color w:val="000000" w:themeColor="text1"/>
          <w:sz w:val="32"/>
          <w:szCs w:val="32"/>
          <w14:textFill>
            <w14:solidFill>
              <w14:schemeClr w14:val="tx1"/>
            </w14:solidFill>
          </w14:textFill>
        </w:rPr>
        <w:t>决算情况说明</w:t>
      </w:r>
      <w:r>
        <w:tab/>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PAGEREF _Toc9058 \h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2</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14:textFill>
            <w14:solidFill>
              <w14:schemeClr w14:val="tx1"/>
            </w14:solidFill>
          </w14:textFill>
        </w:rPr>
        <w:fldChar w:fldCharType="end"/>
      </w:r>
    </w:p>
    <w:p w14:paraId="78F075BF">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_Toc19710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一、收入支出决算总体情况说明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_Toc19710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5C6DD639">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_Toc8125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二、收入决算情况说明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_Toc8125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410C9D55">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_Toc28283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三、支出决算情况说明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_Toc28283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3775F70D">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_Toc19521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四、财政拨款收入支出决算总体情况说明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_Toc19521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4</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7B597EA3">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_Toc14368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五、一般公共预算财政拨款支出决算情况说明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_Toc14368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4</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0840A591">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_Toc31578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六、一般公共预算财政拨款基本支出决算情况说明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_Toc31578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6</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21F289E6">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_Toc6614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七、“三公”经费财政拨款支出决算情况说明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_Toc6614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7</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5813B05F">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_Toc20439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八、政府性基金预算支出决算情况说明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8</w:t>
      </w:r>
      <w:r>
        <w:rPr>
          <w:rFonts w:hint="eastAsia" w:ascii="仿宋" w:hAnsi="仿宋" w:eastAsia="仿宋" w:cs="仿宋"/>
          <w:smallCaps/>
          <w:color w:val="000000" w:themeColor="text1"/>
          <w:sz w:val="32"/>
          <w:szCs w:val="32"/>
          <w14:textFill>
            <w14:solidFill>
              <w14:schemeClr w14:val="tx1"/>
            </w14:solidFill>
          </w14:textFill>
        </w:rPr>
        <w:fldChar w:fldCharType="end"/>
      </w:r>
    </w:p>
    <w:p w14:paraId="0E3954AB">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_Toc23467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九、国有资本经营预算支出决算情况说明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_Toc23467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8</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51661515">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_Toc18455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十、其他重要事项的情况说明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8</w:t>
      </w:r>
      <w:r>
        <w:rPr>
          <w:rFonts w:hint="eastAsia" w:ascii="仿宋" w:hAnsi="仿宋" w:eastAsia="仿宋" w:cs="仿宋"/>
          <w:smallCaps/>
          <w:color w:val="000000" w:themeColor="text1"/>
          <w:sz w:val="32"/>
          <w:szCs w:val="32"/>
          <w14:textFill>
            <w14:solidFill>
              <w14:schemeClr w14:val="tx1"/>
            </w14:solidFill>
          </w14:textFill>
        </w:rPr>
        <w:fldChar w:fldCharType="end"/>
      </w:r>
    </w:p>
    <w:p w14:paraId="4DDAF1FB">
      <w:pPr>
        <w:pStyle w:val="15"/>
        <w:pageBreakBefore w:val="0"/>
        <w:tabs>
          <w:tab w:val="right" w:leader="dot" w:pos="8306"/>
          <w:tab w:val="clear" w:pos="8296"/>
        </w:tabs>
        <w:kinsoku/>
        <w:wordWrap/>
        <w:overflowPunct/>
        <w:topLinePunct w:val="0"/>
        <w:autoSpaceDE/>
        <w:autoSpaceDN/>
        <w:bidi w:val="0"/>
        <w:adjustRightInd/>
        <w:snapToGrid/>
        <w:spacing w:before="0"/>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_Toc18122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第三部分 名词解释</w:t>
      </w:r>
      <w:r>
        <w:rPr>
          <w:rFonts w:hint="eastAsia" w:ascii="黑体" w:hAnsi="黑体" w:eastAsia="黑体" w:cs="黑体"/>
          <w:color w:val="000000" w:themeColor="text1"/>
          <w:sz w:val="32"/>
          <w:szCs w:val="32"/>
          <w14:textFill>
            <w14:solidFill>
              <w14:schemeClr w14:val="tx1"/>
            </w14:solidFill>
          </w14:textFill>
        </w:rPr>
        <w:tab/>
      </w:r>
      <w:r>
        <w:rPr>
          <w:rFonts w:hint="eastAsia" w:ascii="黑体" w:hAnsi="黑体" w:eastAsia="黑体" w:cs="黑体"/>
          <w:color w:val="000000" w:themeColor="text1"/>
          <w:sz w:val="32"/>
          <w:szCs w:val="32"/>
          <w:lang w:val="en-US" w:eastAsia="zh-CN"/>
          <w14:textFill>
            <w14:solidFill>
              <w14:schemeClr w14:val="tx1"/>
            </w14:solidFill>
          </w14:textFill>
        </w:rPr>
        <w:t>9</w:t>
      </w:r>
      <w:r>
        <w:rPr>
          <w:rFonts w:hint="eastAsia" w:ascii="黑体" w:hAnsi="黑体" w:eastAsia="黑体" w:cs="黑体"/>
          <w:smallCaps/>
          <w:color w:val="000000" w:themeColor="text1"/>
          <w:sz w:val="32"/>
          <w:szCs w:val="32"/>
          <w14:textFill>
            <w14:solidFill>
              <w14:schemeClr w14:val="tx1"/>
            </w14:solidFill>
          </w14:textFill>
        </w:rPr>
        <w:fldChar w:fldCharType="end"/>
      </w:r>
    </w:p>
    <w:p w14:paraId="045360E8">
      <w:pPr>
        <w:pStyle w:val="15"/>
        <w:pageBreakBefore w:val="0"/>
        <w:tabs>
          <w:tab w:val="right" w:leader="dot" w:pos="8306"/>
          <w:tab w:val="clear" w:pos="8296"/>
        </w:tabs>
        <w:kinsoku/>
        <w:wordWrap/>
        <w:overflowPunct/>
        <w:topLinePunct w:val="0"/>
        <w:autoSpaceDE/>
        <w:autoSpaceDN/>
        <w:bidi w:val="0"/>
        <w:adjustRightInd/>
        <w:snapToGrid/>
        <w:spacing w:before="0"/>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_Toc25539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第四部分 附件</w:t>
      </w:r>
      <w:r>
        <w:rPr>
          <w:rFonts w:hint="eastAsia" w:ascii="黑体" w:hAnsi="黑体" w:eastAsia="黑体" w:cs="黑体"/>
          <w:color w:val="000000" w:themeColor="text1"/>
          <w:sz w:val="32"/>
          <w:szCs w:val="32"/>
          <w14:textFill>
            <w14:solidFill>
              <w14:schemeClr w14:val="tx1"/>
            </w14:solidFill>
          </w14:textFill>
        </w:rPr>
        <w:tab/>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PAGEREF _Toc25539 \h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11</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14:textFill>
            <w14:solidFill>
              <w14:schemeClr w14:val="tx1"/>
            </w14:solidFill>
          </w14:textFill>
        </w:rPr>
        <w:fldChar w:fldCharType="end"/>
      </w:r>
    </w:p>
    <w:p w14:paraId="4830E62B">
      <w:pPr>
        <w:pStyle w:val="15"/>
        <w:pageBreakBefore w:val="0"/>
        <w:tabs>
          <w:tab w:val="right" w:leader="dot" w:pos="8306"/>
          <w:tab w:val="clear" w:pos="8296"/>
        </w:tabs>
        <w:kinsoku/>
        <w:wordWrap/>
        <w:overflowPunct/>
        <w:topLinePunct w:val="0"/>
        <w:autoSpaceDE/>
        <w:autoSpaceDN/>
        <w:bidi w:val="0"/>
        <w:adjustRightInd/>
        <w:snapToGrid/>
        <w:spacing w:before="0"/>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_Toc21200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第五部分 附表</w:t>
      </w:r>
      <w:r>
        <w:rPr>
          <w:rFonts w:hint="eastAsia" w:ascii="黑体" w:hAnsi="黑体" w:eastAsia="黑体" w:cs="黑体"/>
          <w:color w:val="000000" w:themeColor="text1"/>
          <w:sz w:val="32"/>
          <w:szCs w:val="32"/>
          <w14:textFill>
            <w14:solidFill>
              <w14:schemeClr w14:val="tx1"/>
            </w14:solidFill>
          </w14:textFill>
        </w:rPr>
        <w:tab/>
      </w:r>
      <w:r>
        <w:rPr>
          <w:rFonts w:hint="eastAsia" w:ascii="黑体" w:hAnsi="黑体" w:eastAsia="黑体" w:cs="黑体"/>
          <w:color w:val="000000" w:themeColor="text1"/>
          <w:sz w:val="32"/>
          <w:szCs w:val="32"/>
          <w:lang w:val="en-US" w:eastAsia="zh-CN"/>
          <w14:textFill>
            <w14:solidFill>
              <w14:schemeClr w14:val="tx1"/>
            </w14:solidFill>
          </w14:textFill>
        </w:rPr>
        <w:t>2</w:t>
      </w:r>
      <w:r>
        <w:rPr>
          <w:rFonts w:hint="eastAsia" w:ascii="黑体" w:hAnsi="黑体" w:eastAsia="黑体" w:cs="黑体"/>
          <w:smallCaps/>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lang w:val="en-US" w:eastAsia="zh-CN"/>
          <w14:textFill>
            <w14:solidFill>
              <w14:schemeClr w14:val="tx1"/>
            </w14:solidFill>
          </w14:textFill>
        </w:rPr>
        <w:t>7</w:t>
      </w:r>
    </w:p>
    <w:p w14:paraId="6F4F317D">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_Toc16431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一、收入支出决算总表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_Toc16431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27</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3A01DF8A">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_Toc25389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二、收入决算表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_Toc25389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27</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35468665">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_Toc10450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三、支出决算表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_Toc10450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27</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31B76AAF">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_Toc15415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四、财政拨款收入支出决算总表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_Toc15415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27</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7A5ED4DC">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_Toc17530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五、财政拨款支出决算明细表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_Toc17530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27</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2AE189E4">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_Toc22032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六、一般公共预算财政拨款支出决算表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_Toc22032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27</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4C2911D5">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_Toc3364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七、一般公共预算财政拨款支出决算明细表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_Toc3364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27</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57E88E3C">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_Toc9110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八、一般公共预算财政拨款基本支出决算表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_Toc9110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27</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16EBEECE">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_Toc28582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九、一般公共预算财政拨款项目支出决算表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_Toc28582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27</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3CF4A228">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_Toc22001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十、政府性基金预算财政拨款收入支出决算表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_Toc22001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27</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485A5D8C">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_Toc6538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十一、国有资本经营预算财政拨款收入支出决算表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_Toc6538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27</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2B4A67DC">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_Toc10625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十二、国有资本经营预算财政拨款支出决算表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_Toc10625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27</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183B798C">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_Toc28356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十三、财政拨款“三公”经费支出决算表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_Toc28356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27</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0130E67C">
      <w:pPr>
        <w:pStyle w:val="8"/>
        <w:pageBreakBefore w:val="0"/>
        <w:kinsoku/>
        <w:wordWrap/>
        <w:overflowPunct/>
        <w:topLinePunct w:val="0"/>
        <w:autoSpaceDE/>
        <w:autoSpaceDN/>
        <w:bidi w:val="0"/>
        <w:adjustRightInd/>
        <w:snapToGrid/>
        <w:rPr>
          <w:rFonts w:hint="eastAsia" w:ascii="宋体" w:hAnsi="宋体" w:eastAsia="宋体" w:cs="宋体"/>
        </w:rPr>
      </w:pPr>
      <w:r>
        <w:rPr>
          <w:rFonts w:hint="eastAsia" w:ascii="宋体" w:hAnsi="宋体" w:eastAsia="宋体" w:cs="宋体"/>
          <w:smallCaps/>
          <w:color w:val="000000" w:themeColor="text1"/>
          <w:szCs w:val="20"/>
          <w14:textFill>
            <w14:solidFill>
              <w14:schemeClr w14:val="tx1"/>
            </w14:solidFill>
          </w14:textFill>
        </w:rPr>
        <w:fldChar w:fldCharType="end"/>
      </w:r>
    </w:p>
    <w:p w14:paraId="5D460C68">
      <w:pPr>
        <w:pStyle w:val="5"/>
        <w:pageBreakBefore w:val="0"/>
        <w:kinsoku/>
        <w:wordWrap/>
        <w:overflowPunct/>
        <w:topLinePunct w:val="0"/>
        <w:autoSpaceDE/>
        <w:autoSpaceDN/>
        <w:bidi w:val="0"/>
        <w:adjustRightInd/>
        <w:snapToGrid/>
        <w:spacing w:before="0" w:after="0"/>
        <w:jc w:val="center"/>
        <w:rPr>
          <w:rFonts w:hint="eastAsia" w:ascii="黑体" w:hAnsi="黑体" w:eastAsia="黑体" w:cs="黑体"/>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bookmarkStart w:id="13" w:name="_Toc111208495"/>
      <w:bookmarkStart w:id="14" w:name="_Toc9016"/>
    </w:p>
    <w:p w14:paraId="3466038F">
      <w:pPr>
        <w:pStyle w:val="5"/>
        <w:pageBreakBefore w:val="0"/>
        <w:kinsoku/>
        <w:wordWrap/>
        <w:overflowPunct/>
        <w:topLinePunct w:val="0"/>
        <w:autoSpaceDE/>
        <w:autoSpaceDN/>
        <w:bidi w:val="0"/>
        <w:adjustRightInd/>
        <w:snapToGrid/>
        <w:spacing w:before="0" w:after="0"/>
        <w:jc w:val="center"/>
        <w:rPr>
          <w:rFonts w:hint="eastAsia" w:ascii="黑体" w:hAnsi="黑体" w:eastAsia="黑体" w:cs="黑体"/>
          <w:b w:val="0"/>
          <w:bCs w:val="0"/>
        </w:rPr>
      </w:pPr>
      <w:r>
        <w:rPr>
          <w:rFonts w:hint="eastAsia" w:ascii="黑体" w:hAnsi="黑体" w:eastAsia="黑体" w:cs="黑体"/>
          <w:b w:val="0"/>
          <w:bCs w:val="0"/>
        </w:rPr>
        <w:t xml:space="preserve">第一部分 </w:t>
      </w:r>
      <w:r>
        <w:rPr>
          <w:rStyle w:val="32"/>
          <w:rFonts w:hint="eastAsia" w:ascii="黑体" w:hAnsi="黑体" w:eastAsia="黑体" w:cs="黑体"/>
          <w:b w:val="0"/>
          <w:bCs w:val="0"/>
        </w:rPr>
        <w:t>单位</w:t>
      </w:r>
      <w:r>
        <w:rPr>
          <w:rStyle w:val="32"/>
          <w:rFonts w:ascii="黑体" w:hAnsi="黑体" w:eastAsia="黑体" w:cs="黑体"/>
          <w:b w:val="0"/>
          <w:bCs w:val="0"/>
          <w:u w:color="auto"/>
        </w:rPr>
        <w:t>概况</w:t>
      </w:r>
      <w:bookmarkEnd w:id="12"/>
      <w:bookmarkEnd w:id="13"/>
      <w:bookmarkEnd w:id="14"/>
    </w:p>
    <w:p w14:paraId="1BA43080">
      <w:pPr>
        <w:pStyle w:val="6"/>
        <w:pageBreakBefore w:val="0"/>
        <w:widowControl w:val="0"/>
        <w:kinsoku/>
        <w:wordWrap/>
        <w:overflowPunct/>
        <w:topLinePunct w:val="0"/>
        <w:autoSpaceDE/>
        <w:autoSpaceDN/>
        <w:bidi w:val="0"/>
        <w:adjustRightInd/>
        <w:snapToGrid/>
        <w:spacing w:before="0" w:after="0"/>
        <w:ind w:firstLine="640" w:firstLineChars="200"/>
        <w:textAlignment w:val="auto"/>
        <w:rPr>
          <w:rFonts w:hint="eastAsia" w:ascii="黑体" w:hAnsi="黑体" w:eastAsia="黑体" w:cs="黑体"/>
          <w:b w:val="0"/>
          <w:bCs/>
          <w:color w:val="000000"/>
          <w:lang w:val="en-US" w:eastAsia="zh-CN"/>
        </w:rPr>
      </w:pPr>
      <w:bookmarkStart w:id="15" w:name="_Toc15377197"/>
      <w:bookmarkStart w:id="16" w:name="_Toc111208496"/>
      <w:bookmarkStart w:id="17" w:name="_Toc28564"/>
      <w:bookmarkStart w:id="18" w:name="_Toc113981010"/>
      <w:bookmarkStart w:id="19" w:name="_Toc15377204"/>
      <w:r>
        <w:rPr>
          <w:rFonts w:hint="eastAsia" w:ascii="黑体" w:hAnsi="黑体" w:eastAsia="黑体" w:cs="黑体"/>
          <w:b w:val="0"/>
          <w:bCs/>
          <w:color w:val="000000"/>
        </w:rPr>
        <w:t>一、</w:t>
      </w:r>
      <w:bookmarkEnd w:id="15"/>
      <w:bookmarkEnd w:id="16"/>
      <w:bookmarkEnd w:id="17"/>
      <w:bookmarkEnd w:id="18"/>
      <w:bookmarkStart w:id="20" w:name="_Toc15378445"/>
      <w:bookmarkStart w:id="21" w:name="_Toc15377198"/>
      <w:r>
        <w:rPr>
          <w:rFonts w:hint="eastAsia" w:ascii="黑体" w:hAnsi="黑体" w:eastAsia="黑体" w:cs="黑体"/>
          <w:b w:val="0"/>
          <w:bCs/>
          <w:color w:val="000000"/>
          <w:lang w:val="en-US" w:eastAsia="zh-CN"/>
        </w:rPr>
        <w:t>主要职责</w:t>
      </w:r>
    </w:p>
    <w:bookmarkEnd w:id="20"/>
    <w:bookmarkEnd w:id="21"/>
    <w:p w14:paraId="1B29645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rPr>
      </w:pPr>
      <w:r>
        <w:rPr>
          <w:rFonts w:hint="eastAsia" w:ascii="仿宋" w:hAnsi="仿宋" w:eastAsia="仿宋" w:cs="仿宋"/>
          <w:color w:val="000000"/>
          <w:sz w:val="32"/>
          <w:szCs w:val="32"/>
        </w:rPr>
        <w:t> </w:t>
      </w:r>
      <w:r>
        <w:rPr>
          <w:rFonts w:hint="eastAsia" w:ascii="仿宋_GB2312" w:hAnsi="仿宋_GB2312" w:eastAsia="仿宋_GB2312" w:cs="仿宋_GB2312"/>
          <w:color w:val="000000"/>
          <w:sz w:val="32"/>
          <w:szCs w:val="32"/>
        </w:rPr>
        <w:t>认真履行九年义务教育阶段教育教学任务，培养学生全面发展社会接班人，培养学生各方面的能力，管理学生各方面安全、生活等。</w:t>
      </w:r>
    </w:p>
    <w:p w14:paraId="4782C9B1">
      <w:pPr>
        <w:pStyle w:val="6"/>
        <w:pageBreakBefore w:val="0"/>
        <w:widowControl w:val="0"/>
        <w:kinsoku/>
        <w:wordWrap/>
        <w:overflowPunct/>
        <w:topLinePunct w:val="0"/>
        <w:autoSpaceDE/>
        <w:autoSpaceDN/>
        <w:bidi w:val="0"/>
        <w:adjustRightInd/>
        <w:snapToGrid/>
        <w:spacing w:before="0" w:after="0"/>
        <w:ind w:firstLine="640" w:firstLineChars="200"/>
        <w:textAlignment w:val="auto"/>
        <w:rPr>
          <w:rFonts w:hint="eastAsia" w:ascii="黑体" w:hAnsi="黑体" w:eastAsia="黑体" w:cs="黑体"/>
          <w:b w:val="0"/>
          <w:bCs/>
          <w:color w:val="000000"/>
        </w:rPr>
      </w:pPr>
      <w:bookmarkStart w:id="22" w:name="_Toc113981011"/>
      <w:bookmarkStart w:id="23" w:name="_Toc111208497"/>
      <w:bookmarkStart w:id="24" w:name="_Toc15377200"/>
      <w:bookmarkStart w:id="25" w:name="_Toc22056"/>
      <w:r>
        <w:rPr>
          <w:rFonts w:hint="eastAsia" w:ascii="黑体" w:hAnsi="黑体" w:eastAsia="黑体" w:cs="黑体"/>
          <w:b w:val="0"/>
          <w:bCs/>
          <w:color w:val="000000"/>
        </w:rPr>
        <w:t>二、机构设置</w:t>
      </w:r>
      <w:bookmarkEnd w:id="22"/>
      <w:bookmarkEnd w:id="23"/>
      <w:bookmarkEnd w:id="24"/>
      <w:bookmarkEnd w:id="25"/>
    </w:p>
    <w:p w14:paraId="122BFEC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color w:val="000000"/>
          <w:sz w:val="32"/>
          <w:szCs w:val="32"/>
        </w:rPr>
      </w:pPr>
      <w:r>
        <w:rPr>
          <w:rFonts w:hint="eastAsia" w:ascii="仿宋_GB2312" w:hAnsi="仿宋_GB2312" w:eastAsia="仿宋_GB2312" w:cs="仿宋_GB2312"/>
          <w:color w:val="000000"/>
          <w:sz w:val="32"/>
          <w:szCs w:val="32"/>
        </w:rPr>
        <w:t>茂县凤仪镇兴茂</w:t>
      </w:r>
      <w:r>
        <w:rPr>
          <w:rFonts w:hint="eastAsia" w:ascii="仿宋_GB2312" w:hAnsi="仿宋_GB2312" w:eastAsia="仿宋_GB2312" w:cs="仿宋_GB2312"/>
          <w:color w:val="000000"/>
          <w:sz w:val="32"/>
          <w:szCs w:val="32"/>
          <w:lang w:eastAsia="zh-CN"/>
        </w:rPr>
        <w:t>小学校</w:t>
      </w:r>
      <w:r>
        <w:rPr>
          <w:rFonts w:hint="eastAsia" w:ascii="仿宋_GB2312" w:hAnsi="仿宋_GB2312" w:eastAsia="仿宋_GB2312" w:cs="仿宋_GB2312"/>
          <w:color w:val="000000"/>
          <w:sz w:val="32"/>
          <w:szCs w:val="32"/>
        </w:rPr>
        <w:t>为县教育局下属二级预算单位，编制</w:t>
      </w:r>
      <w:r>
        <w:rPr>
          <w:rFonts w:hint="eastAsia" w:ascii="仿宋_GB2312" w:hAnsi="仿宋_GB2312" w:eastAsia="仿宋_GB2312" w:cs="仿宋_GB2312"/>
          <w:color w:val="000000"/>
          <w:sz w:val="32"/>
          <w:szCs w:val="32"/>
          <w:lang w:val="en-US" w:eastAsia="zh-CN"/>
        </w:rPr>
        <w:t>120</w:t>
      </w:r>
      <w:r>
        <w:rPr>
          <w:rFonts w:hint="eastAsia" w:ascii="仿宋_GB2312" w:hAnsi="仿宋_GB2312" w:eastAsia="仿宋_GB2312" w:cs="仿宋_GB2312"/>
          <w:color w:val="000000"/>
          <w:sz w:val="32"/>
          <w:szCs w:val="32"/>
        </w:rPr>
        <w:t>人，实有</w:t>
      </w:r>
      <w:r>
        <w:rPr>
          <w:rFonts w:hint="eastAsia" w:ascii="仿宋_GB2312" w:hAnsi="仿宋_GB2312" w:eastAsia="仿宋_GB2312" w:cs="仿宋_GB2312"/>
          <w:color w:val="000000"/>
          <w:sz w:val="32"/>
          <w:szCs w:val="32"/>
          <w:lang w:val="en-US" w:eastAsia="zh-CN"/>
        </w:rPr>
        <w:t>116</w:t>
      </w:r>
      <w:r>
        <w:rPr>
          <w:rFonts w:hint="eastAsia" w:ascii="仿宋_GB2312" w:hAnsi="仿宋_GB2312" w:eastAsia="仿宋_GB2312" w:cs="仿宋_GB2312"/>
          <w:color w:val="000000"/>
          <w:sz w:val="32"/>
          <w:szCs w:val="32"/>
        </w:rPr>
        <w:t>人。</w:t>
      </w:r>
    </w:p>
    <w:p w14:paraId="11688738">
      <w:pPr>
        <w:pageBreakBefore w:val="0"/>
        <w:widowControl/>
        <w:kinsoku/>
        <w:wordWrap/>
        <w:overflowPunct/>
        <w:topLinePunct w:val="0"/>
        <w:autoSpaceDE/>
        <w:autoSpaceDN/>
        <w:bidi w:val="0"/>
        <w:adjustRightInd/>
        <w:snapToGrid/>
        <w:jc w:val="left"/>
        <w:rPr>
          <w:rFonts w:hint="eastAsia" w:ascii="思源黑体 CN Normal" w:hAnsi="思源黑体 CN Normal" w:eastAsia="思源黑体 CN Normal" w:cs="思源黑体 CN Normal"/>
          <w:b/>
          <w:bCs/>
          <w:color w:val="000000"/>
          <w:kern w:val="44"/>
          <w:sz w:val="44"/>
          <w:szCs w:val="44"/>
        </w:rPr>
      </w:pPr>
      <w:r>
        <w:rPr>
          <w:rFonts w:hint="eastAsia" w:ascii="思源黑体 CN Normal" w:hAnsi="思源黑体 CN Normal" w:eastAsia="思源黑体 CN Normal" w:cs="思源黑体 CN Normal"/>
          <w:color w:val="000000"/>
        </w:rPr>
        <w:br w:type="page"/>
      </w:r>
    </w:p>
    <w:p w14:paraId="2D28BF23">
      <w:pPr>
        <w:pStyle w:val="5"/>
        <w:pageBreakBefore w:val="0"/>
        <w:kinsoku/>
        <w:wordWrap/>
        <w:overflowPunct/>
        <w:topLinePunct w:val="0"/>
        <w:autoSpaceDE/>
        <w:autoSpaceDN/>
        <w:bidi w:val="0"/>
        <w:adjustRightInd/>
        <w:snapToGrid/>
        <w:spacing w:before="0" w:after="0"/>
        <w:jc w:val="center"/>
        <w:rPr>
          <w:rFonts w:hint="eastAsia" w:ascii="黑体" w:hAnsi="黑体" w:eastAsia="黑体" w:cs="黑体"/>
          <w:b w:val="0"/>
          <w:bCs w:val="0"/>
        </w:rPr>
      </w:pPr>
      <w:bookmarkStart w:id="26" w:name="_Toc9058"/>
      <w:bookmarkStart w:id="27" w:name="_Toc111208498"/>
      <w:r>
        <w:rPr>
          <w:rFonts w:hint="eastAsia" w:ascii="黑体" w:hAnsi="黑体" w:eastAsia="黑体" w:cs="黑体"/>
          <w:b w:val="0"/>
          <w:bCs w:val="0"/>
        </w:rPr>
        <w:t xml:space="preserve">第二部分 </w:t>
      </w:r>
      <w:r>
        <w:rPr>
          <w:rFonts w:ascii="黑体" w:hAnsi="黑体" w:eastAsia="黑体" w:cs="黑体"/>
          <w:u w:color="auto"/>
        </w:rPr>
        <w:t>202</w:t>
      </w:r>
      <w:r>
        <w:rPr>
          <w:rFonts w:hint="eastAsia" w:ascii="黑体" w:hAnsi="黑体" w:eastAsia="黑体" w:cs="黑体"/>
          <w:u w:color="auto"/>
          <w:lang w:val="en-US" w:eastAsia="zh-CN"/>
        </w:rPr>
        <w:t>5</w:t>
      </w:r>
      <w:r>
        <w:rPr>
          <w:rFonts w:ascii="黑体" w:hAnsi="黑体" w:eastAsia="黑体" w:cs="黑体"/>
          <w:u w:color="auto"/>
        </w:rPr>
        <w:t>年度</w:t>
      </w:r>
      <w:r>
        <w:rPr>
          <w:rFonts w:hint="eastAsia" w:ascii="黑体" w:hAnsi="黑体" w:eastAsia="黑体" w:cs="黑体"/>
          <w:b w:val="0"/>
          <w:bCs w:val="0"/>
          <w:lang w:val="en-US" w:eastAsia="zh-CN"/>
        </w:rPr>
        <w:t>单位</w:t>
      </w:r>
      <w:r>
        <w:rPr>
          <w:rFonts w:hint="eastAsia" w:ascii="黑体" w:hAnsi="黑体" w:eastAsia="黑体" w:cs="黑体"/>
          <w:b w:val="0"/>
          <w:bCs w:val="0"/>
        </w:rPr>
        <w:t>决算情况说明</w:t>
      </w:r>
      <w:bookmarkEnd w:id="19"/>
      <w:bookmarkEnd w:id="26"/>
      <w:bookmarkEnd w:id="27"/>
    </w:p>
    <w:p w14:paraId="77F1795D">
      <w:pPr>
        <w:pStyle w:val="6"/>
        <w:pageBreakBefore w:val="0"/>
        <w:kinsoku/>
        <w:wordWrap/>
        <w:overflowPunct/>
        <w:topLinePunct w:val="0"/>
        <w:autoSpaceDE/>
        <w:autoSpaceDN/>
        <w:bidi w:val="0"/>
        <w:adjustRightInd/>
        <w:snapToGrid/>
        <w:spacing w:before="0" w:after="0"/>
        <w:ind w:firstLine="640" w:firstLineChars="200"/>
        <w:rPr>
          <w:rFonts w:hint="eastAsia" w:ascii="黑体" w:hAnsi="黑体" w:eastAsia="黑体" w:cs="黑体"/>
          <w:b w:val="0"/>
          <w:bCs/>
          <w:color w:val="000000"/>
        </w:rPr>
      </w:pPr>
      <w:bookmarkStart w:id="28" w:name="_Toc15377205"/>
      <w:bookmarkStart w:id="29" w:name="_Toc19710"/>
      <w:bookmarkStart w:id="30" w:name="_Toc111208499"/>
      <w:r>
        <w:rPr>
          <w:rFonts w:hint="eastAsia" w:ascii="黑体" w:hAnsi="黑体" w:eastAsia="黑体" w:cs="黑体"/>
          <w:b w:val="0"/>
          <w:bCs/>
          <w:color w:val="000000"/>
        </w:rPr>
        <w:t>一、收入支出决算总体情况说</w:t>
      </w:r>
      <w:bookmarkEnd w:id="28"/>
      <w:r>
        <w:rPr>
          <w:rFonts w:hint="eastAsia" w:ascii="黑体" w:hAnsi="黑体" w:eastAsia="黑体" w:cs="黑体"/>
          <w:b w:val="0"/>
          <w:bCs/>
          <w:color w:val="000000"/>
        </w:rPr>
        <w:t>明</w:t>
      </w:r>
      <w:bookmarkEnd w:id="29"/>
      <w:bookmarkEnd w:id="30"/>
    </w:p>
    <w:p w14:paraId="1DEA57D3">
      <w:pPr>
        <w:pageBreakBefore w:val="0"/>
        <w:kinsoku/>
        <w:wordWrap/>
        <w:overflowPunct/>
        <w:topLinePunct w:val="0"/>
        <w:autoSpaceDE/>
        <w:autoSpaceDN/>
        <w:bidi w:val="0"/>
        <w:adjustRightInd/>
        <w:snapToGrid/>
        <w:spacing w:line="600" w:lineRule="exact"/>
        <w:ind w:firstLine="640" w:firstLineChars="200"/>
        <w:rPr>
          <w:rFonts w:hint="eastAsia" w:ascii="仿宋_GB2312" w:hAnsi="仿宋_GB2312" w:eastAsia="仿宋_GB2312" w:cs="仿宋_GB2312"/>
          <w:color w:val="000000"/>
          <w:sz w:val="32"/>
          <w:u w:color="auto"/>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u w:color="auto"/>
        </w:rPr>
        <w:t>年度收入、支出总计均为</w:t>
      </w:r>
      <w:r>
        <w:rPr>
          <w:rFonts w:hint="eastAsia" w:ascii="仿宋_GB2312" w:hAnsi="仿宋_GB2312" w:eastAsia="仿宋_GB2312" w:cs="仿宋_GB2312"/>
          <w:color w:val="000000"/>
          <w:sz w:val="32"/>
          <w:u w:color="auto"/>
          <w:lang w:val="en-US" w:eastAsia="zh-CN"/>
        </w:rPr>
        <w:t>3,101</w:t>
      </w:r>
      <w:r>
        <w:rPr>
          <w:rFonts w:hint="eastAsia" w:ascii="仿宋_GB2312" w:hAnsi="仿宋_GB2312" w:eastAsia="仿宋_GB2312" w:cs="仿宋_GB2312"/>
          <w:color w:val="000000"/>
          <w:sz w:val="32"/>
          <w:u w:color="auto"/>
        </w:rPr>
        <w:t>.7</w:t>
      </w:r>
      <w:r>
        <w:rPr>
          <w:rFonts w:hint="eastAsia" w:ascii="仿宋_GB2312" w:hAnsi="仿宋_GB2312" w:eastAsia="仿宋_GB2312" w:cs="仿宋_GB2312"/>
          <w:color w:val="000000"/>
          <w:sz w:val="32"/>
          <w:u w:color="auto"/>
          <w:lang w:val="en-US" w:eastAsia="zh-CN"/>
        </w:rPr>
        <w:t>8</w:t>
      </w:r>
      <w:r>
        <w:rPr>
          <w:rFonts w:hint="eastAsia" w:ascii="仿宋_GB2312" w:hAnsi="仿宋_GB2312" w:eastAsia="仿宋_GB2312" w:cs="仿宋_GB2312"/>
          <w:color w:val="000000"/>
          <w:sz w:val="32"/>
          <w:szCs w:val="32"/>
        </w:rPr>
        <w:t>万元。与</w:t>
      </w:r>
      <w:r>
        <w:rPr>
          <w:rFonts w:hint="eastAsia" w:ascii="仿宋_GB2312" w:hAnsi="仿宋_GB2312" w:eastAsia="仿宋_GB2312" w:cs="仿宋_GB2312"/>
          <w:color w:val="000000"/>
          <w:sz w:val="32"/>
          <w:u w:color="auto"/>
        </w:rPr>
        <w:t>202</w:t>
      </w:r>
      <w:r>
        <w:rPr>
          <w:rFonts w:hint="eastAsia" w:ascii="仿宋_GB2312" w:hAnsi="仿宋_GB2312" w:eastAsia="仿宋_GB2312" w:cs="仿宋_GB2312"/>
          <w:color w:val="000000"/>
          <w:sz w:val="32"/>
          <w:u w:color="auto"/>
          <w:lang w:val="en-US" w:eastAsia="zh-CN"/>
        </w:rPr>
        <w:t>4</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相比，收入、支出总计各</w:t>
      </w:r>
      <w:r>
        <w:rPr>
          <w:rFonts w:hint="eastAsia" w:ascii="仿宋_GB2312" w:hAnsi="仿宋_GB2312" w:eastAsia="仿宋_GB2312" w:cs="仿宋_GB2312"/>
          <w:color w:val="000000"/>
          <w:sz w:val="32"/>
          <w:u w:color="auto"/>
        </w:rPr>
        <w:t>增加</w:t>
      </w:r>
      <w:r>
        <w:rPr>
          <w:rFonts w:hint="eastAsia" w:ascii="仿宋_GB2312" w:hAnsi="仿宋_GB2312" w:eastAsia="仿宋_GB2312" w:cs="仿宋_GB2312"/>
          <w:color w:val="000000"/>
          <w:sz w:val="32"/>
          <w:u w:color="auto"/>
          <w:lang w:val="en-US" w:eastAsia="zh-CN"/>
        </w:rPr>
        <w:t>1550.71</w:t>
      </w:r>
      <w:r>
        <w:rPr>
          <w:rFonts w:hint="eastAsia" w:ascii="仿宋_GB2312" w:hAnsi="仿宋_GB2312" w:eastAsia="仿宋_GB2312" w:cs="仿宋_GB2312"/>
          <w:color w:val="000000"/>
          <w:sz w:val="32"/>
          <w:u w:color="auto"/>
        </w:rPr>
        <w:t>万元，增长</w:t>
      </w:r>
      <w:r>
        <w:rPr>
          <w:rFonts w:hint="eastAsia" w:ascii="仿宋_GB2312" w:hAnsi="仿宋_GB2312" w:eastAsia="仿宋_GB2312" w:cs="仿宋_GB2312"/>
          <w:color w:val="000000"/>
          <w:sz w:val="32"/>
          <w:u w:color="auto"/>
          <w:lang w:val="en-US" w:eastAsia="zh-CN"/>
        </w:rPr>
        <w:t>100.02</w:t>
      </w:r>
      <w:r>
        <w:rPr>
          <w:rFonts w:hint="eastAsia" w:ascii="仿宋_GB2312" w:hAnsi="仿宋_GB2312" w:eastAsia="仿宋_GB2312" w:cs="仿宋_GB2312"/>
          <w:color w:val="000000"/>
          <w:sz w:val="32"/>
          <w:u w:color="auto"/>
        </w:rPr>
        <w:t>%。</w:t>
      </w:r>
      <w:r>
        <w:rPr>
          <w:rFonts w:hint="eastAsia" w:ascii="仿宋_GB2312" w:hAnsi="仿宋_GB2312" w:eastAsia="仿宋_GB2312" w:cs="仿宋_GB2312"/>
          <w:b w:val="0"/>
          <w:bCs w:val="0"/>
          <w:color w:val="000000"/>
          <w:kern w:val="2"/>
          <w:sz w:val="32"/>
          <w:szCs w:val="32"/>
          <w:lang w:val="en-US" w:eastAsia="zh-CN" w:bidi="ar-SA"/>
        </w:rPr>
        <w:t>主要变动原因是：本年财政预算收入增加。</w:t>
      </w:r>
      <w:r>
        <w:rPr>
          <w:rFonts w:hint="eastAsia" w:ascii="仿宋_GB2312" w:hAnsi="仿宋_GB2312" w:eastAsia="仿宋_GB2312" w:cs="仿宋_GB2312"/>
          <w:color w:val="000000"/>
          <w:sz w:val="32"/>
          <w:u w:color="auto"/>
        </w:rPr>
        <w:t xml:space="preserve"> </w:t>
      </w:r>
    </w:p>
    <w:p w14:paraId="658E1C73">
      <w:pPr>
        <w:pStyle w:val="2"/>
        <w:rPr>
          <w:rFonts w:hint="eastAsia"/>
        </w:rPr>
      </w:pPr>
    </w:p>
    <w:p w14:paraId="03F5F7B8">
      <w:pPr>
        <w:pStyle w:val="2"/>
        <w:rPr>
          <w:rFonts w:hint="eastAsia"/>
        </w:rPr>
      </w:pPr>
    </w:p>
    <w:p w14:paraId="48596E10">
      <w:pPr>
        <w:pStyle w:val="8"/>
        <w:pageBreakBefore w:val="0"/>
        <w:kinsoku/>
        <w:wordWrap/>
        <w:overflowPunct/>
        <w:topLinePunct w:val="0"/>
        <w:autoSpaceDE/>
        <w:autoSpaceDN/>
        <w:bidi w:val="0"/>
        <w:adjustRightInd/>
        <w:snapToGrid/>
        <w:ind w:left="0" w:leftChars="0" w:firstLine="0" w:firstLineChars="0"/>
        <w:rPr>
          <w:rFonts w:hint="eastAsia" w:ascii="思源黑体 CN Normal" w:hAnsi="思源黑体 CN Normal" w:eastAsia="思源黑体 CN Normal" w:cs="思源黑体 CN Normal"/>
        </w:rPr>
      </w:pPr>
      <w:r>
        <w:rPr>
          <w:rFonts w:hint="eastAsia" w:ascii="思源黑体 CN Normal" w:hAnsi="思源黑体 CN Normal" w:eastAsia="思源黑体 CN Normal" w:cs="思源黑体 CN Normal"/>
        </w:rPr>
        <w:drawing>
          <wp:inline distT="0" distB="0" distL="114300" distR="114300">
            <wp:extent cx="5219065" cy="2744470"/>
            <wp:effectExtent l="4445" t="4445" r="15240" b="13335"/>
            <wp:docPr id="10"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AE2EBFD">
      <w:pPr>
        <w:pStyle w:val="6"/>
        <w:pageBreakBefore w:val="0"/>
        <w:kinsoku/>
        <w:wordWrap/>
        <w:overflowPunct/>
        <w:topLinePunct w:val="0"/>
        <w:autoSpaceDE/>
        <w:autoSpaceDN/>
        <w:bidi w:val="0"/>
        <w:adjustRightInd/>
        <w:snapToGrid/>
        <w:spacing w:before="0" w:after="0"/>
        <w:ind w:firstLine="643" w:firstLineChars="200"/>
        <w:rPr>
          <w:rFonts w:hint="eastAsia" w:ascii="仿宋" w:hAnsi="仿宋" w:eastAsia="仿宋" w:cs="仿宋"/>
          <w:color w:val="000000"/>
          <w:sz w:val="32"/>
          <w:szCs w:val="32"/>
          <w:lang w:val="en-US" w:eastAsia="zh-CN"/>
        </w:rPr>
      </w:pPr>
      <w:bookmarkStart w:id="31" w:name="_Toc8125"/>
      <w:bookmarkStart w:id="32" w:name="_Toc111208500"/>
      <w:bookmarkStart w:id="33" w:name="_Toc15377206"/>
    </w:p>
    <w:p w14:paraId="0B457247">
      <w:pPr>
        <w:pStyle w:val="6"/>
        <w:pageBreakBefore w:val="0"/>
        <w:kinsoku/>
        <w:wordWrap/>
        <w:overflowPunct/>
        <w:topLinePunct w:val="0"/>
        <w:autoSpaceDE/>
        <w:autoSpaceDN/>
        <w:bidi w:val="0"/>
        <w:adjustRightInd/>
        <w:snapToGrid/>
        <w:spacing w:before="0" w:after="0"/>
        <w:ind w:firstLine="643" w:firstLineChars="200"/>
        <w:rPr>
          <w:rFonts w:hint="eastAsia" w:ascii="黑体" w:hAnsi="黑体" w:eastAsia="黑体" w:cs="黑体"/>
          <w:bCs w:val="0"/>
          <w:color w:val="000000"/>
        </w:rPr>
      </w:pPr>
      <w:r>
        <w:rPr>
          <w:rFonts w:hint="eastAsia" w:ascii="仿宋" w:hAnsi="仿宋" w:eastAsia="仿宋" w:cs="仿宋"/>
          <w:color w:val="000000"/>
          <w:sz w:val="32"/>
          <w:szCs w:val="32"/>
          <w:lang w:val="en-US" w:eastAsia="zh-CN"/>
        </w:rPr>
        <w:t xml:space="preserve"> </w:t>
      </w:r>
      <w:r>
        <w:rPr>
          <w:rFonts w:hint="eastAsia" w:ascii="黑体" w:hAnsi="黑体" w:eastAsia="黑体" w:cs="黑体"/>
          <w:b w:val="0"/>
          <w:bCs/>
          <w:color w:val="000000"/>
        </w:rPr>
        <w:t>二、收入决算情况说明</w:t>
      </w:r>
      <w:bookmarkEnd w:id="31"/>
      <w:bookmarkEnd w:id="32"/>
      <w:bookmarkEnd w:id="33"/>
    </w:p>
    <w:p w14:paraId="689A5D58">
      <w:pPr>
        <w:pageBreakBefore w:val="0"/>
        <w:kinsoku/>
        <w:wordWrap/>
        <w:overflowPunct/>
        <w:topLinePunct w:val="0"/>
        <w:autoSpaceDE/>
        <w:autoSpaceDN/>
        <w:bidi w:val="0"/>
        <w:adjustRightInd/>
        <w:snapToGrid/>
        <w:spacing w:line="600" w:lineRule="exact"/>
        <w:ind w:firstLine="640" w:firstLineChars="200"/>
        <w:rPr>
          <w:rFonts w:hint="default" w:ascii="仿宋_GB2312" w:hAnsi="仿宋_GB2312" w:eastAsia="仿宋_GB2312" w:cs="仿宋_GB2312"/>
          <w:color w:val="000000"/>
          <w:sz w:val="32"/>
          <w:szCs w:val="32"/>
          <w:lang w:val="en-US"/>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本年收入合计</w:t>
      </w: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u w:color="auto"/>
        </w:rPr>
        <w:t>,</w:t>
      </w:r>
      <w:r>
        <w:rPr>
          <w:rFonts w:hint="eastAsia" w:ascii="仿宋_GB2312" w:hAnsi="仿宋_GB2312" w:eastAsia="仿宋_GB2312" w:cs="仿宋_GB2312"/>
          <w:color w:val="000000"/>
          <w:sz w:val="32"/>
          <w:u w:color="auto"/>
          <w:lang w:val="en-US" w:eastAsia="zh-CN"/>
        </w:rPr>
        <w:t>101.78</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szCs w:val="32"/>
          <w:lang w:val="en-US" w:eastAsia="zh-CN"/>
        </w:rPr>
        <w:t>，其中:一般公共预算财政拨款收入2,971.07万元，占95.7%；政府性基金预算财政拨款收入1万元，占0.3%,其他收入129.72万元，占4%。</w:t>
      </w:r>
    </w:p>
    <w:p w14:paraId="37FBD60E">
      <w:pPr>
        <w:pStyle w:val="16"/>
        <w:pageBreakBefore w:val="0"/>
        <w:kinsoku/>
        <w:wordWrap/>
        <w:overflowPunct/>
        <w:topLinePunct w:val="0"/>
        <w:autoSpaceDE/>
        <w:autoSpaceDN/>
        <w:bidi w:val="0"/>
        <w:adjustRightInd/>
        <w:snapToGrid/>
        <w:ind w:left="1060" w:hanging="640"/>
        <w:jc w:val="center"/>
        <w:rPr>
          <w:rFonts w:hint="eastAsia" w:ascii="思源黑体 CN Normal" w:hAnsi="思源黑体 CN Normal" w:eastAsia="思源黑体 CN Normal" w:cs="思源黑体 CN Normal"/>
          <w:color w:val="FF0000"/>
          <w:sz w:val="32"/>
          <w:szCs w:val="32"/>
        </w:rPr>
      </w:pPr>
    </w:p>
    <w:p w14:paraId="5AAB2221">
      <w:pPr>
        <w:pStyle w:val="6"/>
        <w:pageBreakBefore w:val="0"/>
        <w:kinsoku/>
        <w:wordWrap/>
        <w:overflowPunct/>
        <w:topLinePunct w:val="0"/>
        <w:autoSpaceDE/>
        <w:autoSpaceDN/>
        <w:bidi w:val="0"/>
        <w:adjustRightInd/>
        <w:snapToGrid/>
        <w:spacing w:before="0" w:after="0"/>
        <w:rPr>
          <w:rFonts w:hint="eastAsia" w:ascii="仿宋" w:hAnsi="仿宋" w:eastAsia="仿宋" w:cs="仿宋"/>
          <w:color w:val="000000"/>
          <w:sz w:val="32"/>
          <w:szCs w:val="32"/>
          <w:lang w:val="en-US" w:eastAsia="zh-CN"/>
        </w:rPr>
      </w:pPr>
      <w:bookmarkStart w:id="34" w:name="_Toc28283"/>
      <w:bookmarkStart w:id="35" w:name="_Toc111208501"/>
      <w:bookmarkStart w:id="36" w:name="_Toc15377207"/>
      <w:r>
        <w:rPr>
          <w:rFonts w:hint="eastAsia" w:ascii="思源黑体 CN Normal" w:hAnsi="思源黑体 CN Normal" w:eastAsia="思源黑体 CN Normal" w:cs="思源黑体 CN Normal"/>
          <w:color w:val="FF0000"/>
          <w:sz w:val="32"/>
          <w:szCs w:val="32"/>
        </w:rPr>
        <w:drawing>
          <wp:inline distT="0" distB="0" distL="114300" distR="114300">
            <wp:extent cx="5267325" cy="3191510"/>
            <wp:effectExtent l="4445" t="4445" r="5080" b="2349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Pr>
          <w:rFonts w:hint="eastAsia" w:ascii="仿宋" w:hAnsi="仿宋" w:eastAsia="仿宋" w:cs="仿宋"/>
          <w:color w:val="000000"/>
          <w:sz w:val="32"/>
          <w:szCs w:val="32"/>
          <w:lang w:val="en-US" w:eastAsia="zh-CN"/>
        </w:rPr>
        <w:t xml:space="preserve"> </w:t>
      </w:r>
    </w:p>
    <w:p w14:paraId="734053ED">
      <w:pPr>
        <w:pStyle w:val="6"/>
        <w:pageBreakBefore w:val="0"/>
        <w:kinsoku/>
        <w:wordWrap/>
        <w:overflowPunct/>
        <w:topLinePunct w:val="0"/>
        <w:autoSpaceDE/>
        <w:autoSpaceDN/>
        <w:bidi w:val="0"/>
        <w:adjustRightInd/>
        <w:snapToGrid/>
        <w:spacing w:before="0" w:after="0"/>
        <w:ind w:firstLine="640" w:firstLineChars="200"/>
        <w:rPr>
          <w:rFonts w:hint="eastAsia" w:ascii="黑体" w:hAnsi="黑体" w:eastAsia="黑体" w:cs="黑体"/>
          <w:b w:val="0"/>
          <w:bCs/>
          <w:color w:val="000000"/>
        </w:rPr>
      </w:pPr>
    </w:p>
    <w:p w14:paraId="6407AB14">
      <w:pPr>
        <w:pStyle w:val="6"/>
        <w:pageBreakBefore w:val="0"/>
        <w:kinsoku/>
        <w:wordWrap/>
        <w:overflowPunct/>
        <w:topLinePunct w:val="0"/>
        <w:autoSpaceDE/>
        <w:autoSpaceDN/>
        <w:bidi w:val="0"/>
        <w:adjustRightInd/>
        <w:snapToGrid/>
        <w:spacing w:before="0" w:after="0"/>
        <w:ind w:firstLine="640" w:firstLineChars="200"/>
        <w:rPr>
          <w:rFonts w:hint="eastAsia" w:ascii="黑体" w:hAnsi="黑体" w:eastAsia="黑体" w:cs="黑体"/>
          <w:b w:val="0"/>
          <w:bCs/>
          <w:color w:val="000000"/>
        </w:rPr>
      </w:pPr>
      <w:r>
        <w:rPr>
          <w:rFonts w:hint="eastAsia" w:ascii="黑体" w:hAnsi="黑体" w:eastAsia="黑体" w:cs="黑体"/>
          <w:b w:val="0"/>
          <w:bCs/>
          <w:color w:val="000000"/>
        </w:rPr>
        <w:t>三、支出决算情况说明</w:t>
      </w:r>
      <w:bookmarkEnd w:id="34"/>
      <w:bookmarkEnd w:id="35"/>
      <w:bookmarkEnd w:id="36"/>
    </w:p>
    <w:p w14:paraId="4D9F0015">
      <w:pPr>
        <w:pStyle w:val="8"/>
        <w:pageBreakBefore w:val="0"/>
        <w:kinsoku/>
        <w:wordWrap/>
        <w:overflowPunct/>
        <w:topLinePunct w:val="0"/>
        <w:autoSpaceDE/>
        <w:autoSpaceDN/>
        <w:bidi w:val="0"/>
        <w:adjustRightInd/>
        <w:snapToGrid/>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本年支出合计</w:t>
      </w:r>
      <w:r>
        <w:rPr>
          <w:rFonts w:hint="eastAsia" w:ascii="仿宋_GB2312" w:hAnsi="仿宋_GB2312" w:eastAsia="仿宋_GB2312" w:cs="仿宋_GB2312"/>
          <w:color w:val="000000"/>
          <w:sz w:val="32"/>
          <w:szCs w:val="32"/>
          <w:lang w:val="en-US" w:eastAsia="zh-CN"/>
        </w:rPr>
        <w:t>3,101.78</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szCs w:val="32"/>
          <w:lang w:val="en-US" w:eastAsia="zh-CN"/>
        </w:rPr>
        <w:t>，其中:基本支出3,066.16万元，占98.86%；项目支出35.62万元，占1.14%</w:t>
      </w:r>
      <w:r>
        <w:rPr>
          <w:rFonts w:hint="eastAsia" w:ascii="仿宋_GB2312" w:hAnsi="仿宋_GB2312" w:eastAsia="仿宋_GB2312" w:cs="仿宋_GB2312"/>
          <w:color w:val="000000"/>
          <w:sz w:val="32"/>
          <w:szCs w:val="32"/>
        </w:rPr>
        <w:t>。</w:t>
      </w:r>
    </w:p>
    <w:p w14:paraId="4E4D32E3">
      <w:pPr>
        <w:pStyle w:val="8"/>
        <w:pageBreakBefore w:val="0"/>
        <w:kinsoku/>
        <w:wordWrap/>
        <w:overflowPunct/>
        <w:topLinePunct w:val="0"/>
        <w:autoSpaceDE/>
        <w:autoSpaceDN/>
        <w:bidi w:val="0"/>
        <w:adjustRightInd/>
        <w:snapToGrid/>
        <w:rPr>
          <w:rFonts w:hint="eastAsia" w:ascii="仿宋" w:hAnsi="仿宋" w:eastAsia="仿宋" w:cs="仿宋"/>
          <w:color w:val="000000"/>
          <w:sz w:val="32"/>
          <w:szCs w:val="32"/>
          <w:lang w:val="en-US" w:eastAsia="zh-CN"/>
        </w:rPr>
      </w:pPr>
      <w:r>
        <w:rPr>
          <w:rFonts w:hint="eastAsia" w:asci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135890</wp:posOffset>
            </wp:positionH>
            <wp:positionV relativeFrom="paragraph">
              <wp:posOffset>365125</wp:posOffset>
            </wp:positionV>
            <wp:extent cx="5128895" cy="2319655"/>
            <wp:effectExtent l="5080" t="4445" r="9525" b="19050"/>
            <wp:wrapSquare wrapText="bothSides"/>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bookmarkStart w:id="37" w:name="_Toc15377208"/>
      <w:bookmarkStart w:id="38" w:name="_Toc111208502"/>
      <w:bookmarkStart w:id="39" w:name="_Toc19521"/>
    </w:p>
    <w:p w14:paraId="7CC7CB04">
      <w:pPr>
        <w:pStyle w:val="6"/>
        <w:pageBreakBefore w:val="0"/>
        <w:kinsoku/>
        <w:wordWrap/>
        <w:overflowPunct/>
        <w:topLinePunct w:val="0"/>
        <w:autoSpaceDE/>
        <w:autoSpaceDN/>
        <w:bidi w:val="0"/>
        <w:adjustRightInd/>
        <w:snapToGrid/>
        <w:spacing w:before="0" w:after="0"/>
        <w:ind w:firstLine="643" w:firstLineChars="200"/>
        <w:rPr>
          <w:rFonts w:hint="eastAsia" w:ascii="黑体" w:hAnsi="黑体" w:eastAsia="黑体" w:cs="黑体"/>
          <w:b w:val="0"/>
          <w:bCs/>
          <w:color w:val="000000"/>
        </w:rPr>
      </w:pPr>
      <w:r>
        <w:rPr>
          <w:rFonts w:hint="eastAsia" w:ascii="仿宋" w:hAnsi="仿宋" w:eastAsia="仿宋" w:cs="仿宋"/>
          <w:color w:val="000000"/>
          <w:sz w:val="32"/>
          <w:szCs w:val="32"/>
          <w:lang w:val="en-US" w:eastAsia="zh-CN"/>
        </w:rPr>
        <w:t xml:space="preserve"> </w:t>
      </w:r>
      <w:r>
        <w:rPr>
          <w:rFonts w:hint="eastAsia" w:ascii="黑体" w:hAnsi="黑体" w:eastAsia="黑体" w:cs="黑体"/>
          <w:b w:val="0"/>
          <w:bCs/>
          <w:color w:val="000000"/>
        </w:rPr>
        <w:t>四、财政拨款收入支出决算总体情况说明</w:t>
      </w:r>
      <w:bookmarkEnd w:id="37"/>
      <w:bookmarkEnd w:id="38"/>
      <w:bookmarkEnd w:id="39"/>
    </w:p>
    <w:p w14:paraId="7BCC51A5">
      <w:pPr>
        <w:pageBreakBefore w:val="0"/>
        <w:kinsoku/>
        <w:wordWrap/>
        <w:overflowPunct/>
        <w:topLinePunct w:val="0"/>
        <w:autoSpaceDE/>
        <w:autoSpaceDN/>
        <w:bidi w:val="0"/>
        <w:adjustRightInd/>
        <w:snapToGrid/>
        <w:spacing w:line="600" w:lineRule="exact"/>
        <w:ind w:firstLine="640" w:firstLineChars="200"/>
        <w:rPr>
          <w:rFonts w:hint="eastAsia" w:ascii="仿宋_GB2312" w:hAnsi="仿宋_GB2312" w:eastAsia="仿宋_GB2312" w:cs="仿宋_GB2312"/>
          <w:color w:val="000000"/>
          <w:sz w:val="32"/>
          <w:u w:color="auto"/>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财政拨款收</w:t>
      </w:r>
      <w:r>
        <w:rPr>
          <w:rFonts w:hint="eastAsia" w:ascii="仿宋_GB2312" w:hAnsi="仿宋_GB2312" w:eastAsia="仿宋_GB2312" w:cs="仿宋_GB2312"/>
          <w:color w:val="000000"/>
          <w:sz w:val="32"/>
          <w:szCs w:val="32"/>
          <w:lang w:val="en-US" w:eastAsia="zh-CN"/>
        </w:rPr>
        <w:t>入</w:t>
      </w:r>
      <w:r>
        <w:rPr>
          <w:rFonts w:hint="eastAsia" w:ascii="仿宋_GB2312" w:hAnsi="仿宋_GB2312" w:eastAsia="仿宋_GB2312" w:cs="仿宋_GB2312"/>
          <w:color w:val="000000"/>
          <w:sz w:val="32"/>
          <w:szCs w:val="32"/>
        </w:rPr>
        <w:t>、支</w:t>
      </w:r>
      <w:r>
        <w:rPr>
          <w:rFonts w:hint="eastAsia" w:ascii="仿宋_GB2312" w:hAnsi="仿宋_GB2312" w:eastAsia="仿宋_GB2312" w:cs="仿宋_GB2312"/>
          <w:color w:val="000000"/>
          <w:sz w:val="32"/>
          <w:szCs w:val="32"/>
          <w:lang w:val="en-US" w:eastAsia="zh-CN"/>
        </w:rPr>
        <w:t>出</w:t>
      </w:r>
      <w:r>
        <w:rPr>
          <w:rFonts w:hint="eastAsia" w:ascii="仿宋_GB2312" w:hAnsi="仿宋_GB2312" w:eastAsia="仿宋_GB2312" w:cs="仿宋_GB2312"/>
          <w:color w:val="000000"/>
          <w:sz w:val="32"/>
          <w:szCs w:val="32"/>
        </w:rPr>
        <w:t>总计均为</w:t>
      </w:r>
      <w:r>
        <w:rPr>
          <w:rFonts w:hint="eastAsia" w:ascii="仿宋_GB2312" w:hAnsi="仿宋_GB2312" w:eastAsia="仿宋_GB2312" w:cs="仿宋_GB2312"/>
          <w:color w:val="000000"/>
          <w:sz w:val="32"/>
          <w:szCs w:val="32"/>
          <w:lang w:val="en-US" w:eastAsia="zh-CN"/>
        </w:rPr>
        <w:t>3,101.78</w:t>
      </w:r>
      <w:r>
        <w:rPr>
          <w:rFonts w:hint="eastAsia" w:ascii="仿宋_GB2312" w:hAnsi="仿宋_GB2312" w:eastAsia="仿宋_GB2312" w:cs="仿宋_GB2312"/>
          <w:color w:val="000000"/>
          <w:sz w:val="32"/>
          <w:u w:color="auto"/>
        </w:rPr>
        <w:t>万元。与202</w:t>
      </w:r>
      <w:r>
        <w:rPr>
          <w:rFonts w:hint="eastAsia" w:ascii="仿宋_GB2312" w:hAnsi="仿宋_GB2312" w:eastAsia="仿宋_GB2312" w:cs="仿宋_GB2312"/>
          <w:color w:val="000000"/>
          <w:sz w:val="32"/>
          <w:u w:color="auto"/>
          <w:lang w:val="en-US" w:eastAsia="zh-CN"/>
        </w:rPr>
        <w:t>4</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相比，财政拨款收</w:t>
      </w:r>
      <w:r>
        <w:rPr>
          <w:rFonts w:hint="eastAsia" w:ascii="仿宋_GB2312" w:hAnsi="仿宋_GB2312" w:eastAsia="仿宋_GB2312" w:cs="仿宋_GB2312"/>
          <w:color w:val="000000"/>
          <w:sz w:val="32"/>
          <w:szCs w:val="32"/>
          <w:lang w:val="en-US" w:eastAsia="zh-CN"/>
        </w:rPr>
        <w:t>入</w:t>
      </w:r>
      <w:r>
        <w:rPr>
          <w:rFonts w:hint="eastAsia" w:ascii="仿宋_GB2312" w:hAnsi="仿宋_GB2312" w:eastAsia="仿宋_GB2312" w:cs="仿宋_GB2312"/>
          <w:color w:val="000000"/>
          <w:sz w:val="32"/>
          <w:szCs w:val="32"/>
        </w:rPr>
        <w:t>、支</w:t>
      </w:r>
      <w:r>
        <w:rPr>
          <w:rFonts w:hint="eastAsia" w:ascii="仿宋_GB2312" w:hAnsi="仿宋_GB2312" w:eastAsia="仿宋_GB2312" w:cs="仿宋_GB2312"/>
          <w:color w:val="000000"/>
          <w:sz w:val="32"/>
          <w:szCs w:val="32"/>
          <w:lang w:val="en-US" w:eastAsia="zh-CN"/>
        </w:rPr>
        <w:t>出</w:t>
      </w:r>
      <w:r>
        <w:rPr>
          <w:rFonts w:hint="eastAsia" w:ascii="仿宋_GB2312" w:hAnsi="仿宋_GB2312" w:eastAsia="仿宋_GB2312" w:cs="仿宋_GB2312"/>
          <w:color w:val="000000"/>
          <w:sz w:val="32"/>
          <w:szCs w:val="32"/>
        </w:rPr>
        <w:t>总计各</w:t>
      </w:r>
      <w:r>
        <w:rPr>
          <w:rFonts w:hint="eastAsia" w:ascii="仿宋_GB2312" w:hAnsi="仿宋_GB2312" w:eastAsia="仿宋_GB2312" w:cs="仿宋_GB2312"/>
          <w:color w:val="000000"/>
          <w:sz w:val="32"/>
          <w:u w:color="auto"/>
        </w:rPr>
        <w:t>增加</w:t>
      </w:r>
      <w:r>
        <w:rPr>
          <w:rFonts w:hint="eastAsia" w:ascii="仿宋_GB2312" w:hAnsi="仿宋_GB2312" w:eastAsia="仿宋_GB2312" w:cs="仿宋_GB2312"/>
          <w:color w:val="000000"/>
          <w:sz w:val="32"/>
          <w:u w:color="auto"/>
          <w:lang w:val="en-US" w:eastAsia="zh-CN"/>
        </w:rPr>
        <w:t>1551.07</w:t>
      </w:r>
      <w:r>
        <w:rPr>
          <w:rFonts w:hint="eastAsia" w:ascii="仿宋_GB2312" w:hAnsi="仿宋_GB2312" w:eastAsia="仿宋_GB2312" w:cs="仿宋_GB2312"/>
          <w:color w:val="000000"/>
          <w:sz w:val="32"/>
          <w:u w:color="auto"/>
        </w:rPr>
        <w:t>万元，增长</w:t>
      </w:r>
      <w:r>
        <w:rPr>
          <w:rFonts w:hint="eastAsia" w:ascii="仿宋_GB2312" w:hAnsi="仿宋_GB2312" w:eastAsia="仿宋_GB2312" w:cs="仿宋_GB2312"/>
          <w:color w:val="000000"/>
          <w:sz w:val="32"/>
          <w:u w:color="auto"/>
          <w:lang w:val="en-US" w:eastAsia="zh-CN"/>
        </w:rPr>
        <w:t>100.02</w:t>
      </w:r>
      <w:r>
        <w:rPr>
          <w:rFonts w:hint="eastAsia" w:ascii="仿宋_GB2312" w:hAnsi="仿宋_GB2312" w:eastAsia="仿宋_GB2312" w:cs="仿宋_GB2312"/>
          <w:color w:val="000000"/>
          <w:sz w:val="32"/>
          <w:u w:color="auto"/>
        </w:rPr>
        <w:t>%。</w:t>
      </w:r>
      <w:r>
        <w:rPr>
          <w:rFonts w:hint="eastAsia" w:ascii="仿宋_GB2312" w:hAnsi="仿宋_GB2312" w:eastAsia="仿宋_GB2312" w:cs="仿宋_GB2312"/>
          <w:b w:val="0"/>
          <w:bCs w:val="0"/>
          <w:color w:val="000000"/>
          <w:kern w:val="2"/>
          <w:sz w:val="32"/>
          <w:szCs w:val="32"/>
          <w:lang w:val="en-US" w:eastAsia="zh-CN" w:bidi="ar-SA"/>
        </w:rPr>
        <w:t>主要变动原因是：本年财政预算收入增加。</w:t>
      </w:r>
      <w:r>
        <w:rPr>
          <w:rFonts w:hint="eastAsia" w:ascii="仿宋_GB2312" w:hAnsi="仿宋_GB2312" w:eastAsia="仿宋_GB2312" w:cs="仿宋_GB2312"/>
          <w:color w:val="000000"/>
          <w:sz w:val="32"/>
          <w:u w:color="auto"/>
        </w:rPr>
        <w:t xml:space="preserve">  </w:t>
      </w:r>
    </w:p>
    <w:p w14:paraId="008E5D89">
      <w:pPr>
        <w:pStyle w:val="2"/>
        <w:rPr>
          <w:rFonts w:hint="eastAsia"/>
        </w:rPr>
      </w:pPr>
    </w:p>
    <w:p w14:paraId="129AA2A7">
      <w:pPr>
        <w:pStyle w:val="8"/>
        <w:pageBreakBefore w:val="0"/>
        <w:kinsoku/>
        <w:wordWrap/>
        <w:overflowPunct/>
        <w:topLinePunct w:val="0"/>
        <w:autoSpaceDE/>
        <w:autoSpaceDN/>
        <w:bidi w:val="0"/>
        <w:adjustRightInd/>
        <w:snapToGrid/>
        <w:ind w:left="0" w:leftChars="0" w:firstLine="0" w:firstLineChars="0"/>
        <w:jc w:val="left"/>
        <w:rPr>
          <w:rFonts w:hint="eastAsia" w:ascii="思源黑体 CN Normal" w:hAnsi="思源黑体 CN Normal" w:eastAsia="思源黑体 CN Normal" w:cs="思源黑体 CN Normal"/>
          <w:color w:val="000000"/>
          <w:sz w:val="32"/>
          <w:szCs w:val="32"/>
        </w:rPr>
      </w:pPr>
      <w:r>
        <w:rPr>
          <w:rFonts w:hint="eastAsia" w:ascii="思源黑体 CN Normal" w:hAnsi="思源黑体 CN Normal" w:eastAsia="思源黑体 CN Normal" w:cs="思源黑体 CN Normal"/>
          <w:color w:val="000000"/>
          <w:sz w:val="32"/>
          <w:szCs w:val="32"/>
        </w:rPr>
        <w:drawing>
          <wp:inline distT="0" distB="0" distL="0" distR="0">
            <wp:extent cx="4981575" cy="3171825"/>
            <wp:effectExtent l="0" t="0" r="9525" b="9525"/>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2E66A90">
      <w:pPr>
        <w:pStyle w:val="6"/>
        <w:pageBreakBefore w:val="0"/>
        <w:kinsoku/>
        <w:wordWrap/>
        <w:overflowPunct/>
        <w:topLinePunct w:val="0"/>
        <w:autoSpaceDE/>
        <w:autoSpaceDN/>
        <w:bidi w:val="0"/>
        <w:adjustRightInd/>
        <w:snapToGrid/>
        <w:spacing w:before="0" w:after="0"/>
        <w:ind w:firstLine="643" w:firstLineChars="200"/>
        <w:rPr>
          <w:rFonts w:hint="eastAsia" w:ascii="黑体" w:hAnsi="黑体" w:eastAsia="黑体" w:cs="黑体"/>
          <w:b w:val="0"/>
          <w:bCs/>
          <w:color w:val="000000"/>
        </w:rPr>
      </w:pPr>
      <w:bookmarkStart w:id="40" w:name="_Toc15377209"/>
      <w:bookmarkStart w:id="41" w:name="_Toc111208503"/>
      <w:bookmarkStart w:id="42" w:name="_Toc14368"/>
      <w:r>
        <w:rPr>
          <w:rFonts w:hint="eastAsia" w:ascii="仿宋" w:hAnsi="仿宋" w:eastAsia="仿宋" w:cs="仿宋"/>
          <w:color w:val="000000"/>
          <w:sz w:val="32"/>
          <w:szCs w:val="32"/>
          <w:lang w:val="en-US" w:eastAsia="zh-CN"/>
        </w:rPr>
        <w:t xml:space="preserve"> </w:t>
      </w:r>
      <w:r>
        <w:rPr>
          <w:rFonts w:hint="eastAsia" w:ascii="黑体" w:hAnsi="黑体" w:eastAsia="黑体" w:cs="黑体"/>
          <w:b w:val="0"/>
          <w:bCs/>
          <w:color w:val="000000"/>
        </w:rPr>
        <w:t>五、一般公共预算财政拨款支出决算情况说</w:t>
      </w:r>
      <w:bookmarkEnd w:id="40"/>
      <w:r>
        <w:rPr>
          <w:rFonts w:hint="eastAsia" w:ascii="黑体" w:hAnsi="黑体" w:eastAsia="黑体" w:cs="黑体"/>
          <w:b w:val="0"/>
          <w:bCs/>
          <w:color w:val="000000"/>
        </w:rPr>
        <w:t>明</w:t>
      </w:r>
      <w:bookmarkEnd w:id="41"/>
      <w:bookmarkEnd w:id="42"/>
    </w:p>
    <w:p w14:paraId="48E252C0">
      <w:pPr>
        <w:pageBreakBefore w:val="0"/>
        <w:kinsoku/>
        <w:wordWrap/>
        <w:overflowPunct/>
        <w:topLinePunct w:val="0"/>
        <w:autoSpaceDE/>
        <w:autoSpaceDN/>
        <w:bidi w:val="0"/>
        <w:adjustRightInd/>
        <w:snapToGrid/>
        <w:spacing w:line="600" w:lineRule="exact"/>
        <w:ind w:firstLine="643" w:firstLineChars="200"/>
        <w:outlineLvl w:val="2"/>
        <w:rPr>
          <w:rFonts w:hint="eastAsia" w:ascii="楷体" w:hAnsi="楷体" w:eastAsia="楷体" w:cs="楷体"/>
          <w:b/>
          <w:color w:val="000000"/>
          <w:sz w:val="32"/>
          <w:szCs w:val="32"/>
        </w:rPr>
      </w:pPr>
      <w:bookmarkStart w:id="43" w:name="_Toc15377210"/>
      <w:r>
        <w:rPr>
          <w:rFonts w:hint="eastAsia" w:ascii="楷体" w:hAnsi="楷体" w:eastAsia="楷体" w:cs="楷体"/>
          <w:b/>
          <w:color w:val="000000"/>
          <w:sz w:val="32"/>
          <w:szCs w:val="32"/>
        </w:rPr>
        <w:t>（一）</w:t>
      </w:r>
      <w:r>
        <w:rPr>
          <w:rFonts w:hint="eastAsia" w:ascii="楷体_GB2312" w:hAnsi="楷体_GB2312" w:eastAsia="楷体_GB2312" w:cs="楷体_GB2312"/>
          <w:b/>
          <w:color w:val="000000"/>
          <w:sz w:val="32"/>
          <w:szCs w:val="32"/>
        </w:rPr>
        <w:t>一般公共预算财政拨款支出决算总体情况</w:t>
      </w:r>
      <w:bookmarkEnd w:id="43"/>
    </w:p>
    <w:p w14:paraId="68920E7D">
      <w:pPr>
        <w:pageBreakBefore w:val="0"/>
        <w:kinsoku/>
        <w:wordWrap/>
        <w:overflowPunct/>
        <w:topLinePunct w:val="0"/>
        <w:autoSpaceDE/>
        <w:autoSpaceDN/>
        <w:bidi w:val="0"/>
        <w:adjustRightInd/>
        <w:snapToGrid/>
        <w:spacing w:line="600" w:lineRule="exact"/>
        <w:ind w:firstLine="640" w:firstLineChars="200"/>
        <w:rPr>
          <w:rFonts w:hint="eastAsia" w:ascii="仿宋_GB2312" w:hAnsi="仿宋_GB2312" w:eastAsia="仿宋_GB2312" w:cs="仿宋_GB2312"/>
          <w:color w:val="000000"/>
          <w:sz w:val="32"/>
          <w:u w:color="auto"/>
        </w:rPr>
      </w:pPr>
      <w:bookmarkStart w:id="44" w:name="_Toc15377211"/>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一般公共预算财政拨款支出</w:t>
      </w:r>
      <w:r>
        <w:rPr>
          <w:rFonts w:hint="eastAsia" w:ascii="仿宋_GB2312" w:hAnsi="仿宋_GB2312" w:eastAsia="仿宋_GB2312" w:cs="仿宋_GB2312"/>
          <w:color w:val="000000"/>
          <w:sz w:val="32"/>
          <w:szCs w:val="32"/>
          <w:lang w:val="en-US" w:eastAsia="zh-CN"/>
        </w:rPr>
        <w:t>2,971.07</w:t>
      </w:r>
      <w:r>
        <w:rPr>
          <w:rFonts w:hint="eastAsia" w:ascii="仿宋_GB2312" w:hAnsi="仿宋_GB2312" w:eastAsia="仿宋_GB2312" w:cs="仿宋_GB2312"/>
          <w:color w:val="000000"/>
          <w:sz w:val="32"/>
          <w:u w:color="auto"/>
        </w:rPr>
        <w:t>万元，占本年支出合计的9</w:t>
      </w:r>
      <w:r>
        <w:rPr>
          <w:rFonts w:hint="eastAsia" w:ascii="仿宋_GB2312" w:hAnsi="仿宋_GB2312" w:eastAsia="仿宋_GB2312" w:cs="仿宋_GB2312"/>
          <w:color w:val="000000"/>
          <w:sz w:val="32"/>
          <w:u w:color="auto"/>
          <w:lang w:val="en-US" w:eastAsia="zh-CN"/>
        </w:rPr>
        <w:t>5.79</w:t>
      </w:r>
      <w:r>
        <w:rPr>
          <w:rFonts w:hint="eastAsia" w:ascii="仿宋_GB2312" w:hAnsi="仿宋_GB2312" w:eastAsia="仿宋_GB2312" w:cs="仿宋_GB2312"/>
          <w:color w:val="000000"/>
          <w:sz w:val="32"/>
          <w:u w:color="auto"/>
        </w:rPr>
        <w:t>%。与202</w:t>
      </w:r>
      <w:r>
        <w:rPr>
          <w:rFonts w:hint="eastAsia" w:ascii="仿宋_GB2312" w:hAnsi="仿宋_GB2312" w:eastAsia="仿宋_GB2312" w:cs="仿宋_GB2312"/>
          <w:color w:val="000000"/>
          <w:sz w:val="32"/>
          <w:u w:color="auto"/>
          <w:lang w:val="en-US" w:eastAsia="zh-CN"/>
        </w:rPr>
        <w:t>4</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相比，一般公共预算财政拨款</w:t>
      </w:r>
      <w:r>
        <w:rPr>
          <w:rFonts w:hint="eastAsia" w:ascii="仿宋_GB2312" w:hAnsi="仿宋_GB2312" w:eastAsia="仿宋_GB2312" w:cs="仿宋_GB2312"/>
          <w:color w:val="000000"/>
          <w:sz w:val="32"/>
          <w:u w:color="auto"/>
        </w:rPr>
        <w:t>增加</w:t>
      </w:r>
      <w:r>
        <w:rPr>
          <w:rFonts w:hint="eastAsia" w:ascii="仿宋_GB2312" w:hAnsi="仿宋_GB2312" w:eastAsia="仿宋_GB2312" w:cs="仿宋_GB2312"/>
          <w:color w:val="000000"/>
          <w:sz w:val="32"/>
          <w:u w:color="auto"/>
          <w:lang w:val="en-US" w:eastAsia="zh-CN"/>
        </w:rPr>
        <w:t>1,422.23</w:t>
      </w:r>
      <w:r>
        <w:rPr>
          <w:rFonts w:hint="eastAsia" w:ascii="仿宋_GB2312" w:hAnsi="仿宋_GB2312" w:eastAsia="仿宋_GB2312" w:cs="仿宋_GB2312"/>
          <w:color w:val="000000"/>
          <w:sz w:val="32"/>
          <w:u w:color="auto"/>
        </w:rPr>
        <w:t>万元，增长</w:t>
      </w:r>
      <w:r>
        <w:rPr>
          <w:rFonts w:hint="eastAsia" w:ascii="仿宋_GB2312" w:hAnsi="仿宋_GB2312" w:eastAsia="仿宋_GB2312" w:cs="仿宋_GB2312"/>
          <w:color w:val="000000"/>
          <w:sz w:val="32"/>
          <w:u w:color="auto"/>
          <w:lang w:val="en-US" w:eastAsia="zh-CN"/>
        </w:rPr>
        <w:t>91.83</w:t>
      </w:r>
      <w:r>
        <w:rPr>
          <w:rFonts w:hint="eastAsia" w:ascii="仿宋_GB2312" w:hAnsi="仿宋_GB2312" w:eastAsia="仿宋_GB2312" w:cs="仿宋_GB2312"/>
          <w:color w:val="000000"/>
          <w:sz w:val="32"/>
          <w:u w:color="auto"/>
        </w:rPr>
        <w:t>%。</w:t>
      </w:r>
      <w:r>
        <w:rPr>
          <w:rFonts w:hint="eastAsia" w:ascii="仿宋_GB2312" w:hAnsi="仿宋_GB2312" w:eastAsia="仿宋_GB2312" w:cs="仿宋_GB2312"/>
          <w:b w:val="0"/>
          <w:bCs w:val="0"/>
          <w:color w:val="000000"/>
          <w:kern w:val="2"/>
          <w:sz w:val="32"/>
          <w:szCs w:val="32"/>
          <w:lang w:val="en-US" w:eastAsia="zh-CN" w:bidi="ar-SA"/>
        </w:rPr>
        <w:t>主要变动原因是：本年财政预算收入增加。</w:t>
      </w:r>
      <w:r>
        <w:rPr>
          <w:rFonts w:hint="eastAsia" w:ascii="仿宋_GB2312" w:hAnsi="仿宋_GB2312" w:eastAsia="仿宋_GB2312" w:cs="仿宋_GB2312"/>
          <w:color w:val="000000"/>
          <w:sz w:val="32"/>
          <w:u w:color="auto"/>
        </w:rPr>
        <w:t xml:space="preserve"> </w:t>
      </w:r>
    </w:p>
    <w:p w14:paraId="16318762">
      <w:pPr>
        <w:pStyle w:val="2"/>
        <w:rPr>
          <w:rFonts w:hint="eastAsia" w:ascii="仿宋_GB2312" w:hAnsi="仿宋_GB2312" w:eastAsia="仿宋_GB2312" w:cs="仿宋_GB2312"/>
          <w:color w:val="000000"/>
          <w:sz w:val="32"/>
          <w:u w:color="auto"/>
        </w:rPr>
      </w:pPr>
      <w:r>
        <w:rPr>
          <w:rFonts w:hint="eastAsia" w:ascii="仿宋" w:eastAsia="仿宋"/>
          <w:color w:val="000000"/>
          <w:sz w:val="32"/>
          <w:szCs w:val="32"/>
        </w:rPr>
        <w:drawing>
          <wp:anchor distT="0" distB="0" distL="114300" distR="114300" simplePos="0" relativeHeight="251661312" behindDoc="1" locked="0" layoutInCell="1" allowOverlap="1">
            <wp:simplePos x="0" y="0"/>
            <wp:positionH relativeFrom="column">
              <wp:posOffset>24130</wp:posOffset>
            </wp:positionH>
            <wp:positionV relativeFrom="paragraph">
              <wp:posOffset>57785</wp:posOffset>
            </wp:positionV>
            <wp:extent cx="5317490" cy="2158365"/>
            <wp:effectExtent l="4445" t="4445" r="12065" b="8890"/>
            <wp:wrapNone/>
            <wp:docPr id="4"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65ECDB21">
      <w:pPr>
        <w:pStyle w:val="3"/>
        <w:rPr>
          <w:rFonts w:hint="eastAsia" w:ascii="仿宋_GB2312" w:hAnsi="仿宋_GB2312" w:eastAsia="仿宋_GB2312" w:cs="仿宋_GB2312"/>
          <w:color w:val="000000"/>
          <w:sz w:val="32"/>
          <w:u w:color="auto"/>
        </w:rPr>
      </w:pPr>
    </w:p>
    <w:p w14:paraId="6F696EB5">
      <w:pPr>
        <w:pageBreakBefore w:val="0"/>
        <w:kinsoku/>
        <w:wordWrap/>
        <w:overflowPunct/>
        <w:topLinePunct w:val="0"/>
        <w:autoSpaceDE/>
        <w:autoSpaceDN/>
        <w:bidi w:val="0"/>
        <w:adjustRightInd/>
        <w:snapToGrid/>
        <w:spacing w:line="600" w:lineRule="exact"/>
        <w:ind w:firstLine="643" w:firstLineChars="200"/>
        <w:outlineLvl w:val="2"/>
        <w:rPr>
          <w:rFonts w:hint="eastAsia" w:ascii="楷体" w:hAnsi="楷体" w:eastAsia="楷体" w:cs="楷体"/>
          <w:b/>
          <w:color w:val="000000"/>
          <w:sz w:val="32"/>
          <w:szCs w:val="32"/>
        </w:rPr>
      </w:pPr>
    </w:p>
    <w:p w14:paraId="4EA578F7">
      <w:pPr>
        <w:pageBreakBefore w:val="0"/>
        <w:kinsoku/>
        <w:wordWrap/>
        <w:overflowPunct/>
        <w:topLinePunct w:val="0"/>
        <w:autoSpaceDE/>
        <w:autoSpaceDN/>
        <w:bidi w:val="0"/>
        <w:adjustRightInd/>
        <w:snapToGrid/>
        <w:spacing w:line="600" w:lineRule="exact"/>
        <w:ind w:firstLine="643" w:firstLineChars="200"/>
        <w:outlineLvl w:val="2"/>
        <w:rPr>
          <w:rFonts w:hint="eastAsia" w:ascii="楷体" w:hAnsi="楷体" w:eastAsia="楷体" w:cs="楷体"/>
          <w:b/>
          <w:color w:val="000000"/>
          <w:sz w:val="32"/>
          <w:szCs w:val="32"/>
        </w:rPr>
      </w:pPr>
      <w:r>
        <w:rPr>
          <w:rFonts w:hint="eastAsia" w:ascii="楷体" w:hAnsi="楷体" w:eastAsia="楷体" w:cs="楷体"/>
          <w:b/>
          <w:color w:val="000000"/>
          <w:sz w:val="32"/>
          <w:szCs w:val="32"/>
        </w:rPr>
        <w:t>（二）一般公共预算财政拨款支出决算结构情况</w:t>
      </w:r>
      <w:bookmarkEnd w:id="44"/>
    </w:p>
    <w:p w14:paraId="6C014A08">
      <w:pPr>
        <w:pageBreakBefore w:val="0"/>
        <w:kinsoku/>
        <w:wordWrap/>
        <w:overflowPunct/>
        <w:topLinePunct w:val="0"/>
        <w:autoSpaceDE/>
        <w:autoSpaceDN/>
        <w:bidi w:val="0"/>
        <w:adjustRightInd/>
        <w:snapToGrid/>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一般公共预算财政拨款支出</w:t>
      </w:r>
      <w:r>
        <w:rPr>
          <w:rFonts w:hint="eastAsia" w:ascii="仿宋_GB2312" w:hAnsi="仿宋_GB2312" w:eastAsia="仿宋_GB2312" w:cs="仿宋_GB2312"/>
          <w:color w:val="000000"/>
          <w:sz w:val="32"/>
          <w:szCs w:val="32"/>
          <w:lang w:val="en-US" w:eastAsia="zh-CN"/>
        </w:rPr>
        <w:t>2,971.07</w:t>
      </w:r>
      <w:r>
        <w:rPr>
          <w:rFonts w:hint="eastAsia" w:ascii="仿宋_GB2312" w:hAnsi="仿宋_GB2312" w:eastAsia="仿宋_GB2312" w:cs="仿宋_GB2312"/>
          <w:color w:val="000000"/>
          <w:sz w:val="32"/>
          <w:u w:color="auto"/>
        </w:rPr>
        <w:t>万元，主要用于以下方面: 教育支出</w:t>
      </w:r>
      <w:r>
        <w:rPr>
          <w:rFonts w:hint="eastAsia" w:ascii="仿宋_GB2312" w:hAnsi="仿宋_GB2312" w:eastAsia="仿宋_GB2312" w:cs="仿宋_GB2312"/>
          <w:color w:val="000000"/>
          <w:sz w:val="32"/>
          <w:u w:color="auto"/>
          <w:lang w:val="en-US" w:eastAsia="zh-CN"/>
        </w:rPr>
        <w:t>2,273.94</w:t>
      </w:r>
      <w:r>
        <w:rPr>
          <w:rFonts w:hint="eastAsia" w:ascii="仿宋_GB2312" w:hAnsi="仿宋_GB2312" w:eastAsia="仿宋_GB2312" w:cs="仿宋_GB2312"/>
          <w:color w:val="000000"/>
          <w:sz w:val="32"/>
          <w:u w:color="auto"/>
        </w:rPr>
        <w:t>万元，占7</w:t>
      </w:r>
      <w:r>
        <w:rPr>
          <w:rFonts w:hint="eastAsia" w:ascii="仿宋_GB2312" w:hAnsi="仿宋_GB2312" w:eastAsia="仿宋_GB2312" w:cs="仿宋_GB2312"/>
          <w:color w:val="000000"/>
          <w:sz w:val="32"/>
          <w:u w:color="auto"/>
          <w:lang w:val="en-US" w:eastAsia="zh-CN"/>
        </w:rPr>
        <w:t>7</w:t>
      </w:r>
      <w:r>
        <w:rPr>
          <w:rFonts w:hint="eastAsia" w:ascii="仿宋_GB2312" w:hAnsi="仿宋_GB2312" w:eastAsia="仿宋_GB2312" w:cs="仿宋_GB2312"/>
          <w:color w:val="000000"/>
          <w:sz w:val="32"/>
          <w:u w:color="auto"/>
        </w:rPr>
        <w:t>%；社会保障和就业支出</w:t>
      </w:r>
      <w:r>
        <w:rPr>
          <w:rFonts w:hint="eastAsia" w:ascii="仿宋_GB2312" w:hAnsi="仿宋_GB2312" w:eastAsia="仿宋_GB2312" w:cs="仿宋_GB2312"/>
          <w:color w:val="000000"/>
          <w:sz w:val="32"/>
          <w:u w:color="auto"/>
          <w:lang w:val="en-US" w:eastAsia="zh-CN"/>
        </w:rPr>
        <w:t>351.70</w:t>
      </w:r>
      <w:r>
        <w:rPr>
          <w:rFonts w:hint="eastAsia" w:ascii="仿宋_GB2312" w:hAnsi="仿宋_GB2312" w:eastAsia="仿宋_GB2312" w:cs="仿宋_GB2312"/>
          <w:color w:val="000000"/>
          <w:sz w:val="32"/>
          <w:u w:color="auto"/>
        </w:rPr>
        <w:t>万元，占11</w:t>
      </w:r>
      <w:r>
        <w:rPr>
          <w:rFonts w:hint="eastAsia" w:ascii="仿宋_GB2312" w:hAnsi="仿宋_GB2312" w:eastAsia="仿宋_GB2312" w:cs="仿宋_GB2312"/>
          <w:color w:val="000000"/>
          <w:sz w:val="32"/>
          <w:u w:color="auto"/>
          <w:lang w:val="en-US" w:eastAsia="zh-CN"/>
        </w:rPr>
        <w:t>.4</w:t>
      </w:r>
      <w:r>
        <w:rPr>
          <w:rFonts w:hint="eastAsia" w:ascii="仿宋_GB2312" w:hAnsi="仿宋_GB2312" w:eastAsia="仿宋_GB2312" w:cs="仿宋_GB2312"/>
          <w:color w:val="000000"/>
          <w:sz w:val="32"/>
          <w:u w:color="auto"/>
        </w:rPr>
        <w:t>%；卫生健康支出</w:t>
      </w:r>
      <w:r>
        <w:rPr>
          <w:rFonts w:hint="eastAsia" w:ascii="仿宋_GB2312" w:hAnsi="仿宋_GB2312" w:eastAsia="仿宋_GB2312" w:cs="仿宋_GB2312"/>
          <w:color w:val="000000"/>
          <w:sz w:val="32"/>
          <w:u w:color="auto"/>
          <w:lang w:val="en-US" w:eastAsia="zh-CN"/>
        </w:rPr>
        <w:t>149.78</w:t>
      </w:r>
      <w:r>
        <w:rPr>
          <w:rFonts w:hint="eastAsia" w:ascii="仿宋_GB2312" w:hAnsi="仿宋_GB2312" w:eastAsia="仿宋_GB2312" w:cs="仿宋_GB2312"/>
          <w:color w:val="000000"/>
          <w:sz w:val="32"/>
          <w:u w:color="auto"/>
        </w:rPr>
        <w:t>万元，占</w:t>
      </w:r>
      <w:r>
        <w:rPr>
          <w:rFonts w:hint="eastAsia" w:ascii="仿宋_GB2312" w:hAnsi="仿宋_GB2312" w:eastAsia="仿宋_GB2312" w:cs="仿宋_GB2312"/>
          <w:color w:val="000000"/>
          <w:sz w:val="32"/>
          <w:u w:color="auto"/>
          <w:lang w:val="en-US" w:eastAsia="zh-CN"/>
        </w:rPr>
        <w:t>5</w:t>
      </w:r>
      <w:r>
        <w:rPr>
          <w:rFonts w:hint="eastAsia" w:ascii="仿宋_GB2312" w:hAnsi="仿宋_GB2312" w:eastAsia="仿宋_GB2312" w:cs="仿宋_GB2312"/>
          <w:color w:val="000000"/>
          <w:sz w:val="32"/>
          <w:u w:color="auto"/>
        </w:rPr>
        <w:t>%；住房保障支出</w:t>
      </w:r>
      <w:r>
        <w:rPr>
          <w:rFonts w:hint="eastAsia" w:ascii="仿宋_GB2312" w:hAnsi="仿宋_GB2312" w:eastAsia="仿宋_GB2312" w:cs="仿宋_GB2312"/>
          <w:color w:val="000000"/>
          <w:sz w:val="32"/>
          <w:u w:color="auto"/>
          <w:lang w:val="en-US" w:eastAsia="zh-CN"/>
        </w:rPr>
        <w:t>195.66</w:t>
      </w:r>
      <w:r>
        <w:rPr>
          <w:rFonts w:hint="eastAsia" w:ascii="仿宋_GB2312" w:hAnsi="仿宋_GB2312" w:eastAsia="仿宋_GB2312" w:cs="仿宋_GB2312"/>
          <w:color w:val="000000"/>
          <w:sz w:val="32"/>
          <w:u w:color="auto"/>
        </w:rPr>
        <w:t>万元，占6</w:t>
      </w:r>
      <w:r>
        <w:rPr>
          <w:rFonts w:hint="eastAsia" w:ascii="仿宋_GB2312" w:hAnsi="仿宋_GB2312" w:eastAsia="仿宋_GB2312" w:cs="仿宋_GB2312"/>
          <w:color w:val="000000"/>
          <w:sz w:val="32"/>
          <w:u w:color="auto"/>
          <w:lang w:val="en-US" w:eastAsia="zh-CN"/>
        </w:rPr>
        <w:t>.6</w:t>
      </w:r>
      <w:r>
        <w:rPr>
          <w:rFonts w:hint="eastAsia" w:ascii="仿宋_GB2312" w:hAnsi="仿宋_GB2312" w:eastAsia="仿宋_GB2312" w:cs="仿宋_GB2312"/>
          <w:color w:val="000000"/>
          <w:sz w:val="32"/>
          <w:u w:color="auto"/>
        </w:rPr>
        <w:t>%。</w:t>
      </w:r>
    </w:p>
    <w:p w14:paraId="33AF6FBA">
      <w:pPr>
        <w:pStyle w:val="8"/>
        <w:pageBreakBefore w:val="0"/>
        <w:kinsoku/>
        <w:wordWrap/>
        <w:overflowPunct/>
        <w:topLinePunct w:val="0"/>
        <w:autoSpaceDE/>
        <w:autoSpaceDN/>
        <w:bidi w:val="0"/>
        <w:adjustRightInd/>
        <w:snapToGrid/>
        <w:rPr>
          <w:rFonts w:hint="eastAsia" w:ascii="思源黑体 CN Normal" w:hAnsi="思源黑体 CN Normal" w:eastAsia="思源黑体 CN Normal" w:cs="思源黑体 CN Normal"/>
        </w:rPr>
      </w:pPr>
      <w:bookmarkStart w:id="45" w:name="_Toc15377212"/>
      <w:r>
        <w:rPr>
          <w:rFonts w:hint="eastAsia" w:ascii="思源黑体 CN Normal" w:hAnsi="思源黑体 CN Normal" w:eastAsia="思源黑体 CN Normal" w:cs="思源黑体 CN Normal"/>
        </w:rPr>
        <w:drawing>
          <wp:inline distT="0" distB="0" distL="0" distR="0">
            <wp:extent cx="4333240" cy="2886075"/>
            <wp:effectExtent l="4445" t="4445" r="5715" b="508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DCDCFDB">
      <w:pPr>
        <w:pageBreakBefore w:val="0"/>
        <w:kinsoku/>
        <w:wordWrap/>
        <w:overflowPunct/>
        <w:topLinePunct w:val="0"/>
        <w:autoSpaceDE/>
        <w:autoSpaceDN/>
        <w:bidi w:val="0"/>
        <w:adjustRightInd/>
        <w:snapToGrid/>
        <w:spacing w:line="600" w:lineRule="exact"/>
        <w:ind w:firstLine="640" w:firstLineChars="200"/>
        <w:outlineLvl w:val="2"/>
        <w:rPr>
          <w:rFonts w:hint="eastAsia" w:ascii="楷体" w:hAnsi="楷体" w:eastAsia="楷体" w:cs="楷体"/>
          <w:b/>
          <w:color w:val="000000"/>
          <w:sz w:val="32"/>
          <w:szCs w:val="32"/>
        </w:rPr>
      </w:pPr>
      <w:r>
        <w:rPr>
          <w:rFonts w:hint="eastAsia" w:ascii="仿宋" w:hAnsi="仿宋" w:eastAsia="仿宋" w:cs="仿宋"/>
          <w:color w:val="000000"/>
          <w:sz w:val="32"/>
          <w:szCs w:val="32"/>
          <w:lang w:val="en-US" w:eastAsia="zh-CN"/>
        </w:rPr>
        <w:t xml:space="preserve"> </w:t>
      </w:r>
      <w:r>
        <w:rPr>
          <w:rFonts w:hint="eastAsia" w:ascii="楷体" w:hAnsi="楷体" w:eastAsia="楷体" w:cs="楷体"/>
          <w:b/>
          <w:color w:val="000000"/>
          <w:sz w:val="32"/>
          <w:szCs w:val="32"/>
        </w:rPr>
        <w:t>（三）一般公共预算财政拨款支出决算具体情况</w:t>
      </w:r>
      <w:bookmarkEnd w:id="45"/>
    </w:p>
    <w:p w14:paraId="2154CFC1">
      <w:pPr>
        <w:pageBreakBefore w:val="0"/>
        <w:kinsoku/>
        <w:wordWrap/>
        <w:overflowPunct/>
        <w:topLinePunct w:val="0"/>
        <w:autoSpaceDE/>
        <w:autoSpaceDN/>
        <w:bidi w:val="0"/>
        <w:adjustRightInd/>
        <w:snapToGrid/>
        <w:spacing w:line="600" w:lineRule="exact"/>
        <w:ind w:firstLine="640"/>
        <w:rPr>
          <w:rFonts w:hint="eastAsia" w:ascii="仿宋_GB2312" w:hAnsi="仿宋_GB2312" w:eastAsia="仿宋_GB2312" w:cs="仿宋_GB2312"/>
          <w:color w:val="000000"/>
          <w:sz w:val="32"/>
          <w:szCs w:val="32"/>
        </w:rPr>
      </w:pPr>
      <w:bookmarkStart w:id="46" w:name="_Toc15378460"/>
      <w:bookmarkStart w:id="47" w:name="_Toc15377213"/>
      <w:bookmarkStart w:id="48" w:name="_Toc15377444"/>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一般公共预算支出决算数为</w:t>
      </w: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u w:color="auto"/>
        </w:rPr>
        <w:t>,</w:t>
      </w:r>
      <w:r>
        <w:rPr>
          <w:rFonts w:hint="eastAsia" w:ascii="仿宋_GB2312" w:hAnsi="仿宋_GB2312" w:eastAsia="仿宋_GB2312" w:cs="仿宋_GB2312"/>
          <w:color w:val="000000"/>
          <w:sz w:val="32"/>
          <w:u w:color="auto"/>
          <w:lang w:val="en-US" w:eastAsia="zh-CN"/>
        </w:rPr>
        <w:t>971.07</w:t>
      </w:r>
      <w:r>
        <w:rPr>
          <w:rFonts w:hint="eastAsia" w:ascii="仿宋_GB2312" w:hAnsi="仿宋_GB2312" w:eastAsia="仿宋_GB2312" w:cs="仿宋_GB2312"/>
          <w:color w:val="000000"/>
          <w:sz w:val="32"/>
          <w:u w:color="auto"/>
        </w:rPr>
        <w:t>万元，完成预算100%。其中：</w:t>
      </w:r>
      <w:bookmarkEnd w:id="46"/>
      <w:bookmarkEnd w:id="47"/>
      <w:bookmarkEnd w:id="48"/>
    </w:p>
    <w:p w14:paraId="23CABD8B">
      <w:pPr>
        <w:pageBreakBefore w:val="0"/>
        <w:kinsoku/>
        <w:wordWrap/>
        <w:overflowPunct/>
        <w:topLinePunct w:val="0"/>
        <w:autoSpaceDE/>
        <w:autoSpaceDN/>
        <w:bidi w:val="0"/>
        <w:adjustRightInd/>
        <w:snapToGrid/>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1.教育支出（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）普通教育（</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）小学教育（</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369.03</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eastAsia="zh-CN"/>
        </w:rPr>
        <w:t>决算数与预算数持平。</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2.教育支出（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）教育费附加安排的支出（</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）其他教育费附加安排的支出（</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34.62</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eastAsia="zh-CN"/>
        </w:rPr>
        <w:t>决算数与预算数持平。</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3.社会保障和就业支出（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）行政事业单位养老支出（</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）机关事业单位基本养老保险缴费支出（</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235.07</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eastAsia="zh-CN"/>
        </w:rPr>
        <w:t>决算数与预算数持平。</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4.社会保障和就业支出（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）行政事业单位养老支出（</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）机关事业单位职业年金缴费支出（</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116.63</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eastAsia="zh-CN"/>
        </w:rPr>
        <w:t>决算数与预算数持平。</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5.卫生健康支出（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）行政事业单位医疗（</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）事业单位医疗（</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149.78</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eastAsia="zh-CN"/>
        </w:rPr>
        <w:t>决算数与预算数持平。</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6.住房保障支出（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）住房改革支出（</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）住房公积金（</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195.66</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eastAsia="zh-CN"/>
        </w:rPr>
        <w:t>决算数与预算数持平。</w:t>
      </w:r>
    </w:p>
    <w:p w14:paraId="7A186100">
      <w:pPr>
        <w:pStyle w:val="6"/>
        <w:pageBreakBefore w:val="0"/>
        <w:kinsoku/>
        <w:wordWrap/>
        <w:overflowPunct/>
        <w:topLinePunct w:val="0"/>
        <w:autoSpaceDE/>
        <w:autoSpaceDN/>
        <w:bidi w:val="0"/>
        <w:adjustRightInd/>
        <w:snapToGrid/>
        <w:spacing w:before="0" w:after="0"/>
        <w:ind w:firstLine="640" w:firstLineChars="200"/>
        <w:rPr>
          <w:rFonts w:hint="eastAsia" w:ascii="黑体" w:hAnsi="黑体" w:eastAsia="黑体" w:cs="黑体"/>
          <w:b w:val="0"/>
          <w:color w:val="000000"/>
        </w:rPr>
      </w:pPr>
      <w:bookmarkStart w:id="49" w:name="_Toc15377214"/>
      <w:bookmarkStart w:id="50" w:name="_Toc111208504"/>
      <w:bookmarkStart w:id="51" w:name="_Toc31578"/>
      <w:r>
        <w:rPr>
          <w:rFonts w:hint="eastAsia" w:ascii="黑体" w:hAnsi="黑体" w:eastAsia="黑体" w:cs="黑体"/>
          <w:b w:val="0"/>
          <w:bCs/>
          <w:color w:val="000000"/>
        </w:rPr>
        <w:t>六、一般公共预算财政拨款基本支出决算情况说</w:t>
      </w:r>
      <w:bookmarkEnd w:id="49"/>
      <w:r>
        <w:rPr>
          <w:rFonts w:hint="eastAsia" w:ascii="黑体" w:hAnsi="黑体" w:eastAsia="黑体" w:cs="黑体"/>
          <w:b w:val="0"/>
          <w:bCs/>
          <w:color w:val="000000"/>
        </w:rPr>
        <w:t>明</w:t>
      </w:r>
      <w:bookmarkEnd w:id="50"/>
      <w:bookmarkEnd w:id="51"/>
    </w:p>
    <w:p w14:paraId="1E30E113">
      <w:pPr>
        <w:pageBreakBefore w:val="0"/>
        <w:kinsoku/>
        <w:wordWrap/>
        <w:overflowPunct/>
        <w:topLinePunct w:val="0"/>
        <w:autoSpaceDE/>
        <w:autoSpaceDN/>
        <w:bidi w:val="0"/>
        <w:adjustRightInd/>
        <w:snapToGrid/>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一般公共预算财政拨款基本支出</w:t>
      </w: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u w:color="auto"/>
        </w:rPr>
        <w:t>,</w:t>
      </w:r>
      <w:r>
        <w:rPr>
          <w:rFonts w:hint="eastAsia" w:ascii="仿宋_GB2312" w:hAnsi="仿宋_GB2312" w:eastAsia="仿宋_GB2312" w:cs="仿宋_GB2312"/>
          <w:color w:val="000000"/>
          <w:sz w:val="32"/>
          <w:u w:color="auto"/>
          <w:lang w:val="en-US" w:eastAsia="zh-CN"/>
        </w:rPr>
        <w:t>971.07</w:t>
      </w:r>
      <w:r>
        <w:rPr>
          <w:rFonts w:hint="eastAsia" w:ascii="仿宋_GB2312" w:hAnsi="仿宋_GB2312" w:eastAsia="仿宋_GB2312" w:cs="仿宋_GB2312"/>
          <w:color w:val="000000"/>
          <w:sz w:val="32"/>
          <w:u w:color="auto"/>
        </w:rPr>
        <w:t>万元，其中：</w:t>
      </w:r>
    </w:p>
    <w:p w14:paraId="56CFB908">
      <w:pPr>
        <w:pageBreakBefore w:val="0"/>
        <w:kinsoku/>
        <w:wordWrap/>
        <w:overflowPunct/>
        <w:topLinePunct w:val="0"/>
        <w:autoSpaceDE/>
        <w:autoSpaceDN/>
        <w:bidi w:val="0"/>
        <w:adjustRightInd/>
        <w:snapToGrid/>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人员经费</w:t>
      </w: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u w:color="auto"/>
        </w:rPr>
        <w:t>,4</w:t>
      </w:r>
      <w:r>
        <w:rPr>
          <w:rFonts w:hint="eastAsia" w:ascii="仿宋_GB2312" w:hAnsi="仿宋_GB2312" w:eastAsia="仿宋_GB2312" w:cs="仿宋_GB2312"/>
          <w:color w:val="000000"/>
          <w:sz w:val="32"/>
          <w:u w:color="auto"/>
          <w:lang w:val="en-US" w:eastAsia="zh-CN"/>
        </w:rPr>
        <w:t>16.88</w:t>
      </w:r>
      <w:r>
        <w:rPr>
          <w:rFonts w:hint="eastAsia" w:ascii="仿宋_GB2312" w:hAnsi="仿宋_GB2312" w:eastAsia="仿宋_GB2312" w:cs="仿宋_GB2312"/>
          <w:color w:val="000000"/>
          <w:sz w:val="32"/>
          <w:u w:color="auto"/>
        </w:rPr>
        <w:t>万元，主要包括：基本工资、津贴补贴、绩效工资、机关事业单位基本养老保险缴费、职业年金缴费、职工基本医疗保险缴费、其他社会保障缴费、住房公积金</w:t>
      </w:r>
      <w:r>
        <w:rPr>
          <w:rFonts w:hint="eastAsia" w:ascii="仿宋_GB2312" w:hAnsi="仿宋_GB2312" w:eastAsia="仿宋_GB2312" w:cs="仿宋_GB2312"/>
          <w:color w:val="000000"/>
          <w:sz w:val="32"/>
          <w:u w:color="auto"/>
          <w:lang w:eastAsia="zh-CN"/>
        </w:rPr>
        <w:t>和</w:t>
      </w:r>
      <w:r>
        <w:rPr>
          <w:rFonts w:hint="eastAsia" w:ascii="仿宋_GB2312" w:hAnsi="仿宋_GB2312" w:eastAsia="仿宋_GB2312" w:cs="仿宋_GB2312"/>
          <w:color w:val="000000"/>
          <w:sz w:val="32"/>
          <w:u w:color="auto"/>
        </w:rPr>
        <w:t>医疗费。</w:t>
      </w:r>
    </w:p>
    <w:p w14:paraId="574DF21F">
      <w:pPr>
        <w:pageBreakBefore w:val="0"/>
        <w:kinsoku/>
        <w:wordWrap/>
        <w:overflowPunct/>
        <w:topLinePunct w:val="0"/>
        <w:autoSpaceDE/>
        <w:autoSpaceDN/>
        <w:bidi w:val="0"/>
        <w:adjustRightInd/>
        <w:snapToGrid/>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公用经费1</w:t>
      </w:r>
      <w:r>
        <w:rPr>
          <w:rFonts w:hint="eastAsia" w:ascii="仿宋_GB2312" w:hAnsi="仿宋_GB2312" w:eastAsia="仿宋_GB2312" w:cs="仿宋_GB2312"/>
          <w:color w:val="000000"/>
          <w:sz w:val="32"/>
          <w:szCs w:val="32"/>
          <w:lang w:val="en-US" w:eastAsia="zh-CN"/>
        </w:rPr>
        <w:t>90.95</w:t>
      </w:r>
      <w:r>
        <w:rPr>
          <w:rFonts w:hint="eastAsia" w:ascii="仿宋_GB2312" w:hAnsi="仿宋_GB2312" w:eastAsia="仿宋_GB2312" w:cs="仿宋_GB2312"/>
          <w:color w:val="000000"/>
          <w:sz w:val="32"/>
          <w:szCs w:val="32"/>
        </w:rPr>
        <w:t>万元，主要包括：办公费、水费、电费、邮电费、差旅费、维修（护）费、培训费、劳务费</w:t>
      </w:r>
      <w:r>
        <w:rPr>
          <w:rFonts w:hint="eastAsia" w:ascii="仿宋_GB2312" w:hAnsi="仿宋_GB2312" w:eastAsia="仿宋_GB2312" w:cs="仿宋_GB2312"/>
          <w:color w:val="000000"/>
          <w:sz w:val="32"/>
          <w:szCs w:val="32"/>
          <w:lang w:eastAsia="zh-CN"/>
        </w:rPr>
        <w:t>、印刷费</w:t>
      </w:r>
      <w:r>
        <w:rPr>
          <w:rFonts w:hint="eastAsia" w:ascii="仿宋_GB2312" w:hAnsi="仿宋_GB2312" w:eastAsia="仿宋_GB2312" w:cs="仿宋_GB2312"/>
          <w:color w:val="000000"/>
          <w:sz w:val="32"/>
          <w:szCs w:val="32"/>
          <w:lang w:val="en-US" w:eastAsia="zh-CN"/>
        </w:rPr>
        <w:t>、福利费和其他商品和服务支出</w:t>
      </w:r>
      <w:r>
        <w:rPr>
          <w:rFonts w:hint="eastAsia" w:ascii="仿宋_GB2312" w:hAnsi="仿宋_GB2312" w:eastAsia="仿宋_GB2312" w:cs="仿宋_GB2312"/>
          <w:color w:val="000000"/>
          <w:sz w:val="32"/>
          <w:szCs w:val="32"/>
        </w:rPr>
        <w:t>。</w:t>
      </w:r>
    </w:p>
    <w:p w14:paraId="00EBF03F">
      <w:pPr>
        <w:pageBreakBefore w:val="0"/>
        <w:kinsoku/>
        <w:wordWrap/>
        <w:overflowPunct/>
        <w:topLinePunct w:val="0"/>
        <w:autoSpaceDE/>
        <w:autoSpaceDN/>
        <w:bidi w:val="0"/>
        <w:adjustRightInd/>
        <w:snapToGrid/>
        <w:spacing w:line="600" w:lineRule="exact"/>
        <w:ind w:firstLine="640"/>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eastAsia="zh-CN"/>
        </w:rPr>
        <w:t>对个人和家庭的补助</w:t>
      </w:r>
      <w:r>
        <w:rPr>
          <w:rFonts w:hint="eastAsia" w:ascii="仿宋_GB2312" w:hAnsi="仿宋_GB2312" w:eastAsia="仿宋_GB2312" w:cs="仿宋_GB2312"/>
          <w:color w:val="000000"/>
          <w:sz w:val="32"/>
          <w:szCs w:val="32"/>
          <w:lang w:val="en-US" w:eastAsia="zh-CN"/>
        </w:rPr>
        <w:t>364.23万元，主要包括：抚恤金、生活补助、助学金和奖励金。</w:t>
      </w:r>
    </w:p>
    <w:p w14:paraId="151B178E">
      <w:pPr>
        <w:ind w:firstLine="640" w:firstLineChars="200"/>
        <w:jc w:val="both"/>
        <w:rPr>
          <w:rFonts w:hint="eastAsia" w:ascii="黑体" w:hAnsi="黑体" w:eastAsia="黑体" w:cs="黑体"/>
          <w:color w:val="000000"/>
          <w:sz w:val="32"/>
          <w:szCs w:val="32"/>
        </w:rPr>
      </w:pPr>
      <w:bookmarkStart w:id="52" w:name="_Toc6614"/>
      <w:bookmarkStart w:id="53" w:name="_Toc111208505"/>
      <w:bookmarkStart w:id="54" w:name="_Toc15377215"/>
      <w:r>
        <w:rPr>
          <w:rFonts w:hint="eastAsia" w:ascii="黑体" w:hAnsi="黑体" w:eastAsia="黑体" w:cs="黑体"/>
          <w:color w:val="000000"/>
          <w:sz w:val="32"/>
          <w:szCs w:val="32"/>
        </w:rPr>
        <w:t>七、财政拨款“三公”经费支出决算情况说明</w:t>
      </w:r>
      <w:bookmarkEnd w:id="52"/>
      <w:bookmarkEnd w:id="53"/>
      <w:bookmarkEnd w:id="54"/>
    </w:p>
    <w:p w14:paraId="613FE387">
      <w:pPr>
        <w:ind w:firstLine="643" w:firstLineChars="200"/>
        <w:jc w:val="both"/>
        <w:rPr>
          <w:rFonts w:hint="eastAsia" w:ascii="仿宋_GB2312" w:hAnsi="仿宋_GB2312" w:eastAsia="仿宋_GB2312" w:cs="仿宋_GB2312"/>
          <w:color w:val="000000"/>
          <w:sz w:val="32"/>
          <w:szCs w:val="32"/>
        </w:rPr>
      </w:pPr>
      <w:bookmarkStart w:id="55" w:name="_Toc15377216"/>
      <w:r>
        <w:rPr>
          <w:rFonts w:hint="eastAsia" w:ascii="仿宋" w:hAnsi="仿宋" w:eastAsia="仿宋" w:cs="仿宋"/>
          <w:b/>
          <w:color w:val="000000"/>
          <w:sz w:val="32"/>
          <w:szCs w:val="32"/>
        </w:rPr>
        <w:t>（一）财政拨款“三公”经费支出决算总体情况说明</w:t>
      </w:r>
      <w:bookmarkEnd w:id="55"/>
    </w:p>
    <w:p w14:paraId="0C6B4B9F">
      <w:pPr>
        <w:ind w:firstLine="640" w:firstLineChars="20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themeColor="text1"/>
          <w:sz w:val="32"/>
          <w:szCs w:val="32"/>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财政拨款“三公”经费支出决算为0万元。</w:t>
      </w:r>
      <w:bookmarkStart w:id="56" w:name="_Toc15377217"/>
    </w:p>
    <w:p w14:paraId="5BC57BE3">
      <w:pPr>
        <w:spacing w:line="600" w:lineRule="exact"/>
        <w:ind w:firstLine="643" w:firstLineChars="200"/>
        <w:outlineLvl w:val="2"/>
        <w:rPr>
          <w:rFonts w:hint="eastAsia" w:ascii="仿宋" w:hAnsi="仿宋" w:eastAsia="仿宋" w:cs="仿宋"/>
          <w:b/>
          <w:color w:val="000000"/>
          <w:sz w:val="32"/>
          <w:szCs w:val="32"/>
        </w:rPr>
      </w:pPr>
      <w:r>
        <w:rPr>
          <w:rFonts w:hint="eastAsia" w:ascii="仿宋" w:hAnsi="仿宋" w:eastAsia="仿宋" w:cs="仿宋"/>
          <w:b/>
          <w:color w:val="000000"/>
          <w:sz w:val="32"/>
          <w:szCs w:val="32"/>
        </w:rPr>
        <w:t>（二）财政拨款“三公”经费支出决算具体情况说明</w:t>
      </w:r>
      <w:bookmarkEnd w:id="56"/>
    </w:p>
    <w:p w14:paraId="3F323677">
      <w:pPr>
        <w:spacing w:line="600" w:lineRule="exact"/>
        <w:ind w:firstLine="640"/>
        <w:rPr>
          <w:rFonts w:hint="eastAsia" w:ascii="仿宋_GB2312" w:hAnsi="仿宋_GB2312" w:eastAsia="仿宋_GB2312" w:cs="仿宋_GB2312"/>
          <w:color w:val="000000"/>
          <w:sz w:val="32"/>
          <w:u w:color="auto"/>
        </w:rPr>
      </w:pPr>
      <w:r>
        <w:rPr>
          <w:rFonts w:hint="eastAsia" w:ascii="仿宋_GB2312" w:hAnsi="仿宋_GB2312" w:eastAsia="仿宋_GB2312" w:cs="仿宋_GB2312"/>
          <w:color w:val="000000" w:themeColor="text1"/>
          <w:sz w:val="32"/>
          <w:szCs w:val="32"/>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财政拨款“三公”经费支出</w:t>
      </w:r>
      <w:r>
        <w:rPr>
          <w:rFonts w:hint="eastAsia" w:ascii="仿宋_GB2312" w:hAnsi="仿宋_GB2312" w:eastAsia="仿宋_GB2312" w:cs="仿宋_GB2312"/>
          <w:color w:val="000000"/>
          <w:sz w:val="32"/>
          <w:szCs w:val="32"/>
          <w:lang w:val="en-US" w:eastAsia="zh-CN"/>
        </w:rPr>
        <w:t>决算中</w:t>
      </w:r>
      <w:r>
        <w:rPr>
          <w:rFonts w:hint="eastAsia" w:ascii="仿宋_GB2312" w:hAnsi="仿宋_GB2312" w:eastAsia="仿宋_GB2312" w:cs="仿宋_GB2312"/>
          <w:color w:val="000000"/>
          <w:sz w:val="32"/>
          <w:u w:color="auto"/>
        </w:rPr>
        <w:t>因公出国（境）</w:t>
      </w:r>
      <w:r>
        <w:rPr>
          <w:rFonts w:hint="eastAsia" w:ascii="仿宋_GB2312" w:hAnsi="仿宋_GB2312" w:eastAsia="仿宋_GB2312" w:cs="仿宋_GB2312"/>
          <w:color w:val="000000"/>
          <w:sz w:val="32"/>
          <w:u w:color="auto"/>
          <w:lang w:val="en-US" w:eastAsia="zh-CN"/>
        </w:rPr>
        <w:t>费</w:t>
      </w:r>
      <w:r>
        <w:rPr>
          <w:rFonts w:hint="eastAsia" w:ascii="仿宋_GB2312" w:hAnsi="仿宋_GB2312" w:eastAsia="仿宋_GB2312" w:cs="仿宋_GB2312"/>
          <w:color w:val="000000"/>
          <w:sz w:val="32"/>
          <w:u w:color="auto"/>
        </w:rPr>
        <w:t>支出决算0万元。具体情况如下：</w:t>
      </w:r>
    </w:p>
    <w:p w14:paraId="3561C074">
      <w:pPr>
        <w:pStyle w:val="8"/>
        <w:pageBreakBefore w:val="0"/>
        <w:kinsoku/>
        <w:wordWrap/>
        <w:overflowPunct/>
        <w:topLinePunct w:val="0"/>
        <w:autoSpaceDE/>
        <w:autoSpaceDN/>
        <w:bidi w:val="0"/>
        <w:adjustRightInd/>
        <w:snapToGrid/>
        <w:rPr>
          <w:rFonts w:hint="eastAsia" w:ascii="思源黑体 CN Normal" w:hAnsi="思源黑体 CN Normal" w:eastAsia="思源黑体 CN Normal" w:cs="思源黑体 CN Normal"/>
        </w:rPr>
      </w:pPr>
      <w:r>
        <w:rPr>
          <w:rFonts w:hint="eastAsia" w:ascii="思源黑体 CN Normal" w:hAnsi="思源黑体 CN Normal" w:eastAsia="思源黑体 CN Normal" w:cs="思源黑体 CN Normal"/>
        </w:rPr>
        <w:drawing>
          <wp:inline distT="0" distB="0" distL="0" distR="0">
            <wp:extent cx="4333240" cy="2886075"/>
            <wp:effectExtent l="0" t="0" r="10160" b="9525"/>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E9D76AF">
      <w:pPr>
        <w:spacing w:line="600" w:lineRule="exact"/>
        <w:ind w:firstLine="640"/>
        <w:rPr>
          <w:rFonts w:hint="eastAsia" w:ascii="仿宋_GB2312" w:hAnsi="仿宋_GB2312" w:eastAsia="仿宋_GB2312" w:cs="仿宋_GB2312"/>
          <w:color w:val="000000"/>
          <w:sz w:val="32"/>
          <w:szCs w:val="32"/>
        </w:rPr>
      </w:pPr>
      <w:bookmarkStart w:id="57" w:name="_Toc111208506"/>
      <w:bookmarkStart w:id="58" w:name="_Toc15377218"/>
      <w:bookmarkStart w:id="59" w:name="_Toc20439"/>
      <w:bookmarkStart w:id="60" w:name="_Toc18455"/>
      <w:bookmarkStart w:id="61" w:name="_Toc111208508"/>
      <w:bookmarkStart w:id="62" w:name="_Toc15377221"/>
      <w:r>
        <w:rPr>
          <w:rFonts w:hint="eastAsia" w:ascii="仿宋_GB2312" w:hAnsi="仿宋_GB2312" w:eastAsia="仿宋_GB2312" w:cs="仿宋_GB2312"/>
          <w:b/>
          <w:bCs/>
          <w:color w:val="000000"/>
          <w:sz w:val="32"/>
          <w:szCs w:val="32"/>
        </w:rPr>
        <w:t>1.因公出国（境）经费支出</w:t>
      </w:r>
      <w:r>
        <w:rPr>
          <w:rFonts w:hint="eastAsia" w:ascii="仿宋_GB2312" w:hAnsi="仿宋_GB2312" w:eastAsia="仿宋_GB2312" w:cs="仿宋_GB2312"/>
          <w:color w:val="000000"/>
          <w:sz w:val="32"/>
          <w:szCs w:val="32"/>
        </w:rPr>
        <w:t>0</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eastAsia="zh-CN"/>
        </w:rPr>
        <w:t>。</w:t>
      </w:r>
      <w:r>
        <w:rPr>
          <w:rFonts w:hint="eastAsia" w:ascii="仿宋_GB2312" w:hAnsi="仿宋_GB2312" w:eastAsia="仿宋_GB2312" w:cs="仿宋_GB2312"/>
          <w:color w:val="000000"/>
          <w:sz w:val="32"/>
          <w:u w:color="auto"/>
        </w:rPr>
        <w:t xml:space="preserve"> </w:t>
      </w:r>
    </w:p>
    <w:p w14:paraId="2ED6A1A6">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2.公务用车购置及运行维护费支出</w:t>
      </w:r>
      <w:r>
        <w:rPr>
          <w:rFonts w:hint="eastAsia" w:ascii="仿宋_GB2312" w:hAnsi="仿宋_GB2312" w:eastAsia="仿宋_GB2312" w:cs="仿宋_GB2312"/>
          <w:color w:val="000000"/>
          <w:sz w:val="32"/>
          <w:szCs w:val="32"/>
        </w:rPr>
        <w:t>0</w:t>
      </w:r>
      <w:r>
        <w:rPr>
          <w:rFonts w:hint="eastAsia" w:ascii="仿宋_GB2312" w:hAnsi="仿宋_GB2312" w:eastAsia="仿宋_GB2312" w:cs="仿宋_GB2312"/>
          <w:color w:val="000000"/>
          <w:sz w:val="32"/>
          <w:u w:color="auto"/>
        </w:rPr>
        <w:t xml:space="preserve">万元。  </w:t>
      </w:r>
    </w:p>
    <w:p w14:paraId="662C5F0F">
      <w:pPr>
        <w:spacing w:line="600" w:lineRule="exact"/>
        <w:ind w:firstLine="64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b/>
          <w:bCs/>
          <w:color w:val="000000"/>
          <w:sz w:val="32"/>
          <w:szCs w:val="32"/>
        </w:rPr>
        <w:t>3.公务接待费支出</w:t>
      </w:r>
      <w:r>
        <w:rPr>
          <w:rFonts w:hint="eastAsia" w:ascii="仿宋_GB2312" w:hAnsi="仿宋_GB2312" w:eastAsia="仿宋_GB2312" w:cs="仿宋_GB2312"/>
          <w:color w:val="000000"/>
          <w:sz w:val="32"/>
          <w:szCs w:val="32"/>
        </w:rPr>
        <w:t>0</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eastAsia="zh-CN"/>
        </w:rPr>
        <w:t>。</w:t>
      </w:r>
    </w:p>
    <w:p w14:paraId="20335E8D">
      <w:pPr>
        <w:pStyle w:val="6"/>
        <w:pageBreakBefore w:val="0"/>
        <w:kinsoku/>
        <w:wordWrap/>
        <w:overflowPunct/>
        <w:topLinePunct w:val="0"/>
        <w:autoSpaceDE/>
        <w:autoSpaceDN/>
        <w:bidi w:val="0"/>
        <w:adjustRightInd/>
        <w:snapToGrid/>
        <w:spacing w:before="0" w:after="0"/>
        <w:ind w:firstLine="640" w:firstLineChars="200"/>
        <w:rPr>
          <w:rFonts w:hint="eastAsia" w:ascii="黑体" w:hAnsi="黑体" w:eastAsia="黑体" w:cs="黑体"/>
          <w:b w:val="0"/>
          <w:bCs/>
          <w:color w:val="000000"/>
        </w:rPr>
      </w:pPr>
      <w:r>
        <w:rPr>
          <w:rFonts w:hint="eastAsia" w:ascii="黑体" w:hAnsi="黑体" w:eastAsia="黑体" w:cs="黑体"/>
          <w:b w:val="0"/>
          <w:bCs/>
          <w:color w:val="000000"/>
        </w:rPr>
        <w:t>八、政府性基金预算支出决算情况说明</w:t>
      </w:r>
      <w:bookmarkEnd w:id="57"/>
      <w:bookmarkEnd w:id="58"/>
      <w:bookmarkEnd w:id="59"/>
    </w:p>
    <w:p w14:paraId="403D27F3">
      <w:pPr>
        <w:spacing w:line="600" w:lineRule="exact"/>
        <w:ind w:firstLine="640"/>
        <w:rPr>
          <w:rFonts w:hint="eastAsia" w:ascii="仿宋_GB2312" w:hAnsi="仿宋_GB2312" w:eastAsia="仿宋_GB2312" w:cs="仿宋_GB2312"/>
        </w:rPr>
      </w:pPr>
      <w:r>
        <w:rPr>
          <w:rFonts w:hint="eastAsia" w:ascii="仿宋_GB2312" w:hAnsi="仿宋_GB2312" w:eastAsia="仿宋_GB2312" w:cs="仿宋_GB2312"/>
          <w:color w:val="000000"/>
          <w:sz w:val="32"/>
          <w:szCs w:val="32"/>
          <w:lang w:eastAsia="zh-CN"/>
        </w:rPr>
        <w:t>2025年</w:t>
      </w:r>
      <w:r>
        <w:rPr>
          <w:rFonts w:hint="eastAsia" w:ascii="仿宋_GB2312" w:hAnsi="仿宋_GB2312" w:eastAsia="仿宋_GB2312" w:cs="仿宋_GB2312"/>
          <w:color w:val="000000"/>
          <w:sz w:val="32"/>
          <w:szCs w:val="32"/>
          <w:lang w:val="en-US" w:eastAsia="zh-CN"/>
        </w:rPr>
        <w:t>度</w:t>
      </w:r>
      <w:r>
        <w:rPr>
          <w:rFonts w:hint="eastAsia" w:ascii="仿宋_GB2312" w:hAnsi="仿宋_GB2312" w:eastAsia="仿宋_GB2312" w:cs="仿宋_GB2312"/>
          <w:color w:val="000000"/>
          <w:sz w:val="32"/>
          <w:szCs w:val="32"/>
        </w:rPr>
        <w:t>年政府性基金预算拨款支出</w:t>
      </w:r>
      <w:r>
        <w:rPr>
          <w:rFonts w:hint="eastAsia" w:ascii="仿宋_GB2312" w:hAnsi="仿宋_GB2312" w:eastAsia="仿宋_GB2312" w:cs="仿宋_GB2312"/>
          <w:color w:val="000000"/>
          <w:sz w:val="32"/>
          <w:u w:color="auto"/>
          <w:lang w:eastAsia="zh-CN"/>
        </w:rPr>
        <w:t>0</w:t>
      </w:r>
      <w:r>
        <w:rPr>
          <w:rFonts w:hint="eastAsia" w:ascii="仿宋_GB2312" w:hAnsi="仿宋_GB2312" w:eastAsia="仿宋_GB2312" w:cs="仿宋_GB2312"/>
          <w:color w:val="000000"/>
          <w:sz w:val="32"/>
          <w:u w:color="auto"/>
        </w:rPr>
        <w:t>万元。</w:t>
      </w:r>
      <w:bookmarkStart w:id="63" w:name="_Toc15377219"/>
    </w:p>
    <w:p w14:paraId="56D90074">
      <w:pPr>
        <w:pStyle w:val="6"/>
        <w:pageBreakBefore w:val="0"/>
        <w:kinsoku/>
        <w:wordWrap/>
        <w:overflowPunct/>
        <w:topLinePunct w:val="0"/>
        <w:autoSpaceDE/>
        <w:autoSpaceDN/>
        <w:bidi w:val="0"/>
        <w:adjustRightInd/>
        <w:snapToGrid/>
        <w:spacing w:before="0" w:after="0"/>
        <w:ind w:firstLine="640" w:firstLineChars="200"/>
        <w:rPr>
          <w:rFonts w:hint="eastAsia" w:ascii="黑体" w:hAnsi="黑体" w:eastAsia="黑体" w:cs="黑体"/>
          <w:b w:val="0"/>
          <w:bCs/>
          <w:color w:val="000000"/>
        </w:rPr>
      </w:pPr>
      <w:bookmarkStart w:id="64" w:name="_Toc23467"/>
      <w:bookmarkStart w:id="65" w:name="_Toc111208507"/>
      <w:r>
        <w:rPr>
          <w:rFonts w:hint="eastAsia" w:ascii="黑体" w:hAnsi="黑体" w:eastAsia="黑体" w:cs="黑体"/>
          <w:b w:val="0"/>
          <w:bCs/>
          <w:color w:val="000000"/>
        </w:rPr>
        <w:t>九、国有资本经营预算支出决算情况说明</w:t>
      </w:r>
      <w:bookmarkEnd w:id="63"/>
      <w:bookmarkEnd w:id="64"/>
      <w:bookmarkEnd w:id="65"/>
    </w:p>
    <w:p w14:paraId="34DDADAD">
      <w:pPr>
        <w:pStyle w:val="6"/>
        <w:pageBreakBefore w:val="0"/>
        <w:kinsoku/>
        <w:wordWrap/>
        <w:overflowPunct/>
        <w:topLinePunct w:val="0"/>
        <w:autoSpaceDE/>
        <w:autoSpaceDN/>
        <w:bidi w:val="0"/>
        <w:adjustRightInd/>
        <w:snapToGrid/>
        <w:spacing w:before="0" w:after="0"/>
        <w:ind w:firstLine="643" w:firstLineChars="200"/>
        <w:rPr>
          <w:rFonts w:hint="eastAsia" w:ascii="仿宋_GB2312" w:hAnsi="仿宋_GB2312" w:eastAsia="仿宋_GB2312" w:cs="仿宋_GB2312"/>
          <w:color w:val="000000"/>
          <w:sz w:val="32"/>
          <w:u w:color="auto"/>
        </w:rPr>
      </w:pPr>
      <w:r>
        <w:rPr>
          <w:rFonts w:hint="eastAsia" w:ascii="仿宋_GB2312" w:hAnsi="仿宋_GB2312" w:eastAsia="仿宋_GB2312" w:cs="仿宋_GB2312"/>
          <w:color w:val="000000"/>
          <w:sz w:val="32"/>
          <w:szCs w:val="32"/>
          <w:lang w:eastAsia="zh-CN"/>
        </w:rPr>
        <w:t>2025年</w:t>
      </w:r>
      <w:r>
        <w:rPr>
          <w:rFonts w:hint="eastAsia" w:ascii="仿宋_GB2312" w:hAnsi="仿宋_GB2312" w:eastAsia="仿宋_GB2312" w:cs="仿宋_GB2312"/>
          <w:color w:val="000000"/>
          <w:sz w:val="32"/>
          <w:szCs w:val="32"/>
          <w:lang w:val="en-US" w:eastAsia="zh-CN"/>
        </w:rPr>
        <w:t>度</w:t>
      </w:r>
      <w:r>
        <w:rPr>
          <w:rFonts w:hint="eastAsia" w:ascii="仿宋_GB2312" w:hAnsi="仿宋_GB2312" w:eastAsia="仿宋_GB2312" w:cs="仿宋_GB2312"/>
          <w:color w:val="000000"/>
          <w:sz w:val="32"/>
          <w:szCs w:val="32"/>
        </w:rPr>
        <w:t>国有资本经营预算拨款支出</w:t>
      </w:r>
      <w:r>
        <w:rPr>
          <w:rFonts w:hint="eastAsia" w:ascii="仿宋_GB2312" w:hAnsi="仿宋_GB2312" w:eastAsia="仿宋_GB2312" w:cs="仿宋_GB2312"/>
          <w:color w:val="000000"/>
          <w:sz w:val="32"/>
          <w:u w:color="auto"/>
          <w:lang w:eastAsia="zh-CN"/>
        </w:rPr>
        <w:t>0</w:t>
      </w:r>
      <w:r>
        <w:rPr>
          <w:rFonts w:hint="eastAsia" w:ascii="仿宋_GB2312" w:hAnsi="仿宋_GB2312" w:eastAsia="仿宋_GB2312" w:cs="仿宋_GB2312"/>
          <w:color w:val="000000"/>
          <w:sz w:val="32"/>
          <w:u w:color="auto"/>
        </w:rPr>
        <w:t>万元。</w:t>
      </w:r>
    </w:p>
    <w:p w14:paraId="2697D846">
      <w:pPr>
        <w:pStyle w:val="6"/>
        <w:pageBreakBefore w:val="0"/>
        <w:kinsoku/>
        <w:wordWrap/>
        <w:overflowPunct/>
        <w:topLinePunct w:val="0"/>
        <w:autoSpaceDE/>
        <w:autoSpaceDN/>
        <w:bidi w:val="0"/>
        <w:adjustRightInd/>
        <w:snapToGrid/>
        <w:spacing w:before="0" w:after="0"/>
        <w:ind w:firstLine="640" w:firstLineChars="200"/>
        <w:rPr>
          <w:rFonts w:hint="eastAsia" w:ascii="黑体" w:hAnsi="黑体" w:eastAsia="黑体" w:cs="黑体"/>
          <w:b w:val="0"/>
          <w:bCs/>
          <w:color w:val="000000"/>
        </w:rPr>
      </w:pPr>
      <w:r>
        <w:rPr>
          <w:rFonts w:hint="eastAsia" w:ascii="黑体" w:hAnsi="黑体" w:eastAsia="黑体" w:cs="黑体"/>
          <w:b w:val="0"/>
          <w:bCs/>
          <w:color w:val="000000"/>
        </w:rPr>
        <w:t>十、其他重要事项的情况说明</w:t>
      </w:r>
      <w:bookmarkEnd w:id="60"/>
      <w:bookmarkEnd w:id="61"/>
      <w:bookmarkEnd w:id="62"/>
    </w:p>
    <w:p w14:paraId="2D8BBD6B">
      <w:pPr>
        <w:pageBreakBefore w:val="0"/>
        <w:kinsoku/>
        <w:wordWrap/>
        <w:overflowPunct/>
        <w:topLinePunct w:val="0"/>
        <w:autoSpaceDE/>
        <w:autoSpaceDN/>
        <w:bidi w:val="0"/>
        <w:adjustRightInd/>
        <w:snapToGrid/>
        <w:spacing w:line="600" w:lineRule="exact"/>
        <w:ind w:firstLine="643" w:firstLineChars="200"/>
        <w:outlineLvl w:val="2"/>
        <w:rPr>
          <w:rFonts w:hint="eastAsia" w:ascii="楷体" w:hAnsi="楷体" w:eastAsia="楷体" w:cs="楷体"/>
          <w:b/>
          <w:color w:val="000000"/>
          <w:sz w:val="32"/>
          <w:szCs w:val="32"/>
        </w:rPr>
      </w:pPr>
      <w:bookmarkStart w:id="66" w:name="_Toc15377222"/>
      <w:r>
        <w:rPr>
          <w:rFonts w:hint="eastAsia" w:ascii="楷体" w:hAnsi="楷体" w:eastAsia="楷体" w:cs="楷体"/>
          <w:b/>
          <w:color w:val="000000"/>
          <w:sz w:val="32"/>
          <w:szCs w:val="32"/>
        </w:rPr>
        <w:t>（一）机关运行经费支出情况</w:t>
      </w:r>
      <w:bookmarkEnd w:id="66"/>
    </w:p>
    <w:p w14:paraId="2053BF26">
      <w:pPr>
        <w:spacing w:line="600" w:lineRule="exact"/>
        <w:ind w:firstLine="640"/>
        <w:rPr>
          <w:rFonts w:hint="eastAsia" w:ascii="仿宋_GB2312" w:hAnsi="仿宋_GB2312" w:eastAsia="仿宋_GB2312" w:cs="仿宋_GB2312"/>
          <w:color w:val="000000"/>
          <w:sz w:val="32"/>
          <w:szCs w:val="32"/>
        </w:rPr>
      </w:pPr>
      <w:bookmarkStart w:id="67" w:name="_Toc15377223"/>
      <w:r>
        <w:rPr>
          <w:rFonts w:hint="eastAsia" w:ascii="仿宋_GB2312" w:hAnsi="仿宋_GB2312" w:eastAsia="仿宋_GB2312" w:cs="仿宋_GB2312"/>
          <w:color w:val="000000"/>
          <w:sz w:val="32"/>
          <w:szCs w:val="32"/>
          <w:lang w:eastAsia="zh-CN"/>
        </w:rPr>
        <w:t>2025年</w:t>
      </w:r>
      <w:r>
        <w:rPr>
          <w:rFonts w:hint="eastAsia" w:ascii="仿宋_GB2312" w:hAnsi="仿宋_GB2312" w:eastAsia="仿宋_GB2312" w:cs="仿宋_GB2312"/>
          <w:color w:val="000000"/>
          <w:sz w:val="32"/>
          <w:szCs w:val="32"/>
          <w:lang w:val="en-US" w:eastAsia="zh-CN"/>
        </w:rPr>
        <w:t>度</w:t>
      </w:r>
      <w:r>
        <w:rPr>
          <w:rFonts w:hint="eastAsia" w:ascii="仿宋_GB2312" w:hAnsi="仿宋_GB2312" w:eastAsia="仿宋_GB2312" w:cs="仿宋_GB2312"/>
          <w:color w:val="000000"/>
          <w:sz w:val="32"/>
          <w:szCs w:val="32"/>
        </w:rPr>
        <w:t>，机关运行经费支出</w:t>
      </w:r>
      <w:r>
        <w:rPr>
          <w:rFonts w:hint="eastAsia" w:ascii="仿宋_GB2312" w:hAnsi="仿宋_GB2312" w:eastAsia="仿宋_GB2312" w:cs="仿宋_GB2312"/>
          <w:color w:val="000000"/>
          <w:sz w:val="32"/>
          <w:u w:color="auto"/>
          <w:lang w:eastAsia="zh-CN"/>
        </w:rPr>
        <w:t>0</w:t>
      </w:r>
      <w:r>
        <w:rPr>
          <w:rFonts w:hint="eastAsia" w:ascii="仿宋_GB2312" w:hAnsi="仿宋_GB2312" w:eastAsia="仿宋_GB2312" w:cs="仿宋_GB2312"/>
          <w:color w:val="000000"/>
          <w:sz w:val="32"/>
          <w:u w:color="auto"/>
        </w:rPr>
        <w:t xml:space="preserve">万元。 </w:t>
      </w:r>
    </w:p>
    <w:p w14:paraId="5DF7EBAF">
      <w:pPr>
        <w:pageBreakBefore w:val="0"/>
        <w:kinsoku/>
        <w:wordWrap/>
        <w:overflowPunct/>
        <w:topLinePunct w:val="0"/>
        <w:autoSpaceDE/>
        <w:autoSpaceDN/>
        <w:bidi w:val="0"/>
        <w:adjustRightInd/>
        <w:snapToGrid/>
        <w:spacing w:line="600" w:lineRule="exact"/>
        <w:ind w:firstLine="643" w:firstLineChars="200"/>
        <w:outlineLvl w:val="2"/>
        <w:rPr>
          <w:rFonts w:hint="eastAsia" w:ascii="楷体" w:hAnsi="楷体" w:eastAsia="楷体" w:cs="楷体"/>
          <w:b/>
          <w:color w:val="000000"/>
          <w:sz w:val="32"/>
          <w:szCs w:val="32"/>
        </w:rPr>
      </w:pPr>
      <w:r>
        <w:rPr>
          <w:rFonts w:hint="eastAsia" w:ascii="楷体" w:hAnsi="楷体" w:eastAsia="楷体" w:cs="楷体"/>
          <w:b/>
          <w:color w:val="000000"/>
          <w:sz w:val="32"/>
          <w:szCs w:val="32"/>
        </w:rPr>
        <w:t>（二）政府采购支出情况</w:t>
      </w:r>
      <w:bookmarkEnd w:id="67"/>
    </w:p>
    <w:p w14:paraId="1E4AE3EB">
      <w:pPr>
        <w:spacing w:line="600" w:lineRule="exact"/>
        <w:ind w:firstLine="640"/>
        <w:rPr>
          <w:rFonts w:hint="default" w:ascii="仿宋" w:hAnsi="仿宋" w:eastAsia="仿宋" w:cs="仿宋"/>
          <w:color w:val="000000"/>
          <w:sz w:val="32"/>
          <w:szCs w:val="32"/>
          <w:lang w:val="en-US" w:eastAsia="zh-CN"/>
        </w:rPr>
      </w:pPr>
      <w:bookmarkStart w:id="68" w:name="_Toc15377224"/>
      <w:r>
        <w:rPr>
          <w:rFonts w:hint="eastAsia" w:ascii="仿宋_GB2312" w:hAnsi="仿宋_GB2312" w:eastAsia="仿宋_GB2312" w:cs="仿宋_GB2312"/>
          <w:color w:val="000000"/>
          <w:sz w:val="32"/>
          <w:szCs w:val="32"/>
          <w:lang w:eastAsia="zh-CN"/>
        </w:rPr>
        <w:t>2025年</w:t>
      </w:r>
      <w:r>
        <w:rPr>
          <w:rFonts w:hint="eastAsia" w:ascii="仿宋_GB2312" w:hAnsi="仿宋_GB2312" w:eastAsia="仿宋_GB2312" w:cs="仿宋_GB2312"/>
          <w:color w:val="000000"/>
          <w:sz w:val="32"/>
          <w:szCs w:val="32"/>
          <w:lang w:val="en-US" w:eastAsia="zh-CN"/>
        </w:rPr>
        <w:t>度</w:t>
      </w:r>
      <w:r>
        <w:rPr>
          <w:rFonts w:hint="eastAsia" w:ascii="仿宋_GB2312" w:hAnsi="仿宋_GB2312" w:eastAsia="仿宋_GB2312" w:cs="仿宋_GB2312"/>
          <w:color w:val="000000"/>
          <w:sz w:val="32"/>
          <w:szCs w:val="32"/>
        </w:rPr>
        <w:t>，政府采购支出总额</w:t>
      </w:r>
      <w:r>
        <w:rPr>
          <w:rFonts w:hint="eastAsia" w:ascii="仿宋_GB2312" w:hAnsi="仿宋_GB2312" w:eastAsia="仿宋_GB2312" w:cs="仿宋_GB2312"/>
          <w:color w:val="000000"/>
          <w:sz w:val="32"/>
          <w:u w:color="auto"/>
          <w:lang w:eastAsia="zh-CN"/>
        </w:rPr>
        <w:t>0</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val="en-US" w:eastAsia="zh-CN"/>
        </w:rPr>
        <w:t>。</w:t>
      </w:r>
      <w:bookmarkStart w:id="91" w:name="_GoBack"/>
      <w:bookmarkEnd w:id="91"/>
    </w:p>
    <w:p w14:paraId="0A9E8856">
      <w:pPr>
        <w:pageBreakBefore w:val="0"/>
        <w:kinsoku/>
        <w:wordWrap/>
        <w:overflowPunct/>
        <w:topLinePunct w:val="0"/>
        <w:autoSpaceDE/>
        <w:autoSpaceDN/>
        <w:bidi w:val="0"/>
        <w:adjustRightInd/>
        <w:snapToGrid/>
        <w:spacing w:line="600" w:lineRule="exact"/>
        <w:ind w:firstLine="643" w:firstLineChars="200"/>
        <w:outlineLvl w:val="2"/>
        <w:rPr>
          <w:rFonts w:hint="eastAsia" w:ascii="楷体" w:hAnsi="楷体" w:eastAsia="楷体" w:cs="楷体"/>
          <w:b/>
          <w:color w:val="000000"/>
          <w:sz w:val="32"/>
          <w:szCs w:val="32"/>
        </w:rPr>
      </w:pPr>
      <w:r>
        <w:rPr>
          <w:rFonts w:hint="eastAsia" w:ascii="楷体" w:hAnsi="楷体" w:eastAsia="楷体" w:cs="楷体"/>
          <w:b/>
          <w:color w:val="000000"/>
          <w:sz w:val="32"/>
          <w:szCs w:val="32"/>
        </w:rPr>
        <w:t>（三）国有资产占有使用情况</w:t>
      </w:r>
      <w:bookmarkEnd w:id="68"/>
    </w:p>
    <w:p w14:paraId="23533270">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截至</w:t>
      </w:r>
      <w:r>
        <w:rPr>
          <w:rFonts w:hint="eastAsia" w:ascii="仿宋_GB2312" w:hAnsi="仿宋_GB2312" w:eastAsia="仿宋_GB2312" w:cs="仿宋_GB2312"/>
          <w:color w:val="000000"/>
          <w:sz w:val="32"/>
          <w:u w:color="auto"/>
          <w:lang w:eastAsia="zh-CN"/>
        </w:rPr>
        <w:t>2025年</w:t>
      </w:r>
      <w:r>
        <w:rPr>
          <w:rFonts w:hint="eastAsia" w:ascii="仿宋_GB2312" w:hAnsi="仿宋_GB2312" w:eastAsia="仿宋_GB2312" w:cs="仿宋_GB2312"/>
          <w:color w:val="000000"/>
          <w:sz w:val="32"/>
          <w:u w:color="auto"/>
        </w:rPr>
        <w:t>12月31日，共有车辆0辆，其中：主要领导干部用车0辆、机要通信用车0辆、应急保障用车0辆、其他用车0辆。单价100万元以上专用设备</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不含车辆</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0</w:t>
      </w:r>
      <w:r>
        <w:rPr>
          <w:rFonts w:hint="eastAsia" w:ascii="仿宋_GB2312" w:hAnsi="仿宋_GB2312" w:eastAsia="仿宋_GB2312" w:cs="仿宋_GB2312"/>
          <w:color w:val="000000"/>
          <w:sz w:val="32"/>
          <w:u w:color="auto"/>
        </w:rPr>
        <w:t>台（套）。</w:t>
      </w:r>
    </w:p>
    <w:p w14:paraId="72EFB8FC">
      <w:pPr>
        <w:pageBreakBefore w:val="0"/>
        <w:kinsoku/>
        <w:wordWrap/>
        <w:overflowPunct/>
        <w:topLinePunct w:val="0"/>
        <w:autoSpaceDE/>
        <w:autoSpaceDN/>
        <w:bidi w:val="0"/>
        <w:adjustRightInd/>
        <w:snapToGrid/>
        <w:spacing w:line="600" w:lineRule="exact"/>
        <w:ind w:firstLine="643" w:firstLineChars="200"/>
        <w:outlineLvl w:val="2"/>
        <w:rPr>
          <w:rFonts w:hint="eastAsia" w:ascii="楷体" w:hAnsi="楷体" w:eastAsia="楷体" w:cs="楷体"/>
          <w:b/>
          <w:color w:val="000000"/>
          <w:sz w:val="32"/>
          <w:szCs w:val="32"/>
        </w:rPr>
      </w:pPr>
      <w:r>
        <w:rPr>
          <w:rFonts w:hint="eastAsia" w:ascii="楷体" w:hAnsi="楷体" w:eastAsia="楷体" w:cs="楷体"/>
          <w:b/>
          <w:color w:val="000000"/>
          <w:sz w:val="32"/>
          <w:szCs w:val="32"/>
        </w:rPr>
        <w:t>（四）预算绩效管理情况</w:t>
      </w:r>
    </w:p>
    <w:p w14:paraId="74E909BE">
      <w:pPr>
        <w:pageBreakBefore w:val="0"/>
        <w:kinsoku/>
        <w:wordWrap/>
        <w:overflowPunct/>
        <w:topLinePunct w:val="0"/>
        <w:autoSpaceDE/>
        <w:autoSpaceDN/>
        <w:bidi w:val="0"/>
        <w:adjustRightInd/>
        <w:snapToGrid/>
        <w:spacing w:line="60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color w:val="auto"/>
          <w:sz w:val="32"/>
          <w:szCs w:val="32"/>
          <w:highlight w:val="none"/>
          <w:lang w:eastAsia="zh-CN"/>
        </w:rPr>
        <w:t>根据预算绩效管理要求，本单位在</w:t>
      </w:r>
      <w:r>
        <w:rPr>
          <w:rFonts w:hint="eastAsia" w:ascii="仿宋_GB2312" w:hAnsi="仿宋_GB2312" w:eastAsia="仿宋_GB2312" w:cs="仿宋_GB2312"/>
          <w:color w:val="auto"/>
          <w:sz w:val="32"/>
          <w:szCs w:val="32"/>
          <w:highlight w:val="none"/>
          <w:lang w:val="en-US" w:eastAsia="zh-CN"/>
        </w:rPr>
        <w:t>2025年度</w:t>
      </w:r>
      <w:r>
        <w:rPr>
          <w:rFonts w:hint="eastAsia" w:ascii="仿宋_GB2312" w:hAnsi="仿宋_GB2312" w:eastAsia="仿宋_GB2312" w:cs="仿宋_GB2312"/>
          <w:color w:val="auto"/>
          <w:sz w:val="32"/>
          <w:szCs w:val="32"/>
          <w:highlight w:val="none"/>
          <w:lang w:eastAsia="zh-CN"/>
        </w:rPr>
        <w:t>预算编制阶段，组织对茂县凤仪镇兴茂小学校退休干部春节慰问金、课后服务费及生活费</w:t>
      </w:r>
      <w:r>
        <w:rPr>
          <w:rFonts w:hint="eastAsia" w:ascii="仿宋_GB2312" w:hAnsi="仿宋_GB2312" w:eastAsia="仿宋_GB2312" w:cs="仿宋_GB2312"/>
          <w:color w:val="auto"/>
          <w:sz w:val="32"/>
          <w:szCs w:val="32"/>
          <w:highlight w:val="none"/>
          <w:lang w:val="en-US" w:eastAsia="zh-CN"/>
        </w:rPr>
        <w:t>等 13个项目</w:t>
      </w:r>
      <w:r>
        <w:rPr>
          <w:rFonts w:hint="eastAsia" w:ascii="仿宋_GB2312" w:hAnsi="仿宋_GB2312" w:eastAsia="仿宋_GB2312" w:cs="仿宋_GB2312"/>
          <w:color w:val="auto"/>
          <w:sz w:val="32"/>
          <w:szCs w:val="32"/>
          <w:highlight w:val="none"/>
          <w:lang w:eastAsia="zh-CN"/>
        </w:rPr>
        <w:t>开展了预算事前绩效评估，对</w:t>
      </w:r>
      <w:r>
        <w:rPr>
          <w:rFonts w:hint="eastAsia" w:ascii="仿宋_GB2312" w:hAnsi="仿宋_GB2312" w:eastAsia="仿宋_GB2312" w:cs="仿宋_GB2312"/>
          <w:color w:val="auto"/>
          <w:sz w:val="32"/>
          <w:szCs w:val="32"/>
          <w:highlight w:val="none"/>
          <w:lang w:val="en-US" w:eastAsia="zh-CN"/>
        </w:rPr>
        <w:t>32</w:t>
      </w:r>
      <w:r>
        <w:rPr>
          <w:rFonts w:hint="eastAsia" w:ascii="仿宋_GB2312" w:hAnsi="仿宋_GB2312" w:eastAsia="仿宋_GB2312" w:cs="仿宋_GB2312"/>
          <w:color w:val="auto"/>
          <w:sz w:val="32"/>
          <w:szCs w:val="32"/>
          <w:highlight w:val="none"/>
          <w:lang w:eastAsia="zh-CN"/>
        </w:rPr>
        <w:t>个项目编制了绩效目标，预算执行过程中，选取</w:t>
      </w:r>
      <w:r>
        <w:rPr>
          <w:rFonts w:hint="eastAsia" w:ascii="仿宋_GB2312" w:hAnsi="仿宋_GB2312" w:eastAsia="仿宋_GB2312" w:cs="仿宋_GB2312"/>
          <w:color w:val="auto"/>
          <w:sz w:val="32"/>
          <w:szCs w:val="32"/>
          <w:highlight w:val="none"/>
          <w:lang w:val="en-US" w:eastAsia="zh-CN"/>
        </w:rPr>
        <w:t>32</w:t>
      </w:r>
      <w:r>
        <w:rPr>
          <w:rFonts w:hint="eastAsia" w:ascii="仿宋_GB2312" w:hAnsi="仿宋_GB2312" w:eastAsia="仿宋_GB2312" w:cs="仿宋_GB2312"/>
          <w:color w:val="auto"/>
          <w:sz w:val="32"/>
          <w:szCs w:val="32"/>
          <w:highlight w:val="none"/>
          <w:lang w:eastAsia="zh-CN"/>
        </w:rPr>
        <w:t>个项目开展绩效监控，组织对</w:t>
      </w:r>
      <w:r>
        <w:rPr>
          <w:rFonts w:hint="eastAsia" w:ascii="仿宋_GB2312" w:hAnsi="仿宋_GB2312" w:eastAsia="仿宋_GB2312" w:cs="仿宋_GB2312"/>
          <w:color w:val="auto"/>
          <w:sz w:val="32"/>
          <w:szCs w:val="32"/>
          <w:highlight w:val="none"/>
          <w:lang w:val="en-US" w:eastAsia="zh-CN"/>
        </w:rPr>
        <w:t>13个项目开展绩效自评，绩效自评表详见第四部分附件。</w:t>
      </w:r>
    </w:p>
    <w:p w14:paraId="08219CA1">
      <w:pPr>
        <w:pStyle w:val="8"/>
        <w:pageBreakBefore w:val="0"/>
        <w:kinsoku/>
        <w:wordWrap/>
        <w:overflowPunct/>
        <w:topLinePunct w:val="0"/>
        <w:autoSpaceDE/>
        <w:autoSpaceDN/>
        <w:bidi w:val="0"/>
        <w:adjustRightInd/>
        <w:snapToGrid/>
        <w:rPr>
          <w:rFonts w:hint="eastAsia" w:ascii="仿宋" w:hAnsi="仿宋" w:eastAsia="仿宋" w:cs="仿宋"/>
          <w:sz w:val="32"/>
          <w:szCs w:val="32"/>
        </w:rPr>
      </w:pPr>
    </w:p>
    <w:p w14:paraId="4EC983C3">
      <w:pPr>
        <w:pageBreakBefore w:val="0"/>
        <w:widowControl/>
        <w:kinsoku/>
        <w:wordWrap/>
        <w:overflowPunct/>
        <w:topLinePunct w:val="0"/>
        <w:autoSpaceDE/>
        <w:autoSpaceDN/>
        <w:bidi w:val="0"/>
        <w:adjustRightInd/>
        <w:snapToGrid/>
        <w:jc w:val="left"/>
        <w:rPr>
          <w:rFonts w:hint="eastAsia" w:ascii="思源黑体 CN Normal" w:hAnsi="思源黑体 CN Normal" w:eastAsia="思源黑体 CN Normal" w:cs="思源黑体 CN Normal"/>
          <w:b/>
          <w:color w:val="000000"/>
          <w:sz w:val="32"/>
          <w:szCs w:val="32"/>
        </w:rPr>
      </w:pPr>
      <w:r>
        <w:rPr>
          <w:rFonts w:hint="eastAsia" w:ascii="思源黑体 CN Normal" w:hAnsi="思源黑体 CN Normal" w:eastAsia="思源黑体 CN Normal" w:cs="思源黑体 CN Normal"/>
          <w:b/>
          <w:color w:val="000000"/>
          <w:sz w:val="32"/>
          <w:szCs w:val="32"/>
        </w:rPr>
        <w:br w:type="page"/>
      </w:r>
    </w:p>
    <w:p w14:paraId="360B4972">
      <w:pPr>
        <w:pStyle w:val="5"/>
        <w:pageBreakBefore w:val="0"/>
        <w:kinsoku/>
        <w:wordWrap/>
        <w:overflowPunct/>
        <w:topLinePunct w:val="0"/>
        <w:autoSpaceDE/>
        <w:autoSpaceDN/>
        <w:bidi w:val="0"/>
        <w:adjustRightInd/>
        <w:snapToGrid/>
        <w:spacing w:before="0" w:after="0"/>
        <w:jc w:val="center"/>
        <w:rPr>
          <w:rFonts w:hint="eastAsia" w:ascii="黑体" w:hAnsi="黑体" w:eastAsia="黑体" w:cs="黑体"/>
          <w:b w:val="0"/>
          <w:bCs w:val="0"/>
        </w:rPr>
      </w:pPr>
      <w:bookmarkStart w:id="69" w:name="_Toc15377225"/>
      <w:bookmarkStart w:id="70" w:name="_Toc18122"/>
      <w:bookmarkStart w:id="71" w:name="_Toc111208509"/>
      <w:r>
        <w:rPr>
          <w:rFonts w:hint="eastAsia" w:ascii="黑体" w:hAnsi="黑体" w:eastAsia="黑体" w:cs="黑体"/>
          <w:b w:val="0"/>
          <w:bCs w:val="0"/>
        </w:rPr>
        <w:t>第三部分 名词解释</w:t>
      </w:r>
      <w:bookmarkEnd w:id="69"/>
      <w:bookmarkEnd w:id="70"/>
      <w:bookmarkEnd w:id="71"/>
    </w:p>
    <w:p w14:paraId="29AA07B4">
      <w:pPr>
        <w:pageBreakBefore w:val="0"/>
        <w:kinsoku/>
        <w:wordWrap/>
        <w:overflowPunct/>
        <w:topLinePunct w:val="0"/>
        <w:autoSpaceDE/>
        <w:autoSpaceDN/>
        <w:bidi w:val="0"/>
        <w:adjustRightInd/>
        <w:snapToGrid/>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1.财政拨款收入：指单位从同级财政部门取得的财政预算资金。</w:t>
      </w:r>
    </w:p>
    <w:p w14:paraId="112B285E">
      <w:pPr>
        <w:pageBreakBefore w:val="0"/>
        <w:kinsoku/>
        <w:wordWrap/>
        <w:overflowPunct/>
        <w:topLinePunct w:val="0"/>
        <w:autoSpaceDE/>
        <w:autoSpaceDN/>
        <w:bidi w:val="0"/>
        <w:adjustRightInd/>
        <w:snapToGrid/>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2.事业收入：指事业单位开展专业业务活动及辅助活动取得的收入。</w:t>
      </w:r>
    </w:p>
    <w:p w14:paraId="56BF7821">
      <w:pPr>
        <w:pageBreakBefore w:val="0"/>
        <w:kinsoku/>
        <w:wordWrap/>
        <w:overflowPunct/>
        <w:topLinePunct w:val="0"/>
        <w:autoSpaceDE/>
        <w:autoSpaceDN/>
        <w:bidi w:val="0"/>
        <w:adjustRightInd/>
        <w:snapToGrid/>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3.经营收入：指事业单位在专业业务活动及其辅助活动之外开展非独立核算经营活动取得的收入</w:t>
      </w:r>
    </w:p>
    <w:p w14:paraId="0E2F14C7">
      <w:pPr>
        <w:pageBreakBefore w:val="0"/>
        <w:kinsoku/>
        <w:wordWrap/>
        <w:overflowPunct/>
        <w:topLinePunct w:val="0"/>
        <w:autoSpaceDE/>
        <w:autoSpaceDN/>
        <w:bidi w:val="0"/>
        <w:adjustRightInd/>
        <w:snapToGrid/>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4.其他收入：指单位取得的除上述收入以外的各项收入。</w:t>
      </w:r>
    </w:p>
    <w:p w14:paraId="3E32143C">
      <w:pPr>
        <w:pageBreakBefore w:val="0"/>
        <w:kinsoku/>
        <w:wordWrap/>
        <w:overflowPunct/>
        <w:topLinePunct w:val="0"/>
        <w:autoSpaceDE/>
        <w:autoSpaceDN/>
        <w:bidi w:val="0"/>
        <w:adjustRightInd/>
        <w:snapToGrid/>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5.使用非财政拨款结余（含专用结余）：指事业单位使用以前年度积累的非财政拨款结余弥补当年收支差额的金额。 </w:t>
      </w:r>
    </w:p>
    <w:p w14:paraId="3EB9118A">
      <w:pPr>
        <w:pageBreakBefore w:val="0"/>
        <w:kinsoku/>
        <w:wordWrap/>
        <w:overflowPunct/>
        <w:topLinePunct w:val="0"/>
        <w:autoSpaceDE/>
        <w:autoSpaceDN/>
        <w:bidi w:val="0"/>
        <w:adjustRightInd/>
        <w:snapToGrid/>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6.年初结转和结余：指以前年度尚未完成、结转到本年按有关规定继续使用的资金。 </w:t>
      </w:r>
    </w:p>
    <w:p w14:paraId="505FBADC">
      <w:pPr>
        <w:pageBreakBefore w:val="0"/>
        <w:kinsoku/>
        <w:wordWrap/>
        <w:overflowPunct/>
        <w:topLinePunct w:val="0"/>
        <w:autoSpaceDE/>
        <w:autoSpaceDN/>
        <w:bidi w:val="0"/>
        <w:adjustRightInd/>
        <w:snapToGrid/>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7.结余分配：指事业单位按照会计制度规定缴纳的所得税、提取的专用结余以及转入非财政拨款结余的金额等。</w:t>
      </w:r>
    </w:p>
    <w:p w14:paraId="6BA9E105">
      <w:pPr>
        <w:pageBreakBefore w:val="0"/>
        <w:kinsoku/>
        <w:wordWrap/>
        <w:overflowPunct/>
        <w:topLinePunct w:val="0"/>
        <w:autoSpaceDE/>
        <w:autoSpaceDN/>
        <w:bidi w:val="0"/>
        <w:adjustRightInd/>
        <w:snapToGrid/>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8.年末结转和结余：指单位按有关规定结转到下年或以后年度继续使用的资金。</w:t>
      </w:r>
    </w:p>
    <w:p w14:paraId="47A65EC8">
      <w:pPr>
        <w:pageBreakBefore w:val="0"/>
        <w:kinsoku/>
        <w:wordWrap/>
        <w:overflowPunct/>
        <w:topLinePunct w:val="0"/>
        <w:autoSpaceDE/>
        <w:autoSpaceDN/>
        <w:bidi w:val="0"/>
        <w:adjustRightInd/>
        <w:snapToGrid/>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9.教育支出（类）普通教育（款）小学教育（项）:反映各部门举办的小学教育支出。政府各部门对社会组织等举办的小学的资助，如捐赠、补贴等，也在本科目中反映。</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10.教育支出（类）教育费附加安排的支出（款）其他教育费附加安排的支出（项）:反映除上述项目以外的教育费附加支出。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11.社会保障和就业支出（类）行政事业单位养老支出（款）机关事业单位基本养老保险缴费支出（项）:反映机关事业单位实施养老保险制度由单位缴纳的基本养老保险费支出。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12.社会保障和就业支出（类）行政事业单位养老支出（款）机关事业单位职业年金缴费支出（项）:反映机关事业单位实施养老保险制度由单位实际缴纳的职业年金支出。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13.卫生健康支出（类）行政事业单位医疗（款）事业单位医疗（项）:反映财政部门安排的事业单位基本医疗保险缴费经费，未参加医疗保险的事业单位的公费医疗经费，按国家规定享受离休人员待遇的医疗经费。</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14.住房保障支出（类）住房改革支出（款）住房公积金（项）:反映行政事业单位按人力资源和社会保障部、财政部规定的基本工资和津贴补贴以及规定比例为职工缴纳的住房公积金。</w:t>
      </w:r>
    </w:p>
    <w:p w14:paraId="0ED9C41D">
      <w:pPr>
        <w:pageBreakBefore w:val="0"/>
        <w:kinsoku/>
        <w:wordWrap/>
        <w:overflowPunct/>
        <w:topLinePunct w:val="0"/>
        <w:autoSpaceDE/>
        <w:autoSpaceDN/>
        <w:bidi w:val="0"/>
        <w:adjustRightInd/>
        <w:snapToGrid/>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15</w:t>
      </w:r>
      <w:r>
        <w:rPr>
          <w:rFonts w:hint="eastAsia" w:ascii="仿宋_GB2312" w:hAnsi="仿宋_GB2312" w:eastAsia="仿宋_GB2312" w:cs="仿宋_GB2312"/>
          <w:color w:val="000000"/>
          <w:sz w:val="32"/>
          <w:u w:color="auto"/>
        </w:rPr>
        <w:t>.基本支出：指为保障机构正常运转、完成日常工作任务而发生的人员支出和公用支出。</w:t>
      </w:r>
    </w:p>
    <w:p w14:paraId="7B3413CC">
      <w:pPr>
        <w:pageBreakBefore w:val="0"/>
        <w:kinsoku/>
        <w:wordWrap/>
        <w:overflowPunct/>
        <w:topLinePunct w:val="0"/>
        <w:autoSpaceDE/>
        <w:autoSpaceDN/>
        <w:bidi w:val="0"/>
        <w:adjustRightInd/>
        <w:snapToGrid/>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16</w:t>
      </w:r>
      <w:r>
        <w:rPr>
          <w:rFonts w:hint="eastAsia" w:ascii="仿宋_GB2312" w:hAnsi="仿宋_GB2312" w:eastAsia="仿宋_GB2312" w:cs="仿宋_GB2312"/>
          <w:color w:val="000000"/>
          <w:sz w:val="32"/>
          <w:u w:color="auto"/>
        </w:rPr>
        <w:t xml:space="preserve">.项目支出：指在基本支出之外为完成特定行政任务和事业发展目标所发生的支出。 </w:t>
      </w:r>
    </w:p>
    <w:p w14:paraId="225105A7">
      <w:pPr>
        <w:pageBreakBefore w:val="0"/>
        <w:kinsoku/>
        <w:wordWrap/>
        <w:overflowPunct/>
        <w:topLinePunct w:val="0"/>
        <w:autoSpaceDE/>
        <w:autoSpaceDN/>
        <w:bidi w:val="0"/>
        <w:adjustRightInd/>
        <w:snapToGrid/>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17</w:t>
      </w:r>
      <w:r>
        <w:rPr>
          <w:rFonts w:hint="eastAsia" w:ascii="仿宋_GB2312" w:hAnsi="仿宋_GB2312" w:eastAsia="仿宋_GB2312" w:cs="仿宋_GB2312"/>
          <w:color w:val="000000"/>
          <w:sz w:val="32"/>
          <w:u w:color="auto"/>
        </w:rPr>
        <w:t>.经营支出：指事业单位在专业业务活动及其辅助活动之外开展非独立核算经营活动发生的支出。</w:t>
      </w:r>
    </w:p>
    <w:p w14:paraId="7C74A466">
      <w:pPr>
        <w:pageBreakBefore w:val="0"/>
        <w:widowControl/>
        <w:kinsoku/>
        <w:wordWrap/>
        <w:overflowPunct/>
        <w:topLinePunct w:val="0"/>
        <w:autoSpaceDE/>
        <w:autoSpaceDN/>
        <w:bidi w:val="0"/>
        <w:adjustRightInd/>
        <w:snapToGrid/>
        <w:jc w:val="left"/>
        <w:rPr>
          <w:rStyle w:val="32"/>
          <w:rFonts w:hint="eastAsia" w:ascii="思源黑体 CN Normal" w:hAnsi="思源黑体 CN Normal" w:eastAsia="思源黑体 CN Normal" w:cs="思源黑体 CN Normal"/>
        </w:rPr>
      </w:pPr>
      <w:r>
        <w:rPr>
          <w:rStyle w:val="32"/>
          <w:rFonts w:hint="eastAsia" w:ascii="思源黑体 CN Normal" w:hAnsi="思源黑体 CN Normal" w:eastAsia="思源黑体 CN Normal" w:cs="思源黑体 CN Normal"/>
        </w:rPr>
        <w:br w:type="page"/>
      </w:r>
    </w:p>
    <w:p w14:paraId="38EE4F50">
      <w:pPr>
        <w:pStyle w:val="5"/>
        <w:pageBreakBefore w:val="0"/>
        <w:kinsoku/>
        <w:wordWrap/>
        <w:overflowPunct/>
        <w:topLinePunct w:val="0"/>
        <w:autoSpaceDE/>
        <w:autoSpaceDN/>
        <w:bidi w:val="0"/>
        <w:adjustRightInd/>
        <w:snapToGrid/>
        <w:spacing w:before="0" w:after="0"/>
        <w:jc w:val="center"/>
        <w:rPr>
          <w:rFonts w:hint="eastAsia" w:ascii="黑体" w:hAnsi="黑体" w:eastAsia="黑体" w:cs="黑体"/>
          <w:b w:val="0"/>
          <w:bCs w:val="0"/>
        </w:rPr>
      </w:pPr>
      <w:bookmarkStart w:id="72" w:name="_Toc25539"/>
      <w:bookmarkStart w:id="73" w:name="_Toc111208510"/>
      <w:r>
        <w:rPr>
          <w:rFonts w:hint="eastAsia" w:ascii="黑体" w:hAnsi="黑体" w:eastAsia="黑体" w:cs="黑体"/>
          <w:b w:val="0"/>
          <w:bCs w:val="0"/>
        </w:rPr>
        <w:t>第四部分 附件</w:t>
      </w:r>
      <w:bookmarkEnd w:id="72"/>
      <w:bookmarkEnd w:id="73"/>
    </w:p>
    <w:p w14:paraId="75B4F393">
      <w:pPr>
        <w:pageBreakBefore w:val="0"/>
        <w:suppressAutoHyphens/>
        <w:kinsoku/>
        <w:wordWrap/>
        <w:overflowPunct/>
        <w:topLinePunct w:val="0"/>
        <w:autoSpaceDE/>
        <w:autoSpaceDN/>
        <w:bidi w:val="0"/>
        <w:adjustRightInd/>
        <w:snapToGrid/>
        <w:spacing w:line="600" w:lineRule="exact"/>
        <w:jc w:val="center"/>
        <w:outlineLvl w:val="0"/>
        <w:rPr>
          <w:rStyle w:val="37"/>
          <w:rFonts w:hint="eastAsia" w:ascii="黑体" w:hAnsi="黑体" w:eastAsia="黑体"/>
          <w:b w:val="0"/>
          <w:color w:val="auto"/>
          <w:highlight w:val="none"/>
        </w:rPr>
      </w:pPr>
      <w:bookmarkStart w:id="74" w:name="_Toc79163885"/>
      <w:bookmarkStart w:id="75" w:name="_Toc79163635"/>
      <w:bookmarkStart w:id="76" w:name="_Toc21200"/>
      <w:bookmarkStart w:id="77" w:name="_Toc111208512"/>
    </w:p>
    <w:tbl>
      <w:tblPr>
        <w:tblStyle w:val="19"/>
        <w:tblW w:w="78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5"/>
        <w:gridCol w:w="866"/>
        <w:gridCol w:w="1042"/>
        <w:gridCol w:w="915"/>
        <w:gridCol w:w="379"/>
        <w:gridCol w:w="846"/>
        <w:gridCol w:w="396"/>
        <w:gridCol w:w="846"/>
        <w:gridCol w:w="502"/>
        <w:gridCol w:w="445"/>
        <w:gridCol w:w="968"/>
      </w:tblGrid>
      <w:tr w14:paraId="4202A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78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6231C6F">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926E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4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F3AE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33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A05A5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51322323T000009021159-茂县凤仪镇兴茂小学校退休干部春节慰问金</w:t>
            </w:r>
          </w:p>
        </w:tc>
      </w:tr>
      <w:tr w14:paraId="786E0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4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A0F07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5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D819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46" w:type="dxa"/>
            <w:tcBorders>
              <w:top w:val="nil"/>
              <w:left w:val="nil"/>
              <w:bottom w:val="nil"/>
              <w:right w:val="nil"/>
            </w:tcBorders>
            <w:shd w:val="clear" w:color="auto" w:fill="auto"/>
            <w:vAlign w:val="center"/>
          </w:tcPr>
          <w:p w14:paraId="79039A0D">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9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F5EF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茂县凤仪镇兴茂小学校</w:t>
            </w:r>
          </w:p>
        </w:tc>
      </w:tr>
      <w:tr w14:paraId="53D39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1A60A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0741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5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B0D6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4DF8D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A9D9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89A3C">
            <w:pP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B5D421">
            <w:pPr>
              <w:rPr>
                <w:rFonts w:hint="eastAsia" w:ascii="宋体" w:hAnsi="宋体" w:eastAsia="宋体" w:cs="宋体"/>
                <w:i w:val="0"/>
                <w:iCs w:val="0"/>
                <w:color w:val="000000"/>
                <w:sz w:val="18"/>
                <w:szCs w:val="18"/>
                <w:u w:val="none"/>
              </w:rPr>
            </w:pPr>
          </w:p>
        </w:tc>
        <w:tc>
          <w:tcPr>
            <w:tcW w:w="35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B073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2025年春节退休干部慰问金</w:t>
            </w:r>
          </w:p>
        </w:tc>
        <w:tc>
          <w:tcPr>
            <w:tcW w:w="27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E81DD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为年初预算资金，涉及人数32人，共计20400元，已全部发放到位。</w:t>
            </w:r>
          </w:p>
        </w:tc>
      </w:tr>
      <w:tr w14:paraId="6095D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57EEF">
            <w:pP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CFE5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33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4F15E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为充分体现党和政府对广大退休人员的关怀，弘扬中华民族“尊老、敬老、爱老”传统美德，护社会稳定，开展春节慰问退休人员活动。</w:t>
            </w:r>
          </w:p>
        </w:tc>
      </w:tr>
      <w:tr w14:paraId="487E4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2E86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3BF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BBB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BA3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C692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328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1EF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759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72B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4CB4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AF324">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1BE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FA2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CEC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2.04</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9376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2.04</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DDD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65C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A47D5">
            <w:pPr>
              <w:jc w:val="center"/>
              <w:rPr>
                <w:rFonts w:hint="eastAsia" w:ascii="宋体" w:hAnsi="宋体" w:eastAsia="宋体" w:cs="宋体"/>
                <w:i w:val="0"/>
                <w:iCs w:val="0"/>
                <w:color w:val="000000"/>
                <w:sz w:val="18"/>
                <w:szCs w:val="18"/>
                <w:u w:val="none"/>
              </w:rPr>
            </w:pPr>
          </w:p>
        </w:tc>
        <w:tc>
          <w:tcPr>
            <w:tcW w:w="9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34BDF0">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无</w:t>
            </w:r>
          </w:p>
        </w:tc>
      </w:tr>
      <w:tr w14:paraId="7FEBE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66510">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9FC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F7E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3AD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2.04</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F996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2.04</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A09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A80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C46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A0ADD">
            <w:pPr>
              <w:jc w:val="center"/>
              <w:rPr>
                <w:rFonts w:hint="eastAsia" w:ascii="黑体" w:hAnsi="黑体" w:eastAsia="黑体" w:cs="黑体"/>
                <w:i/>
                <w:iCs/>
                <w:color w:val="000000"/>
                <w:sz w:val="18"/>
                <w:szCs w:val="18"/>
                <w:u w:val="none"/>
              </w:rPr>
            </w:pPr>
          </w:p>
        </w:tc>
      </w:tr>
      <w:tr w14:paraId="755CF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87615">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9D0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47F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0F7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1EF8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4FA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535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593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4720E1">
            <w:pPr>
              <w:jc w:val="center"/>
              <w:rPr>
                <w:rFonts w:hint="eastAsia" w:ascii="黑体" w:hAnsi="黑体" w:eastAsia="黑体" w:cs="黑体"/>
                <w:i/>
                <w:iCs/>
                <w:color w:val="000000"/>
                <w:sz w:val="18"/>
                <w:szCs w:val="18"/>
                <w:u w:val="none"/>
              </w:rPr>
            </w:pPr>
          </w:p>
        </w:tc>
      </w:tr>
      <w:tr w14:paraId="00C9B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2B08A">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632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308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74C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AB4E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021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F60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A36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B9E2B">
            <w:pPr>
              <w:jc w:val="center"/>
              <w:rPr>
                <w:rFonts w:hint="eastAsia" w:ascii="黑体" w:hAnsi="黑体" w:eastAsia="黑体" w:cs="黑体"/>
                <w:i/>
                <w:iCs/>
                <w:color w:val="000000"/>
                <w:sz w:val="18"/>
                <w:szCs w:val="18"/>
                <w:u w:val="none"/>
              </w:rPr>
            </w:pPr>
          </w:p>
        </w:tc>
      </w:tr>
      <w:tr w14:paraId="1DE78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DB21C">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08F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AA544">
            <w:pPr>
              <w:jc w:val="center"/>
              <w:rPr>
                <w:rFonts w:hint="eastAsia" w:ascii="微软雅黑" w:hAnsi="微软雅黑" w:eastAsia="微软雅黑" w:cs="微软雅黑"/>
                <w:i/>
                <w:iCs/>
                <w:color w:val="000000"/>
                <w:sz w:val="16"/>
                <w:szCs w:val="16"/>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7AAB5">
            <w:pPr>
              <w:jc w:val="center"/>
              <w:rPr>
                <w:rFonts w:hint="eastAsia" w:ascii="微软雅黑" w:hAnsi="微软雅黑" w:eastAsia="微软雅黑" w:cs="微软雅黑"/>
                <w:i/>
                <w:iCs/>
                <w:color w:val="000000"/>
                <w:sz w:val="16"/>
                <w:szCs w:val="16"/>
                <w:u w:val="none"/>
              </w:rPr>
            </w:pP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253C0F">
            <w:pPr>
              <w:jc w:val="center"/>
              <w:rPr>
                <w:rFonts w:hint="eastAsia" w:ascii="微软雅黑" w:hAnsi="微软雅黑" w:eastAsia="微软雅黑" w:cs="微软雅黑"/>
                <w:i/>
                <w:iCs/>
                <w:color w:val="000000"/>
                <w:sz w:val="16"/>
                <w:szCs w:val="16"/>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25804">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3E0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38C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0B560">
            <w:pPr>
              <w:jc w:val="center"/>
              <w:rPr>
                <w:rFonts w:hint="eastAsia" w:ascii="黑体" w:hAnsi="黑体" w:eastAsia="黑体" w:cs="黑体"/>
                <w:i/>
                <w:iCs/>
                <w:color w:val="000000"/>
                <w:sz w:val="18"/>
                <w:szCs w:val="18"/>
                <w:u w:val="none"/>
              </w:rPr>
            </w:pPr>
          </w:p>
        </w:tc>
      </w:tr>
      <w:tr w14:paraId="1A519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DC33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5C5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8A7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626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38A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D60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878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7A7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39C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E6B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A6E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05FB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B61028">
            <w:pPr>
              <w:jc w:val="center"/>
              <w:rPr>
                <w:rFonts w:hint="eastAsia" w:ascii="宋体" w:hAnsi="宋体" w:eastAsia="宋体" w:cs="宋体"/>
                <w:i w:val="0"/>
                <w:iCs w:val="0"/>
                <w:color w:val="000000"/>
                <w:sz w:val="18"/>
                <w:szCs w:val="18"/>
                <w:u w:val="none"/>
              </w:rPr>
            </w:pPr>
          </w:p>
        </w:tc>
        <w:tc>
          <w:tcPr>
            <w:tcW w:w="8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2FB7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0D3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98C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退休干部人数</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8AE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D86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0E7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人/年</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7F6C2">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258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0AB18">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5DDF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7E74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F0883">
            <w:pPr>
              <w:jc w:val="cente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BAFE2C">
            <w:pPr>
              <w:jc w:val="center"/>
              <w:rPr>
                <w:rFonts w:hint="eastAsia" w:ascii="宋体" w:hAnsi="宋体" w:eastAsia="宋体" w:cs="宋体"/>
                <w:i w:val="0"/>
                <w:iCs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7E3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2F0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按时发放慰问金</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2A8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A2B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9B5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45F82">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84B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1F3D3">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DFF1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3BB7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B9DC9">
            <w:pPr>
              <w:jc w:val="cente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AB55E">
            <w:pPr>
              <w:jc w:val="center"/>
              <w:rPr>
                <w:rFonts w:hint="eastAsia" w:ascii="宋体" w:hAnsi="宋体" w:eastAsia="宋体" w:cs="宋体"/>
                <w:i w:val="0"/>
                <w:iCs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A1B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A16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2025年按时完成</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F5E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647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2E6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D4DAB">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6C4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1E1B1">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3921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18BA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01BEC">
            <w:pPr>
              <w:jc w:val="center"/>
              <w:rPr>
                <w:rFonts w:hint="eastAsia" w:ascii="宋体" w:hAnsi="宋体" w:eastAsia="宋体" w:cs="宋体"/>
                <w:i w:val="0"/>
                <w:iCs w:val="0"/>
                <w:color w:val="000000"/>
                <w:sz w:val="18"/>
                <w:szCs w:val="18"/>
                <w:u w:val="none"/>
              </w:rPr>
            </w:pPr>
          </w:p>
        </w:tc>
        <w:tc>
          <w:tcPr>
            <w:tcW w:w="8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A301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210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6AD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保质保量完成</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016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EE0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2BC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27DF3">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BA7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2986C">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E44A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F7C4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97274">
            <w:pPr>
              <w:jc w:val="cente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EB647">
            <w:pPr>
              <w:jc w:val="center"/>
              <w:rPr>
                <w:rFonts w:hint="eastAsia" w:ascii="宋体" w:hAnsi="宋体" w:eastAsia="宋体" w:cs="宋体"/>
                <w:i w:val="0"/>
                <w:iCs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EC7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E73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离退休职工感受到组织的温暖</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972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295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8D5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DFCC1">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A3B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C53B7">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A8CD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EA21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28665">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7E7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083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42A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退休教师满意度</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526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8A7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18D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17140">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283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BB1F0">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B1CD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CF9A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F7AEB">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C0B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C91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A08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2025年春节慰问金发放金额</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FE9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523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20400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A3F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856E9">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C2D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32493">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B77B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4C97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5D706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5F6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AB41D">
            <w:pP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84FA4">
            <w:pPr>
              <w:rPr>
                <w:rFonts w:hint="eastAsia" w:ascii="宋体" w:hAnsi="宋体" w:eastAsia="宋体" w:cs="宋体"/>
                <w:i w:val="0"/>
                <w:iCs w:val="0"/>
                <w:color w:val="000000"/>
                <w:sz w:val="18"/>
                <w:szCs w:val="18"/>
                <w:u w:val="none"/>
              </w:rPr>
            </w:pPr>
          </w:p>
        </w:tc>
      </w:tr>
      <w:tr w14:paraId="34AE1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7DE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20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B6EE6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春节慰问退休人员经费项目资金全部按照相关文件规定发放至个人。</w:t>
            </w:r>
          </w:p>
        </w:tc>
      </w:tr>
      <w:tr w14:paraId="48D39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0B2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20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A5CBD6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F2F2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D20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20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D5450E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81FD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580FF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项目负责人：蹇志康</w:t>
            </w:r>
          </w:p>
        </w:tc>
        <w:tc>
          <w:tcPr>
            <w:tcW w:w="400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BC326D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财务负责人：蹇志康</w:t>
            </w:r>
          </w:p>
        </w:tc>
      </w:tr>
      <w:tr w14:paraId="2BB64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5" w:type="dxa"/>
            <w:tcBorders>
              <w:top w:val="nil"/>
              <w:left w:val="nil"/>
              <w:bottom w:val="nil"/>
              <w:right w:val="nil"/>
            </w:tcBorders>
            <w:shd w:val="clear" w:color="auto" w:fill="auto"/>
            <w:vAlign w:val="center"/>
          </w:tcPr>
          <w:p w14:paraId="5583BF19">
            <w:pPr>
              <w:rPr>
                <w:rFonts w:hint="eastAsia" w:ascii="宋体" w:hAnsi="宋体" w:eastAsia="宋体" w:cs="宋体"/>
                <w:i w:val="0"/>
                <w:iCs w:val="0"/>
                <w:color w:val="000000"/>
                <w:sz w:val="18"/>
                <w:szCs w:val="18"/>
                <w:u w:val="none"/>
              </w:rPr>
            </w:pPr>
          </w:p>
        </w:tc>
        <w:tc>
          <w:tcPr>
            <w:tcW w:w="866" w:type="dxa"/>
            <w:tcBorders>
              <w:top w:val="nil"/>
              <w:left w:val="nil"/>
              <w:bottom w:val="nil"/>
              <w:right w:val="nil"/>
            </w:tcBorders>
            <w:shd w:val="clear" w:color="auto" w:fill="auto"/>
            <w:vAlign w:val="center"/>
          </w:tcPr>
          <w:p w14:paraId="1C1C1072">
            <w:pPr>
              <w:rPr>
                <w:rFonts w:hint="eastAsia" w:ascii="宋体" w:hAnsi="宋体" w:eastAsia="宋体" w:cs="宋体"/>
                <w:i w:val="0"/>
                <w:iCs w:val="0"/>
                <w:color w:val="000000"/>
                <w:sz w:val="18"/>
                <w:szCs w:val="18"/>
                <w:u w:val="none"/>
              </w:rPr>
            </w:pPr>
          </w:p>
        </w:tc>
        <w:tc>
          <w:tcPr>
            <w:tcW w:w="1042" w:type="dxa"/>
            <w:tcBorders>
              <w:top w:val="nil"/>
              <w:left w:val="nil"/>
              <w:bottom w:val="nil"/>
              <w:right w:val="nil"/>
            </w:tcBorders>
            <w:shd w:val="clear" w:color="auto" w:fill="auto"/>
            <w:vAlign w:val="center"/>
          </w:tcPr>
          <w:p w14:paraId="1417DFBC">
            <w:pPr>
              <w:rPr>
                <w:rFonts w:hint="eastAsia" w:ascii="宋体" w:hAnsi="宋体" w:eastAsia="宋体" w:cs="宋体"/>
                <w:i w:val="0"/>
                <w:iCs w:val="0"/>
                <w:color w:val="000000"/>
                <w:sz w:val="18"/>
                <w:szCs w:val="18"/>
                <w:u w:val="none"/>
              </w:rPr>
            </w:pPr>
          </w:p>
        </w:tc>
        <w:tc>
          <w:tcPr>
            <w:tcW w:w="915" w:type="dxa"/>
            <w:tcBorders>
              <w:top w:val="nil"/>
              <w:left w:val="nil"/>
              <w:bottom w:val="nil"/>
              <w:right w:val="nil"/>
            </w:tcBorders>
            <w:shd w:val="clear" w:color="auto" w:fill="auto"/>
            <w:vAlign w:val="center"/>
          </w:tcPr>
          <w:p w14:paraId="0F971A54">
            <w:pPr>
              <w:rPr>
                <w:rFonts w:hint="eastAsia" w:ascii="宋体" w:hAnsi="宋体" w:eastAsia="宋体" w:cs="宋体"/>
                <w:i w:val="0"/>
                <w:iCs w:val="0"/>
                <w:color w:val="000000"/>
                <w:sz w:val="18"/>
                <w:szCs w:val="18"/>
                <w:u w:val="none"/>
              </w:rPr>
            </w:pPr>
          </w:p>
        </w:tc>
        <w:tc>
          <w:tcPr>
            <w:tcW w:w="379" w:type="dxa"/>
            <w:tcBorders>
              <w:top w:val="nil"/>
              <w:left w:val="nil"/>
              <w:bottom w:val="nil"/>
              <w:right w:val="nil"/>
            </w:tcBorders>
            <w:shd w:val="clear" w:color="auto" w:fill="auto"/>
            <w:vAlign w:val="center"/>
          </w:tcPr>
          <w:p w14:paraId="59F0D1D4">
            <w:pPr>
              <w:rPr>
                <w:rFonts w:hint="eastAsia" w:ascii="宋体" w:hAnsi="宋体" w:eastAsia="宋体" w:cs="宋体"/>
                <w:i w:val="0"/>
                <w:iCs w:val="0"/>
                <w:color w:val="000000"/>
                <w:sz w:val="18"/>
                <w:szCs w:val="18"/>
                <w:u w:val="none"/>
              </w:rPr>
            </w:pPr>
          </w:p>
        </w:tc>
        <w:tc>
          <w:tcPr>
            <w:tcW w:w="846" w:type="dxa"/>
            <w:tcBorders>
              <w:top w:val="nil"/>
              <w:left w:val="nil"/>
              <w:bottom w:val="nil"/>
              <w:right w:val="nil"/>
            </w:tcBorders>
            <w:shd w:val="clear" w:color="auto" w:fill="auto"/>
            <w:vAlign w:val="center"/>
          </w:tcPr>
          <w:p w14:paraId="4B166617">
            <w:pPr>
              <w:rPr>
                <w:rFonts w:hint="eastAsia" w:ascii="宋体" w:hAnsi="宋体" w:eastAsia="宋体" w:cs="宋体"/>
                <w:i w:val="0"/>
                <w:iCs w:val="0"/>
                <w:color w:val="000000"/>
                <w:sz w:val="18"/>
                <w:szCs w:val="18"/>
                <w:u w:val="none"/>
              </w:rPr>
            </w:pPr>
          </w:p>
        </w:tc>
        <w:tc>
          <w:tcPr>
            <w:tcW w:w="396" w:type="dxa"/>
            <w:tcBorders>
              <w:top w:val="nil"/>
              <w:left w:val="nil"/>
              <w:bottom w:val="nil"/>
              <w:right w:val="nil"/>
            </w:tcBorders>
            <w:shd w:val="clear" w:color="auto" w:fill="auto"/>
            <w:vAlign w:val="center"/>
          </w:tcPr>
          <w:p w14:paraId="188D74EA">
            <w:pPr>
              <w:rPr>
                <w:rFonts w:hint="eastAsia" w:ascii="宋体" w:hAnsi="宋体" w:eastAsia="宋体" w:cs="宋体"/>
                <w:i w:val="0"/>
                <w:iCs w:val="0"/>
                <w:color w:val="000000"/>
                <w:sz w:val="18"/>
                <w:szCs w:val="18"/>
                <w:u w:val="none"/>
              </w:rPr>
            </w:pPr>
          </w:p>
        </w:tc>
        <w:tc>
          <w:tcPr>
            <w:tcW w:w="846" w:type="dxa"/>
            <w:tcBorders>
              <w:top w:val="nil"/>
              <w:left w:val="nil"/>
              <w:bottom w:val="nil"/>
              <w:right w:val="nil"/>
            </w:tcBorders>
            <w:shd w:val="clear" w:color="auto" w:fill="auto"/>
            <w:vAlign w:val="center"/>
          </w:tcPr>
          <w:p w14:paraId="5164DC72">
            <w:pPr>
              <w:rPr>
                <w:rFonts w:hint="eastAsia" w:ascii="宋体" w:hAnsi="宋体" w:eastAsia="宋体" w:cs="宋体"/>
                <w:i w:val="0"/>
                <w:iCs w:val="0"/>
                <w:color w:val="000000"/>
                <w:sz w:val="18"/>
                <w:szCs w:val="18"/>
                <w:u w:val="none"/>
              </w:rPr>
            </w:pPr>
          </w:p>
        </w:tc>
        <w:tc>
          <w:tcPr>
            <w:tcW w:w="502" w:type="dxa"/>
            <w:tcBorders>
              <w:top w:val="nil"/>
              <w:left w:val="nil"/>
              <w:bottom w:val="nil"/>
              <w:right w:val="nil"/>
            </w:tcBorders>
            <w:shd w:val="clear" w:color="auto" w:fill="auto"/>
            <w:vAlign w:val="center"/>
          </w:tcPr>
          <w:p w14:paraId="1E52236F">
            <w:pPr>
              <w:rPr>
                <w:rFonts w:hint="eastAsia" w:ascii="宋体" w:hAnsi="宋体" w:eastAsia="宋体" w:cs="宋体"/>
                <w:i w:val="0"/>
                <w:iCs w:val="0"/>
                <w:color w:val="000000"/>
                <w:sz w:val="18"/>
                <w:szCs w:val="18"/>
                <w:u w:val="none"/>
              </w:rPr>
            </w:pPr>
          </w:p>
        </w:tc>
        <w:tc>
          <w:tcPr>
            <w:tcW w:w="445" w:type="dxa"/>
            <w:tcBorders>
              <w:top w:val="nil"/>
              <w:left w:val="nil"/>
              <w:bottom w:val="nil"/>
              <w:right w:val="nil"/>
            </w:tcBorders>
            <w:shd w:val="clear" w:color="auto" w:fill="auto"/>
            <w:vAlign w:val="center"/>
          </w:tcPr>
          <w:p w14:paraId="65E47217">
            <w:pPr>
              <w:rPr>
                <w:rFonts w:hint="eastAsia" w:ascii="宋体" w:hAnsi="宋体" w:eastAsia="宋体" w:cs="宋体"/>
                <w:i w:val="0"/>
                <w:iCs w:val="0"/>
                <w:color w:val="000000"/>
                <w:sz w:val="18"/>
                <w:szCs w:val="18"/>
                <w:u w:val="none"/>
              </w:rPr>
            </w:pPr>
          </w:p>
        </w:tc>
        <w:tc>
          <w:tcPr>
            <w:tcW w:w="968" w:type="dxa"/>
            <w:tcBorders>
              <w:top w:val="nil"/>
              <w:left w:val="nil"/>
              <w:bottom w:val="nil"/>
              <w:right w:val="nil"/>
            </w:tcBorders>
            <w:shd w:val="clear" w:color="auto" w:fill="auto"/>
            <w:vAlign w:val="center"/>
          </w:tcPr>
          <w:p w14:paraId="3AD649AF">
            <w:pPr>
              <w:rPr>
                <w:rFonts w:hint="eastAsia" w:ascii="宋体" w:hAnsi="宋体" w:eastAsia="宋体" w:cs="宋体"/>
                <w:i w:val="0"/>
                <w:iCs w:val="0"/>
                <w:color w:val="000000"/>
                <w:sz w:val="18"/>
                <w:szCs w:val="18"/>
                <w:u w:val="none"/>
              </w:rPr>
            </w:pPr>
          </w:p>
        </w:tc>
      </w:tr>
      <w:tr w14:paraId="07116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8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6992D2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B105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4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26E0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33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E89D3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51322323T000009928364-茂县凤仪镇兴茂小学校2023年中央专项彩票公益金支持乡村少年宫项目</w:t>
            </w:r>
          </w:p>
        </w:tc>
      </w:tr>
      <w:tr w14:paraId="3CFA9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4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DE4C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5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CB8BE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46" w:type="dxa"/>
            <w:tcBorders>
              <w:top w:val="nil"/>
              <w:left w:val="nil"/>
              <w:bottom w:val="nil"/>
              <w:right w:val="nil"/>
            </w:tcBorders>
            <w:shd w:val="clear" w:color="auto" w:fill="auto"/>
            <w:vAlign w:val="center"/>
          </w:tcPr>
          <w:p w14:paraId="2EB92C5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9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648B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茂县凤仪镇兴茂小学校</w:t>
            </w:r>
          </w:p>
        </w:tc>
      </w:tr>
      <w:tr w14:paraId="22646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0122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A2BC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5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8635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646E42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2B39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40F67">
            <w:pP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E65AC">
            <w:pPr>
              <w:rPr>
                <w:rFonts w:hint="eastAsia" w:ascii="宋体" w:hAnsi="宋体" w:eastAsia="宋体" w:cs="宋体"/>
                <w:i w:val="0"/>
                <w:iCs w:val="0"/>
                <w:color w:val="000000"/>
                <w:sz w:val="18"/>
                <w:szCs w:val="18"/>
                <w:u w:val="none"/>
              </w:rPr>
            </w:pPr>
          </w:p>
        </w:tc>
        <w:tc>
          <w:tcPr>
            <w:tcW w:w="35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7A55E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根据阿州财教【2025】32号文件要求，开展2025年茂县凤仪镇兴茂小学校乡村少年宫项目。</w:t>
            </w:r>
          </w:p>
        </w:tc>
        <w:tc>
          <w:tcPr>
            <w:tcW w:w="27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432F6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通过对中央专项彩票公益金经费项目的实施，使学校工作正常运行，改善了学校的办学环境和条件。</w:t>
            </w:r>
          </w:p>
        </w:tc>
      </w:tr>
      <w:tr w14:paraId="0414F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CD292">
            <w:pP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26D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33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9535C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中央专项彩票公益金支持乡村学校少年宫项目资金预算的通知，保障了学校少年宫正常运转。</w:t>
            </w:r>
          </w:p>
        </w:tc>
      </w:tr>
      <w:tr w14:paraId="0568F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5B4A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38A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A12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7FA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24A0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39B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42F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C8F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96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B215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03443">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651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02B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BAC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598F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4E5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7C8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1AD28">
            <w:pPr>
              <w:jc w:val="center"/>
              <w:rPr>
                <w:rFonts w:hint="eastAsia" w:ascii="宋体" w:hAnsi="宋体" w:eastAsia="宋体" w:cs="宋体"/>
                <w:i w:val="0"/>
                <w:iCs w:val="0"/>
                <w:color w:val="000000"/>
                <w:sz w:val="18"/>
                <w:szCs w:val="18"/>
                <w:u w:val="none"/>
              </w:rPr>
            </w:pPr>
          </w:p>
        </w:tc>
        <w:tc>
          <w:tcPr>
            <w:tcW w:w="9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8B81E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无</w:t>
            </w:r>
          </w:p>
        </w:tc>
      </w:tr>
      <w:tr w14:paraId="2FC97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948DF0">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EF9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A34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725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102F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7C3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DC7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B04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809EE">
            <w:pPr>
              <w:rPr>
                <w:rFonts w:hint="eastAsia" w:ascii="黑体" w:hAnsi="黑体" w:eastAsia="黑体" w:cs="黑体"/>
                <w:i/>
                <w:iCs/>
                <w:color w:val="000000"/>
                <w:sz w:val="18"/>
                <w:szCs w:val="18"/>
                <w:u w:val="none"/>
              </w:rPr>
            </w:pPr>
          </w:p>
        </w:tc>
      </w:tr>
      <w:tr w14:paraId="6FCD0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CF8C6A">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264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EF6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09F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94B1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E3C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0A4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916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C08B6">
            <w:pPr>
              <w:rPr>
                <w:rFonts w:hint="eastAsia" w:ascii="黑体" w:hAnsi="黑体" w:eastAsia="黑体" w:cs="黑体"/>
                <w:i/>
                <w:iCs/>
                <w:color w:val="000000"/>
                <w:sz w:val="18"/>
                <w:szCs w:val="18"/>
                <w:u w:val="none"/>
              </w:rPr>
            </w:pPr>
          </w:p>
        </w:tc>
      </w:tr>
      <w:tr w14:paraId="1A42A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D94F1">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4BE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C7A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5B1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3F2E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169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66C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4E4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EC212">
            <w:pPr>
              <w:rPr>
                <w:rFonts w:hint="eastAsia" w:ascii="黑体" w:hAnsi="黑体" w:eastAsia="黑体" w:cs="黑体"/>
                <w:i/>
                <w:iCs/>
                <w:color w:val="000000"/>
                <w:sz w:val="18"/>
                <w:szCs w:val="18"/>
                <w:u w:val="none"/>
              </w:rPr>
            </w:pPr>
          </w:p>
        </w:tc>
      </w:tr>
      <w:tr w14:paraId="3B165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13237">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AFE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1D79B">
            <w:pPr>
              <w:jc w:val="center"/>
              <w:rPr>
                <w:rFonts w:hint="eastAsia" w:ascii="微软雅黑" w:hAnsi="微软雅黑" w:eastAsia="微软雅黑" w:cs="微软雅黑"/>
                <w:i/>
                <w:iCs/>
                <w:color w:val="000000"/>
                <w:sz w:val="16"/>
                <w:szCs w:val="16"/>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227BA">
            <w:pPr>
              <w:jc w:val="center"/>
              <w:rPr>
                <w:rFonts w:hint="eastAsia" w:ascii="微软雅黑" w:hAnsi="微软雅黑" w:eastAsia="微软雅黑" w:cs="微软雅黑"/>
                <w:i/>
                <w:iCs/>
                <w:color w:val="000000"/>
                <w:sz w:val="16"/>
                <w:szCs w:val="16"/>
                <w:u w:val="none"/>
              </w:rPr>
            </w:pP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858E8D">
            <w:pPr>
              <w:jc w:val="center"/>
              <w:rPr>
                <w:rFonts w:hint="eastAsia" w:ascii="微软雅黑" w:hAnsi="微软雅黑" w:eastAsia="微软雅黑" w:cs="微软雅黑"/>
                <w:i/>
                <w:iCs/>
                <w:color w:val="000000"/>
                <w:sz w:val="16"/>
                <w:szCs w:val="16"/>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0C83E">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F01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0E3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CCB3F">
            <w:pPr>
              <w:rPr>
                <w:rFonts w:hint="eastAsia" w:ascii="黑体" w:hAnsi="黑体" w:eastAsia="黑体" w:cs="黑体"/>
                <w:i/>
                <w:iCs/>
                <w:color w:val="000000"/>
                <w:sz w:val="18"/>
                <w:szCs w:val="18"/>
                <w:u w:val="none"/>
              </w:rPr>
            </w:pPr>
          </w:p>
        </w:tc>
      </w:tr>
      <w:tr w14:paraId="345AF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B0CA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C4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281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5C4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74D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733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C9C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CCC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A6D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78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A9F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E963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B15EC">
            <w:pPr>
              <w:jc w:val="center"/>
              <w:rPr>
                <w:rFonts w:hint="eastAsia" w:ascii="宋体" w:hAnsi="宋体" w:eastAsia="宋体" w:cs="宋体"/>
                <w:i w:val="0"/>
                <w:iCs w:val="0"/>
                <w:color w:val="000000"/>
                <w:sz w:val="18"/>
                <w:szCs w:val="18"/>
                <w:u w:val="none"/>
              </w:rPr>
            </w:pPr>
          </w:p>
        </w:tc>
        <w:tc>
          <w:tcPr>
            <w:tcW w:w="8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C2AB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9B6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0F6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学生人数</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38A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6DF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1321</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173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F0414">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CA8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A2CED">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AD50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E34B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D970F">
            <w:pPr>
              <w:jc w:val="cente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E29E6">
            <w:pPr>
              <w:jc w:val="center"/>
              <w:rPr>
                <w:rFonts w:hint="eastAsia" w:ascii="宋体" w:hAnsi="宋体" w:eastAsia="宋体" w:cs="宋体"/>
                <w:i w:val="0"/>
                <w:iCs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365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434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活动器材使用合格率</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865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A1B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947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D5833">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843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593FF">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100A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540E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AA7E0">
            <w:pPr>
              <w:jc w:val="cente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F47B9">
            <w:pPr>
              <w:jc w:val="center"/>
              <w:rPr>
                <w:rFonts w:hint="eastAsia" w:ascii="宋体" w:hAnsi="宋体" w:eastAsia="宋体" w:cs="宋体"/>
                <w:i w:val="0"/>
                <w:iCs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FA7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011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7DB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032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6A4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C43EA">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9A2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7D6E1">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1753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772B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48DAC5">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EAA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3EB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96B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学生综合素质、心理健康水平持续提升</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7BF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902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9C5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21FFD">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5E9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36CBB">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E587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699B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361F4">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288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132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141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学生满意度</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B9D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012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7C8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3636C">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A87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E5D2D">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73FF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86B3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72D921">
            <w:pPr>
              <w:jc w:val="center"/>
              <w:rPr>
                <w:rFonts w:hint="eastAsia" w:ascii="宋体" w:hAnsi="宋体" w:eastAsia="宋体" w:cs="宋体"/>
                <w:i w:val="0"/>
                <w:iCs w:val="0"/>
                <w:color w:val="000000"/>
                <w:sz w:val="18"/>
                <w:szCs w:val="18"/>
                <w:u w:val="none"/>
              </w:rPr>
            </w:pPr>
          </w:p>
        </w:tc>
        <w:tc>
          <w:tcPr>
            <w:tcW w:w="8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DC36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955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ECA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项目资金成本控制</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E80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B6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D7D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CC323">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A2A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BAD70">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3D66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7416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FF605D">
            <w:pPr>
              <w:jc w:val="cente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FE3D1">
            <w:pPr>
              <w:jc w:val="center"/>
              <w:rPr>
                <w:rFonts w:hint="eastAsia" w:ascii="宋体" w:hAnsi="宋体" w:eastAsia="宋体" w:cs="宋体"/>
                <w:i w:val="0"/>
                <w:iCs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50C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BE9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财政保障经费</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6C8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748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DE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DCE7E">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D19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B3E13">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A85A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69FE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71E07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31D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1C974">
            <w:pP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5C5AA">
            <w:pPr>
              <w:rPr>
                <w:rFonts w:hint="eastAsia" w:ascii="宋体" w:hAnsi="宋体" w:eastAsia="宋体" w:cs="宋体"/>
                <w:i w:val="0"/>
                <w:iCs w:val="0"/>
                <w:color w:val="000000"/>
                <w:sz w:val="18"/>
                <w:szCs w:val="18"/>
                <w:u w:val="none"/>
              </w:rPr>
            </w:pPr>
          </w:p>
        </w:tc>
      </w:tr>
      <w:tr w14:paraId="35F3A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4B0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20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EABB1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通过对中央专项彩票公益金经费项目的实施，保障了学校工作正常运行，改善了学校环境及条件。</w:t>
            </w:r>
          </w:p>
        </w:tc>
      </w:tr>
      <w:tr w14:paraId="4850C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C2D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20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69CF4A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中央专项彩票公益金项目管理制度需进一步完善，明确绩效指标和中央专项彩票公益金经费界定标准。</w:t>
            </w:r>
          </w:p>
        </w:tc>
      </w:tr>
      <w:tr w14:paraId="17CBC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43A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20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486A48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通过对中央专项彩票公益金工作的实施，保证了小学生在校期间的基本生活学习需求，减轻家长的压力，社会反映良好，满意度达到90%以上。</w:t>
            </w:r>
          </w:p>
        </w:tc>
      </w:tr>
      <w:tr w14:paraId="49DE9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1678F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项目负责人：蹇志康</w:t>
            </w:r>
          </w:p>
        </w:tc>
        <w:tc>
          <w:tcPr>
            <w:tcW w:w="400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10D688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财务负责人：蹇志康</w:t>
            </w:r>
          </w:p>
        </w:tc>
      </w:tr>
      <w:tr w14:paraId="07597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5" w:type="dxa"/>
            <w:tcBorders>
              <w:top w:val="nil"/>
              <w:left w:val="nil"/>
              <w:bottom w:val="nil"/>
              <w:right w:val="nil"/>
            </w:tcBorders>
            <w:shd w:val="clear" w:color="auto" w:fill="auto"/>
            <w:vAlign w:val="center"/>
          </w:tcPr>
          <w:p w14:paraId="1ECC9DE6">
            <w:pPr>
              <w:rPr>
                <w:rFonts w:hint="eastAsia" w:ascii="宋体" w:hAnsi="宋体" w:eastAsia="宋体" w:cs="宋体"/>
                <w:i w:val="0"/>
                <w:iCs w:val="0"/>
                <w:color w:val="000000"/>
                <w:sz w:val="18"/>
                <w:szCs w:val="18"/>
                <w:u w:val="none"/>
              </w:rPr>
            </w:pPr>
          </w:p>
        </w:tc>
        <w:tc>
          <w:tcPr>
            <w:tcW w:w="866" w:type="dxa"/>
            <w:tcBorders>
              <w:top w:val="nil"/>
              <w:left w:val="nil"/>
              <w:bottom w:val="nil"/>
              <w:right w:val="nil"/>
            </w:tcBorders>
            <w:shd w:val="clear" w:color="auto" w:fill="auto"/>
            <w:vAlign w:val="center"/>
          </w:tcPr>
          <w:p w14:paraId="624D7636">
            <w:pPr>
              <w:rPr>
                <w:rFonts w:hint="eastAsia" w:ascii="宋体" w:hAnsi="宋体" w:eastAsia="宋体" w:cs="宋体"/>
                <w:i w:val="0"/>
                <w:iCs w:val="0"/>
                <w:color w:val="000000"/>
                <w:sz w:val="18"/>
                <w:szCs w:val="18"/>
                <w:u w:val="none"/>
              </w:rPr>
            </w:pPr>
          </w:p>
        </w:tc>
        <w:tc>
          <w:tcPr>
            <w:tcW w:w="1042" w:type="dxa"/>
            <w:tcBorders>
              <w:top w:val="nil"/>
              <w:left w:val="nil"/>
              <w:bottom w:val="nil"/>
              <w:right w:val="nil"/>
            </w:tcBorders>
            <w:shd w:val="clear" w:color="auto" w:fill="auto"/>
            <w:vAlign w:val="center"/>
          </w:tcPr>
          <w:p w14:paraId="56256B3A">
            <w:pPr>
              <w:rPr>
                <w:rFonts w:hint="eastAsia" w:ascii="宋体" w:hAnsi="宋体" w:eastAsia="宋体" w:cs="宋体"/>
                <w:i w:val="0"/>
                <w:iCs w:val="0"/>
                <w:color w:val="000000"/>
                <w:sz w:val="18"/>
                <w:szCs w:val="18"/>
                <w:u w:val="none"/>
              </w:rPr>
            </w:pPr>
          </w:p>
        </w:tc>
        <w:tc>
          <w:tcPr>
            <w:tcW w:w="915" w:type="dxa"/>
            <w:tcBorders>
              <w:top w:val="nil"/>
              <w:left w:val="nil"/>
              <w:bottom w:val="nil"/>
              <w:right w:val="nil"/>
            </w:tcBorders>
            <w:shd w:val="clear" w:color="auto" w:fill="auto"/>
            <w:vAlign w:val="center"/>
          </w:tcPr>
          <w:p w14:paraId="66F2A9BA">
            <w:pPr>
              <w:rPr>
                <w:rFonts w:hint="eastAsia" w:ascii="宋体" w:hAnsi="宋体" w:eastAsia="宋体" w:cs="宋体"/>
                <w:i w:val="0"/>
                <w:iCs w:val="0"/>
                <w:color w:val="000000"/>
                <w:sz w:val="18"/>
                <w:szCs w:val="18"/>
                <w:u w:val="none"/>
              </w:rPr>
            </w:pPr>
          </w:p>
        </w:tc>
        <w:tc>
          <w:tcPr>
            <w:tcW w:w="379" w:type="dxa"/>
            <w:tcBorders>
              <w:top w:val="nil"/>
              <w:left w:val="nil"/>
              <w:bottom w:val="nil"/>
              <w:right w:val="nil"/>
            </w:tcBorders>
            <w:shd w:val="clear" w:color="auto" w:fill="auto"/>
            <w:vAlign w:val="center"/>
          </w:tcPr>
          <w:p w14:paraId="542B7E5A">
            <w:pPr>
              <w:rPr>
                <w:rFonts w:hint="eastAsia" w:ascii="宋体" w:hAnsi="宋体" w:eastAsia="宋体" w:cs="宋体"/>
                <w:i w:val="0"/>
                <w:iCs w:val="0"/>
                <w:color w:val="000000"/>
                <w:sz w:val="18"/>
                <w:szCs w:val="18"/>
                <w:u w:val="none"/>
              </w:rPr>
            </w:pPr>
          </w:p>
        </w:tc>
        <w:tc>
          <w:tcPr>
            <w:tcW w:w="846" w:type="dxa"/>
            <w:tcBorders>
              <w:top w:val="nil"/>
              <w:left w:val="nil"/>
              <w:bottom w:val="nil"/>
              <w:right w:val="nil"/>
            </w:tcBorders>
            <w:shd w:val="clear" w:color="auto" w:fill="auto"/>
            <w:vAlign w:val="center"/>
          </w:tcPr>
          <w:p w14:paraId="678131F8">
            <w:pPr>
              <w:rPr>
                <w:rFonts w:hint="eastAsia" w:ascii="宋体" w:hAnsi="宋体" w:eastAsia="宋体" w:cs="宋体"/>
                <w:i w:val="0"/>
                <w:iCs w:val="0"/>
                <w:color w:val="000000"/>
                <w:sz w:val="18"/>
                <w:szCs w:val="18"/>
                <w:u w:val="none"/>
              </w:rPr>
            </w:pPr>
          </w:p>
        </w:tc>
        <w:tc>
          <w:tcPr>
            <w:tcW w:w="396" w:type="dxa"/>
            <w:tcBorders>
              <w:top w:val="nil"/>
              <w:left w:val="nil"/>
              <w:bottom w:val="nil"/>
              <w:right w:val="nil"/>
            </w:tcBorders>
            <w:shd w:val="clear" w:color="auto" w:fill="auto"/>
            <w:vAlign w:val="center"/>
          </w:tcPr>
          <w:p w14:paraId="0AFD968E">
            <w:pPr>
              <w:rPr>
                <w:rFonts w:hint="eastAsia" w:ascii="宋体" w:hAnsi="宋体" w:eastAsia="宋体" w:cs="宋体"/>
                <w:i w:val="0"/>
                <w:iCs w:val="0"/>
                <w:color w:val="000000"/>
                <w:sz w:val="18"/>
                <w:szCs w:val="18"/>
                <w:u w:val="none"/>
              </w:rPr>
            </w:pPr>
          </w:p>
        </w:tc>
        <w:tc>
          <w:tcPr>
            <w:tcW w:w="846" w:type="dxa"/>
            <w:tcBorders>
              <w:top w:val="nil"/>
              <w:left w:val="nil"/>
              <w:bottom w:val="nil"/>
              <w:right w:val="nil"/>
            </w:tcBorders>
            <w:shd w:val="clear" w:color="auto" w:fill="auto"/>
            <w:vAlign w:val="center"/>
          </w:tcPr>
          <w:p w14:paraId="0B5C4C46">
            <w:pPr>
              <w:rPr>
                <w:rFonts w:hint="eastAsia" w:ascii="宋体" w:hAnsi="宋体" w:eastAsia="宋体" w:cs="宋体"/>
                <w:i w:val="0"/>
                <w:iCs w:val="0"/>
                <w:color w:val="000000"/>
                <w:sz w:val="18"/>
                <w:szCs w:val="18"/>
                <w:u w:val="none"/>
              </w:rPr>
            </w:pPr>
          </w:p>
        </w:tc>
        <w:tc>
          <w:tcPr>
            <w:tcW w:w="502" w:type="dxa"/>
            <w:tcBorders>
              <w:top w:val="nil"/>
              <w:left w:val="nil"/>
              <w:bottom w:val="nil"/>
              <w:right w:val="nil"/>
            </w:tcBorders>
            <w:shd w:val="clear" w:color="auto" w:fill="auto"/>
            <w:vAlign w:val="center"/>
          </w:tcPr>
          <w:p w14:paraId="4364B86A">
            <w:pPr>
              <w:rPr>
                <w:rFonts w:hint="eastAsia" w:ascii="宋体" w:hAnsi="宋体" w:eastAsia="宋体" w:cs="宋体"/>
                <w:i w:val="0"/>
                <w:iCs w:val="0"/>
                <w:color w:val="000000"/>
                <w:sz w:val="18"/>
                <w:szCs w:val="18"/>
                <w:u w:val="none"/>
              </w:rPr>
            </w:pPr>
          </w:p>
        </w:tc>
        <w:tc>
          <w:tcPr>
            <w:tcW w:w="445" w:type="dxa"/>
            <w:tcBorders>
              <w:top w:val="nil"/>
              <w:left w:val="nil"/>
              <w:bottom w:val="nil"/>
              <w:right w:val="nil"/>
            </w:tcBorders>
            <w:shd w:val="clear" w:color="auto" w:fill="auto"/>
            <w:vAlign w:val="center"/>
          </w:tcPr>
          <w:p w14:paraId="6C932DCB">
            <w:pPr>
              <w:rPr>
                <w:rFonts w:hint="eastAsia" w:ascii="宋体" w:hAnsi="宋体" w:eastAsia="宋体" w:cs="宋体"/>
                <w:i w:val="0"/>
                <w:iCs w:val="0"/>
                <w:color w:val="000000"/>
                <w:sz w:val="18"/>
                <w:szCs w:val="18"/>
                <w:u w:val="none"/>
              </w:rPr>
            </w:pPr>
          </w:p>
        </w:tc>
        <w:tc>
          <w:tcPr>
            <w:tcW w:w="968" w:type="dxa"/>
            <w:tcBorders>
              <w:top w:val="nil"/>
              <w:left w:val="nil"/>
              <w:bottom w:val="nil"/>
              <w:right w:val="nil"/>
            </w:tcBorders>
            <w:shd w:val="clear" w:color="auto" w:fill="auto"/>
            <w:vAlign w:val="center"/>
          </w:tcPr>
          <w:p w14:paraId="1C78ED14">
            <w:pPr>
              <w:rPr>
                <w:rFonts w:hint="eastAsia" w:ascii="宋体" w:hAnsi="宋体" w:eastAsia="宋体" w:cs="宋体"/>
                <w:i w:val="0"/>
                <w:iCs w:val="0"/>
                <w:color w:val="000000"/>
                <w:sz w:val="18"/>
                <w:szCs w:val="18"/>
                <w:u w:val="none"/>
              </w:rPr>
            </w:pPr>
          </w:p>
        </w:tc>
      </w:tr>
      <w:tr w14:paraId="1D6B0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8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537203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2C0C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4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BB8B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33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D4478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51322324T000009977627-茂县凤仪镇兴茂小学校食堂退保证金</w:t>
            </w:r>
          </w:p>
        </w:tc>
      </w:tr>
      <w:tr w14:paraId="4C6CE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4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479C5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5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A661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46" w:type="dxa"/>
            <w:tcBorders>
              <w:top w:val="nil"/>
              <w:left w:val="nil"/>
              <w:bottom w:val="nil"/>
              <w:right w:val="nil"/>
            </w:tcBorders>
            <w:shd w:val="clear" w:color="auto" w:fill="auto"/>
            <w:vAlign w:val="center"/>
          </w:tcPr>
          <w:p w14:paraId="75A6AAC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9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0004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茂县凤仪镇兴茂小学校</w:t>
            </w:r>
          </w:p>
        </w:tc>
      </w:tr>
      <w:tr w14:paraId="54491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38CF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B7FB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5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6896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79EDE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DF5E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5450D">
            <w:pP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34D7DA">
            <w:pPr>
              <w:rPr>
                <w:rFonts w:hint="eastAsia" w:ascii="宋体" w:hAnsi="宋体" w:eastAsia="宋体" w:cs="宋体"/>
                <w:i w:val="0"/>
                <w:iCs w:val="0"/>
                <w:color w:val="000000"/>
                <w:sz w:val="18"/>
                <w:szCs w:val="18"/>
                <w:u w:val="none"/>
              </w:rPr>
            </w:pPr>
          </w:p>
        </w:tc>
        <w:tc>
          <w:tcPr>
            <w:tcW w:w="35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BA0EA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茂县凤仪镇兴茂小学校退2025食堂供货商保证金。</w:t>
            </w:r>
          </w:p>
        </w:tc>
        <w:tc>
          <w:tcPr>
            <w:tcW w:w="27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03439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按照年度目标，退还2025年度学校食堂供货商保证金。</w:t>
            </w:r>
          </w:p>
        </w:tc>
      </w:tr>
      <w:tr w14:paraId="06516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570E2">
            <w:pP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1FA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33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0A1A85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为切实保证学校食堂所供货物无伪劣产品，验收合格后，年底退还供货商交押的保证金。</w:t>
            </w:r>
          </w:p>
        </w:tc>
      </w:tr>
      <w:tr w14:paraId="318A8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E127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FCC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5DE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6CF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16C4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4D5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1B4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CE8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D5D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2CA1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69C57">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4BA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780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B68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19.00</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AD67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545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2E6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DCA47">
            <w:pPr>
              <w:jc w:val="center"/>
              <w:rPr>
                <w:rFonts w:hint="eastAsia" w:ascii="宋体" w:hAnsi="宋体" w:eastAsia="宋体" w:cs="宋体"/>
                <w:i w:val="0"/>
                <w:iCs w:val="0"/>
                <w:color w:val="000000"/>
                <w:sz w:val="18"/>
                <w:szCs w:val="18"/>
                <w:u w:val="none"/>
              </w:rPr>
            </w:pPr>
          </w:p>
        </w:tc>
        <w:tc>
          <w:tcPr>
            <w:tcW w:w="9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A7E514">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无</w:t>
            </w:r>
          </w:p>
        </w:tc>
      </w:tr>
      <w:tr w14:paraId="421C1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618B8">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77D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0FD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BAF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7E68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5F1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427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63D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2743FA">
            <w:pPr>
              <w:rPr>
                <w:rFonts w:hint="eastAsia" w:ascii="黑体" w:hAnsi="黑体" w:eastAsia="黑体" w:cs="黑体"/>
                <w:i/>
                <w:iCs/>
                <w:color w:val="000000"/>
                <w:sz w:val="18"/>
                <w:szCs w:val="18"/>
                <w:u w:val="none"/>
              </w:rPr>
            </w:pPr>
          </w:p>
        </w:tc>
      </w:tr>
      <w:tr w14:paraId="625DE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E8900">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DB6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43B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17E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27D7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2A1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6F2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DD8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14DAB">
            <w:pPr>
              <w:rPr>
                <w:rFonts w:hint="eastAsia" w:ascii="黑体" w:hAnsi="黑体" w:eastAsia="黑体" w:cs="黑体"/>
                <w:i/>
                <w:iCs/>
                <w:color w:val="000000"/>
                <w:sz w:val="18"/>
                <w:szCs w:val="18"/>
                <w:u w:val="none"/>
              </w:rPr>
            </w:pPr>
          </w:p>
        </w:tc>
      </w:tr>
      <w:tr w14:paraId="79DED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4B776">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D14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65D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820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19.00</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243C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C7C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4E4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A03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5C421">
            <w:pPr>
              <w:rPr>
                <w:rFonts w:hint="eastAsia" w:ascii="黑体" w:hAnsi="黑体" w:eastAsia="黑体" w:cs="黑体"/>
                <w:i/>
                <w:iCs/>
                <w:color w:val="000000"/>
                <w:sz w:val="18"/>
                <w:szCs w:val="18"/>
                <w:u w:val="none"/>
              </w:rPr>
            </w:pPr>
          </w:p>
        </w:tc>
      </w:tr>
      <w:tr w14:paraId="2D499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DC3A5">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7E7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844A1">
            <w:pPr>
              <w:jc w:val="center"/>
              <w:rPr>
                <w:rFonts w:hint="eastAsia" w:ascii="微软雅黑" w:hAnsi="微软雅黑" w:eastAsia="微软雅黑" w:cs="微软雅黑"/>
                <w:i/>
                <w:iCs/>
                <w:color w:val="000000"/>
                <w:sz w:val="16"/>
                <w:szCs w:val="16"/>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410C9">
            <w:pPr>
              <w:jc w:val="center"/>
              <w:rPr>
                <w:rFonts w:hint="eastAsia" w:ascii="微软雅黑" w:hAnsi="微软雅黑" w:eastAsia="微软雅黑" w:cs="微软雅黑"/>
                <w:i/>
                <w:iCs/>
                <w:color w:val="000000"/>
                <w:sz w:val="16"/>
                <w:szCs w:val="16"/>
                <w:u w:val="none"/>
              </w:rPr>
            </w:pP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C0DC2B">
            <w:pPr>
              <w:jc w:val="center"/>
              <w:rPr>
                <w:rFonts w:hint="eastAsia" w:ascii="微软雅黑" w:hAnsi="微软雅黑" w:eastAsia="微软雅黑" w:cs="微软雅黑"/>
                <w:i/>
                <w:iCs/>
                <w:color w:val="000000"/>
                <w:sz w:val="16"/>
                <w:szCs w:val="16"/>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E8607">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0F0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F4E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5F143">
            <w:pPr>
              <w:rPr>
                <w:rFonts w:hint="eastAsia" w:ascii="黑体" w:hAnsi="黑体" w:eastAsia="黑体" w:cs="黑体"/>
                <w:i/>
                <w:iCs/>
                <w:color w:val="000000"/>
                <w:sz w:val="18"/>
                <w:szCs w:val="18"/>
                <w:u w:val="none"/>
              </w:rPr>
            </w:pPr>
          </w:p>
        </w:tc>
      </w:tr>
      <w:tr w14:paraId="103F9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7743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754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A35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86C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6C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9A3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FEE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4B3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878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1AC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809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91D7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04B18">
            <w:pPr>
              <w:jc w:val="center"/>
              <w:rPr>
                <w:rFonts w:hint="eastAsia" w:ascii="宋体" w:hAnsi="宋体" w:eastAsia="宋体" w:cs="宋体"/>
                <w:i w:val="0"/>
                <w:iCs w:val="0"/>
                <w:color w:val="000000"/>
                <w:sz w:val="18"/>
                <w:szCs w:val="18"/>
                <w:u w:val="none"/>
              </w:rPr>
            </w:pPr>
          </w:p>
        </w:tc>
        <w:tc>
          <w:tcPr>
            <w:tcW w:w="8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46B7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BBD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0BE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供应商数量</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06C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96B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326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0DD6E">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0E3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432A7">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B129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65DA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05AE7">
            <w:pPr>
              <w:jc w:val="cente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255F3">
            <w:pPr>
              <w:jc w:val="center"/>
              <w:rPr>
                <w:rFonts w:hint="eastAsia" w:ascii="宋体" w:hAnsi="宋体" w:eastAsia="宋体" w:cs="宋体"/>
                <w:i w:val="0"/>
                <w:iCs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6BA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99A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退款完成率</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333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57C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2CB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5ED86">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2BC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D65E9">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65E5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4DE9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8FF14">
            <w:pPr>
              <w:jc w:val="cente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FC73C">
            <w:pPr>
              <w:jc w:val="center"/>
              <w:rPr>
                <w:rFonts w:hint="eastAsia" w:ascii="宋体" w:hAnsi="宋体" w:eastAsia="宋体" w:cs="宋体"/>
                <w:i w:val="0"/>
                <w:iCs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892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630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976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61C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6BF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CA226">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E31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48B13">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C9BB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1E0D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30AED">
            <w:pPr>
              <w:jc w:val="center"/>
              <w:rPr>
                <w:rFonts w:hint="eastAsia" w:ascii="宋体" w:hAnsi="宋体" w:eastAsia="宋体" w:cs="宋体"/>
                <w:i w:val="0"/>
                <w:iCs w:val="0"/>
                <w:color w:val="000000"/>
                <w:sz w:val="18"/>
                <w:szCs w:val="18"/>
                <w:u w:val="none"/>
              </w:rPr>
            </w:pPr>
          </w:p>
        </w:tc>
        <w:tc>
          <w:tcPr>
            <w:tcW w:w="8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AA14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C07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328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家长满意度</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F12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7D2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033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B5C07">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221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A9109">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9290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87AD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1E6AE">
            <w:pPr>
              <w:jc w:val="cente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FA1B9">
            <w:pPr>
              <w:jc w:val="center"/>
              <w:rPr>
                <w:rFonts w:hint="eastAsia" w:ascii="宋体" w:hAnsi="宋体" w:eastAsia="宋体" w:cs="宋体"/>
                <w:i w:val="0"/>
                <w:iCs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FBA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6AD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保障学校食堂工作正常开展</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225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B51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536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74F6B">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677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27766">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4834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649E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2A06E">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5F1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A6A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937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学生满意度</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172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1CF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159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33F52">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50A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1DEA9">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0905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3F05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B02E8">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075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1B9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73F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项目资金成本控制</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980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94A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190000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6BB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7FF74">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612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8CD14">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F844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97E4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D77A1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FB3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6FAC3">
            <w:pP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92C9F">
            <w:pPr>
              <w:rPr>
                <w:rFonts w:hint="eastAsia" w:ascii="宋体" w:hAnsi="宋体" w:eastAsia="宋体" w:cs="宋体"/>
                <w:i w:val="0"/>
                <w:iCs w:val="0"/>
                <w:color w:val="000000"/>
                <w:sz w:val="18"/>
                <w:szCs w:val="18"/>
                <w:u w:val="none"/>
              </w:rPr>
            </w:pPr>
          </w:p>
        </w:tc>
      </w:tr>
      <w:tr w14:paraId="32CA9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162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20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3B8EE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保证学校食堂所供货物的质量。</w:t>
            </w:r>
          </w:p>
        </w:tc>
      </w:tr>
      <w:tr w14:paraId="0B313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BCE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20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197786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对所购货物质量是否为正品，难度较大。</w:t>
            </w:r>
          </w:p>
        </w:tc>
      </w:tr>
      <w:tr w14:paraId="6D551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ADA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20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6ABA8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学校后勤增派人手，切实保证所供货物保证质量。</w:t>
            </w:r>
          </w:p>
        </w:tc>
      </w:tr>
      <w:tr w14:paraId="69155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53DB7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项目负责人：蹇志康</w:t>
            </w:r>
          </w:p>
        </w:tc>
        <w:tc>
          <w:tcPr>
            <w:tcW w:w="400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35A792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财务负责人：蹇志康</w:t>
            </w:r>
          </w:p>
        </w:tc>
      </w:tr>
      <w:tr w14:paraId="1D2B0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5" w:type="dxa"/>
            <w:tcBorders>
              <w:top w:val="nil"/>
              <w:left w:val="nil"/>
              <w:bottom w:val="nil"/>
              <w:right w:val="nil"/>
            </w:tcBorders>
            <w:shd w:val="clear" w:color="auto" w:fill="auto"/>
            <w:vAlign w:val="center"/>
          </w:tcPr>
          <w:p w14:paraId="31162B2C">
            <w:pPr>
              <w:rPr>
                <w:rFonts w:hint="eastAsia" w:ascii="宋体" w:hAnsi="宋体" w:eastAsia="宋体" w:cs="宋体"/>
                <w:i w:val="0"/>
                <w:iCs w:val="0"/>
                <w:color w:val="000000"/>
                <w:sz w:val="18"/>
                <w:szCs w:val="18"/>
                <w:u w:val="none"/>
              </w:rPr>
            </w:pPr>
          </w:p>
        </w:tc>
        <w:tc>
          <w:tcPr>
            <w:tcW w:w="866" w:type="dxa"/>
            <w:tcBorders>
              <w:top w:val="nil"/>
              <w:left w:val="nil"/>
              <w:bottom w:val="nil"/>
              <w:right w:val="nil"/>
            </w:tcBorders>
            <w:shd w:val="clear" w:color="auto" w:fill="auto"/>
            <w:vAlign w:val="center"/>
          </w:tcPr>
          <w:p w14:paraId="6C60412E">
            <w:pPr>
              <w:rPr>
                <w:rFonts w:hint="eastAsia" w:ascii="宋体" w:hAnsi="宋体" w:eastAsia="宋体" w:cs="宋体"/>
                <w:i w:val="0"/>
                <w:iCs w:val="0"/>
                <w:color w:val="000000"/>
                <w:sz w:val="18"/>
                <w:szCs w:val="18"/>
                <w:u w:val="none"/>
              </w:rPr>
            </w:pPr>
          </w:p>
        </w:tc>
        <w:tc>
          <w:tcPr>
            <w:tcW w:w="1042" w:type="dxa"/>
            <w:tcBorders>
              <w:top w:val="nil"/>
              <w:left w:val="nil"/>
              <w:bottom w:val="nil"/>
              <w:right w:val="nil"/>
            </w:tcBorders>
            <w:shd w:val="clear" w:color="auto" w:fill="auto"/>
            <w:vAlign w:val="center"/>
          </w:tcPr>
          <w:p w14:paraId="65AACA18">
            <w:pPr>
              <w:rPr>
                <w:rFonts w:hint="eastAsia" w:ascii="宋体" w:hAnsi="宋体" w:eastAsia="宋体" w:cs="宋体"/>
                <w:i w:val="0"/>
                <w:iCs w:val="0"/>
                <w:color w:val="000000"/>
                <w:sz w:val="18"/>
                <w:szCs w:val="18"/>
                <w:u w:val="none"/>
              </w:rPr>
            </w:pPr>
          </w:p>
        </w:tc>
        <w:tc>
          <w:tcPr>
            <w:tcW w:w="915" w:type="dxa"/>
            <w:tcBorders>
              <w:top w:val="nil"/>
              <w:left w:val="nil"/>
              <w:bottom w:val="nil"/>
              <w:right w:val="nil"/>
            </w:tcBorders>
            <w:shd w:val="clear" w:color="auto" w:fill="auto"/>
            <w:vAlign w:val="center"/>
          </w:tcPr>
          <w:p w14:paraId="10CB92E5">
            <w:pPr>
              <w:rPr>
                <w:rFonts w:hint="eastAsia" w:ascii="宋体" w:hAnsi="宋体" w:eastAsia="宋体" w:cs="宋体"/>
                <w:i w:val="0"/>
                <w:iCs w:val="0"/>
                <w:color w:val="000000"/>
                <w:sz w:val="18"/>
                <w:szCs w:val="18"/>
                <w:u w:val="none"/>
              </w:rPr>
            </w:pPr>
          </w:p>
        </w:tc>
        <w:tc>
          <w:tcPr>
            <w:tcW w:w="379" w:type="dxa"/>
            <w:tcBorders>
              <w:top w:val="nil"/>
              <w:left w:val="nil"/>
              <w:bottom w:val="nil"/>
              <w:right w:val="nil"/>
            </w:tcBorders>
            <w:shd w:val="clear" w:color="auto" w:fill="auto"/>
            <w:vAlign w:val="center"/>
          </w:tcPr>
          <w:p w14:paraId="254A74F5">
            <w:pPr>
              <w:rPr>
                <w:rFonts w:hint="eastAsia" w:ascii="宋体" w:hAnsi="宋体" w:eastAsia="宋体" w:cs="宋体"/>
                <w:i w:val="0"/>
                <w:iCs w:val="0"/>
                <w:color w:val="000000"/>
                <w:sz w:val="18"/>
                <w:szCs w:val="18"/>
                <w:u w:val="none"/>
              </w:rPr>
            </w:pPr>
          </w:p>
        </w:tc>
        <w:tc>
          <w:tcPr>
            <w:tcW w:w="846" w:type="dxa"/>
            <w:tcBorders>
              <w:top w:val="nil"/>
              <w:left w:val="nil"/>
              <w:bottom w:val="nil"/>
              <w:right w:val="nil"/>
            </w:tcBorders>
            <w:shd w:val="clear" w:color="auto" w:fill="auto"/>
            <w:vAlign w:val="center"/>
          </w:tcPr>
          <w:p w14:paraId="040DED9D">
            <w:pPr>
              <w:rPr>
                <w:rFonts w:hint="eastAsia" w:ascii="宋体" w:hAnsi="宋体" w:eastAsia="宋体" w:cs="宋体"/>
                <w:i w:val="0"/>
                <w:iCs w:val="0"/>
                <w:color w:val="000000"/>
                <w:sz w:val="18"/>
                <w:szCs w:val="18"/>
                <w:u w:val="none"/>
              </w:rPr>
            </w:pPr>
          </w:p>
        </w:tc>
        <w:tc>
          <w:tcPr>
            <w:tcW w:w="396" w:type="dxa"/>
            <w:tcBorders>
              <w:top w:val="nil"/>
              <w:left w:val="nil"/>
              <w:bottom w:val="nil"/>
              <w:right w:val="nil"/>
            </w:tcBorders>
            <w:shd w:val="clear" w:color="auto" w:fill="auto"/>
            <w:vAlign w:val="center"/>
          </w:tcPr>
          <w:p w14:paraId="7AC105D3">
            <w:pPr>
              <w:rPr>
                <w:rFonts w:hint="eastAsia" w:ascii="宋体" w:hAnsi="宋体" w:eastAsia="宋体" w:cs="宋体"/>
                <w:i w:val="0"/>
                <w:iCs w:val="0"/>
                <w:color w:val="000000"/>
                <w:sz w:val="18"/>
                <w:szCs w:val="18"/>
                <w:u w:val="none"/>
              </w:rPr>
            </w:pPr>
          </w:p>
        </w:tc>
        <w:tc>
          <w:tcPr>
            <w:tcW w:w="846" w:type="dxa"/>
            <w:tcBorders>
              <w:top w:val="nil"/>
              <w:left w:val="nil"/>
              <w:bottom w:val="nil"/>
              <w:right w:val="nil"/>
            </w:tcBorders>
            <w:shd w:val="clear" w:color="auto" w:fill="auto"/>
            <w:vAlign w:val="center"/>
          </w:tcPr>
          <w:p w14:paraId="1512FABA">
            <w:pPr>
              <w:rPr>
                <w:rFonts w:hint="eastAsia" w:ascii="宋体" w:hAnsi="宋体" w:eastAsia="宋体" w:cs="宋体"/>
                <w:i w:val="0"/>
                <w:iCs w:val="0"/>
                <w:color w:val="000000"/>
                <w:sz w:val="18"/>
                <w:szCs w:val="18"/>
                <w:u w:val="none"/>
              </w:rPr>
            </w:pPr>
          </w:p>
        </w:tc>
        <w:tc>
          <w:tcPr>
            <w:tcW w:w="502" w:type="dxa"/>
            <w:tcBorders>
              <w:top w:val="nil"/>
              <w:left w:val="nil"/>
              <w:bottom w:val="nil"/>
              <w:right w:val="nil"/>
            </w:tcBorders>
            <w:shd w:val="clear" w:color="auto" w:fill="auto"/>
            <w:vAlign w:val="center"/>
          </w:tcPr>
          <w:p w14:paraId="6112F5E3">
            <w:pPr>
              <w:rPr>
                <w:rFonts w:hint="eastAsia" w:ascii="宋体" w:hAnsi="宋体" w:eastAsia="宋体" w:cs="宋体"/>
                <w:i w:val="0"/>
                <w:iCs w:val="0"/>
                <w:color w:val="000000"/>
                <w:sz w:val="18"/>
                <w:szCs w:val="18"/>
                <w:u w:val="none"/>
              </w:rPr>
            </w:pPr>
          </w:p>
        </w:tc>
        <w:tc>
          <w:tcPr>
            <w:tcW w:w="445" w:type="dxa"/>
            <w:tcBorders>
              <w:top w:val="nil"/>
              <w:left w:val="nil"/>
              <w:bottom w:val="nil"/>
              <w:right w:val="nil"/>
            </w:tcBorders>
            <w:shd w:val="clear" w:color="auto" w:fill="auto"/>
            <w:vAlign w:val="center"/>
          </w:tcPr>
          <w:p w14:paraId="15EC1FA2">
            <w:pPr>
              <w:rPr>
                <w:rFonts w:hint="eastAsia" w:ascii="宋体" w:hAnsi="宋体" w:eastAsia="宋体" w:cs="宋体"/>
                <w:i w:val="0"/>
                <w:iCs w:val="0"/>
                <w:color w:val="000000"/>
                <w:sz w:val="18"/>
                <w:szCs w:val="18"/>
                <w:u w:val="none"/>
              </w:rPr>
            </w:pPr>
          </w:p>
        </w:tc>
        <w:tc>
          <w:tcPr>
            <w:tcW w:w="968" w:type="dxa"/>
            <w:tcBorders>
              <w:top w:val="nil"/>
              <w:left w:val="nil"/>
              <w:bottom w:val="nil"/>
              <w:right w:val="nil"/>
            </w:tcBorders>
            <w:shd w:val="clear" w:color="auto" w:fill="auto"/>
            <w:vAlign w:val="center"/>
          </w:tcPr>
          <w:p w14:paraId="732D027E">
            <w:pPr>
              <w:rPr>
                <w:rFonts w:hint="eastAsia" w:ascii="宋体" w:hAnsi="宋体" w:eastAsia="宋体" w:cs="宋体"/>
                <w:i w:val="0"/>
                <w:iCs w:val="0"/>
                <w:color w:val="000000"/>
                <w:sz w:val="18"/>
                <w:szCs w:val="18"/>
                <w:u w:val="none"/>
              </w:rPr>
            </w:pPr>
          </w:p>
        </w:tc>
      </w:tr>
      <w:tr w14:paraId="1D906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8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5F84D9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232D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4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0F762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33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B3443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51322324T000010480826-兴茂小学县级公用经费</w:t>
            </w:r>
          </w:p>
        </w:tc>
      </w:tr>
      <w:tr w14:paraId="5183D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4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BDD8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5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F673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46" w:type="dxa"/>
            <w:tcBorders>
              <w:top w:val="nil"/>
              <w:left w:val="nil"/>
              <w:bottom w:val="nil"/>
              <w:right w:val="nil"/>
            </w:tcBorders>
            <w:shd w:val="clear" w:color="auto" w:fill="auto"/>
            <w:vAlign w:val="center"/>
          </w:tcPr>
          <w:p w14:paraId="1B036AB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9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F208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茂县凤仪镇兴茂小学校</w:t>
            </w:r>
          </w:p>
        </w:tc>
      </w:tr>
      <w:tr w14:paraId="565C7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C326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296B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5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5BE3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763FAD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4CB0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82A69">
            <w:pP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74193">
            <w:pPr>
              <w:rPr>
                <w:rFonts w:hint="eastAsia" w:ascii="宋体" w:hAnsi="宋体" w:eastAsia="宋体" w:cs="宋体"/>
                <w:i w:val="0"/>
                <w:iCs w:val="0"/>
                <w:color w:val="000000"/>
                <w:sz w:val="18"/>
                <w:szCs w:val="18"/>
                <w:u w:val="none"/>
              </w:rPr>
            </w:pPr>
          </w:p>
        </w:tc>
        <w:tc>
          <w:tcPr>
            <w:tcW w:w="35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1C30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兴茂小学2024年秋季学期在校学生1309人，县级生均公用经费标准每生每年100元，2025年预算经费1309*100=130900元。</w:t>
            </w:r>
          </w:p>
        </w:tc>
        <w:tc>
          <w:tcPr>
            <w:tcW w:w="27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71EA5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小学生均公用经费补助到位130900元，支付130900元，支付比列为100%。</w:t>
            </w:r>
          </w:p>
        </w:tc>
      </w:tr>
      <w:tr w14:paraId="66AF8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7F3BDD">
            <w:pP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9DE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33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F4B91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通过对小学1309名小学生生均公用经费发放，使学校正常运行，改善学校环境及办学条件。为实现县域内十五年免费教育发展提供了基础性保障。</w:t>
            </w:r>
          </w:p>
        </w:tc>
      </w:tr>
      <w:tr w14:paraId="4D369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C9D2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FD0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1C2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612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C6E2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559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95B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A40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D70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9597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8FF34">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B5B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E58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13.09</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9BB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13.09</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4371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13.09</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343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9A2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888D0">
            <w:pPr>
              <w:jc w:val="center"/>
              <w:rPr>
                <w:rFonts w:hint="eastAsia" w:ascii="宋体" w:hAnsi="宋体" w:eastAsia="宋体" w:cs="宋体"/>
                <w:i w:val="0"/>
                <w:iCs w:val="0"/>
                <w:color w:val="000000"/>
                <w:sz w:val="18"/>
                <w:szCs w:val="18"/>
                <w:u w:val="none"/>
              </w:rPr>
            </w:pPr>
          </w:p>
        </w:tc>
        <w:tc>
          <w:tcPr>
            <w:tcW w:w="9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2BC62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无</w:t>
            </w:r>
          </w:p>
        </w:tc>
      </w:tr>
      <w:tr w14:paraId="611F5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6C922">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843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14A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13.09</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415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13.09</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ADAD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13.09</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C84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24C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862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9AEEA">
            <w:pPr>
              <w:rPr>
                <w:rFonts w:hint="eastAsia" w:ascii="黑体" w:hAnsi="黑体" w:eastAsia="黑体" w:cs="黑体"/>
                <w:i/>
                <w:iCs/>
                <w:color w:val="000000"/>
                <w:sz w:val="18"/>
                <w:szCs w:val="18"/>
                <w:u w:val="none"/>
              </w:rPr>
            </w:pPr>
          </w:p>
        </w:tc>
      </w:tr>
      <w:tr w14:paraId="16215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F27F1">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39B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2F0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805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BF4E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349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684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3F5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D8344">
            <w:pPr>
              <w:rPr>
                <w:rFonts w:hint="eastAsia" w:ascii="黑体" w:hAnsi="黑体" w:eastAsia="黑体" w:cs="黑体"/>
                <w:i/>
                <w:iCs/>
                <w:color w:val="000000"/>
                <w:sz w:val="18"/>
                <w:szCs w:val="18"/>
                <w:u w:val="none"/>
              </w:rPr>
            </w:pPr>
          </w:p>
        </w:tc>
      </w:tr>
      <w:tr w14:paraId="6CA22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9FFE8">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0E4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1A9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B1E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0CA4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0AE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392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677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2C0A0">
            <w:pPr>
              <w:rPr>
                <w:rFonts w:hint="eastAsia" w:ascii="黑体" w:hAnsi="黑体" w:eastAsia="黑体" w:cs="黑体"/>
                <w:i/>
                <w:iCs/>
                <w:color w:val="000000"/>
                <w:sz w:val="18"/>
                <w:szCs w:val="18"/>
                <w:u w:val="none"/>
              </w:rPr>
            </w:pPr>
          </w:p>
        </w:tc>
      </w:tr>
      <w:tr w14:paraId="6B877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C6BCFE">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4A8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46CE6">
            <w:pPr>
              <w:jc w:val="center"/>
              <w:rPr>
                <w:rFonts w:hint="eastAsia" w:ascii="微软雅黑" w:hAnsi="微软雅黑" w:eastAsia="微软雅黑" w:cs="微软雅黑"/>
                <w:i/>
                <w:iCs/>
                <w:color w:val="000000"/>
                <w:sz w:val="16"/>
                <w:szCs w:val="16"/>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34711">
            <w:pPr>
              <w:jc w:val="center"/>
              <w:rPr>
                <w:rFonts w:hint="eastAsia" w:ascii="微软雅黑" w:hAnsi="微软雅黑" w:eastAsia="微软雅黑" w:cs="微软雅黑"/>
                <w:i/>
                <w:iCs/>
                <w:color w:val="000000"/>
                <w:sz w:val="16"/>
                <w:szCs w:val="16"/>
                <w:u w:val="none"/>
              </w:rPr>
            </w:pP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AA0B85">
            <w:pPr>
              <w:jc w:val="center"/>
              <w:rPr>
                <w:rFonts w:hint="eastAsia" w:ascii="微软雅黑" w:hAnsi="微软雅黑" w:eastAsia="微软雅黑" w:cs="微软雅黑"/>
                <w:i/>
                <w:iCs/>
                <w:color w:val="000000"/>
                <w:sz w:val="16"/>
                <w:szCs w:val="16"/>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99F24">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05F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E7C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F3801">
            <w:pPr>
              <w:rPr>
                <w:rFonts w:hint="eastAsia" w:ascii="黑体" w:hAnsi="黑体" w:eastAsia="黑体" w:cs="黑体"/>
                <w:i/>
                <w:iCs/>
                <w:color w:val="000000"/>
                <w:sz w:val="18"/>
                <w:szCs w:val="18"/>
                <w:u w:val="none"/>
              </w:rPr>
            </w:pPr>
          </w:p>
        </w:tc>
      </w:tr>
      <w:tr w14:paraId="4AC14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5852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9AD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8AC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765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EF7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9BD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71C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247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71E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67D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3DC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F247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A3A76">
            <w:pPr>
              <w:jc w:val="center"/>
              <w:rPr>
                <w:rFonts w:hint="eastAsia" w:ascii="宋体" w:hAnsi="宋体" w:eastAsia="宋体" w:cs="宋体"/>
                <w:i w:val="0"/>
                <w:iCs w:val="0"/>
                <w:color w:val="000000"/>
                <w:sz w:val="18"/>
                <w:szCs w:val="18"/>
                <w:u w:val="none"/>
              </w:rPr>
            </w:pPr>
          </w:p>
        </w:tc>
        <w:tc>
          <w:tcPr>
            <w:tcW w:w="8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146B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23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B01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学生人数</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B43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E05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1309</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1DD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3580F">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533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72197">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0007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6664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32D5F">
            <w:pPr>
              <w:jc w:val="cente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9AD77">
            <w:pPr>
              <w:jc w:val="center"/>
              <w:rPr>
                <w:rFonts w:hint="eastAsia" w:ascii="宋体" w:hAnsi="宋体" w:eastAsia="宋体" w:cs="宋体"/>
                <w:i w:val="0"/>
                <w:iCs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213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39A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D08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050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91A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07AF9">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7B6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F7F51">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2229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0B2A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591DE9">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2A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BD3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AEC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学校良好发展</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1BE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A9D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42923">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0C801">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1B2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DF869">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8540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0D07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14CE4">
            <w:pPr>
              <w:jc w:val="center"/>
              <w:rPr>
                <w:rFonts w:hint="eastAsia" w:ascii="宋体" w:hAnsi="宋体" w:eastAsia="宋体" w:cs="宋体"/>
                <w:i w:val="0"/>
                <w:iCs w:val="0"/>
                <w:color w:val="000000"/>
                <w:sz w:val="18"/>
                <w:szCs w:val="18"/>
                <w:u w:val="none"/>
              </w:rPr>
            </w:pPr>
          </w:p>
        </w:tc>
        <w:tc>
          <w:tcPr>
            <w:tcW w:w="8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170B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EEB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B68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学生满意度</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BEC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11F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FC2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D572C">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8BB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D8DB4">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3FA1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A13D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F3D17">
            <w:pPr>
              <w:jc w:val="cente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335CB">
            <w:pPr>
              <w:jc w:val="center"/>
              <w:rPr>
                <w:rFonts w:hint="eastAsia" w:ascii="宋体" w:hAnsi="宋体" w:eastAsia="宋体" w:cs="宋体"/>
                <w:i w:val="0"/>
                <w:iCs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B68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0E4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家长满意度</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557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CE7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E01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768FB">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7F0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CDC3B">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7E7D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EFB4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39428">
            <w:pPr>
              <w:jc w:val="center"/>
              <w:rPr>
                <w:rFonts w:hint="eastAsia" w:ascii="宋体" w:hAnsi="宋体" w:eastAsia="宋体" w:cs="宋体"/>
                <w:i w:val="0"/>
                <w:iCs w:val="0"/>
                <w:color w:val="000000"/>
                <w:sz w:val="18"/>
                <w:szCs w:val="18"/>
                <w:u w:val="none"/>
              </w:rPr>
            </w:pPr>
          </w:p>
        </w:tc>
        <w:tc>
          <w:tcPr>
            <w:tcW w:w="8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BD1F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FD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DB5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项目资金保障</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A0A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6AB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130900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63E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DA418">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DBA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64C92">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FF85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91BB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265A42">
            <w:pPr>
              <w:jc w:val="cente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FCAC1">
            <w:pPr>
              <w:jc w:val="center"/>
              <w:rPr>
                <w:rFonts w:hint="eastAsia" w:ascii="宋体" w:hAnsi="宋体" w:eastAsia="宋体" w:cs="宋体"/>
                <w:i w:val="0"/>
                <w:iCs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7DA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AE5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办家长放心学校</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9E0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AD6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9B3FD">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E215E">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C3A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EC8C1">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F0CD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E6FA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8D057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465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43EFF">
            <w:pP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F5246">
            <w:pPr>
              <w:rPr>
                <w:rFonts w:hint="eastAsia" w:ascii="宋体" w:hAnsi="宋体" w:eastAsia="宋体" w:cs="宋体"/>
                <w:i w:val="0"/>
                <w:iCs w:val="0"/>
                <w:color w:val="000000"/>
                <w:sz w:val="18"/>
                <w:szCs w:val="18"/>
                <w:u w:val="none"/>
              </w:rPr>
            </w:pPr>
          </w:p>
        </w:tc>
      </w:tr>
      <w:tr w14:paraId="5E39E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DE4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20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63E0C0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通过对十五年免费教育小学生均公用经费项目的实施，保证了小学生在校时间的正常学习和教师的正常教学，社会反映好，满意度达到90%以上。</w:t>
            </w:r>
          </w:p>
        </w:tc>
      </w:tr>
      <w:tr w14:paraId="4A164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FDC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20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2C198B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小学生均公用经费管理制度需进一步完善，明确绩效指标和小学生均公用经费界定标准。</w:t>
            </w:r>
          </w:p>
        </w:tc>
      </w:tr>
      <w:tr w14:paraId="5A1A1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B9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20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7FBB3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1.明确小学生均公用经费绩效目标，细化小学生均公用经费管理。</w:t>
            </w:r>
            <w:r>
              <w:rPr>
                <w:rFonts w:hint="eastAsia" w:ascii="微软雅黑" w:hAnsi="微软雅黑" w:eastAsia="微软雅黑" w:cs="微软雅黑"/>
                <w:i/>
                <w:iCs/>
                <w:color w:val="000000"/>
                <w:kern w:val="0"/>
                <w:sz w:val="16"/>
                <w:szCs w:val="16"/>
                <w:u w:val="none"/>
                <w:lang w:val="en-US" w:eastAsia="zh-CN" w:bidi="ar"/>
              </w:rPr>
              <w:br w:type="textWrapping"/>
            </w:r>
            <w:r>
              <w:rPr>
                <w:rFonts w:hint="eastAsia" w:ascii="微软雅黑" w:hAnsi="微软雅黑" w:eastAsia="微软雅黑" w:cs="微软雅黑"/>
                <w:i/>
                <w:iCs/>
                <w:color w:val="000000"/>
                <w:kern w:val="0"/>
                <w:sz w:val="16"/>
                <w:szCs w:val="16"/>
                <w:u w:val="none"/>
                <w:lang w:val="en-US" w:eastAsia="zh-CN" w:bidi="ar"/>
              </w:rPr>
              <w:t>2.建立健全生均公用经费管理制度。</w:t>
            </w:r>
            <w:r>
              <w:rPr>
                <w:rFonts w:hint="eastAsia" w:ascii="微软雅黑" w:hAnsi="微软雅黑" w:eastAsia="微软雅黑" w:cs="微软雅黑"/>
                <w:i/>
                <w:iCs/>
                <w:color w:val="000000"/>
                <w:kern w:val="0"/>
                <w:sz w:val="16"/>
                <w:szCs w:val="16"/>
                <w:u w:val="none"/>
                <w:lang w:val="en-US" w:eastAsia="zh-CN" w:bidi="ar"/>
              </w:rPr>
              <w:br w:type="textWrapping"/>
            </w:r>
            <w:r>
              <w:rPr>
                <w:rFonts w:hint="eastAsia" w:ascii="微软雅黑" w:hAnsi="微软雅黑" w:eastAsia="微软雅黑" w:cs="微软雅黑"/>
                <w:i/>
                <w:iCs/>
                <w:color w:val="000000"/>
                <w:kern w:val="0"/>
                <w:sz w:val="16"/>
                <w:szCs w:val="16"/>
                <w:u w:val="none"/>
                <w:lang w:val="en-US" w:eastAsia="zh-CN" w:bidi="ar"/>
              </w:rPr>
              <w:t>3.严格执行考核制度，提高服务效率。</w:t>
            </w:r>
          </w:p>
        </w:tc>
      </w:tr>
      <w:tr w14:paraId="197CF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05D52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项目负责人：蹇志康</w:t>
            </w:r>
          </w:p>
        </w:tc>
        <w:tc>
          <w:tcPr>
            <w:tcW w:w="400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A694BB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财务负责人：蹇志康</w:t>
            </w:r>
          </w:p>
        </w:tc>
      </w:tr>
      <w:tr w14:paraId="057C1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5" w:type="dxa"/>
            <w:tcBorders>
              <w:top w:val="nil"/>
              <w:left w:val="nil"/>
              <w:bottom w:val="nil"/>
              <w:right w:val="nil"/>
            </w:tcBorders>
            <w:shd w:val="clear" w:color="auto" w:fill="auto"/>
            <w:vAlign w:val="center"/>
          </w:tcPr>
          <w:p w14:paraId="5FBD31C9">
            <w:pPr>
              <w:rPr>
                <w:rFonts w:hint="eastAsia" w:ascii="宋体" w:hAnsi="宋体" w:eastAsia="宋体" w:cs="宋体"/>
                <w:i w:val="0"/>
                <w:iCs w:val="0"/>
                <w:color w:val="000000"/>
                <w:sz w:val="18"/>
                <w:szCs w:val="18"/>
                <w:u w:val="none"/>
              </w:rPr>
            </w:pPr>
          </w:p>
        </w:tc>
        <w:tc>
          <w:tcPr>
            <w:tcW w:w="866" w:type="dxa"/>
            <w:tcBorders>
              <w:top w:val="nil"/>
              <w:left w:val="nil"/>
              <w:bottom w:val="nil"/>
              <w:right w:val="nil"/>
            </w:tcBorders>
            <w:shd w:val="clear" w:color="auto" w:fill="auto"/>
            <w:vAlign w:val="center"/>
          </w:tcPr>
          <w:p w14:paraId="1633D24A">
            <w:pPr>
              <w:rPr>
                <w:rFonts w:hint="eastAsia" w:ascii="宋体" w:hAnsi="宋体" w:eastAsia="宋体" w:cs="宋体"/>
                <w:i w:val="0"/>
                <w:iCs w:val="0"/>
                <w:color w:val="000000"/>
                <w:sz w:val="18"/>
                <w:szCs w:val="18"/>
                <w:u w:val="none"/>
              </w:rPr>
            </w:pPr>
          </w:p>
        </w:tc>
        <w:tc>
          <w:tcPr>
            <w:tcW w:w="1042" w:type="dxa"/>
            <w:tcBorders>
              <w:top w:val="nil"/>
              <w:left w:val="nil"/>
              <w:bottom w:val="nil"/>
              <w:right w:val="nil"/>
            </w:tcBorders>
            <w:shd w:val="clear" w:color="auto" w:fill="auto"/>
            <w:vAlign w:val="center"/>
          </w:tcPr>
          <w:p w14:paraId="3A425542">
            <w:pPr>
              <w:rPr>
                <w:rFonts w:hint="eastAsia" w:ascii="宋体" w:hAnsi="宋体" w:eastAsia="宋体" w:cs="宋体"/>
                <w:i w:val="0"/>
                <w:iCs w:val="0"/>
                <w:color w:val="000000"/>
                <w:sz w:val="18"/>
                <w:szCs w:val="18"/>
                <w:u w:val="none"/>
              </w:rPr>
            </w:pPr>
          </w:p>
        </w:tc>
        <w:tc>
          <w:tcPr>
            <w:tcW w:w="915" w:type="dxa"/>
            <w:tcBorders>
              <w:top w:val="nil"/>
              <w:left w:val="nil"/>
              <w:bottom w:val="nil"/>
              <w:right w:val="nil"/>
            </w:tcBorders>
            <w:shd w:val="clear" w:color="auto" w:fill="auto"/>
            <w:vAlign w:val="center"/>
          </w:tcPr>
          <w:p w14:paraId="2D58B8EE">
            <w:pPr>
              <w:rPr>
                <w:rFonts w:hint="eastAsia" w:ascii="宋体" w:hAnsi="宋体" w:eastAsia="宋体" w:cs="宋体"/>
                <w:i w:val="0"/>
                <w:iCs w:val="0"/>
                <w:color w:val="000000"/>
                <w:sz w:val="18"/>
                <w:szCs w:val="18"/>
                <w:u w:val="none"/>
              </w:rPr>
            </w:pPr>
          </w:p>
        </w:tc>
        <w:tc>
          <w:tcPr>
            <w:tcW w:w="379" w:type="dxa"/>
            <w:tcBorders>
              <w:top w:val="nil"/>
              <w:left w:val="nil"/>
              <w:bottom w:val="nil"/>
              <w:right w:val="nil"/>
            </w:tcBorders>
            <w:shd w:val="clear" w:color="auto" w:fill="auto"/>
            <w:vAlign w:val="center"/>
          </w:tcPr>
          <w:p w14:paraId="06E3C079">
            <w:pPr>
              <w:rPr>
                <w:rFonts w:hint="eastAsia" w:ascii="宋体" w:hAnsi="宋体" w:eastAsia="宋体" w:cs="宋体"/>
                <w:i w:val="0"/>
                <w:iCs w:val="0"/>
                <w:color w:val="000000"/>
                <w:sz w:val="18"/>
                <w:szCs w:val="18"/>
                <w:u w:val="none"/>
              </w:rPr>
            </w:pPr>
          </w:p>
        </w:tc>
        <w:tc>
          <w:tcPr>
            <w:tcW w:w="846" w:type="dxa"/>
            <w:tcBorders>
              <w:top w:val="nil"/>
              <w:left w:val="nil"/>
              <w:bottom w:val="nil"/>
              <w:right w:val="nil"/>
            </w:tcBorders>
            <w:shd w:val="clear" w:color="auto" w:fill="auto"/>
            <w:vAlign w:val="center"/>
          </w:tcPr>
          <w:p w14:paraId="20E103B6">
            <w:pPr>
              <w:rPr>
                <w:rFonts w:hint="eastAsia" w:ascii="宋体" w:hAnsi="宋体" w:eastAsia="宋体" w:cs="宋体"/>
                <w:i w:val="0"/>
                <w:iCs w:val="0"/>
                <w:color w:val="000000"/>
                <w:sz w:val="18"/>
                <w:szCs w:val="18"/>
                <w:u w:val="none"/>
              </w:rPr>
            </w:pPr>
          </w:p>
        </w:tc>
        <w:tc>
          <w:tcPr>
            <w:tcW w:w="396" w:type="dxa"/>
            <w:tcBorders>
              <w:top w:val="nil"/>
              <w:left w:val="nil"/>
              <w:bottom w:val="nil"/>
              <w:right w:val="nil"/>
            </w:tcBorders>
            <w:shd w:val="clear" w:color="auto" w:fill="auto"/>
            <w:vAlign w:val="center"/>
          </w:tcPr>
          <w:p w14:paraId="0F2EF7AF">
            <w:pPr>
              <w:rPr>
                <w:rFonts w:hint="eastAsia" w:ascii="宋体" w:hAnsi="宋体" w:eastAsia="宋体" w:cs="宋体"/>
                <w:i w:val="0"/>
                <w:iCs w:val="0"/>
                <w:color w:val="000000"/>
                <w:sz w:val="18"/>
                <w:szCs w:val="18"/>
                <w:u w:val="none"/>
              </w:rPr>
            </w:pPr>
          </w:p>
        </w:tc>
        <w:tc>
          <w:tcPr>
            <w:tcW w:w="846" w:type="dxa"/>
            <w:tcBorders>
              <w:top w:val="nil"/>
              <w:left w:val="nil"/>
              <w:bottom w:val="nil"/>
              <w:right w:val="nil"/>
            </w:tcBorders>
            <w:shd w:val="clear" w:color="auto" w:fill="auto"/>
            <w:vAlign w:val="center"/>
          </w:tcPr>
          <w:p w14:paraId="37B6F973">
            <w:pPr>
              <w:rPr>
                <w:rFonts w:hint="eastAsia" w:ascii="宋体" w:hAnsi="宋体" w:eastAsia="宋体" w:cs="宋体"/>
                <w:i w:val="0"/>
                <w:iCs w:val="0"/>
                <w:color w:val="000000"/>
                <w:sz w:val="18"/>
                <w:szCs w:val="18"/>
                <w:u w:val="none"/>
              </w:rPr>
            </w:pPr>
          </w:p>
        </w:tc>
        <w:tc>
          <w:tcPr>
            <w:tcW w:w="502" w:type="dxa"/>
            <w:tcBorders>
              <w:top w:val="nil"/>
              <w:left w:val="nil"/>
              <w:bottom w:val="nil"/>
              <w:right w:val="nil"/>
            </w:tcBorders>
            <w:shd w:val="clear" w:color="auto" w:fill="auto"/>
            <w:vAlign w:val="center"/>
          </w:tcPr>
          <w:p w14:paraId="6F523789">
            <w:pPr>
              <w:rPr>
                <w:rFonts w:hint="eastAsia" w:ascii="宋体" w:hAnsi="宋体" w:eastAsia="宋体" w:cs="宋体"/>
                <w:i w:val="0"/>
                <w:iCs w:val="0"/>
                <w:color w:val="000000"/>
                <w:sz w:val="18"/>
                <w:szCs w:val="18"/>
                <w:u w:val="none"/>
              </w:rPr>
            </w:pPr>
          </w:p>
        </w:tc>
        <w:tc>
          <w:tcPr>
            <w:tcW w:w="445" w:type="dxa"/>
            <w:tcBorders>
              <w:top w:val="nil"/>
              <w:left w:val="nil"/>
              <w:bottom w:val="nil"/>
              <w:right w:val="nil"/>
            </w:tcBorders>
            <w:shd w:val="clear" w:color="auto" w:fill="auto"/>
            <w:vAlign w:val="center"/>
          </w:tcPr>
          <w:p w14:paraId="63CD1103">
            <w:pPr>
              <w:rPr>
                <w:rFonts w:hint="eastAsia" w:ascii="宋体" w:hAnsi="宋体" w:eastAsia="宋体" w:cs="宋体"/>
                <w:i w:val="0"/>
                <w:iCs w:val="0"/>
                <w:color w:val="000000"/>
                <w:sz w:val="18"/>
                <w:szCs w:val="18"/>
                <w:u w:val="none"/>
              </w:rPr>
            </w:pPr>
          </w:p>
        </w:tc>
        <w:tc>
          <w:tcPr>
            <w:tcW w:w="968" w:type="dxa"/>
            <w:tcBorders>
              <w:top w:val="nil"/>
              <w:left w:val="nil"/>
              <w:bottom w:val="nil"/>
              <w:right w:val="nil"/>
            </w:tcBorders>
            <w:shd w:val="clear" w:color="auto" w:fill="auto"/>
            <w:vAlign w:val="center"/>
          </w:tcPr>
          <w:p w14:paraId="64947396">
            <w:pPr>
              <w:rPr>
                <w:rFonts w:hint="eastAsia" w:ascii="宋体" w:hAnsi="宋体" w:eastAsia="宋体" w:cs="宋体"/>
                <w:i w:val="0"/>
                <w:iCs w:val="0"/>
                <w:color w:val="000000"/>
                <w:sz w:val="18"/>
                <w:szCs w:val="18"/>
                <w:u w:val="none"/>
              </w:rPr>
            </w:pPr>
          </w:p>
        </w:tc>
      </w:tr>
      <w:tr w14:paraId="4EBDF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8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0FA3AB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9FAC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4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BB2E9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33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C04BF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51322325T000012184575-茂县凤仪镇兴茂小学校校园餐经费</w:t>
            </w:r>
          </w:p>
        </w:tc>
      </w:tr>
      <w:tr w14:paraId="220BB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4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EE73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5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A7F0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46" w:type="dxa"/>
            <w:tcBorders>
              <w:top w:val="nil"/>
              <w:left w:val="nil"/>
              <w:bottom w:val="nil"/>
              <w:right w:val="nil"/>
            </w:tcBorders>
            <w:shd w:val="clear" w:color="auto" w:fill="auto"/>
            <w:vAlign w:val="center"/>
          </w:tcPr>
          <w:p w14:paraId="2AA70EA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9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DAA5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茂县凤仪镇兴茂小学校</w:t>
            </w:r>
          </w:p>
        </w:tc>
      </w:tr>
      <w:tr w14:paraId="0CA82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AADC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CE8D8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5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C15D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2C860A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DC02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C9ED8">
            <w:pP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385895">
            <w:pPr>
              <w:rPr>
                <w:rFonts w:hint="eastAsia" w:ascii="宋体" w:hAnsi="宋体" w:eastAsia="宋体" w:cs="宋体"/>
                <w:i w:val="0"/>
                <w:iCs w:val="0"/>
                <w:color w:val="000000"/>
                <w:sz w:val="18"/>
                <w:szCs w:val="18"/>
                <w:u w:val="none"/>
              </w:rPr>
            </w:pPr>
          </w:p>
        </w:tc>
        <w:tc>
          <w:tcPr>
            <w:tcW w:w="35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CAEB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茂县凤仪镇兴茂小学校2025年秋季学期走读生自缴生活费，604*850=513400元。</w:t>
            </w:r>
          </w:p>
        </w:tc>
        <w:tc>
          <w:tcPr>
            <w:tcW w:w="27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78B24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按照年度目标，学生自缴生活费已全部使用于学生生活。</w:t>
            </w:r>
          </w:p>
        </w:tc>
      </w:tr>
      <w:tr w14:paraId="66D5E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B19D9">
            <w:pP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54B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33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61272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学校根据走读生具体情况收取生活费604人，每人850元，合计：513400元，全部使用于学生生活。</w:t>
            </w:r>
          </w:p>
        </w:tc>
      </w:tr>
      <w:tr w14:paraId="234B7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54A9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C4A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C53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651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CDA6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152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B3E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1F2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A56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EF4F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6A200">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FEA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42A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979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319.04</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F99E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303.47</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181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95.12%</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46C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80FD1">
            <w:pPr>
              <w:jc w:val="center"/>
              <w:rPr>
                <w:rFonts w:hint="eastAsia" w:ascii="宋体" w:hAnsi="宋体" w:eastAsia="宋体" w:cs="宋体"/>
                <w:i w:val="0"/>
                <w:iCs w:val="0"/>
                <w:color w:val="000000"/>
                <w:sz w:val="18"/>
                <w:szCs w:val="18"/>
                <w:u w:val="none"/>
              </w:rPr>
            </w:pPr>
          </w:p>
        </w:tc>
        <w:tc>
          <w:tcPr>
            <w:tcW w:w="9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5C9FA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无</w:t>
            </w:r>
          </w:p>
        </w:tc>
      </w:tr>
      <w:tr w14:paraId="63D7C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19D57">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9F9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471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FBF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264.07</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BD58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264.07</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218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B83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BAC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5879A">
            <w:pPr>
              <w:rPr>
                <w:rFonts w:hint="eastAsia" w:ascii="黑体" w:hAnsi="黑体" w:eastAsia="黑体" w:cs="黑体"/>
                <w:i/>
                <w:iCs/>
                <w:color w:val="000000"/>
                <w:sz w:val="18"/>
                <w:szCs w:val="18"/>
                <w:u w:val="none"/>
              </w:rPr>
            </w:pPr>
          </w:p>
        </w:tc>
      </w:tr>
      <w:tr w14:paraId="53524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CB872">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FBB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26C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C9D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AA50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111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37E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6F8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FA53B">
            <w:pPr>
              <w:rPr>
                <w:rFonts w:hint="eastAsia" w:ascii="黑体" w:hAnsi="黑体" w:eastAsia="黑体" w:cs="黑体"/>
                <w:i/>
                <w:iCs/>
                <w:color w:val="000000"/>
                <w:sz w:val="18"/>
                <w:szCs w:val="18"/>
                <w:u w:val="none"/>
              </w:rPr>
            </w:pPr>
          </w:p>
        </w:tc>
      </w:tr>
      <w:tr w14:paraId="59057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851FD">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607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867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C95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54.98</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9614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39.40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9AC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71.67%</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AA0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0BC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82A447">
            <w:pPr>
              <w:rPr>
                <w:rFonts w:hint="eastAsia" w:ascii="黑体" w:hAnsi="黑体" w:eastAsia="黑体" w:cs="黑体"/>
                <w:i/>
                <w:iCs/>
                <w:color w:val="000000"/>
                <w:sz w:val="18"/>
                <w:szCs w:val="18"/>
                <w:u w:val="none"/>
              </w:rPr>
            </w:pPr>
          </w:p>
        </w:tc>
      </w:tr>
      <w:tr w14:paraId="27623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B3DA5">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A0C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C5794">
            <w:pPr>
              <w:jc w:val="center"/>
              <w:rPr>
                <w:rFonts w:hint="eastAsia" w:ascii="微软雅黑" w:hAnsi="微软雅黑" w:eastAsia="微软雅黑" w:cs="微软雅黑"/>
                <w:i/>
                <w:iCs/>
                <w:color w:val="000000"/>
                <w:sz w:val="16"/>
                <w:szCs w:val="16"/>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CDD4D">
            <w:pPr>
              <w:jc w:val="center"/>
              <w:rPr>
                <w:rFonts w:hint="eastAsia" w:ascii="微软雅黑" w:hAnsi="微软雅黑" w:eastAsia="微软雅黑" w:cs="微软雅黑"/>
                <w:i/>
                <w:iCs/>
                <w:color w:val="000000"/>
                <w:sz w:val="16"/>
                <w:szCs w:val="16"/>
                <w:u w:val="none"/>
              </w:rPr>
            </w:pP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84C715">
            <w:pPr>
              <w:jc w:val="center"/>
              <w:rPr>
                <w:rFonts w:hint="eastAsia" w:ascii="微软雅黑" w:hAnsi="微软雅黑" w:eastAsia="微软雅黑" w:cs="微软雅黑"/>
                <w:i/>
                <w:iCs/>
                <w:color w:val="000000"/>
                <w:sz w:val="16"/>
                <w:szCs w:val="16"/>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8EB99">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BC3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2D5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BFF30F">
            <w:pPr>
              <w:rPr>
                <w:rFonts w:hint="eastAsia" w:ascii="黑体" w:hAnsi="黑体" w:eastAsia="黑体" w:cs="黑体"/>
                <w:i/>
                <w:iCs/>
                <w:color w:val="000000"/>
                <w:sz w:val="18"/>
                <w:szCs w:val="18"/>
                <w:u w:val="none"/>
              </w:rPr>
            </w:pPr>
          </w:p>
        </w:tc>
      </w:tr>
      <w:tr w14:paraId="00C92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DF99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BA8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FD9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805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539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701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3E1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24C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2B7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473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D31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FD68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DE22B">
            <w:pPr>
              <w:jc w:val="center"/>
              <w:rPr>
                <w:rFonts w:hint="eastAsia" w:ascii="宋体" w:hAnsi="宋体" w:eastAsia="宋体" w:cs="宋体"/>
                <w:i w:val="0"/>
                <w:iCs w:val="0"/>
                <w:color w:val="000000"/>
                <w:sz w:val="18"/>
                <w:szCs w:val="18"/>
                <w:u w:val="none"/>
              </w:rPr>
            </w:pPr>
          </w:p>
        </w:tc>
        <w:tc>
          <w:tcPr>
            <w:tcW w:w="8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82A9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2C4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227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学生人数</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BBB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391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604</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F31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ECF69">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482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21AC1">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042A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60B4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F6057">
            <w:pPr>
              <w:jc w:val="cente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59237">
            <w:pPr>
              <w:jc w:val="center"/>
              <w:rPr>
                <w:rFonts w:hint="eastAsia" w:ascii="宋体" w:hAnsi="宋体" w:eastAsia="宋体" w:cs="宋体"/>
                <w:i w:val="0"/>
                <w:iCs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BD0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F83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经费使用合规率</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D22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75C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58B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F9427">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C3F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2DCC9">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D5FF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E995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B1930">
            <w:pPr>
              <w:jc w:val="cente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32D16">
            <w:pPr>
              <w:jc w:val="center"/>
              <w:rPr>
                <w:rFonts w:hint="eastAsia" w:ascii="宋体" w:hAnsi="宋体" w:eastAsia="宋体" w:cs="宋体"/>
                <w:i w:val="0"/>
                <w:iCs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A75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3D9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项目完成时限</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BF3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558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1AE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13583">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2FC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9CE6A">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C45B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3E1A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599FE2">
            <w:pPr>
              <w:jc w:val="center"/>
              <w:rPr>
                <w:rFonts w:hint="eastAsia" w:ascii="宋体" w:hAnsi="宋体" w:eastAsia="宋体" w:cs="宋体"/>
                <w:i w:val="0"/>
                <w:iCs w:val="0"/>
                <w:color w:val="000000"/>
                <w:sz w:val="18"/>
                <w:szCs w:val="18"/>
                <w:u w:val="none"/>
              </w:rPr>
            </w:pPr>
          </w:p>
        </w:tc>
        <w:tc>
          <w:tcPr>
            <w:tcW w:w="8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368C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7D1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310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项目资金保障</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DE0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699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664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5F0A7">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3A0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B4D8F">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3272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3732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08F16D">
            <w:pPr>
              <w:jc w:val="cente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B34F4">
            <w:pPr>
              <w:jc w:val="center"/>
              <w:rPr>
                <w:rFonts w:hint="eastAsia" w:ascii="宋体" w:hAnsi="宋体" w:eastAsia="宋体" w:cs="宋体"/>
                <w:i w:val="0"/>
                <w:iCs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1B8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3EB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充分保障学生正常用餐</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21C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653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7FE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0D367">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5FF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B8AAD">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4376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CA51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A6C38">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E26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051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762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学生满意、社会满意度</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BD8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A19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834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10CC5">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F9A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DA1A7">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002F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6ADC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63EA9">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C51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E78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5DD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项目成本控制</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F84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8AA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513400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6F5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BF9A3">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62B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E2E29">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044E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D67E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3D9CA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CF2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1A72D">
            <w:pP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138A2">
            <w:pPr>
              <w:rPr>
                <w:rFonts w:hint="eastAsia" w:ascii="宋体" w:hAnsi="宋体" w:eastAsia="宋体" w:cs="宋体"/>
                <w:i w:val="0"/>
                <w:iCs w:val="0"/>
                <w:color w:val="000000"/>
                <w:sz w:val="18"/>
                <w:szCs w:val="18"/>
                <w:u w:val="none"/>
              </w:rPr>
            </w:pPr>
          </w:p>
        </w:tc>
      </w:tr>
      <w:tr w14:paraId="25D7E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D8A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20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89F36E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保障了走读生的生活质量。</w:t>
            </w:r>
          </w:p>
        </w:tc>
      </w:tr>
      <w:tr w14:paraId="39D92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4CE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20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714436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收取较困难。</w:t>
            </w:r>
          </w:p>
        </w:tc>
      </w:tr>
      <w:tr w14:paraId="4C000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67D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20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DDB335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1.做好宣传工作，2.多与学生家长沟通。</w:t>
            </w:r>
          </w:p>
        </w:tc>
      </w:tr>
      <w:tr w14:paraId="0DE7A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4F757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项目负责人：蹇志康</w:t>
            </w:r>
          </w:p>
        </w:tc>
        <w:tc>
          <w:tcPr>
            <w:tcW w:w="400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F1E4E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财务负责人：蹇志康</w:t>
            </w:r>
          </w:p>
        </w:tc>
      </w:tr>
      <w:tr w14:paraId="28C62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5" w:type="dxa"/>
            <w:tcBorders>
              <w:top w:val="nil"/>
              <w:left w:val="nil"/>
              <w:bottom w:val="nil"/>
              <w:right w:val="nil"/>
            </w:tcBorders>
            <w:shd w:val="clear" w:color="auto" w:fill="auto"/>
            <w:vAlign w:val="center"/>
          </w:tcPr>
          <w:p w14:paraId="63CF14F2">
            <w:pPr>
              <w:rPr>
                <w:rFonts w:hint="eastAsia" w:ascii="宋体" w:hAnsi="宋体" w:eastAsia="宋体" w:cs="宋体"/>
                <w:i w:val="0"/>
                <w:iCs w:val="0"/>
                <w:color w:val="000000"/>
                <w:sz w:val="18"/>
                <w:szCs w:val="18"/>
                <w:u w:val="none"/>
              </w:rPr>
            </w:pPr>
          </w:p>
        </w:tc>
        <w:tc>
          <w:tcPr>
            <w:tcW w:w="866" w:type="dxa"/>
            <w:tcBorders>
              <w:top w:val="nil"/>
              <w:left w:val="nil"/>
              <w:bottom w:val="nil"/>
              <w:right w:val="nil"/>
            </w:tcBorders>
            <w:shd w:val="clear" w:color="auto" w:fill="auto"/>
            <w:vAlign w:val="center"/>
          </w:tcPr>
          <w:p w14:paraId="11CAF3E6">
            <w:pPr>
              <w:rPr>
                <w:rFonts w:hint="eastAsia" w:ascii="宋体" w:hAnsi="宋体" w:eastAsia="宋体" w:cs="宋体"/>
                <w:i w:val="0"/>
                <w:iCs w:val="0"/>
                <w:color w:val="000000"/>
                <w:sz w:val="18"/>
                <w:szCs w:val="18"/>
                <w:u w:val="none"/>
              </w:rPr>
            </w:pPr>
          </w:p>
        </w:tc>
        <w:tc>
          <w:tcPr>
            <w:tcW w:w="1042" w:type="dxa"/>
            <w:tcBorders>
              <w:top w:val="nil"/>
              <w:left w:val="nil"/>
              <w:bottom w:val="nil"/>
              <w:right w:val="nil"/>
            </w:tcBorders>
            <w:shd w:val="clear" w:color="auto" w:fill="auto"/>
            <w:vAlign w:val="center"/>
          </w:tcPr>
          <w:p w14:paraId="206770A6">
            <w:pPr>
              <w:rPr>
                <w:rFonts w:hint="eastAsia" w:ascii="宋体" w:hAnsi="宋体" w:eastAsia="宋体" w:cs="宋体"/>
                <w:i w:val="0"/>
                <w:iCs w:val="0"/>
                <w:color w:val="000000"/>
                <w:sz w:val="18"/>
                <w:szCs w:val="18"/>
                <w:u w:val="none"/>
              </w:rPr>
            </w:pPr>
          </w:p>
        </w:tc>
        <w:tc>
          <w:tcPr>
            <w:tcW w:w="915" w:type="dxa"/>
            <w:tcBorders>
              <w:top w:val="nil"/>
              <w:left w:val="nil"/>
              <w:bottom w:val="nil"/>
              <w:right w:val="nil"/>
            </w:tcBorders>
            <w:shd w:val="clear" w:color="auto" w:fill="auto"/>
            <w:vAlign w:val="center"/>
          </w:tcPr>
          <w:p w14:paraId="73E73E3B">
            <w:pPr>
              <w:rPr>
                <w:rFonts w:hint="eastAsia" w:ascii="宋体" w:hAnsi="宋体" w:eastAsia="宋体" w:cs="宋体"/>
                <w:i w:val="0"/>
                <w:iCs w:val="0"/>
                <w:color w:val="000000"/>
                <w:sz w:val="18"/>
                <w:szCs w:val="18"/>
                <w:u w:val="none"/>
              </w:rPr>
            </w:pPr>
          </w:p>
        </w:tc>
        <w:tc>
          <w:tcPr>
            <w:tcW w:w="379" w:type="dxa"/>
            <w:tcBorders>
              <w:top w:val="nil"/>
              <w:left w:val="nil"/>
              <w:bottom w:val="nil"/>
              <w:right w:val="nil"/>
            </w:tcBorders>
            <w:shd w:val="clear" w:color="auto" w:fill="auto"/>
            <w:vAlign w:val="center"/>
          </w:tcPr>
          <w:p w14:paraId="3E411C17">
            <w:pPr>
              <w:rPr>
                <w:rFonts w:hint="eastAsia" w:ascii="宋体" w:hAnsi="宋体" w:eastAsia="宋体" w:cs="宋体"/>
                <w:i w:val="0"/>
                <w:iCs w:val="0"/>
                <w:color w:val="000000"/>
                <w:sz w:val="18"/>
                <w:szCs w:val="18"/>
                <w:u w:val="none"/>
              </w:rPr>
            </w:pPr>
          </w:p>
        </w:tc>
        <w:tc>
          <w:tcPr>
            <w:tcW w:w="846" w:type="dxa"/>
            <w:tcBorders>
              <w:top w:val="nil"/>
              <w:left w:val="nil"/>
              <w:bottom w:val="nil"/>
              <w:right w:val="nil"/>
            </w:tcBorders>
            <w:shd w:val="clear" w:color="auto" w:fill="auto"/>
            <w:vAlign w:val="center"/>
          </w:tcPr>
          <w:p w14:paraId="05EF61AC">
            <w:pPr>
              <w:rPr>
                <w:rFonts w:hint="eastAsia" w:ascii="宋体" w:hAnsi="宋体" w:eastAsia="宋体" w:cs="宋体"/>
                <w:i w:val="0"/>
                <w:iCs w:val="0"/>
                <w:color w:val="000000"/>
                <w:sz w:val="18"/>
                <w:szCs w:val="18"/>
                <w:u w:val="none"/>
              </w:rPr>
            </w:pPr>
          </w:p>
        </w:tc>
        <w:tc>
          <w:tcPr>
            <w:tcW w:w="396" w:type="dxa"/>
            <w:tcBorders>
              <w:top w:val="nil"/>
              <w:left w:val="nil"/>
              <w:bottom w:val="nil"/>
              <w:right w:val="nil"/>
            </w:tcBorders>
            <w:shd w:val="clear" w:color="auto" w:fill="auto"/>
            <w:vAlign w:val="center"/>
          </w:tcPr>
          <w:p w14:paraId="04747E1C">
            <w:pPr>
              <w:rPr>
                <w:rFonts w:hint="eastAsia" w:ascii="宋体" w:hAnsi="宋体" w:eastAsia="宋体" w:cs="宋体"/>
                <w:i w:val="0"/>
                <w:iCs w:val="0"/>
                <w:color w:val="000000"/>
                <w:sz w:val="18"/>
                <w:szCs w:val="18"/>
                <w:u w:val="none"/>
              </w:rPr>
            </w:pPr>
          </w:p>
        </w:tc>
        <w:tc>
          <w:tcPr>
            <w:tcW w:w="846" w:type="dxa"/>
            <w:tcBorders>
              <w:top w:val="nil"/>
              <w:left w:val="nil"/>
              <w:bottom w:val="nil"/>
              <w:right w:val="nil"/>
            </w:tcBorders>
            <w:shd w:val="clear" w:color="auto" w:fill="auto"/>
            <w:vAlign w:val="center"/>
          </w:tcPr>
          <w:p w14:paraId="021096F6">
            <w:pPr>
              <w:rPr>
                <w:rFonts w:hint="eastAsia" w:ascii="宋体" w:hAnsi="宋体" w:eastAsia="宋体" w:cs="宋体"/>
                <w:i w:val="0"/>
                <w:iCs w:val="0"/>
                <w:color w:val="000000"/>
                <w:sz w:val="18"/>
                <w:szCs w:val="18"/>
                <w:u w:val="none"/>
              </w:rPr>
            </w:pPr>
          </w:p>
        </w:tc>
        <w:tc>
          <w:tcPr>
            <w:tcW w:w="502" w:type="dxa"/>
            <w:tcBorders>
              <w:top w:val="nil"/>
              <w:left w:val="nil"/>
              <w:bottom w:val="nil"/>
              <w:right w:val="nil"/>
            </w:tcBorders>
            <w:shd w:val="clear" w:color="auto" w:fill="auto"/>
            <w:vAlign w:val="center"/>
          </w:tcPr>
          <w:p w14:paraId="38B25E42">
            <w:pPr>
              <w:rPr>
                <w:rFonts w:hint="eastAsia" w:ascii="宋体" w:hAnsi="宋体" w:eastAsia="宋体" w:cs="宋体"/>
                <w:i w:val="0"/>
                <w:iCs w:val="0"/>
                <w:color w:val="000000"/>
                <w:sz w:val="18"/>
                <w:szCs w:val="18"/>
                <w:u w:val="none"/>
              </w:rPr>
            </w:pPr>
          </w:p>
        </w:tc>
        <w:tc>
          <w:tcPr>
            <w:tcW w:w="445" w:type="dxa"/>
            <w:tcBorders>
              <w:top w:val="nil"/>
              <w:left w:val="nil"/>
              <w:bottom w:val="nil"/>
              <w:right w:val="nil"/>
            </w:tcBorders>
            <w:shd w:val="clear" w:color="auto" w:fill="auto"/>
            <w:vAlign w:val="center"/>
          </w:tcPr>
          <w:p w14:paraId="7580E593">
            <w:pPr>
              <w:rPr>
                <w:rFonts w:hint="eastAsia" w:ascii="宋体" w:hAnsi="宋体" w:eastAsia="宋体" w:cs="宋体"/>
                <w:i w:val="0"/>
                <w:iCs w:val="0"/>
                <w:color w:val="000000"/>
                <w:sz w:val="18"/>
                <w:szCs w:val="18"/>
                <w:u w:val="none"/>
              </w:rPr>
            </w:pPr>
          </w:p>
        </w:tc>
        <w:tc>
          <w:tcPr>
            <w:tcW w:w="968" w:type="dxa"/>
            <w:tcBorders>
              <w:top w:val="nil"/>
              <w:left w:val="nil"/>
              <w:bottom w:val="nil"/>
              <w:right w:val="nil"/>
            </w:tcBorders>
            <w:shd w:val="clear" w:color="auto" w:fill="auto"/>
            <w:vAlign w:val="center"/>
          </w:tcPr>
          <w:p w14:paraId="003A1E0D">
            <w:pPr>
              <w:rPr>
                <w:rFonts w:hint="eastAsia" w:ascii="宋体" w:hAnsi="宋体" w:eastAsia="宋体" w:cs="宋体"/>
                <w:i w:val="0"/>
                <w:iCs w:val="0"/>
                <w:color w:val="000000"/>
                <w:sz w:val="18"/>
                <w:szCs w:val="18"/>
                <w:u w:val="none"/>
              </w:rPr>
            </w:pPr>
          </w:p>
        </w:tc>
      </w:tr>
      <w:tr w14:paraId="37742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8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D7515F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9942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4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777C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33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EBBB1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51322325T000012346994-兴茂小学校教师节慰问金</w:t>
            </w:r>
          </w:p>
        </w:tc>
      </w:tr>
      <w:tr w14:paraId="24075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4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E7B8F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5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5751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46" w:type="dxa"/>
            <w:tcBorders>
              <w:top w:val="nil"/>
              <w:left w:val="nil"/>
              <w:bottom w:val="nil"/>
              <w:right w:val="nil"/>
            </w:tcBorders>
            <w:shd w:val="clear" w:color="auto" w:fill="auto"/>
            <w:vAlign w:val="center"/>
          </w:tcPr>
          <w:p w14:paraId="37BE442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9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89DF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茂县凤仪镇兴茂小学校</w:t>
            </w:r>
          </w:p>
        </w:tc>
      </w:tr>
      <w:tr w14:paraId="13AF0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FAFCD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5094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5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20CC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C3EAA7">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0BD6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FC9AB">
            <w:pP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21C6B7">
            <w:pPr>
              <w:rPr>
                <w:rFonts w:hint="eastAsia" w:ascii="宋体" w:hAnsi="宋体" w:eastAsia="宋体" w:cs="宋体"/>
                <w:i w:val="0"/>
                <w:iCs w:val="0"/>
                <w:color w:val="000000"/>
                <w:sz w:val="18"/>
                <w:szCs w:val="18"/>
                <w:u w:val="none"/>
              </w:rPr>
            </w:pPr>
          </w:p>
        </w:tc>
        <w:tc>
          <w:tcPr>
            <w:tcW w:w="35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9729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《关于解决2025年度第41个教师节慰问金经费请示》茂教【2025】64号文件精神，茂县凤仪镇兴茂小学校申请解决2025年度教师节慰问活动经费88800元。</w:t>
            </w:r>
          </w:p>
        </w:tc>
        <w:tc>
          <w:tcPr>
            <w:tcW w:w="27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24C59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根据茂教【2025】82号文件精神，对全体教职工（包括退休）和支教教师人均400元教师节慰问金88800元。</w:t>
            </w:r>
          </w:p>
        </w:tc>
      </w:tr>
      <w:tr w14:paraId="37F03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1F394">
            <w:pP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2C5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33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1215C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根据相关文件精神，对教职工发放教师节慰问金88800元。</w:t>
            </w:r>
          </w:p>
        </w:tc>
      </w:tr>
      <w:tr w14:paraId="0FF69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6A87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298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1F1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1BB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557C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40C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36B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6F6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5BC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76BE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88108">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ADA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5D6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C8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8.88</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2598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8.88</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F03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8CA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FF339">
            <w:pPr>
              <w:jc w:val="center"/>
              <w:rPr>
                <w:rFonts w:hint="eastAsia" w:ascii="宋体" w:hAnsi="宋体" w:eastAsia="宋体" w:cs="宋体"/>
                <w:i w:val="0"/>
                <w:iCs w:val="0"/>
                <w:color w:val="000000"/>
                <w:sz w:val="18"/>
                <w:szCs w:val="18"/>
                <w:u w:val="none"/>
              </w:rPr>
            </w:pPr>
          </w:p>
        </w:tc>
        <w:tc>
          <w:tcPr>
            <w:tcW w:w="9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3DB06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无</w:t>
            </w:r>
          </w:p>
        </w:tc>
      </w:tr>
      <w:tr w14:paraId="7860F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299D26">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499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5DD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7BD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8.88</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1883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8.88</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C27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516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0AE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CFDB4">
            <w:pPr>
              <w:rPr>
                <w:rFonts w:hint="eastAsia" w:ascii="黑体" w:hAnsi="黑体" w:eastAsia="黑体" w:cs="黑体"/>
                <w:i/>
                <w:iCs/>
                <w:color w:val="000000"/>
                <w:sz w:val="18"/>
                <w:szCs w:val="18"/>
                <w:u w:val="none"/>
              </w:rPr>
            </w:pPr>
          </w:p>
        </w:tc>
      </w:tr>
      <w:tr w14:paraId="12499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C0690">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22B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0C8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CCA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324B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949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967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5BC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3B980">
            <w:pPr>
              <w:rPr>
                <w:rFonts w:hint="eastAsia" w:ascii="黑体" w:hAnsi="黑体" w:eastAsia="黑体" w:cs="黑体"/>
                <w:i/>
                <w:iCs/>
                <w:color w:val="000000"/>
                <w:sz w:val="18"/>
                <w:szCs w:val="18"/>
                <w:u w:val="none"/>
              </w:rPr>
            </w:pPr>
          </w:p>
        </w:tc>
      </w:tr>
      <w:tr w14:paraId="7C571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36C8BC">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A12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BEA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2AD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FA19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B71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B2D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01D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5877A">
            <w:pPr>
              <w:rPr>
                <w:rFonts w:hint="eastAsia" w:ascii="黑体" w:hAnsi="黑体" w:eastAsia="黑体" w:cs="黑体"/>
                <w:i/>
                <w:iCs/>
                <w:color w:val="000000"/>
                <w:sz w:val="18"/>
                <w:szCs w:val="18"/>
                <w:u w:val="none"/>
              </w:rPr>
            </w:pPr>
          </w:p>
        </w:tc>
      </w:tr>
      <w:tr w14:paraId="5F436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C6D96">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9D9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B37AD">
            <w:pPr>
              <w:jc w:val="center"/>
              <w:rPr>
                <w:rFonts w:hint="eastAsia" w:ascii="微软雅黑" w:hAnsi="微软雅黑" w:eastAsia="微软雅黑" w:cs="微软雅黑"/>
                <w:i/>
                <w:iCs/>
                <w:color w:val="000000"/>
                <w:sz w:val="16"/>
                <w:szCs w:val="16"/>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0371A">
            <w:pPr>
              <w:jc w:val="center"/>
              <w:rPr>
                <w:rFonts w:hint="eastAsia" w:ascii="微软雅黑" w:hAnsi="微软雅黑" w:eastAsia="微软雅黑" w:cs="微软雅黑"/>
                <w:i/>
                <w:iCs/>
                <w:color w:val="000000"/>
                <w:sz w:val="16"/>
                <w:szCs w:val="16"/>
                <w:u w:val="none"/>
              </w:rPr>
            </w:pP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2C4AF0">
            <w:pPr>
              <w:jc w:val="center"/>
              <w:rPr>
                <w:rFonts w:hint="eastAsia" w:ascii="微软雅黑" w:hAnsi="微软雅黑" w:eastAsia="微软雅黑" w:cs="微软雅黑"/>
                <w:i/>
                <w:iCs/>
                <w:color w:val="000000"/>
                <w:sz w:val="16"/>
                <w:szCs w:val="16"/>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C792D">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4A3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F46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E3815">
            <w:pPr>
              <w:rPr>
                <w:rFonts w:hint="eastAsia" w:ascii="黑体" w:hAnsi="黑体" w:eastAsia="黑体" w:cs="黑体"/>
                <w:i/>
                <w:iCs/>
                <w:color w:val="000000"/>
                <w:sz w:val="18"/>
                <w:szCs w:val="18"/>
                <w:u w:val="none"/>
              </w:rPr>
            </w:pPr>
          </w:p>
        </w:tc>
      </w:tr>
      <w:tr w14:paraId="5A15F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2CCF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75A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192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999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73B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F00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1E3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3A4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B58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56F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305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59F4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43607">
            <w:pPr>
              <w:jc w:val="center"/>
              <w:rPr>
                <w:rFonts w:hint="eastAsia" w:ascii="宋体" w:hAnsi="宋体" w:eastAsia="宋体" w:cs="宋体"/>
                <w:i w:val="0"/>
                <w:iCs w:val="0"/>
                <w:color w:val="000000"/>
                <w:sz w:val="18"/>
                <w:szCs w:val="18"/>
                <w:u w:val="none"/>
              </w:rPr>
            </w:pPr>
          </w:p>
        </w:tc>
        <w:tc>
          <w:tcPr>
            <w:tcW w:w="8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85FB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221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B65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教师人次</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9BB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19B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222</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761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D5812">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A55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AFA32">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4A33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8B55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47CC5">
            <w:pPr>
              <w:jc w:val="cente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B49F1">
            <w:pPr>
              <w:jc w:val="center"/>
              <w:rPr>
                <w:rFonts w:hint="eastAsia" w:ascii="宋体" w:hAnsi="宋体" w:eastAsia="宋体" w:cs="宋体"/>
                <w:i w:val="0"/>
                <w:iCs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0B7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1A6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资金使用合规率</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E9C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181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7E0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FAE59">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35D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0C59E">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5E4E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C20F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2EE6A">
            <w:pPr>
              <w:jc w:val="cente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0DE3A4">
            <w:pPr>
              <w:jc w:val="center"/>
              <w:rPr>
                <w:rFonts w:hint="eastAsia" w:ascii="宋体" w:hAnsi="宋体" w:eastAsia="宋体" w:cs="宋体"/>
                <w:i w:val="0"/>
                <w:iCs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FB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BFC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2025年9月完成</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996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CE3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15C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92BA4">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321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6BCE3">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5550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12F2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18AB7">
            <w:pPr>
              <w:jc w:val="center"/>
              <w:rPr>
                <w:rFonts w:hint="eastAsia" w:ascii="宋体" w:hAnsi="宋体" w:eastAsia="宋体" w:cs="宋体"/>
                <w:i w:val="0"/>
                <w:iCs w:val="0"/>
                <w:color w:val="000000"/>
                <w:sz w:val="18"/>
                <w:szCs w:val="18"/>
                <w:u w:val="none"/>
              </w:rPr>
            </w:pPr>
          </w:p>
        </w:tc>
        <w:tc>
          <w:tcPr>
            <w:tcW w:w="8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BDD1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E16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34D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项目资金保障</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C94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36F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CD5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FF7E2">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3B3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696C0">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C486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A2B8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913FF">
            <w:pPr>
              <w:jc w:val="cente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EC046">
            <w:pPr>
              <w:jc w:val="center"/>
              <w:rPr>
                <w:rFonts w:hint="eastAsia" w:ascii="宋体" w:hAnsi="宋体" w:eastAsia="宋体" w:cs="宋体"/>
                <w:i w:val="0"/>
                <w:iCs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429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A2A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在编在岗退休人员享受</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063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919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190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BB63A">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923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0583A">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72D6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8D5F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54EBB">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416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E03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D83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教师满意度</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DB7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414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099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9DF3C">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916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2C5C9">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59D7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4102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58853">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486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DD3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B19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项目成本控制</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AD9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6DE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88800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284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4D406">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F82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B2719">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C9D2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5E06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62E59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6FA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1E131">
            <w:pP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0DC7E">
            <w:pPr>
              <w:rPr>
                <w:rFonts w:hint="eastAsia" w:ascii="宋体" w:hAnsi="宋体" w:eastAsia="宋体" w:cs="宋体"/>
                <w:i w:val="0"/>
                <w:iCs w:val="0"/>
                <w:color w:val="000000"/>
                <w:sz w:val="18"/>
                <w:szCs w:val="18"/>
                <w:u w:val="none"/>
              </w:rPr>
            </w:pPr>
          </w:p>
        </w:tc>
      </w:tr>
      <w:tr w14:paraId="3142A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BD2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20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FE4DAB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3978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919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20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A41CCB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88CF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BB3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20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2C3C4B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2DE0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50DEA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项目负责人：蹇志康</w:t>
            </w:r>
          </w:p>
        </w:tc>
        <w:tc>
          <w:tcPr>
            <w:tcW w:w="400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0BD7D5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财务负责人：蹇志康</w:t>
            </w:r>
          </w:p>
        </w:tc>
      </w:tr>
      <w:tr w14:paraId="39861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5" w:type="dxa"/>
            <w:tcBorders>
              <w:top w:val="nil"/>
              <w:left w:val="nil"/>
              <w:bottom w:val="nil"/>
              <w:right w:val="nil"/>
            </w:tcBorders>
            <w:shd w:val="clear" w:color="auto" w:fill="auto"/>
            <w:vAlign w:val="center"/>
          </w:tcPr>
          <w:p w14:paraId="502DA26F">
            <w:pPr>
              <w:rPr>
                <w:rFonts w:hint="eastAsia" w:ascii="宋体" w:hAnsi="宋体" w:eastAsia="宋体" w:cs="宋体"/>
                <w:i w:val="0"/>
                <w:iCs w:val="0"/>
                <w:color w:val="000000"/>
                <w:sz w:val="18"/>
                <w:szCs w:val="18"/>
                <w:u w:val="none"/>
              </w:rPr>
            </w:pPr>
          </w:p>
        </w:tc>
        <w:tc>
          <w:tcPr>
            <w:tcW w:w="866" w:type="dxa"/>
            <w:tcBorders>
              <w:top w:val="nil"/>
              <w:left w:val="nil"/>
              <w:bottom w:val="nil"/>
              <w:right w:val="nil"/>
            </w:tcBorders>
            <w:shd w:val="clear" w:color="auto" w:fill="auto"/>
            <w:vAlign w:val="center"/>
          </w:tcPr>
          <w:p w14:paraId="21DE5140">
            <w:pPr>
              <w:rPr>
                <w:rFonts w:hint="eastAsia" w:ascii="宋体" w:hAnsi="宋体" w:eastAsia="宋体" w:cs="宋体"/>
                <w:i w:val="0"/>
                <w:iCs w:val="0"/>
                <w:color w:val="000000"/>
                <w:sz w:val="18"/>
                <w:szCs w:val="18"/>
                <w:u w:val="none"/>
              </w:rPr>
            </w:pPr>
          </w:p>
        </w:tc>
        <w:tc>
          <w:tcPr>
            <w:tcW w:w="1042" w:type="dxa"/>
            <w:tcBorders>
              <w:top w:val="nil"/>
              <w:left w:val="nil"/>
              <w:bottom w:val="nil"/>
              <w:right w:val="nil"/>
            </w:tcBorders>
            <w:shd w:val="clear" w:color="auto" w:fill="auto"/>
            <w:vAlign w:val="center"/>
          </w:tcPr>
          <w:p w14:paraId="265F64BF">
            <w:pPr>
              <w:rPr>
                <w:rFonts w:hint="eastAsia" w:ascii="宋体" w:hAnsi="宋体" w:eastAsia="宋体" w:cs="宋体"/>
                <w:i w:val="0"/>
                <w:iCs w:val="0"/>
                <w:color w:val="000000"/>
                <w:sz w:val="18"/>
                <w:szCs w:val="18"/>
                <w:u w:val="none"/>
              </w:rPr>
            </w:pPr>
          </w:p>
        </w:tc>
        <w:tc>
          <w:tcPr>
            <w:tcW w:w="915" w:type="dxa"/>
            <w:tcBorders>
              <w:top w:val="nil"/>
              <w:left w:val="nil"/>
              <w:bottom w:val="nil"/>
              <w:right w:val="nil"/>
            </w:tcBorders>
            <w:shd w:val="clear" w:color="auto" w:fill="auto"/>
            <w:vAlign w:val="center"/>
          </w:tcPr>
          <w:p w14:paraId="338B4645">
            <w:pPr>
              <w:rPr>
                <w:rFonts w:hint="eastAsia" w:ascii="宋体" w:hAnsi="宋体" w:eastAsia="宋体" w:cs="宋体"/>
                <w:i w:val="0"/>
                <w:iCs w:val="0"/>
                <w:color w:val="000000"/>
                <w:sz w:val="18"/>
                <w:szCs w:val="18"/>
                <w:u w:val="none"/>
              </w:rPr>
            </w:pPr>
          </w:p>
        </w:tc>
        <w:tc>
          <w:tcPr>
            <w:tcW w:w="379" w:type="dxa"/>
            <w:tcBorders>
              <w:top w:val="nil"/>
              <w:left w:val="nil"/>
              <w:bottom w:val="nil"/>
              <w:right w:val="nil"/>
            </w:tcBorders>
            <w:shd w:val="clear" w:color="auto" w:fill="auto"/>
            <w:vAlign w:val="center"/>
          </w:tcPr>
          <w:p w14:paraId="4A3F2AD1">
            <w:pPr>
              <w:rPr>
                <w:rFonts w:hint="eastAsia" w:ascii="宋体" w:hAnsi="宋体" w:eastAsia="宋体" w:cs="宋体"/>
                <w:i w:val="0"/>
                <w:iCs w:val="0"/>
                <w:color w:val="000000"/>
                <w:sz w:val="18"/>
                <w:szCs w:val="18"/>
                <w:u w:val="none"/>
              </w:rPr>
            </w:pPr>
          </w:p>
        </w:tc>
        <w:tc>
          <w:tcPr>
            <w:tcW w:w="846" w:type="dxa"/>
            <w:tcBorders>
              <w:top w:val="nil"/>
              <w:left w:val="nil"/>
              <w:bottom w:val="nil"/>
              <w:right w:val="nil"/>
            </w:tcBorders>
            <w:shd w:val="clear" w:color="auto" w:fill="auto"/>
            <w:vAlign w:val="center"/>
          </w:tcPr>
          <w:p w14:paraId="2AE776F5">
            <w:pPr>
              <w:rPr>
                <w:rFonts w:hint="eastAsia" w:ascii="宋体" w:hAnsi="宋体" w:eastAsia="宋体" w:cs="宋体"/>
                <w:i w:val="0"/>
                <w:iCs w:val="0"/>
                <w:color w:val="000000"/>
                <w:sz w:val="18"/>
                <w:szCs w:val="18"/>
                <w:u w:val="none"/>
              </w:rPr>
            </w:pPr>
          </w:p>
        </w:tc>
        <w:tc>
          <w:tcPr>
            <w:tcW w:w="396" w:type="dxa"/>
            <w:tcBorders>
              <w:top w:val="nil"/>
              <w:left w:val="nil"/>
              <w:bottom w:val="nil"/>
              <w:right w:val="nil"/>
            </w:tcBorders>
            <w:shd w:val="clear" w:color="auto" w:fill="auto"/>
            <w:vAlign w:val="center"/>
          </w:tcPr>
          <w:p w14:paraId="44CA2335">
            <w:pPr>
              <w:rPr>
                <w:rFonts w:hint="eastAsia" w:ascii="宋体" w:hAnsi="宋体" w:eastAsia="宋体" w:cs="宋体"/>
                <w:i w:val="0"/>
                <w:iCs w:val="0"/>
                <w:color w:val="000000"/>
                <w:sz w:val="18"/>
                <w:szCs w:val="18"/>
                <w:u w:val="none"/>
              </w:rPr>
            </w:pPr>
          </w:p>
        </w:tc>
        <w:tc>
          <w:tcPr>
            <w:tcW w:w="846" w:type="dxa"/>
            <w:tcBorders>
              <w:top w:val="nil"/>
              <w:left w:val="nil"/>
              <w:bottom w:val="nil"/>
              <w:right w:val="nil"/>
            </w:tcBorders>
            <w:shd w:val="clear" w:color="auto" w:fill="auto"/>
            <w:vAlign w:val="center"/>
          </w:tcPr>
          <w:p w14:paraId="139C5ABA">
            <w:pPr>
              <w:rPr>
                <w:rFonts w:hint="eastAsia" w:ascii="宋体" w:hAnsi="宋体" w:eastAsia="宋体" w:cs="宋体"/>
                <w:i w:val="0"/>
                <w:iCs w:val="0"/>
                <w:color w:val="000000"/>
                <w:sz w:val="18"/>
                <w:szCs w:val="18"/>
                <w:u w:val="none"/>
              </w:rPr>
            </w:pPr>
          </w:p>
        </w:tc>
        <w:tc>
          <w:tcPr>
            <w:tcW w:w="502" w:type="dxa"/>
            <w:tcBorders>
              <w:top w:val="nil"/>
              <w:left w:val="nil"/>
              <w:bottom w:val="nil"/>
              <w:right w:val="nil"/>
            </w:tcBorders>
            <w:shd w:val="clear" w:color="auto" w:fill="auto"/>
            <w:vAlign w:val="center"/>
          </w:tcPr>
          <w:p w14:paraId="2C14F0C3">
            <w:pPr>
              <w:rPr>
                <w:rFonts w:hint="eastAsia" w:ascii="宋体" w:hAnsi="宋体" w:eastAsia="宋体" w:cs="宋体"/>
                <w:i w:val="0"/>
                <w:iCs w:val="0"/>
                <w:color w:val="000000"/>
                <w:sz w:val="18"/>
                <w:szCs w:val="18"/>
                <w:u w:val="none"/>
              </w:rPr>
            </w:pPr>
          </w:p>
        </w:tc>
        <w:tc>
          <w:tcPr>
            <w:tcW w:w="445" w:type="dxa"/>
            <w:tcBorders>
              <w:top w:val="nil"/>
              <w:left w:val="nil"/>
              <w:bottom w:val="nil"/>
              <w:right w:val="nil"/>
            </w:tcBorders>
            <w:shd w:val="clear" w:color="auto" w:fill="auto"/>
            <w:vAlign w:val="center"/>
          </w:tcPr>
          <w:p w14:paraId="6B520F50">
            <w:pPr>
              <w:rPr>
                <w:rFonts w:hint="eastAsia" w:ascii="宋体" w:hAnsi="宋体" w:eastAsia="宋体" w:cs="宋体"/>
                <w:i w:val="0"/>
                <w:iCs w:val="0"/>
                <w:color w:val="000000"/>
                <w:sz w:val="18"/>
                <w:szCs w:val="18"/>
                <w:u w:val="none"/>
              </w:rPr>
            </w:pPr>
          </w:p>
        </w:tc>
        <w:tc>
          <w:tcPr>
            <w:tcW w:w="968" w:type="dxa"/>
            <w:tcBorders>
              <w:top w:val="nil"/>
              <w:left w:val="nil"/>
              <w:bottom w:val="nil"/>
              <w:right w:val="nil"/>
            </w:tcBorders>
            <w:shd w:val="clear" w:color="auto" w:fill="auto"/>
            <w:vAlign w:val="center"/>
          </w:tcPr>
          <w:p w14:paraId="13949A18">
            <w:pPr>
              <w:rPr>
                <w:rFonts w:hint="eastAsia" w:ascii="宋体" w:hAnsi="宋体" w:eastAsia="宋体" w:cs="宋体"/>
                <w:i w:val="0"/>
                <w:iCs w:val="0"/>
                <w:color w:val="000000"/>
                <w:sz w:val="18"/>
                <w:szCs w:val="18"/>
                <w:u w:val="none"/>
              </w:rPr>
            </w:pPr>
          </w:p>
        </w:tc>
      </w:tr>
      <w:tr w14:paraId="74913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8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6A5CF1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1CBD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4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BEE9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33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61898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51322325T000012422699-兴茂小学课后延时服务费</w:t>
            </w:r>
          </w:p>
        </w:tc>
      </w:tr>
      <w:tr w14:paraId="31144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4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0D41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5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BF33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46" w:type="dxa"/>
            <w:tcBorders>
              <w:top w:val="nil"/>
              <w:left w:val="nil"/>
              <w:bottom w:val="nil"/>
              <w:right w:val="nil"/>
            </w:tcBorders>
            <w:shd w:val="clear" w:color="auto" w:fill="auto"/>
            <w:vAlign w:val="center"/>
          </w:tcPr>
          <w:p w14:paraId="776B7F1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9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64AC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茂县凤仪镇兴茂小学校</w:t>
            </w:r>
          </w:p>
        </w:tc>
      </w:tr>
      <w:tr w14:paraId="7EADD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CE58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A12C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5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98E8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99CD2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AE57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08946">
            <w:pP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DEA7D">
            <w:pPr>
              <w:rPr>
                <w:rFonts w:hint="eastAsia" w:ascii="宋体" w:hAnsi="宋体" w:eastAsia="宋体" w:cs="宋体"/>
                <w:i w:val="0"/>
                <w:iCs w:val="0"/>
                <w:color w:val="000000"/>
                <w:sz w:val="18"/>
                <w:szCs w:val="18"/>
                <w:u w:val="none"/>
              </w:rPr>
            </w:pPr>
          </w:p>
        </w:tc>
        <w:tc>
          <w:tcPr>
            <w:tcW w:w="35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2AD0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保障学校教育教学正常运转。</w:t>
            </w:r>
          </w:p>
        </w:tc>
        <w:tc>
          <w:tcPr>
            <w:tcW w:w="27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F4514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依照文件精神，收取相应课后服务费，解决了家庭压力。</w:t>
            </w:r>
          </w:p>
        </w:tc>
      </w:tr>
      <w:tr w14:paraId="1C148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D1ECC">
            <w:pP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380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33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C263A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有效缓解家庭压力，改善学生在校生活和学习质量。为实现县域内十五年免费教育发展通过对学生课后提供了基础性保障。</w:t>
            </w:r>
          </w:p>
        </w:tc>
      </w:tr>
      <w:tr w14:paraId="025D2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F0F4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B01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6A7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2C0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798E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F9A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796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EAE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6A1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205A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089DB">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41F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C9C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8B0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127.44</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ECC5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127.44</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AA9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5C1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82219">
            <w:pPr>
              <w:jc w:val="center"/>
              <w:rPr>
                <w:rFonts w:hint="eastAsia" w:ascii="宋体" w:hAnsi="宋体" w:eastAsia="宋体" w:cs="宋体"/>
                <w:i w:val="0"/>
                <w:iCs w:val="0"/>
                <w:color w:val="000000"/>
                <w:sz w:val="18"/>
                <w:szCs w:val="18"/>
                <w:u w:val="none"/>
              </w:rPr>
            </w:pPr>
          </w:p>
        </w:tc>
        <w:tc>
          <w:tcPr>
            <w:tcW w:w="9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F62A6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无</w:t>
            </w:r>
          </w:p>
        </w:tc>
      </w:tr>
      <w:tr w14:paraId="6A934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8D4EB">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CF5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7E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909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379F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E2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141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EAE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00541">
            <w:pPr>
              <w:rPr>
                <w:rFonts w:hint="eastAsia" w:ascii="黑体" w:hAnsi="黑体" w:eastAsia="黑体" w:cs="黑体"/>
                <w:i/>
                <w:iCs/>
                <w:color w:val="000000"/>
                <w:sz w:val="18"/>
                <w:szCs w:val="18"/>
                <w:u w:val="none"/>
              </w:rPr>
            </w:pPr>
          </w:p>
        </w:tc>
      </w:tr>
      <w:tr w14:paraId="4D1D4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51A45">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BF2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89F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011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0D4A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F42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7AD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970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6DE11B">
            <w:pPr>
              <w:rPr>
                <w:rFonts w:hint="eastAsia" w:ascii="黑体" w:hAnsi="黑体" w:eastAsia="黑体" w:cs="黑体"/>
                <w:i/>
                <w:iCs/>
                <w:color w:val="000000"/>
                <w:sz w:val="18"/>
                <w:szCs w:val="18"/>
                <w:u w:val="none"/>
              </w:rPr>
            </w:pPr>
          </w:p>
        </w:tc>
      </w:tr>
      <w:tr w14:paraId="51CC9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F9147">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633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BB9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A55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127.44</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E770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127.44</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816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08C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33C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5BD4F">
            <w:pPr>
              <w:rPr>
                <w:rFonts w:hint="eastAsia" w:ascii="黑体" w:hAnsi="黑体" w:eastAsia="黑体" w:cs="黑体"/>
                <w:i/>
                <w:iCs/>
                <w:color w:val="000000"/>
                <w:sz w:val="18"/>
                <w:szCs w:val="18"/>
                <w:u w:val="none"/>
              </w:rPr>
            </w:pPr>
          </w:p>
        </w:tc>
      </w:tr>
      <w:tr w14:paraId="0F049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30E34">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F16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DFCD1">
            <w:pPr>
              <w:jc w:val="center"/>
              <w:rPr>
                <w:rFonts w:hint="eastAsia" w:ascii="微软雅黑" w:hAnsi="微软雅黑" w:eastAsia="微软雅黑" w:cs="微软雅黑"/>
                <w:i/>
                <w:iCs/>
                <w:color w:val="000000"/>
                <w:sz w:val="16"/>
                <w:szCs w:val="16"/>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9CB2E">
            <w:pPr>
              <w:jc w:val="center"/>
              <w:rPr>
                <w:rFonts w:hint="eastAsia" w:ascii="微软雅黑" w:hAnsi="微软雅黑" w:eastAsia="微软雅黑" w:cs="微软雅黑"/>
                <w:i/>
                <w:iCs/>
                <w:color w:val="000000"/>
                <w:sz w:val="16"/>
                <w:szCs w:val="16"/>
                <w:u w:val="none"/>
              </w:rPr>
            </w:pP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77F2B0">
            <w:pPr>
              <w:jc w:val="center"/>
              <w:rPr>
                <w:rFonts w:hint="eastAsia" w:ascii="微软雅黑" w:hAnsi="微软雅黑" w:eastAsia="微软雅黑" w:cs="微软雅黑"/>
                <w:i/>
                <w:iCs/>
                <w:color w:val="000000"/>
                <w:sz w:val="16"/>
                <w:szCs w:val="16"/>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6E155">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42B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6D7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21574">
            <w:pPr>
              <w:rPr>
                <w:rFonts w:hint="eastAsia" w:ascii="黑体" w:hAnsi="黑体" w:eastAsia="黑体" w:cs="黑体"/>
                <w:i/>
                <w:iCs/>
                <w:color w:val="000000"/>
                <w:sz w:val="18"/>
                <w:szCs w:val="18"/>
                <w:u w:val="none"/>
              </w:rPr>
            </w:pPr>
          </w:p>
        </w:tc>
      </w:tr>
      <w:tr w14:paraId="6DA32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68F9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325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EEB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7C2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5EF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098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098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8A5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AF0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8F1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0CC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EABC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3035A">
            <w:pPr>
              <w:jc w:val="center"/>
              <w:rPr>
                <w:rFonts w:hint="eastAsia" w:ascii="宋体" w:hAnsi="宋体" w:eastAsia="宋体" w:cs="宋体"/>
                <w:i w:val="0"/>
                <w:iCs w:val="0"/>
                <w:color w:val="000000"/>
                <w:sz w:val="18"/>
                <w:szCs w:val="18"/>
                <w:u w:val="none"/>
              </w:rPr>
            </w:pPr>
          </w:p>
        </w:tc>
        <w:tc>
          <w:tcPr>
            <w:tcW w:w="8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DA40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DC3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CE7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学生在校人数</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582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A40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1309</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687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FD10C">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DA7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DF1CA">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AD4F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BA8B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71284">
            <w:pPr>
              <w:jc w:val="cente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195E2">
            <w:pPr>
              <w:jc w:val="center"/>
              <w:rPr>
                <w:rFonts w:hint="eastAsia" w:ascii="宋体" w:hAnsi="宋体" w:eastAsia="宋体" w:cs="宋体"/>
                <w:i w:val="0"/>
                <w:iCs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A1E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018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经费使用的合规率</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B9C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957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6CB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89A09">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EA4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7D3EE">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92C6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9418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A1963">
            <w:pPr>
              <w:jc w:val="cente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6B42C">
            <w:pPr>
              <w:jc w:val="center"/>
              <w:rPr>
                <w:rFonts w:hint="eastAsia" w:ascii="宋体" w:hAnsi="宋体" w:eastAsia="宋体" w:cs="宋体"/>
                <w:i w:val="0"/>
                <w:iCs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463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F26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79B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115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EFC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8FF35">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F69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8FA7C">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61F2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7F71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804F6">
            <w:pPr>
              <w:jc w:val="center"/>
              <w:rPr>
                <w:rFonts w:hint="eastAsia" w:ascii="宋体" w:hAnsi="宋体" w:eastAsia="宋体" w:cs="宋体"/>
                <w:i w:val="0"/>
                <w:iCs w:val="0"/>
                <w:color w:val="000000"/>
                <w:sz w:val="18"/>
                <w:szCs w:val="18"/>
                <w:u w:val="none"/>
              </w:rPr>
            </w:pPr>
          </w:p>
        </w:tc>
        <w:tc>
          <w:tcPr>
            <w:tcW w:w="8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DD1E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73B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EDE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项目资金保障</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72E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8DE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A32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14C56">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424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04792">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0128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D183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2542DD">
            <w:pPr>
              <w:jc w:val="cente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A5E03">
            <w:pPr>
              <w:jc w:val="center"/>
              <w:rPr>
                <w:rFonts w:hint="eastAsia" w:ascii="宋体" w:hAnsi="宋体" w:eastAsia="宋体" w:cs="宋体"/>
                <w:i w:val="0"/>
                <w:iCs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0A0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AF9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保障学校正常运转</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BE4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6BF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CFC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1F6CE">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060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B0F91">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4C6C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B89E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8209C">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77D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382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5EB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社会满意、家长满意、学生满意</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1EB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47A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68A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DC53D">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567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B1847">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4B97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7E3A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B27C8">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E9B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43C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FB6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项目成本控制</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2E1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4E5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648575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8E1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C6813">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6FB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8CAA0">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E698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F6D6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17361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4FB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4415E">
            <w:pP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30BB1">
            <w:pPr>
              <w:rPr>
                <w:rFonts w:hint="eastAsia" w:ascii="宋体" w:hAnsi="宋体" w:eastAsia="宋体" w:cs="宋体"/>
                <w:i w:val="0"/>
                <w:iCs w:val="0"/>
                <w:color w:val="000000"/>
                <w:sz w:val="18"/>
                <w:szCs w:val="18"/>
                <w:u w:val="none"/>
              </w:rPr>
            </w:pPr>
          </w:p>
        </w:tc>
      </w:tr>
      <w:tr w14:paraId="65000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A87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20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410872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通过对学生课后服务工作的实施，保证了小学生在校期间的基本生活学习需求，减轻家长的压力，社会反映良好，满意度达到90%以上。</w:t>
            </w:r>
          </w:p>
        </w:tc>
      </w:tr>
      <w:tr w14:paraId="70424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4E5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20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5A9695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课后服务管理制度需进一步完善。</w:t>
            </w:r>
          </w:p>
        </w:tc>
      </w:tr>
      <w:tr w14:paraId="561DD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084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20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29A02E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1.明确课后服务目标，细化经费管理，2.建立健全课后服务经费管理制度，提高服务效率。</w:t>
            </w:r>
          </w:p>
        </w:tc>
      </w:tr>
      <w:tr w14:paraId="386ED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7D754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项目负责人：蹇志康</w:t>
            </w:r>
          </w:p>
        </w:tc>
        <w:tc>
          <w:tcPr>
            <w:tcW w:w="400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F53AB5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财务负责人：蹇志康</w:t>
            </w:r>
          </w:p>
        </w:tc>
      </w:tr>
      <w:tr w14:paraId="1144E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5" w:type="dxa"/>
            <w:tcBorders>
              <w:top w:val="nil"/>
              <w:left w:val="nil"/>
              <w:bottom w:val="nil"/>
              <w:right w:val="nil"/>
            </w:tcBorders>
            <w:shd w:val="clear" w:color="auto" w:fill="auto"/>
            <w:vAlign w:val="center"/>
          </w:tcPr>
          <w:p w14:paraId="2E136D16">
            <w:pPr>
              <w:rPr>
                <w:rFonts w:hint="eastAsia" w:ascii="宋体" w:hAnsi="宋体" w:eastAsia="宋体" w:cs="宋体"/>
                <w:i w:val="0"/>
                <w:iCs w:val="0"/>
                <w:color w:val="000000"/>
                <w:sz w:val="18"/>
                <w:szCs w:val="18"/>
                <w:u w:val="none"/>
              </w:rPr>
            </w:pPr>
          </w:p>
        </w:tc>
        <w:tc>
          <w:tcPr>
            <w:tcW w:w="866" w:type="dxa"/>
            <w:tcBorders>
              <w:top w:val="nil"/>
              <w:left w:val="nil"/>
              <w:bottom w:val="nil"/>
              <w:right w:val="nil"/>
            </w:tcBorders>
            <w:shd w:val="clear" w:color="auto" w:fill="auto"/>
            <w:vAlign w:val="center"/>
          </w:tcPr>
          <w:p w14:paraId="71A0B3D5">
            <w:pPr>
              <w:rPr>
                <w:rFonts w:hint="eastAsia" w:ascii="宋体" w:hAnsi="宋体" w:eastAsia="宋体" w:cs="宋体"/>
                <w:i w:val="0"/>
                <w:iCs w:val="0"/>
                <w:color w:val="000000"/>
                <w:sz w:val="18"/>
                <w:szCs w:val="18"/>
                <w:u w:val="none"/>
              </w:rPr>
            </w:pPr>
          </w:p>
        </w:tc>
        <w:tc>
          <w:tcPr>
            <w:tcW w:w="1042" w:type="dxa"/>
            <w:tcBorders>
              <w:top w:val="nil"/>
              <w:left w:val="nil"/>
              <w:bottom w:val="nil"/>
              <w:right w:val="nil"/>
            </w:tcBorders>
            <w:shd w:val="clear" w:color="auto" w:fill="auto"/>
            <w:vAlign w:val="center"/>
          </w:tcPr>
          <w:p w14:paraId="453E74E7">
            <w:pPr>
              <w:rPr>
                <w:rFonts w:hint="eastAsia" w:ascii="宋体" w:hAnsi="宋体" w:eastAsia="宋体" w:cs="宋体"/>
                <w:i w:val="0"/>
                <w:iCs w:val="0"/>
                <w:color w:val="000000"/>
                <w:sz w:val="18"/>
                <w:szCs w:val="18"/>
                <w:u w:val="none"/>
              </w:rPr>
            </w:pPr>
          </w:p>
        </w:tc>
        <w:tc>
          <w:tcPr>
            <w:tcW w:w="915" w:type="dxa"/>
            <w:tcBorders>
              <w:top w:val="nil"/>
              <w:left w:val="nil"/>
              <w:bottom w:val="nil"/>
              <w:right w:val="nil"/>
            </w:tcBorders>
            <w:shd w:val="clear" w:color="auto" w:fill="auto"/>
            <w:vAlign w:val="center"/>
          </w:tcPr>
          <w:p w14:paraId="45C245BE">
            <w:pPr>
              <w:rPr>
                <w:rFonts w:hint="eastAsia" w:ascii="宋体" w:hAnsi="宋体" w:eastAsia="宋体" w:cs="宋体"/>
                <w:i w:val="0"/>
                <w:iCs w:val="0"/>
                <w:color w:val="000000"/>
                <w:sz w:val="18"/>
                <w:szCs w:val="18"/>
                <w:u w:val="none"/>
              </w:rPr>
            </w:pPr>
          </w:p>
        </w:tc>
        <w:tc>
          <w:tcPr>
            <w:tcW w:w="379" w:type="dxa"/>
            <w:tcBorders>
              <w:top w:val="nil"/>
              <w:left w:val="nil"/>
              <w:bottom w:val="nil"/>
              <w:right w:val="nil"/>
            </w:tcBorders>
            <w:shd w:val="clear" w:color="auto" w:fill="auto"/>
            <w:vAlign w:val="center"/>
          </w:tcPr>
          <w:p w14:paraId="4DDC836B">
            <w:pPr>
              <w:rPr>
                <w:rFonts w:hint="eastAsia" w:ascii="宋体" w:hAnsi="宋体" w:eastAsia="宋体" w:cs="宋体"/>
                <w:i w:val="0"/>
                <w:iCs w:val="0"/>
                <w:color w:val="000000"/>
                <w:sz w:val="18"/>
                <w:szCs w:val="18"/>
                <w:u w:val="none"/>
              </w:rPr>
            </w:pPr>
          </w:p>
        </w:tc>
        <w:tc>
          <w:tcPr>
            <w:tcW w:w="846" w:type="dxa"/>
            <w:tcBorders>
              <w:top w:val="nil"/>
              <w:left w:val="nil"/>
              <w:bottom w:val="nil"/>
              <w:right w:val="nil"/>
            </w:tcBorders>
            <w:shd w:val="clear" w:color="auto" w:fill="auto"/>
            <w:vAlign w:val="center"/>
          </w:tcPr>
          <w:p w14:paraId="37DC99C0">
            <w:pPr>
              <w:rPr>
                <w:rFonts w:hint="eastAsia" w:ascii="宋体" w:hAnsi="宋体" w:eastAsia="宋体" w:cs="宋体"/>
                <w:i w:val="0"/>
                <w:iCs w:val="0"/>
                <w:color w:val="000000"/>
                <w:sz w:val="18"/>
                <w:szCs w:val="18"/>
                <w:u w:val="none"/>
              </w:rPr>
            </w:pPr>
          </w:p>
        </w:tc>
        <w:tc>
          <w:tcPr>
            <w:tcW w:w="396" w:type="dxa"/>
            <w:tcBorders>
              <w:top w:val="nil"/>
              <w:left w:val="nil"/>
              <w:bottom w:val="nil"/>
              <w:right w:val="nil"/>
            </w:tcBorders>
            <w:shd w:val="clear" w:color="auto" w:fill="auto"/>
            <w:vAlign w:val="center"/>
          </w:tcPr>
          <w:p w14:paraId="493FFF5D">
            <w:pPr>
              <w:rPr>
                <w:rFonts w:hint="eastAsia" w:ascii="宋体" w:hAnsi="宋体" w:eastAsia="宋体" w:cs="宋体"/>
                <w:i w:val="0"/>
                <w:iCs w:val="0"/>
                <w:color w:val="000000"/>
                <w:sz w:val="18"/>
                <w:szCs w:val="18"/>
                <w:u w:val="none"/>
              </w:rPr>
            </w:pPr>
          </w:p>
        </w:tc>
        <w:tc>
          <w:tcPr>
            <w:tcW w:w="846" w:type="dxa"/>
            <w:tcBorders>
              <w:top w:val="nil"/>
              <w:left w:val="nil"/>
              <w:bottom w:val="nil"/>
              <w:right w:val="nil"/>
            </w:tcBorders>
            <w:shd w:val="clear" w:color="auto" w:fill="auto"/>
            <w:vAlign w:val="center"/>
          </w:tcPr>
          <w:p w14:paraId="21EB72BC">
            <w:pPr>
              <w:rPr>
                <w:rFonts w:hint="eastAsia" w:ascii="宋体" w:hAnsi="宋体" w:eastAsia="宋体" w:cs="宋体"/>
                <w:i w:val="0"/>
                <w:iCs w:val="0"/>
                <w:color w:val="000000"/>
                <w:sz w:val="18"/>
                <w:szCs w:val="18"/>
                <w:u w:val="none"/>
              </w:rPr>
            </w:pPr>
          </w:p>
        </w:tc>
        <w:tc>
          <w:tcPr>
            <w:tcW w:w="502" w:type="dxa"/>
            <w:tcBorders>
              <w:top w:val="nil"/>
              <w:left w:val="nil"/>
              <w:bottom w:val="nil"/>
              <w:right w:val="nil"/>
            </w:tcBorders>
            <w:shd w:val="clear" w:color="auto" w:fill="auto"/>
            <w:vAlign w:val="center"/>
          </w:tcPr>
          <w:p w14:paraId="20E85B7E">
            <w:pPr>
              <w:rPr>
                <w:rFonts w:hint="eastAsia" w:ascii="宋体" w:hAnsi="宋体" w:eastAsia="宋体" w:cs="宋体"/>
                <w:i w:val="0"/>
                <w:iCs w:val="0"/>
                <w:color w:val="000000"/>
                <w:sz w:val="18"/>
                <w:szCs w:val="18"/>
                <w:u w:val="none"/>
              </w:rPr>
            </w:pPr>
          </w:p>
        </w:tc>
        <w:tc>
          <w:tcPr>
            <w:tcW w:w="445" w:type="dxa"/>
            <w:tcBorders>
              <w:top w:val="nil"/>
              <w:left w:val="nil"/>
              <w:bottom w:val="nil"/>
              <w:right w:val="nil"/>
            </w:tcBorders>
            <w:shd w:val="clear" w:color="auto" w:fill="auto"/>
            <w:vAlign w:val="center"/>
          </w:tcPr>
          <w:p w14:paraId="7840EF3C">
            <w:pPr>
              <w:rPr>
                <w:rFonts w:hint="eastAsia" w:ascii="宋体" w:hAnsi="宋体" w:eastAsia="宋体" w:cs="宋体"/>
                <w:i w:val="0"/>
                <w:iCs w:val="0"/>
                <w:color w:val="000000"/>
                <w:sz w:val="18"/>
                <w:szCs w:val="18"/>
                <w:u w:val="none"/>
              </w:rPr>
            </w:pPr>
          </w:p>
        </w:tc>
        <w:tc>
          <w:tcPr>
            <w:tcW w:w="968" w:type="dxa"/>
            <w:tcBorders>
              <w:top w:val="nil"/>
              <w:left w:val="nil"/>
              <w:bottom w:val="nil"/>
              <w:right w:val="nil"/>
            </w:tcBorders>
            <w:shd w:val="clear" w:color="auto" w:fill="auto"/>
            <w:vAlign w:val="center"/>
          </w:tcPr>
          <w:p w14:paraId="3F7ECB0D">
            <w:pPr>
              <w:rPr>
                <w:rFonts w:hint="eastAsia" w:ascii="宋体" w:hAnsi="宋体" w:eastAsia="宋体" w:cs="宋体"/>
                <w:i w:val="0"/>
                <w:iCs w:val="0"/>
                <w:color w:val="000000"/>
                <w:sz w:val="18"/>
                <w:szCs w:val="18"/>
                <w:u w:val="none"/>
              </w:rPr>
            </w:pPr>
          </w:p>
        </w:tc>
      </w:tr>
      <w:tr w14:paraId="3E335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8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901627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91FB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4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73F5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33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FBBB9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51322325T000013675028-2025年中央生均公用经费</w:t>
            </w:r>
          </w:p>
        </w:tc>
      </w:tr>
      <w:tr w14:paraId="2D221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4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93A8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5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D9BD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46" w:type="dxa"/>
            <w:tcBorders>
              <w:top w:val="nil"/>
              <w:left w:val="nil"/>
              <w:bottom w:val="nil"/>
              <w:right w:val="nil"/>
            </w:tcBorders>
            <w:shd w:val="clear" w:color="auto" w:fill="auto"/>
            <w:vAlign w:val="center"/>
          </w:tcPr>
          <w:p w14:paraId="764C87D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9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7EF4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茂县凤仪镇兴茂小学校</w:t>
            </w:r>
          </w:p>
        </w:tc>
      </w:tr>
      <w:tr w14:paraId="0244E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D6F8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F7B6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5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B06D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C53077">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47FB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63D27">
            <w:pP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8B6CA">
            <w:pPr>
              <w:rPr>
                <w:rFonts w:hint="eastAsia" w:ascii="宋体" w:hAnsi="宋体" w:eastAsia="宋体" w:cs="宋体"/>
                <w:i w:val="0"/>
                <w:iCs w:val="0"/>
                <w:color w:val="000000"/>
                <w:sz w:val="18"/>
                <w:szCs w:val="18"/>
                <w:u w:val="none"/>
              </w:rPr>
            </w:pPr>
          </w:p>
        </w:tc>
        <w:tc>
          <w:tcPr>
            <w:tcW w:w="35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9663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根据阿州财教（2025）9号资金分配，学校人数1321人，中央生均公用经费合计1436380元，保障学校教育教学工作正常运转</w:t>
            </w:r>
          </w:p>
        </w:tc>
        <w:tc>
          <w:tcPr>
            <w:tcW w:w="27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F24FF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按照年度目标，中央生均公用经费补助到位1436380元，支付1436380元，支付比列为100%。</w:t>
            </w:r>
          </w:p>
        </w:tc>
      </w:tr>
      <w:tr w14:paraId="62907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6B4DB">
            <w:pP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B24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33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215663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通过对小学1321名小学生生均公用经费分配，使学校正常运行，改善学校环境及办学条件。为实现县域内十五年免费教育发展提供了基础性保障。</w:t>
            </w:r>
          </w:p>
        </w:tc>
      </w:tr>
      <w:tr w14:paraId="48B85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06F9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BA8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042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4ED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89BB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E59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2DF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062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172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4AC9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BF3B4">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5DC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CC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4E2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145.85</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4FA1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145.85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A5D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CF7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591A4">
            <w:pPr>
              <w:jc w:val="center"/>
              <w:rPr>
                <w:rFonts w:hint="eastAsia" w:ascii="宋体" w:hAnsi="宋体" w:eastAsia="宋体" w:cs="宋体"/>
                <w:i w:val="0"/>
                <w:iCs w:val="0"/>
                <w:color w:val="000000"/>
                <w:sz w:val="18"/>
                <w:szCs w:val="18"/>
                <w:u w:val="none"/>
              </w:rPr>
            </w:pPr>
          </w:p>
        </w:tc>
        <w:tc>
          <w:tcPr>
            <w:tcW w:w="9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0FEAB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无</w:t>
            </w:r>
          </w:p>
        </w:tc>
      </w:tr>
      <w:tr w14:paraId="64809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152D6">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AAC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B8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819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145.85</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5DD5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145.85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87C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265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878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650CD">
            <w:pPr>
              <w:rPr>
                <w:rFonts w:hint="eastAsia" w:ascii="黑体" w:hAnsi="黑体" w:eastAsia="黑体" w:cs="黑体"/>
                <w:i/>
                <w:iCs/>
                <w:color w:val="000000"/>
                <w:sz w:val="18"/>
                <w:szCs w:val="18"/>
                <w:u w:val="none"/>
              </w:rPr>
            </w:pPr>
          </w:p>
        </w:tc>
      </w:tr>
      <w:tr w14:paraId="71C44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6E7032">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326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512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202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9954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7C2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F0E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A15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99780">
            <w:pPr>
              <w:rPr>
                <w:rFonts w:hint="eastAsia" w:ascii="黑体" w:hAnsi="黑体" w:eastAsia="黑体" w:cs="黑体"/>
                <w:i/>
                <w:iCs/>
                <w:color w:val="000000"/>
                <w:sz w:val="18"/>
                <w:szCs w:val="18"/>
                <w:u w:val="none"/>
              </w:rPr>
            </w:pPr>
          </w:p>
        </w:tc>
      </w:tr>
      <w:tr w14:paraId="1A1EA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BB467">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749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5E6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E38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FF55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B08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566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653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C990F">
            <w:pPr>
              <w:rPr>
                <w:rFonts w:hint="eastAsia" w:ascii="黑体" w:hAnsi="黑体" w:eastAsia="黑体" w:cs="黑体"/>
                <w:i/>
                <w:iCs/>
                <w:color w:val="000000"/>
                <w:sz w:val="18"/>
                <w:szCs w:val="18"/>
                <w:u w:val="none"/>
              </w:rPr>
            </w:pPr>
          </w:p>
        </w:tc>
      </w:tr>
      <w:tr w14:paraId="66070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A2AE6">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E2A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F2C8F">
            <w:pPr>
              <w:jc w:val="center"/>
              <w:rPr>
                <w:rFonts w:hint="eastAsia" w:ascii="微软雅黑" w:hAnsi="微软雅黑" w:eastAsia="微软雅黑" w:cs="微软雅黑"/>
                <w:i/>
                <w:iCs/>
                <w:color w:val="000000"/>
                <w:sz w:val="16"/>
                <w:szCs w:val="16"/>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91A99">
            <w:pPr>
              <w:jc w:val="center"/>
              <w:rPr>
                <w:rFonts w:hint="eastAsia" w:ascii="微软雅黑" w:hAnsi="微软雅黑" w:eastAsia="微软雅黑" w:cs="微软雅黑"/>
                <w:i/>
                <w:iCs/>
                <w:color w:val="000000"/>
                <w:sz w:val="16"/>
                <w:szCs w:val="16"/>
                <w:u w:val="none"/>
              </w:rPr>
            </w:pP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E12A62">
            <w:pPr>
              <w:jc w:val="center"/>
              <w:rPr>
                <w:rFonts w:hint="eastAsia" w:ascii="微软雅黑" w:hAnsi="微软雅黑" w:eastAsia="微软雅黑" w:cs="微软雅黑"/>
                <w:i/>
                <w:iCs/>
                <w:color w:val="000000"/>
                <w:sz w:val="16"/>
                <w:szCs w:val="16"/>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A98DB">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427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4D9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51BEC">
            <w:pPr>
              <w:rPr>
                <w:rFonts w:hint="eastAsia" w:ascii="黑体" w:hAnsi="黑体" w:eastAsia="黑体" w:cs="黑体"/>
                <w:i/>
                <w:iCs/>
                <w:color w:val="000000"/>
                <w:sz w:val="18"/>
                <w:szCs w:val="18"/>
                <w:u w:val="none"/>
              </w:rPr>
            </w:pPr>
          </w:p>
        </w:tc>
      </w:tr>
      <w:tr w14:paraId="46239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2FF9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21F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ADE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B31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2AC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4FE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3B9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835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CD0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BDF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33B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DEB9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8FDF7">
            <w:pPr>
              <w:jc w:val="center"/>
              <w:rPr>
                <w:rFonts w:hint="eastAsia" w:ascii="宋体" w:hAnsi="宋体" w:eastAsia="宋体" w:cs="宋体"/>
                <w:i w:val="0"/>
                <w:iCs w:val="0"/>
                <w:color w:val="000000"/>
                <w:sz w:val="18"/>
                <w:szCs w:val="18"/>
                <w:u w:val="none"/>
              </w:rPr>
            </w:pPr>
          </w:p>
        </w:tc>
        <w:tc>
          <w:tcPr>
            <w:tcW w:w="8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BAB5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249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0A1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生均公用经费人数</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5F1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2EA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1321</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D4A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172D7">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9AA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8A131">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CE17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6F2A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4BCAC">
            <w:pPr>
              <w:jc w:val="cente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58EF6">
            <w:pPr>
              <w:jc w:val="center"/>
              <w:rPr>
                <w:rFonts w:hint="eastAsia" w:ascii="宋体" w:hAnsi="宋体" w:eastAsia="宋体" w:cs="宋体"/>
                <w:i w:val="0"/>
                <w:iCs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9DE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C2A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经费支出合规率</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47A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55C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6E1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2BC76">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24F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C3196">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06C6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635A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8CDF1">
            <w:pPr>
              <w:jc w:val="cente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51061">
            <w:pPr>
              <w:jc w:val="center"/>
              <w:rPr>
                <w:rFonts w:hint="eastAsia" w:ascii="宋体" w:hAnsi="宋体" w:eastAsia="宋体" w:cs="宋体"/>
                <w:i w:val="0"/>
                <w:iCs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392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011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项目完成时限</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CCA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174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5C7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BCBAA">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C96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25218">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EC81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48EF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36D9F">
            <w:pPr>
              <w:jc w:val="center"/>
              <w:rPr>
                <w:rFonts w:hint="eastAsia" w:ascii="宋体" w:hAnsi="宋体" w:eastAsia="宋体" w:cs="宋体"/>
                <w:i w:val="0"/>
                <w:iCs w:val="0"/>
                <w:color w:val="000000"/>
                <w:sz w:val="18"/>
                <w:szCs w:val="18"/>
                <w:u w:val="none"/>
              </w:rPr>
            </w:pPr>
          </w:p>
        </w:tc>
        <w:tc>
          <w:tcPr>
            <w:tcW w:w="8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CFC7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1DD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D80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项目资金保障</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3CD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603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F5D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CF4C6">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88F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10E68">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98FD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A34B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F4866F">
            <w:pPr>
              <w:jc w:val="cente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D7CE1">
            <w:pPr>
              <w:jc w:val="center"/>
              <w:rPr>
                <w:rFonts w:hint="eastAsia" w:ascii="宋体" w:hAnsi="宋体" w:eastAsia="宋体" w:cs="宋体"/>
                <w:i w:val="0"/>
                <w:iCs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625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DA2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保障学校正常运转</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EF0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B32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293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E3536">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B90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7E861">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2D39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3D3C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07A44">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6C0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994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B19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学生满意度</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BFE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B5B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2B6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110B2">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3E0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66DBF">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6D6C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24D9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FE9E7">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261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688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F7A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项目成本控制</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96B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C33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1436380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3D5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元/年</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FE944">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5C5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5AB1B">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9D16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6232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3942B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37D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12D90">
            <w:pP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40408">
            <w:pPr>
              <w:rPr>
                <w:rFonts w:hint="eastAsia" w:ascii="宋体" w:hAnsi="宋体" w:eastAsia="宋体" w:cs="宋体"/>
                <w:i w:val="0"/>
                <w:iCs w:val="0"/>
                <w:color w:val="000000"/>
                <w:sz w:val="18"/>
                <w:szCs w:val="18"/>
                <w:u w:val="none"/>
              </w:rPr>
            </w:pPr>
          </w:p>
        </w:tc>
      </w:tr>
      <w:tr w14:paraId="71B80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1E3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20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A77818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通过对十五年免费教育小学生均公用经费项目的实施，保证了小学生在校时间的正常学习和教师的正常教学，社会反映好，满意度达到90%以上。</w:t>
            </w:r>
          </w:p>
        </w:tc>
      </w:tr>
      <w:tr w14:paraId="6421C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33D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20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AD1A5F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小学生均公用经费管理制度需进一步完善，明确绩效指标和小学生均公用经费界定标准。</w:t>
            </w:r>
          </w:p>
        </w:tc>
      </w:tr>
      <w:tr w14:paraId="39272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0C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20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81DC7A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1.明确小学生均公用经费绩效目标，</w:t>
            </w:r>
            <w:r>
              <w:rPr>
                <w:rFonts w:hint="eastAsia" w:ascii="微软雅黑" w:hAnsi="微软雅黑" w:eastAsia="微软雅黑" w:cs="微软雅黑"/>
                <w:i/>
                <w:iCs/>
                <w:color w:val="000000"/>
                <w:kern w:val="0"/>
                <w:sz w:val="16"/>
                <w:szCs w:val="16"/>
                <w:u w:val="none"/>
                <w:lang w:val="en-US" w:eastAsia="zh-CN" w:bidi="ar"/>
              </w:rPr>
              <w:br w:type="textWrapping"/>
            </w:r>
            <w:r>
              <w:rPr>
                <w:rFonts w:hint="eastAsia" w:ascii="微软雅黑" w:hAnsi="微软雅黑" w:eastAsia="微软雅黑" w:cs="微软雅黑"/>
                <w:i/>
                <w:iCs/>
                <w:color w:val="000000"/>
                <w:kern w:val="0"/>
                <w:sz w:val="16"/>
                <w:szCs w:val="16"/>
                <w:u w:val="none"/>
                <w:lang w:val="en-US" w:eastAsia="zh-CN" w:bidi="ar"/>
              </w:rPr>
              <w:t>2.细化小学生均公用经费管理。.建立健全生均公用经费管理制度。</w:t>
            </w:r>
            <w:r>
              <w:rPr>
                <w:rFonts w:hint="eastAsia" w:ascii="微软雅黑" w:hAnsi="微软雅黑" w:eastAsia="微软雅黑" w:cs="微软雅黑"/>
                <w:i/>
                <w:iCs/>
                <w:color w:val="000000"/>
                <w:kern w:val="0"/>
                <w:sz w:val="16"/>
                <w:szCs w:val="16"/>
                <w:u w:val="none"/>
                <w:lang w:val="en-US" w:eastAsia="zh-CN" w:bidi="ar"/>
              </w:rPr>
              <w:br w:type="textWrapping"/>
            </w:r>
            <w:r>
              <w:rPr>
                <w:rFonts w:hint="eastAsia" w:ascii="微软雅黑" w:hAnsi="微软雅黑" w:eastAsia="微软雅黑" w:cs="微软雅黑"/>
                <w:i/>
                <w:iCs/>
                <w:color w:val="000000"/>
                <w:kern w:val="0"/>
                <w:sz w:val="16"/>
                <w:szCs w:val="16"/>
                <w:u w:val="none"/>
                <w:lang w:val="en-US" w:eastAsia="zh-CN" w:bidi="ar"/>
              </w:rPr>
              <w:t>3.严格执行考核制度，提高服务效率。</w:t>
            </w:r>
          </w:p>
        </w:tc>
      </w:tr>
      <w:tr w14:paraId="4DAB4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13AC7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项目负责人：蹇志康</w:t>
            </w:r>
          </w:p>
        </w:tc>
        <w:tc>
          <w:tcPr>
            <w:tcW w:w="400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129875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财务负责人：蹇志康</w:t>
            </w:r>
          </w:p>
        </w:tc>
      </w:tr>
      <w:tr w14:paraId="329D3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5" w:type="dxa"/>
            <w:tcBorders>
              <w:top w:val="nil"/>
              <w:left w:val="nil"/>
              <w:bottom w:val="nil"/>
              <w:right w:val="nil"/>
            </w:tcBorders>
            <w:shd w:val="clear" w:color="auto" w:fill="auto"/>
            <w:vAlign w:val="center"/>
          </w:tcPr>
          <w:p w14:paraId="1D5D74ED">
            <w:pPr>
              <w:rPr>
                <w:rFonts w:hint="eastAsia" w:ascii="宋体" w:hAnsi="宋体" w:eastAsia="宋体" w:cs="宋体"/>
                <w:i w:val="0"/>
                <w:iCs w:val="0"/>
                <w:color w:val="000000"/>
                <w:sz w:val="18"/>
                <w:szCs w:val="18"/>
                <w:u w:val="none"/>
              </w:rPr>
            </w:pPr>
          </w:p>
        </w:tc>
        <w:tc>
          <w:tcPr>
            <w:tcW w:w="866" w:type="dxa"/>
            <w:tcBorders>
              <w:top w:val="nil"/>
              <w:left w:val="nil"/>
              <w:bottom w:val="nil"/>
              <w:right w:val="nil"/>
            </w:tcBorders>
            <w:shd w:val="clear" w:color="auto" w:fill="auto"/>
            <w:vAlign w:val="center"/>
          </w:tcPr>
          <w:p w14:paraId="6214A6A6">
            <w:pPr>
              <w:rPr>
                <w:rFonts w:hint="eastAsia" w:ascii="宋体" w:hAnsi="宋体" w:eastAsia="宋体" w:cs="宋体"/>
                <w:i w:val="0"/>
                <w:iCs w:val="0"/>
                <w:color w:val="000000"/>
                <w:sz w:val="18"/>
                <w:szCs w:val="18"/>
                <w:u w:val="none"/>
              </w:rPr>
            </w:pPr>
          </w:p>
        </w:tc>
        <w:tc>
          <w:tcPr>
            <w:tcW w:w="1042" w:type="dxa"/>
            <w:tcBorders>
              <w:top w:val="nil"/>
              <w:left w:val="nil"/>
              <w:bottom w:val="nil"/>
              <w:right w:val="nil"/>
            </w:tcBorders>
            <w:shd w:val="clear" w:color="auto" w:fill="auto"/>
            <w:vAlign w:val="center"/>
          </w:tcPr>
          <w:p w14:paraId="784F696D">
            <w:pPr>
              <w:rPr>
                <w:rFonts w:hint="eastAsia" w:ascii="宋体" w:hAnsi="宋体" w:eastAsia="宋体" w:cs="宋体"/>
                <w:i w:val="0"/>
                <w:iCs w:val="0"/>
                <w:color w:val="000000"/>
                <w:sz w:val="18"/>
                <w:szCs w:val="18"/>
                <w:u w:val="none"/>
              </w:rPr>
            </w:pPr>
          </w:p>
        </w:tc>
        <w:tc>
          <w:tcPr>
            <w:tcW w:w="915" w:type="dxa"/>
            <w:tcBorders>
              <w:top w:val="nil"/>
              <w:left w:val="nil"/>
              <w:bottom w:val="nil"/>
              <w:right w:val="nil"/>
            </w:tcBorders>
            <w:shd w:val="clear" w:color="auto" w:fill="auto"/>
            <w:vAlign w:val="center"/>
          </w:tcPr>
          <w:p w14:paraId="4C5CC5A4">
            <w:pPr>
              <w:rPr>
                <w:rFonts w:hint="eastAsia" w:ascii="宋体" w:hAnsi="宋体" w:eastAsia="宋体" w:cs="宋体"/>
                <w:i w:val="0"/>
                <w:iCs w:val="0"/>
                <w:color w:val="000000"/>
                <w:sz w:val="18"/>
                <w:szCs w:val="18"/>
                <w:u w:val="none"/>
              </w:rPr>
            </w:pPr>
          </w:p>
        </w:tc>
        <w:tc>
          <w:tcPr>
            <w:tcW w:w="379" w:type="dxa"/>
            <w:tcBorders>
              <w:top w:val="nil"/>
              <w:left w:val="nil"/>
              <w:bottom w:val="nil"/>
              <w:right w:val="nil"/>
            </w:tcBorders>
            <w:shd w:val="clear" w:color="auto" w:fill="auto"/>
            <w:vAlign w:val="center"/>
          </w:tcPr>
          <w:p w14:paraId="51400BAF">
            <w:pPr>
              <w:rPr>
                <w:rFonts w:hint="eastAsia" w:ascii="宋体" w:hAnsi="宋体" w:eastAsia="宋体" w:cs="宋体"/>
                <w:i w:val="0"/>
                <w:iCs w:val="0"/>
                <w:color w:val="000000"/>
                <w:sz w:val="18"/>
                <w:szCs w:val="18"/>
                <w:u w:val="none"/>
              </w:rPr>
            </w:pPr>
          </w:p>
        </w:tc>
        <w:tc>
          <w:tcPr>
            <w:tcW w:w="846" w:type="dxa"/>
            <w:tcBorders>
              <w:top w:val="nil"/>
              <w:left w:val="nil"/>
              <w:bottom w:val="nil"/>
              <w:right w:val="nil"/>
            </w:tcBorders>
            <w:shd w:val="clear" w:color="auto" w:fill="auto"/>
            <w:vAlign w:val="center"/>
          </w:tcPr>
          <w:p w14:paraId="66784B54">
            <w:pPr>
              <w:rPr>
                <w:rFonts w:hint="eastAsia" w:ascii="宋体" w:hAnsi="宋体" w:eastAsia="宋体" w:cs="宋体"/>
                <w:i w:val="0"/>
                <w:iCs w:val="0"/>
                <w:color w:val="000000"/>
                <w:sz w:val="18"/>
                <w:szCs w:val="18"/>
                <w:u w:val="none"/>
              </w:rPr>
            </w:pPr>
          </w:p>
        </w:tc>
        <w:tc>
          <w:tcPr>
            <w:tcW w:w="396" w:type="dxa"/>
            <w:tcBorders>
              <w:top w:val="nil"/>
              <w:left w:val="nil"/>
              <w:bottom w:val="nil"/>
              <w:right w:val="nil"/>
            </w:tcBorders>
            <w:shd w:val="clear" w:color="auto" w:fill="auto"/>
            <w:vAlign w:val="center"/>
          </w:tcPr>
          <w:p w14:paraId="2399007F">
            <w:pPr>
              <w:rPr>
                <w:rFonts w:hint="eastAsia" w:ascii="宋体" w:hAnsi="宋体" w:eastAsia="宋体" w:cs="宋体"/>
                <w:i w:val="0"/>
                <w:iCs w:val="0"/>
                <w:color w:val="000000"/>
                <w:sz w:val="18"/>
                <w:szCs w:val="18"/>
                <w:u w:val="none"/>
              </w:rPr>
            </w:pPr>
          </w:p>
        </w:tc>
        <w:tc>
          <w:tcPr>
            <w:tcW w:w="846" w:type="dxa"/>
            <w:tcBorders>
              <w:top w:val="nil"/>
              <w:left w:val="nil"/>
              <w:bottom w:val="nil"/>
              <w:right w:val="nil"/>
            </w:tcBorders>
            <w:shd w:val="clear" w:color="auto" w:fill="auto"/>
            <w:vAlign w:val="center"/>
          </w:tcPr>
          <w:p w14:paraId="07D4A45B">
            <w:pPr>
              <w:rPr>
                <w:rFonts w:hint="eastAsia" w:ascii="宋体" w:hAnsi="宋体" w:eastAsia="宋体" w:cs="宋体"/>
                <w:i w:val="0"/>
                <w:iCs w:val="0"/>
                <w:color w:val="000000"/>
                <w:sz w:val="18"/>
                <w:szCs w:val="18"/>
                <w:u w:val="none"/>
              </w:rPr>
            </w:pPr>
          </w:p>
        </w:tc>
        <w:tc>
          <w:tcPr>
            <w:tcW w:w="502" w:type="dxa"/>
            <w:tcBorders>
              <w:top w:val="nil"/>
              <w:left w:val="nil"/>
              <w:bottom w:val="nil"/>
              <w:right w:val="nil"/>
            </w:tcBorders>
            <w:shd w:val="clear" w:color="auto" w:fill="auto"/>
            <w:vAlign w:val="center"/>
          </w:tcPr>
          <w:p w14:paraId="733067F5">
            <w:pPr>
              <w:rPr>
                <w:rFonts w:hint="eastAsia" w:ascii="宋体" w:hAnsi="宋体" w:eastAsia="宋体" w:cs="宋体"/>
                <w:i w:val="0"/>
                <w:iCs w:val="0"/>
                <w:color w:val="000000"/>
                <w:sz w:val="18"/>
                <w:szCs w:val="18"/>
                <w:u w:val="none"/>
              </w:rPr>
            </w:pPr>
          </w:p>
        </w:tc>
        <w:tc>
          <w:tcPr>
            <w:tcW w:w="445" w:type="dxa"/>
            <w:tcBorders>
              <w:top w:val="nil"/>
              <w:left w:val="nil"/>
              <w:bottom w:val="nil"/>
              <w:right w:val="nil"/>
            </w:tcBorders>
            <w:shd w:val="clear" w:color="auto" w:fill="auto"/>
            <w:vAlign w:val="center"/>
          </w:tcPr>
          <w:p w14:paraId="00B45607">
            <w:pPr>
              <w:rPr>
                <w:rFonts w:hint="eastAsia" w:ascii="宋体" w:hAnsi="宋体" w:eastAsia="宋体" w:cs="宋体"/>
                <w:i w:val="0"/>
                <w:iCs w:val="0"/>
                <w:color w:val="000000"/>
                <w:sz w:val="18"/>
                <w:szCs w:val="18"/>
                <w:u w:val="none"/>
              </w:rPr>
            </w:pPr>
          </w:p>
        </w:tc>
        <w:tc>
          <w:tcPr>
            <w:tcW w:w="968" w:type="dxa"/>
            <w:tcBorders>
              <w:top w:val="nil"/>
              <w:left w:val="nil"/>
              <w:bottom w:val="nil"/>
              <w:right w:val="nil"/>
            </w:tcBorders>
            <w:shd w:val="clear" w:color="auto" w:fill="auto"/>
            <w:vAlign w:val="center"/>
          </w:tcPr>
          <w:p w14:paraId="73275A51">
            <w:pPr>
              <w:rPr>
                <w:rFonts w:hint="eastAsia" w:ascii="宋体" w:hAnsi="宋体" w:eastAsia="宋体" w:cs="宋体"/>
                <w:i w:val="0"/>
                <w:iCs w:val="0"/>
                <w:color w:val="000000"/>
                <w:sz w:val="18"/>
                <w:szCs w:val="18"/>
                <w:u w:val="none"/>
              </w:rPr>
            </w:pPr>
          </w:p>
        </w:tc>
      </w:tr>
      <w:tr w14:paraId="2D637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8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E897D9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7F7D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4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4ADD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33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05911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51322325T000013972622-茂县凤仪镇兴茂小学校实习生指导费</w:t>
            </w:r>
          </w:p>
        </w:tc>
      </w:tr>
      <w:tr w14:paraId="3062F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4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60C6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5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E7A7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46" w:type="dxa"/>
            <w:tcBorders>
              <w:top w:val="nil"/>
              <w:left w:val="nil"/>
              <w:bottom w:val="nil"/>
              <w:right w:val="nil"/>
            </w:tcBorders>
            <w:shd w:val="clear" w:color="auto" w:fill="auto"/>
            <w:vAlign w:val="center"/>
          </w:tcPr>
          <w:p w14:paraId="26C35C4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9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56C5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茂县凤仪镇兴茂小学校</w:t>
            </w:r>
          </w:p>
        </w:tc>
      </w:tr>
      <w:tr w14:paraId="662C3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462E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77D2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5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8C5D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5B821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D16D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A3DA7B">
            <w:pP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F1825">
            <w:pPr>
              <w:rPr>
                <w:rFonts w:hint="eastAsia" w:ascii="宋体" w:hAnsi="宋体" w:eastAsia="宋体" w:cs="宋体"/>
                <w:i w:val="0"/>
                <w:iCs w:val="0"/>
                <w:color w:val="000000"/>
                <w:sz w:val="18"/>
                <w:szCs w:val="18"/>
                <w:u w:val="none"/>
              </w:rPr>
            </w:pPr>
          </w:p>
        </w:tc>
        <w:tc>
          <w:tcPr>
            <w:tcW w:w="35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A48D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代收阿坝师范学院2024年秋季学期实习生指导费，金额：6750.00元</w:t>
            </w:r>
          </w:p>
        </w:tc>
        <w:tc>
          <w:tcPr>
            <w:tcW w:w="27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A9061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按照年度目标，完成实习生指导工作。</w:t>
            </w:r>
          </w:p>
        </w:tc>
      </w:tr>
      <w:tr w14:paraId="22754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34CFE">
            <w:pP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837F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33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AB833E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将阿坝师范学院2024年秋季学期实习生指导费6750元全部发放给实习指导教师。</w:t>
            </w:r>
          </w:p>
        </w:tc>
      </w:tr>
      <w:tr w14:paraId="01B36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E82F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A4F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59D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D92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E32F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ED3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69D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27A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56C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9188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75D5B">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C97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EE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85A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0.68</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6840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0.68</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803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43E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6CEF6">
            <w:pPr>
              <w:jc w:val="center"/>
              <w:rPr>
                <w:rFonts w:hint="eastAsia" w:ascii="宋体" w:hAnsi="宋体" w:eastAsia="宋体" w:cs="宋体"/>
                <w:i w:val="0"/>
                <w:iCs w:val="0"/>
                <w:color w:val="000000"/>
                <w:sz w:val="18"/>
                <w:szCs w:val="18"/>
                <w:u w:val="none"/>
              </w:rPr>
            </w:pPr>
          </w:p>
        </w:tc>
        <w:tc>
          <w:tcPr>
            <w:tcW w:w="9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9784A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无</w:t>
            </w:r>
          </w:p>
        </w:tc>
      </w:tr>
      <w:tr w14:paraId="2C965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70960">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FB9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457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D5C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B237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94D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A47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94C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34A67">
            <w:pPr>
              <w:rPr>
                <w:rFonts w:hint="eastAsia" w:ascii="黑体" w:hAnsi="黑体" w:eastAsia="黑体" w:cs="黑体"/>
                <w:i/>
                <w:iCs/>
                <w:color w:val="000000"/>
                <w:sz w:val="18"/>
                <w:szCs w:val="18"/>
                <w:u w:val="none"/>
              </w:rPr>
            </w:pPr>
          </w:p>
        </w:tc>
      </w:tr>
      <w:tr w14:paraId="4912F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5A0C3">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7D3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DB1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B1C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8F89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6B9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5C0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C82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D3E26">
            <w:pPr>
              <w:rPr>
                <w:rFonts w:hint="eastAsia" w:ascii="黑体" w:hAnsi="黑体" w:eastAsia="黑体" w:cs="黑体"/>
                <w:i/>
                <w:iCs/>
                <w:color w:val="000000"/>
                <w:sz w:val="18"/>
                <w:szCs w:val="18"/>
                <w:u w:val="none"/>
              </w:rPr>
            </w:pPr>
          </w:p>
        </w:tc>
      </w:tr>
      <w:tr w14:paraId="474B6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CB33BD">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25E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413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F2E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0.68</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48FE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0.68</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A45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199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EC5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17EE8">
            <w:pPr>
              <w:rPr>
                <w:rFonts w:hint="eastAsia" w:ascii="黑体" w:hAnsi="黑体" w:eastAsia="黑体" w:cs="黑体"/>
                <w:i/>
                <w:iCs/>
                <w:color w:val="000000"/>
                <w:sz w:val="18"/>
                <w:szCs w:val="18"/>
                <w:u w:val="none"/>
              </w:rPr>
            </w:pPr>
          </w:p>
        </w:tc>
      </w:tr>
      <w:tr w14:paraId="67E57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AED38">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917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72E2B">
            <w:pPr>
              <w:jc w:val="center"/>
              <w:rPr>
                <w:rFonts w:hint="eastAsia" w:ascii="微软雅黑" w:hAnsi="微软雅黑" w:eastAsia="微软雅黑" w:cs="微软雅黑"/>
                <w:i/>
                <w:iCs/>
                <w:color w:val="000000"/>
                <w:sz w:val="16"/>
                <w:szCs w:val="16"/>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6C0C1">
            <w:pPr>
              <w:jc w:val="center"/>
              <w:rPr>
                <w:rFonts w:hint="eastAsia" w:ascii="微软雅黑" w:hAnsi="微软雅黑" w:eastAsia="微软雅黑" w:cs="微软雅黑"/>
                <w:i/>
                <w:iCs/>
                <w:color w:val="000000"/>
                <w:sz w:val="16"/>
                <w:szCs w:val="16"/>
                <w:u w:val="none"/>
              </w:rPr>
            </w:pP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6FC6E2">
            <w:pPr>
              <w:jc w:val="center"/>
              <w:rPr>
                <w:rFonts w:hint="eastAsia" w:ascii="微软雅黑" w:hAnsi="微软雅黑" w:eastAsia="微软雅黑" w:cs="微软雅黑"/>
                <w:i/>
                <w:iCs/>
                <w:color w:val="000000"/>
                <w:sz w:val="16"/>
                <w:szCs w:val="16"/>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6C744">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72D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5A1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D0FBC">
            <w:pPr>
              <w:rPr>
                <w:rFonts w:hint="eastAsia" w:ascii="黑体" w:hAnsi="黑体" w:eastAsia="黑体" w:cs="黑体"/>
                <w:i/>
                <w:iCs/>
                <w:color w:val="000000"/>
                <w:sz w:val="18"/>
                <w:szCs w:val="18"/>
                <w:u w:val="none"/>
              </w:rPr>
            </w:pPr>
          </w:p>
        </w:tc>
      </w:tr>
      <w:tr w14:paraId="786CE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D5FD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D85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31A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A48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EB2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0EE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5D3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8A1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02D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65B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A0F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1938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14203">
            <w:pPr>
              <w:jc w:val="center"/>
              <w:rPr>
                <w:rFonts w:hint="eastAsia" w:ascii="宋体" w:hAnsi="宋体" w:eastAsia="宋体" w:cs="宋体"/>
                <w:i w:val="0"/>
                <w:iCs w:val="0"/>
                <w:color w:val="000000"/>
                <w:sz w:val="18"/>
                <w:szCs w:val="18"/>
                <w:u w:val="none"/>
              </w:rPr>
            </w:pPr>
          </w:p>
        </w:tc>
        <w:tc>
          <w:tcPr>
            <w:tcW w:w="8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D55F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9F4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404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实习生接收人数</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2F2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B61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9E8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201DB">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AC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025B6">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0225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087D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EFC20">
            <w:pPr>
              <w:jc w:val="cente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C5AF9">
            <w:pPr>
              <w:jc w:val="center"/>
              <w:rPr>
                <w:rFonts w:hint="eastAsia" w:ascii="宋体" w:hAnsi="宋体" w:eastAsia="宋体" w:cs="宋体"/>
                <w:i w:val="0"/>
                <w:iCs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126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163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经费支出合规率</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5FC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C41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880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6F03C">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A6B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7ADCB">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6315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0B75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9E850">
            <w:pPr>
              <w:jc w:val="cente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E2F4D">
            <w:pPr>
              <w:jc w:val="center"/>
              <w:rPr>
                <w:rFonts w:hint="eastAsia" w:ascii="宋体" w:hAnsi="宋体" w:eastAsia="宋体" w:cs="宋体"/>
                <w:i w:val="0"/>
                <w:iCs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ABC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9C8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项目执行周期</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329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BDC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68F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B92FC">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8B5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9CFA0">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35CF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1E16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36FC0">
            <w:pPr>
              <w:jc w:val="center"/>
              <w:rPr>
                <w:rFonts w:hint="eastAsia" w:ascii="宋体" w:hAnsi="宋体" w:eastAsia="宋体" w:cs="宋体"/>
                <w:i w:val="0"/>
                <w:iCs w:val="0"/>
                <w:color w:val="000000"/>
                <w:sz w:val="18"/>
                <w:szCs w:val="18"/>
                <w:u w:val="none"/>
              </w:rPr>
            </w:pPr>
          </w:p>
        </w:tc>
        <w:tc>
          <w:tcPr>
            <w:tcW w:w="8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FCA8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A7E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CF7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实习任务按期完成率</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28C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1E3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405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F8026">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239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304CD">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3FE5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5D25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754F9">
            <w:pPr>
              <w:jc w:val="cente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D8CB8">
            <w:pPr>
              <w:jc w:val="center"/>
              <w:rPr>
                <w:rFonts w:hint="eastAsia" w:ascii="宋体" w:hAnsi="宋体" w:eastAsia="宋体" w:cs="宋体"/>
                <w:i w:val="0"/>
                <w:iCs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ED9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2A4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实习任务有效完成率</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37D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F0D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F5A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16DAA">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568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A67D7">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9884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0F57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64E6B4">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385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F83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1A3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实习生实习满意度</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CD7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A67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28D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24E92">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5A9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56337">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E76F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B5F7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B7870">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FAF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15B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2BC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项目成本控制</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6B4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013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6750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DF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5BA21">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01B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C3FF3">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581D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88A5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B93A1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901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0439D">
            <w:pP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DB5B4">
            <w:pPr>
              <w:rPr>
                <w:rFonts w:hint="eastAsia" w:ascii="宋体" w:hAnsi="宋体" w:eastAsia="宋体" w:cs="宋体"/>
                <w:i w:val="0"/>
                <w:iCs w:val="0"/>
                <w:color w:val="000000"/>
                <w:sz w:val="18"/>
                <w:szCs w:val="18"/>
                <w:u w:val="none"/>
              </w:rPr>
            </w:pPr>
          </w:p>
        </w:tc>
      </w:tr>
      <w:tr w14:paraId="54D3B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1A7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20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4D7C47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FAB0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612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20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B85A56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6AD9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2A0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20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B6E1D3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6DD8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68CC0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项目负责人：蹇志康</w:t>
            </w:r>
          </w:p>
        </w:tc>
        <w:tc>
          <w:tcPr>
            <w:tcW w:w="400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733656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财务负责人：蹇志康</w:t>
            </w:r>
          </w:p>
        </w:tc>
      </w:tr>
      <w:tr w14:paraId="4F4D5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5" w:type="dxa"/>
            <w:tcBorders>
              <w:top w:val="nil"/>
              <w:left w:val="nil"/>
              <w:bottom w:val="nil"/>
              <w:right w:val="nil"/>
            </w:tcBorders>
            <w:shd w:val="clear" w:color="auto" w:fill="auto"/>
            <w:vAlign w:val="center"/>
          </w:tcPr>
          <w:p w14:paraId="1B09A307">
            <w:pPr>
              <w:rPr>
                <w:rFonts w:hint="eastAsia" w:ascii="宋体" w:hAnsi="宋体" w:eastAsia="宋体" w:cs="宋体"/>
                <w:i w:val="0"/>
                <w:iCs w:val="0"/>
                <w:color w:val="000000"/>
                <w:sz w:val="18"/>
                <w:szCs w:val="18"/>
                <w:u w:val="none"/>
              </w:rPr>
            </w:pPr>
          </w:p>
        </w:tc>
        <w:tc>
          <w:tcPr>
            <w:tcW w:w="866" w:type="dxa"/>
            <w:tcBorders>
              <w:top w:val="nil"/>
              <w:left w:val="nil"/>
              <w:bottom w:val="nil"/>
              <w:right w:val="nil"/>
            </w:tcBorders>
            <w:shd w:val="clear" w:color="auto" w:fill="auto"/>
            <w:vAlign w:val="center"/>
          </w:tcPr>
          <w:p w14:paraId="16701813">
            <w:pPr>
              <w:rPr>
                <w:rFonts w:hint="eastAsia" w:ascii="宋体" w:hAnsi="宋体" w:eastAsia="宋体" w:cs="宋体"/>
                <w:i w:val="0"/>
                <w:iCs w:val="0"/>
                <w:color w:val="000000"/>
                <w:sz w:val="18"/>
                <w:szCs w:val="18"/>
                <w:u w:val="none"/>
              </w:rPr>
            </w:pPr>
          </w:p>
        </w:tc>
        <w:tc>
          <w:tcPr>
            <w:tcW w:w="1042" w:type="dxa"/>
            <w:tcBorders>
              <w:top w:val="nil"/>
              <w:left w:val="nil"/>
              <w:bottom w:val="nil"/>
              <w:right w:val="nil"/>
            </w:tcBorders>
            <w:shd w:val="clear" w:color="auto" w:fill="auto"/>
            <w:vAlign w:val="center"/>
          </w:tcPr>
          <w:p w14:paraId="34739D9E">
            <w:pPr>
              <w:rPr>
                <w:rFonts w:hint="eastAsia" w:ascii="宋体" w:hAnsi="宋体" w:eastAsia="宋体" w:cs="宋体"/>
                <w:i w:val="0"/>
                <w:iCs w:val="0"/>
                <w:color w:val="000000"/>
                <w:sz w:val="18"/>
                <w:szCs w:val="18"/>
                <w:u w:val="none"/>
              </w:rPr>
            </w:pPr>
          </w:p>
        </w:tc>
        <w:tc>
          <w:tcPr>
            <w:tcW w:w="915" w:type="dxa"/>
            <w:tcBorders>
              <w:top w:val="nil"/>
              <w:left w:val="nil"/>
              <w:bottom w:val="nil"/>
              <w:right w:val="nil"/>
            </w:tcBorders>
            <w:shd w:val="clear" w:color="auto" w:fill="auto"/>
            <w:vAlign w:val="center"/>
          </w:tcPr>
          <w:p w14:paraId="6DEBF683">
            <w:pPr>
              <w:rPr>
                <w:rFonts w:hint="eastAsia" w:ascii="宋体" w:hAnsi="宋体" w:eastAsia="宋体" w:cs="宋体"/>
                <w:i w:val="0"/>
                <w:iCs w:val="0"/>
                <w:color w:val="000000"/>
                <w:sz w:val="18"/>
                <w:szCs w:val="18"/>
                <w:u w:val="none"/>
              </w:rPr>
            </w:pPr>
          </w:p>
        </w:tc>
        <w:tc>
          <w:tcPr>
            <w:tcW w:w="379" w:type="dxa"/>
            <w:tcBorders>
              <w:top w:val="nil"/>
              <w:left w:val="nil"/>
              <w:bottom w:val="nil"/>
              <w:right w:val="nil"/>
            </w:tcBorders>
            <w:shd w:val="clear" w:color="auto" w:fill="auto"/>
            <w:vAlign w:val="center"/>
          </w:tcPr>
          <w:p w14:paraId="5A2834DD">
            <w:pPr>
              <w:rPr>
                <w:rFonts w:hint="eastAsia" w:ascii="宋体" w:hAnsi="宋体" w:eastAsia="宋体" w:cs="宋体"/>
                <w:i w:val="0"/>
                <w:iCs w:val="0"/>
                <w:color w:val="000000"/>
                <w:sz w:val="18"/>
                <w:szCs w:val="18"/>
                <w:u w:val="none"/>
              </w:rPr>
            </w:pPr>
          </w:p>
        </w:tc>
        <w:tc>
          <w:tcPr>
            <w:tcW w:w="846" w:type="dxa"/>
            <w:tcBorders>
              <w:top w:val="nil"/>
              <w:left w:val="nil"/>
              <w:bottom w:val="nil"/>
              <w:right w:val="nil"/>
            </w:tcBorders>
            <w:shd w:val="clear" w:color="auto" w:fill="auto"/>
            <w:vAlign w:val="center"/>
          </w:tcPr>
          <w:p w14:paraId="45E6D34D">
            <w:pPr>
              <w:rPr>
                <w:rFonts w:hint="eastAsia" w:ascii="宋体" w:hAnsi="宋体" w:eastAsia="宋体" w:cs="宋体"/>
                <w:i w:val="0"/>
                <w:iCs w:val="0"/>
                <w:color w:val="000000"/>
                <w:sz w:val="18"/>
                <w:szCs w:val="18"/>
                <w:u w:val="none"/>
              </w:rPr>
            </w:pPr>
          </w:p>
        </w:tc>
        <w:tc>
          <w:tcPr>
            <w:tcW w:w="396" w:type="dxa"/>
            <w:tcBorders>
              <w:top w:val="nil"/>
              <w:left w:val="nil"/>
              <w:bottom w:val="nil"/>
              <w:right w:val="nil"/>
            </w:tcBorders>
            <w:shd w:val="clear" w:color="auto" w:fill="auto"/>
            <w:vAlign w:val="center"/>
          </w:tcPr>
          <w:p w14:paraId="692C84B6">
            <w:pPr>
              <w:rPr>
                <w:rFonts w:hint="eastAsia" w:ascii="宋体" w:hAnsi="宋体" w:eastAsia="宋体" w:cs="宋体"/>
                <w:i w:val="0"/>
                <w:iCs w:val="0"/>
                <w:color w:val="000000"/>
                <w:sz w:val="18"/>
                <w:szCs w:val="18"/>
                <w:u w:val="none"/>
              </w:rPr>
            </w:pPr>
          </w:p>
        </w:tc>
        <w:tc>
          <w:tcPr>
            <w:tcW w:w="846" w:type="dxa"/>
            <w:tcBorders>
              <w:top w:val="nil"/>
              <w:left w:val="nil"/>
              <w:bottom w:val="nil"/>
              <w:right w:val="nil"/>
            </w:tcBorders>
            <w:shd w:val="clear" w:color="auto" w:fill="auto"/>
            <w:vAlign w:val="center"/>
          </w:tcPr>
          <w:p w14:paraId="77B0F407">
            <w:pPr>
              <w:rPr>
                <w:rFonts w:hint="eastAsia" w:ascii="宋体" w:hAnsi="宋体" w:eastAsia="宋体" w:cs="宋体"/>
                <w:i w:val="0"/>
                <w:iCs w:val="0"/>
                <w:color w:val="000000"/>
                <w:sz w:val="18"/>
                <w:szCs w:val="18"/>
                <w:u w:val="none"/>
              </w:rPr>
            </w:pPr>
          </w:p>
        </w:tc>
        <w:tc>
          <w:tcPr>
            <w:tcW w:w="502" w:type="dxa"/>
            <w:tcBorders>
              <w:top w:val="nil"/>
              <w:left w:val="nil"/>
              <w:bottom w:val="nil"/>
              <w:right w:val="nil"/>
            </w:tcBorders>
            <w:shd w:val="clear" w:color="auto" w:fill="auto"/>
            <w:vAlign w:val="center"/>
          </w:tcPr>
          <w:p w14:paraId="06101CEB">
            <w:pPr>
              <w:rPr>
                <w:rFonts w:hint="eastAsia" w:ascii="宋体" w:hAnsi="宋体" w:eastAsia="宋体" w:cs="宋体"/>
                <w:i w:val="0"/>
                <w:iCs w:val="0"/>
                <w:color w:val="000000"/>
                <w:sz w:val="18"/>
                <w:szCs w:val="18"/>
                <w:u w:val="none"/>
              </w:rPr>
            </w:pPr>
          </w:p>
        </w:tc>
        <w:tc>
          <w:tcPr>
            <w:tcW w:w="445" w:type="dxa"/>
            <w:tcBorders>
              <w:top w:val="nil"/>
              <w:left w:val="nil"/>
              <w:bottom w:val="nil"/>
              <w:right w:val="nil"/>
            </w:tcBorders>
            <w:shd w:val="clear" w:color="auto" w:fill="auto"/>
            <w:vAlign w:val="center"/>
          </w:tcPr>
          <w:p w14:paraId="77279BFB">
            <w:pPr>
              <w:rPr>
                <w:rFonts w:hint="eastAsia" w:ascii="宋体" w:hAnsi="宋体" w:eastAsia="宋体" w:cs="宋体"/>
                <w:i w:val="0"/>
                <w:iCs w:val="0"/>
                <w:color w:val="000000"/>
                <w:sz w:val="18"/>
                <w:szCs w:val="18"/>
                <w:u w:val="none"/>
              </w:rPr>
            </w:pPr>
          </w:p>
        </w:tc>
        <w:tc>
          <w:tcPr>
            <w:tcW w:w="968" w:type="dxa"/>
            <w:tcBorders>
              <w:top w:val="nil"/>
              <w:left w:val="nil"/>
              <w:bottom w:val="nil"/>
              <w:right w:val="nil"/>
            </w:tcBorders>
            <w:shd w:val="clear" w:color="auto" w:fill="auto"/>
            <w:vAlign w:val="center"/>
          </w:tcPr>
          <w:p w14:paraId="25692E5E">
            <w:pPr>
              <w:rPr>
                <w:rFonts w:hint="eastAsia" w:ascii="宋体" w:hAnsi="宋体" w:eastAsia="宋体" w:cs="宋体"/>
                <w:i w:val="0"/>
                <w:iCs w:val="0"/>
                <w:color w:val="000000"/>
                <w:sz w:val="18"/>
                <w:szCs w:val="18"/>
                <w:u w:val="none"/>
              </w:rPr>
            </w:pPr>
          </w:p>
        </w:tc>
      </w:tr>
      <w:tr w14:paraId="09ED6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8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527FC0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B18C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4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8879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33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02FC9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51322326T000014747047-茂县兴茂小学新生校服费</w:t>
            </w:r>
          </w:p>
        </w:tc>
      </w:tr>
      <w:tr w14:paraId="5D246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4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4F25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5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93CD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46" w:type="dxa"/>
            <w:tcBorders>
              <w:top w:val="nil"/>
              <w:left w:val="nil"/>
              <w:bottom w:val="nil"/>
              <w:right w:val="nil"/>
            </w:tcBorders>
            <w:shd w:val="clear" w:color="auto" w:fill="auto"/>
            <w:vAlign w:val="center"/>
          </w:tcPr>
          <w:p w14:paraId="61A581E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9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E05E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茂县凤仪镇兴茂小学校</w:t>
            </w:r>
          </w:p>
        </w:tc>
      </w:tr>
      <w:tr w14:paraId="6320B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E1C2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4A302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5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0FC2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981A7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5CD1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C6C4F">
            <w:pP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F2CFF">
            <w:pPr>
              <w:rPr>
                <w:rFonts w:hint="eastAsia" w:ascii="宋体" w:hAnsi="宋体" w:eastAsia="宋体" w:cs="宋体"/>
                <w:i w:val="0"/>
                <w:iCs w:val="0"/>
                <w:color w:val="000000"/>
                <w:sz w:val="18"/>
                <w:szCs w:val="18"/>
                <w:u w:val="none"/>
              </w:rPr>
            </w:pPr>
          </w:p>
        </w:tc>
        <w:tc>
          <w:tcPr>
            <w:tcW w:w="35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00F4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茂县凤仪镇兴茂小学2025年秋季学期新增校服费：213*339.5=72313.5元。</w:t>
            </w:r>
          </w:p>
        </w:tc>
        <w:tc>
          <w:tcPr>
            <w:tcW w:w="27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065C6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根据学校教职工以及家长代表大会，学校学生校服统一。</w:t>
            </w:r>
          </w:p>
        </w:tc>
      </w:tr>
      <w:tr w14:paraId="52404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3C2D4">
            <w:pP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84F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33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FBFA3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规范了学校管理，校服价格合适，学生和家长满意。</w:t>
            </w:r>
          </w:p>
        </w:tc>
      </w:tr>
      <w:tr w14:paraId="5FA93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A0AB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865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ACE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31C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D74B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F48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BD9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D7B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9FB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4CA8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0297C">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B71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6CC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D8E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7.23</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2C13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7.23</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25B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FA6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DB45F">
            <w:pPr>
              <w:jc w:val="center"/>
              <w:rPr>
                <w:rFonts w:hint="eastAsia" w:ascii="宋体" w:hAnsi="宋体" w:eastAsia="宋体" w:cs="宋体"/>
                <w:i w:val="0"/>
                <w:iCs w:val="0"/>
                <w:color w:val="000000"/>
                <w:sz w:val="18"/>
                <w:szCs w:val="18"/>
                <w:u w:val="none"/>
              </w:rPr>
            </w:pPr>
          </w:p>
        </w:tc>
        <w:tc>
          <w:tcPr>
            <w:tcW w:w="9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86829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无</w:t>
            </w:r>
          </w:p>
        </w:tc>
      </w:tr>
      <w:tr w14:paraId="42ABE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A1EA9">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F84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D0D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E1D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12AD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5EC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944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7F5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6B17D">
            <w:pPr>
              <w:rPr>
                <w:rFonts w:hint="eastAsia" w:ascii="黑体" w:hAnsi="黑体" w:eastAsia="黑体" w:cs="黑体"/>
                <w:i/>
                <w:iCs/>
                <w:color w:val="000000"/>
                <w:sz w:val="18"/>
                <w:szCs w:val="18"/>
                <w:u w:val="none"/>
              </w:rPr>
            </w:pPr>
          </w:p>
        </w:tc>
      </w:tr>
      <w:tr w14:paraId="2E760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2A8F0">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19C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339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1F7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EB0B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7D9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72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3D8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45BF7">
            <w:pPr>
              <w:rPr>
                <w:rFonts w:hint="eastAsia" w:ascii="黑体" w:hAnsi="黑体" w:eastAsia="黑体" w:cs="黑体"/>
                <w:i/>
                <w:iCs/>
                <w:color w:val="000000"/>
                <w:sz w:val="18"/>
                <w:szCs w:val="18"/>
                <w:u w:val="none"/>
              </w:rPr>
            </w:pPr>
          </w:p>
        </w:tc>
      </w:tr>
      <w:tr w14:paraId="38829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C6179">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363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079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517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7.23</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7818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7.23</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EFE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2FF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D7F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D736D">
            <w:pPr>
              <w:rPr>
                <w:rFonts w:hint="eastAsia" w:ascii="黑体" w:hAnsi="黑体" w:eastAsia="黑体" w:cs="黑体"/>
                <w:i/>
                <w:iCs/>
                <w:color w:val="000000"/>
                <w:sz w:val="18"/>
                <w:szCs w:val="18"/>
                <w:u w:val="none"/>
              </w:rPr>
            </w:pPr>
          </w:p>
        </w:tc>
      </w:tr>
      <w:tr w14:paraId="424CC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DC0D9">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C6B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890CA">
            <w:pPr>
              <w:jc w:val="center"/>
              <w:rPr>
                <w:rFonts w:hint="eastAsia" w:ascii="微软雅黑" w:hAnsi="微软雅黑" w:eastAsia="微软雅黑" w:cs="微软雅黑"/>
                <w:i/>
                <w:iCs/>
                <w:color w:val="000000"/>
                <w:sz w:val="16"/>
                <w:szCs w:val="16"/>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97811">
            <w:pPr>
              <w:jc w:val="center"/>
              <w:rPr>
                <w:rFonts w:hint="eastAsia" w:ascii="微软雅黑" w:hAnsi="微软雅黑" w:eastAsia="微软雅黑" w:cs="微软雅黑"/>
                <w:i/>
                <w:iCs/>
                <w:color w:val="000000"/>
                <w:sz w:val="16"/>
                <w:szCs w:val="16"/>
                <w:u w:val="none"/>
              </w:rPr>
            </w:pP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8CD746">
            <w:pPr>
              <w:jc w:val="center"/>
              <w:rPr>
                <w:rFonts w:hint="eastAsia" w:ascii="微软雅黑" w:hAnsi="微软雅黑" w:eastAsia="微软雅黑" w:cs="微软雅黑"/>
                <w:i/>
                <w:iCs/>
                <w:color w:val="000000"/>
                <w:sz w:val="16"/>
                <w:szCs w:val="16"/>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5B6C5">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E41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81A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4A6E80">
            <w:pPr>
              <w:rPr>
                <w:rFonts w:hint="eastAsia" w:ascii="黑体" w:hAnsi="黑体" w:eastAsia="黑体" w:cs="黑体"/>
                <w:i/>
                <w:iCs/>
                <w:color w:val="000000"/>
                <w:sz w:val="18"/>
                <w:szCs w:val="18"/>
                <w:u w:val="none"/>
              </w:rPr>
            </w:pPr>
          </w:p>
        </w:tc>
      </w:tr>
      <w:tr w14:paraId="356B8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7656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A06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F15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382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0DF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1A0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BD9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7AB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2CC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9C3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89D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D772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F155E">
            <w:pPr>
              <w:jc w:val="center"/>
              <w:rPr>
                <w:rFonts w:hint="eastAsia" w:ascii="宋体" w:hAnsi="宋体" w:eastAsia="宋体" w:cs="宋体"/>
                <w:i w:val="0"/>
                <w:iCs w:val="0"/>
                <w:color w:val="000000"/>
                <w:sz w:val="18"/>
                <w:szCs w:val="18"/>
                <w:u w:val="none"/>
              </w:rPr>
            </w:pPr>
          </w:p>
        </w:tc>
        <w:tc>
          <w:tcPr>
            <w:tcW w:w="8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DC70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D76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A7D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覆盖学生人数</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D56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F3A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213</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430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FB667">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EE8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67C3A">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A1A8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21FA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B9077">
            <w:pPr>
              <w:jc w:val="cente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7D3DF">
            <w:pPr>
              <w:jc w:val="center"/>
              <w:rPr>
                <w:rFonts w:hint="eastAsia" w:ascii="宋体" w:hAnsi="宋体" w:eastAsia="宋体" w:cs="宋体"/>
                <w:i w:val="0"/>
                <w:iCs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825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EB2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保障学生校服质量和个人健康</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065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E1D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330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A0764">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E59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08EF0">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683B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25B0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515BD">
            <w:pPr>
              <w:jc w:val="cente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3FF80">
            <w:pPr>
              <w:jc w:val="center"/>
              <w:rPr>
                <w:rFonts w:hint="eastAsia" w:ascii="宋体" w:hAnsi="宋体" w:eastAsia="宋体" w:cs="宋体"/>
                <w:i w:val="0"/>
                <w:iCs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B86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268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DEF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A89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0C3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天</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2E3A3">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EB6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FB428">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4E8D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83E0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5522A">
            <w:pPr>
              <w:jc w:val="center"/>
              <w:rPr>
                <w:rFonts w:hint="eastAsia" w:ascii="宋体" w:hAnsi="宋体" w:eastAsia="宋体" w:cs="宋体"/>
                <w:i w:val="0"/>
                <w:iCs w:val="0"/>
                <w:color w:val="000000"/>
                <w:sz w:val="18"/>
                <w:szCs w:val="18"/>
                <w:u w:val="none"/>
              </w:rPr>
            </w:pPr>
          </w:p>
        </w:tc>
        <w:tc>
          <w:tcPr>
            <w:tcW w:w="8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632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1BE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41F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校服代收费足额支出</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5EF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C82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B5F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C23CC">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204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E612C">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371A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830E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845C8">
            <w:pPr>
              <w:jc w:val="cente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286FD">
            <w:pPr>
              <w:jc w:val="center"/>
              <w:rPr>
                <w:rFonts w:hint="eastAsia" w:ascii="宋体" w:hAnsi="宋体" w:eastAsia="宋体" w:cs="宋体"/>
                <w:i w:val="0"/>
                <w:iCs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E19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DD2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资金规范使用率</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6CE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779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479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7ED57">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461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742C6">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F517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0472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91568">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232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7A5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C2D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学生满意度</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9C9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5BB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BA2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93F17">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F56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867D8">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5E96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7D15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B01EB">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1AD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9A8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36C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项目资金成本控制</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D51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A34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72313.5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A21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D41A6">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E89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067F7">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0584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06B6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10D52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BD0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C074D">
            <w:pP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9E94A">
            <w:pPr>
              <w:rPr>
                <w:rFonts w:hint="eastAsia" w:ascii="宋体" w:hAnsi="宋体" w:eastAsia="宋体" w:cs="宋体"/>
                <w:i w:val="0"/>
                <w:iCs w:val="0"/>
                <w:color w:val="000000"/>
                <w:sz w:val="18"/>
                <w:szCs w:val="18"/>
                <w:u w:val="none"/>
              </w:rPr>
            </w:pPr>
          </w:p>
        </w:tc>
      </w:tr>
      <w:tr w14:paraId="436F6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2E1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20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201C5F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B717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7C3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20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3376C4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43CB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9CA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20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427966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63F2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4C97F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项目负责人：蹇志康</w:t>
            </w:r>
          </w:p>
        </w:tc>
        <w:tc>
          <w:tcPr>
            <w:tcW w:w="400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3DF529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财务负责人：蹇志康</w:t>
            </w:r>
          </w:p>
        </w:tc>
      </w:tr>
      <w:tr w14:paraId="1472D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5" w:type="dxa"/>
            <w:tcBorders>
              <w:top w:val="nil"/>
              <w:left w:val="nil"/>
              <w:bottom w:val="nil"/>
              <w:right w:val="nil"/>
            </w:tcBorders>
            <w:shd w:val="clear" w:color="auto" w:fill="auto"/>
            <w:vAlign w:val="center"/>
          </w:tcPr>
          <w:p w14:paraId="3C9B6FE5">
            <w:pPr>
              <w:rPr>
                <w:rFonts w:hint="eastAsia" w:ascii="宋体" w:hAnsi="宋体" w:eastAsia="宋体" w:cs="宋体"/>
                <w:i w:val="0"/>
                <w:iCs w:val="0"/>
                <w:color w:val="000000"/>
                <w:sz w:val="18"/>
                <w:szCs w:val="18"/>
                <w:u w:val="none"/>
              </w:rPr>
            </w:pPr>
          </w:p>
        </w:tc>
        <w:tc>
          <w:tcPr>
            <w:tcW w:w="866" w:type="dxa"/>
            <w:tcBorders>
              <w:top w:val="nil"/>
              <w:left w:val="nil"/>
              <w:bottom w:val="nil"/>
              <w:right w:val="nil"/>
            </w:tcBorders>
            <w:shd w:val="clear" w:color="auto" w:fill="auto"/>
            <w:vAlign w:val="center"/>
          </w:tcPr>
          <w:p w14:paraId="48AE9415">
            <w:pPr>
              <w:rPr>
                <w:rFonts w:hint="eastAsia" w:ascii="宋体" w:hAnsi="宋体" w:eastAsia="宋体" w:cs="宋体"/>
                <w:i w:val="0"/>
                <w:iCs w:val="0"/>
                <w:color w:val="000000"/>
                <w:sz w:val="18"/>
                <w:szCs w:val="18"/>
                <w:u w:val="none"/>
              </w:rPr>
            </w:pPr>
          </w:p>
        </w:tc>
        <w:tc>
          <w:tcPr>
            <w:tcW w:w="1042" w:type="dxa"/>
            <w:tcBorders>
              <w:top w:val="nil"/>
              <w:left w:val="nil"/>
              <w:bottom w:val="nil"/>
              <w:right w:val="nil"/>
            </w:tcBorders>
            <w:shd w:val="clear" w:color="auto" w:fill="auto"/>
            <w:vAlign w:val="center"/>
          </w:tcPr>
          <w:p w14:paraId="40D6836D">
            <w:pPr>
              <w:rPr>
                <w:rFonts w:hint="eastAsia" w:ascii="宋体" w:hAnsi="宋体" w:eastAsia="宋体" w:cs="宋体"/>
                <w:i w:val="0"/>
                <w:iCs w:val="0"/>
                <w:color w:val="000000"/>
                <w:sz w:val="18"/>
                <w:szCs w:val="18"/>
                <w:u w:val="none"/>
              </w:rPr>
            </w:pPr>
          </w:p>
        </w:tc>
        <w:tc>
          <w:tcPr>
            <w:tcW w:w="915" w:type="dxa"/>
            <w:tcBorders>
              <w:top w:val="nil"/>
              <w:left w:val="nil"/>
              <w:bottom w:val="nil"/>
              <w:right w:val="nil"/>
            </w:tcBorders>
            <w:shd w:val="clear" w:color="auto" w:fill="auto"/>
            <w:vAlign w:val="center"/>
          </w:tcPr>
          <w:p w14:paraId="0993F551">
            <w:pPr>
              <w:rPr>
                <w:rFonts w:hint="eastAsia" w:ascii="宋体" w:hAnsi="宋体" w:eastAsia="宋体" w:cs="宋体"/>
                <w:i w:val="0"/>
                <w:iCs w:val="0"/>
                <w:color w:val="000000"/>
                <w:sz w:val="18"/>
                <w:szCs w:val="18"/>
                <w:u w:val="none"/>
              </w:rPr>
            </w:pPr>
          </w:p>
        </w:tc>
        <w:tc>
          <w:tcPr>
            <w:tcW w:w="379" w:type="dxa"/>
            <w:tcBorders>
              <w:top w:val="nil"/>
              <w:left w:val="nil"/>
              <w:bottom w:val="nil"/>
              <w:right w:val="nil"/>
            </w:tcBorders>
            <w:shd w:val="clear" w:color="auto" w:fill="auto"/>
            <w:vAlign w:val="center"/>
          </w:tcPr>
          <w:p w14:paraId="581B7151">
            <w:pPr>
              <w:rPr>
                <w:rFonts w:hint="eastAsia" w:ascii="宋体" w:hAnsi="宋体" w:eastAsia="宋体" w:cs="宋体"/>
                <w:i w:val="0"/>
                <w:iCs w:val="0"/>
                <w:color w:val="000000"/>
                <w:sz w:val="18"/>
                <w:szCs w:val="18"/>
                <w:u w:val="none"/>
              </w:rPr>
            </w:pPr>
          </w:p>
        </w:tc>
        <w:tc>
          <w:tcPr>
            <w:tcW w:w="846" w:type="dxa"/>
            <w:tcBorders>
              <w:top w:val="nil"/>
              <w:left w:val="nil"/>
              <w:bottom w:val="nil"/>
              <w:right w:val="nil"/>
            </w:tcBorders>
            <w:shd w:val="clear" w:color="auto" w:fill="auto"/>
            <w:vAlign w:val="center"/>
          </w:tcPr>
          <w:p w14:paraId="2B80DB2F">
            <w:pPr>
              <w:rPr>
                <w:rFonts w:hint="eastAsia" w:ascii="宋体" w:hAnsi="宋体" w:eastAsia="宋体" w:cs="宋体"/>
                <w:i w:val="0"/>
                <w:iCs w:val="0"/>
                <w:color w:val="000000"/>
                <w:sz w:val="18"/>
                <w:szCs w:val="18"/>
                <w:u w:val="none"/>
              </w:rPr>
            </w:pPr>
          </w:p>
        </w:tc>
        <w:tc>
          <w:tcPr>
            <w:tcW w:w="396" w:type="dxa"/>
            <w:tcBorders>
              <w:top w:val="nil"/>
              <w:left w:val="nil"/>
              <w:bottom w:val="nil"/>
              <w:right w:val="nil"/>
            </w:tcBorders>
            <w:shd w:val="clear" w:color="auto" w:fill="auto"/>
            <w:vAlign w:val="center"/>
          </w:tcPr>
          <w:p w14:paraId="0BCE5294">
            <w:pPr>
              <w:rPr>
                <w:rFonts w:hint="eastAsia" w:ascii="宋体" w:hAnsi="宋体" w:eastAsia="宋体" w:cs="宋体"/>
                <w:i w:val="0"/>
                <w:iCs w:val="0"/>
                <w:color w:val="000000"/>
                <w:sz w:val="18"/>
                <w:szCs w:val="18"/>
                <w:u w:val="none"/>
              </w:rPr>
            </w:pPr>
          </w:p>
        </w:tc>
        <w:tc>
          <w:tcPr>
            <w:tcW w:w="846" w:type="dxa"/>
            <w:tcBorders>
              <w:top w:val="nil"/>
              <w:left w:val="nil"/>
              <w:bottom w:val="nil"/>
              <w:right w:val="nil"/>
            </w:tcBorders>
            <w:shd w:val="clear" w:color="auto" w:fill="auto"/>
            <w:vAlign w:val="center"/>
          </w:tcPr>
          <w:p w14:paraId="79DE3181">
            <w:pPr>
              <w:rPr>
                <w:rFonts w:hint="eastAsia" w:ascii="宋体" w:hAnsi="宋体" w:eastAsia="宋体" w:cs="宋体"/>
                <w:i w:val="0"/>
                <w:iCs w:val="0"/>
                <w:color w:val="000000"/>
                <w:sz w:val="18"/>
                <w:szCs w:val="18"/>
                <w:u w:val="none"/>
              </w:rPr>
            </w:pPr>
          </w:p>
        </w:tc>
        <w:tc>
          <w:tcPr>
            <w:tcW w:w="502" w:type="dxa"/>
            <w:tcBorders>
              <w:top w:val="nil"/>
              <w:left w:val="nil"/>
              <w:bottom w:val="nil"/>
              <w:right w:val="nil"/>
            </w:tcBorders>
            <w:shd w:val="clear" w:color="auto" w:fill="auto"/>
            <w:vAlign w:val="center"/>
          </w:tcPr>
          <w:p w14:paraId="79A41522">
            <w:pPr>
              <w:rPr>
                <w:rFonts w:hint="eastAsia" w:ascii="宋体" w:hAnsi="宋体" w:eastAsia="宋体" w:cs="宋体"/>
                <w:i w:val="0"/>
                <w:iCs w:val="0"/>
                <w:color w:val="000000"/>
                <w:sz w:val="18"/>
                <w:szCs w:val="18"/>
                <w:u w:val="none"/>
              </w:rPr>
            </w:pPr>
          </w:p>
        </w:tc>
        <w:tc>
          <w:tcPr>
            <w:tcW w:w="445" w:type="dxa"/>
            <w:tcBorders>
              <w:top w:val="nil"/>
              <w:left w:val="nil"/>
              <w:bottom w:val="nil"/>
              <w:right w:val="nil"/>
            </w:tcBorders>
            <w:shd w:val="clear" w:color="auto" w:fill="auto"/>
            <w:vAlign w:val="center"/>
          </w:tcPr>
          <w:p w14:paraId="5C119D12">
            <w:pPr>
              <w:rPr>
                <w:rFonts w:hint="eastAsia" w:ascii="宋体" w:hAnsi="宋体" w:eastAsia="宋体" w:cs="宋体"/>
                <w:i w:val="0"/>
                <w:iCs w:val="0"/>
                <w:color w:val="000000"/>
                <w:sz w:val="18"/>
                <w:szCs w:val="18"/>
                <w:u w:val="none"/>
              </w:rPr>
            </w:pPr>
          </w:p>
        </w:tc>
        <w:tc>
          <w:tcPr>
            <w:tcW w:w="968" w:type="dxa"/>
            <w:tcBorders>
              <w:top w:val="nil"/>
              <w:left w:val="nil"/>
              <w:bottom w:val="nil"/>
              <w:right w:val="nil"/>
            </w:tcBorders>
            <w:shd w:val="clear" w:color="auto" w:fill="auto"/>
            <w:vAlign w:val="center"/>
          </w:tcPr>
          <w:p w14:paraId="595272A7">
            <w:pPr>
              <w:rPr>
                <w:rFonts w:hint="eastAsia" w:ascii="宋体" w:hAnsi="宋体" w:eastAsia="宋体" w:cs="宋体"/>
                <w:i w:val="0"/>
                <w:iCs w:val="0"/>
                <w:color w:val="000000"/>
                <w:sz w:val="18"/>
                <w:szCs w:val="18"/>
                <w:u w:val="none"/>
              </w:rPr>
            </w:pPr>
          </w:p>
        </w:tc>
      </w:tr>
      <w:tr w14:paraId="7107D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8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215643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28BF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4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9D78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33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4D74D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51322326T000015185565-茂县凤仪镇兴茂小学监考考务费</w:t>
            </w:r>
          </w:p>
        </w:tc>
      </w:tr>
      <w:tr w14:paraId="09902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4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04822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5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D64D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46" w:type="dxa"/>
            <w:tcBorders>
              <w:top w:val="nil"/>
              <w:left w:val="nil"/>
              <w:bottom w:val="nil"/>
              <w:right w:val="nil"/>
            </w:tcBorders>
            <w:shd w:val="clear" w:color="auto" w:fill="auto"/>
            <w:vAlign w:val="center"/>
          </w:tcPr>
          <w:p w14:paraId="3487BDD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9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2886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茂县凤仪镇兴茂小学校</w:t>
            </w:r>
          </w:p>
        </w:tc>
      </w:tr>
      <w:tr w14:paraId="547EC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64F6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CB6D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5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681E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6050B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CC45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74FE6">
            <w:pP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588233">
            <w:pPr>
              <w:rPr>
                <w:rFonts w:hint="eastAsia" w:ascii="宋体" w:hAnsi="宋体" w:eastAsia="宋体" w:cs="宋体"/>
                <w:i w:val="0"/>
                <w:iCs w:val="0"/>
                <w:color w:val="000000"/>
                <w:sz w:val="18"/>
                <w:szCs w:val="18"/>
                <w:u w:val="none"/>
              </w:rPr>
            </w:pPr>
          </w:p>
        </w:tc>
        <w:tc>
          <w:tcPr>
            <w:tcW w:w="357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93D6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按照《阿坝州人力资源和社会保障局人事考试等劳务费支出标准》阿州人社办（2017）220号文件，2026年度全省公开考试录用公务员考试劳务费茂县凤仪镇兴茂小学校监考费39500.00元</w:t>
            </w:r>
          </w:p>
        </w:tc>
        <w:tc>
          <w:tcPr>
            <w:tcW w:w="27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9095F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根据上级要求，完成2026年度全省公开考试录用公务员考试工作并发放考务费。</w:t>
            </w:r>
          </w:p>
        </w:tc>
      </w:tr>
      <w:tr w14:paraId="31F77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EA9FF">
            <w:pP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AE5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33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4AD1D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按照《阿坝州人力资源和社会保障局人事考试等劳务费支出标准》阿州人社办（2017）220号文件，完成了2026年度全省公开考试录用公务员考试工作。</w:t>
            </w:r>
          </w:p>
        </w:tc>
      </w:tr>
      <w:tr w14:paraId="739EA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C7A6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058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0E3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60A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05F8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D5F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EED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D63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E08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63D7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9053D">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B56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8A6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A2F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3.95</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FB7B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B38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44C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81A42">
            <w:pPr>
              <w:jc w:val="center"/>
              <w:rPr>
                <w:rFonts w:hint="eastAsia" w:ascii="宋体" w:hAnsi="宋体" w:eastAsia="宋体" w:cs="宋体"/>
                <w:i w:val="0"/>
                <w:iCs w:val="0"/>
                <w:color w:val="000000"/>
                <w:sz w:val="18"/>
                <w:szCs w:val="18"/>
                <w:u w:val="none"/>
              </w:rPr>
            </w:pPr>
          </w:p>
        </w:tc>
        <w:tc>
          <w:tcPr>
            <w:tcW w:w="9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9881D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无</w:t>
            </w:r>
          </w:p>
        </w:tc>
      </w:tr>
      <w:tr w14:paraId="1FD6D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823BC4">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556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9FE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AB1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768A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9D0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495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747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9BE7F">
            <w:pPr>
              <w:rPr>
                <w:rFonts w:hint="eastAsia" w:ascii="黑体" w:hAnsi="黑体" w:eastAsia="黑体" w:cs="黑体"/>
                <w:i/>
                <w:iCs/>
                <w:color w:val="000000"/>
                <w:sz w:val="18"/>
                <w:szCs w:val="18"/>
                <w:u w:val="none"/>
              </w:rPr>
            </w:pPr>
          </w:p>
        </w:tc>
      </w:tr>
      <w:tr w14:paraId="46912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3FE72">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708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C2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DCC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7A66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BDE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29C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2CC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5BAF8">
            <w:pPr>
              <w:rPr>
                <w:rFonts w:hint="eastAsia" w:ascii="黑体" w:hAnsi="黑体" w:eastAsia="黑体" w:cs="黑体"/>
                <w:i/>
                <w:iCs/>
                <w:color w:val="000000"/>
                <w:sz w:val="18"/>
                <w:szCs w:val="18"/>
                <w:u w:val="none"/>
              </w:rPr>
            </w:pPr>
          </w:p>
        </w:tc>
      </w:tr>
      <w:tr w14:paraId="671FF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D22D8">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4E2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F67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36A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3.95</w:t>
            </w: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56B1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B37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50D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485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91EA4">
            <w:pPr>
              <w:rPr>
                <w:rFonts w:hint="eastAsia" w:ascii="黑体" w:hAnsi="黑体" w:eastAsia="黑体" w:cs="黑体"/>
                <w:i/>
                <w:iCs/>
                <w:color w:val="000000"/>
                <w:sz w:val="18"/>
                <w:szCs w:val="18"/>
                <w:u w:val="none"/>
              </w:rPr>
            </w:pPr>
          </w:p>
        </w:tc>
      </w:tr>
      <w:tr w14:paraId="37DF7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66C83">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BA4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E202A">
            <w:pPr>
              <w:jc w:val="center"/>
              <w:rPr>
                <w:rFonts w:hint="eastAsia" w:ascii="微软雅黑" w:hAnsi="微软雅黑" w:eastAsia="微软雅黑" w:cs="微软雅黑"/>
                <w:i/>
                <w:iCs/>
                <w:color w:val="000000"/>
                <w:sz w:val="16"/>
                <w:szCs w:val="16"/>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1A15F">
            <w:pPr>
              <w:jc w:val="center"/>
              <w:rPr>
                <w:rFonts w:hint="eastAsia" w:ascii="微软雅黑" w:hAnsi="微软雅黑" w:eastAsia="微软雅黑" w:cs="微软雅黑"/>
                <w:i/>
                <w:iCs/>
                <w:color w:val="000000"/>
                <w:sz w:val="16"/>
                <w:szCs w:val="16"/>
                <w:u w:val="none"/>
              </w:rPr>
            </w:pPr>
          </w:p>
        </w:tc>
        <w:tc>
          <w:tcPr>
            <w:tcW w:w="1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35B342">
            <w:pPr>
              <w:jc w:val="center"/>
              <w:rPr>
                <w:rFonts w:hint="eastAsia" w:ascii="微软雅黑" w:hAnsi="微软雅黑" w:eastAsia="微软雅黑" w:cs="微软雅黑"/>
                <w:i/>
                <w:iCs/>
                <w:color w:val="000000"/>
                <w:sz w:val="16"/>
                <w:szCs w:val="16"/>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64CFF">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091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32B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D662C">
            <w:pPr>
              <w:rPr>
                <w:rFonts w:hint="eastAsia" w:ascii="黑体" w:hAnsi="黑体" w:eastAsia="黑体" w:cs="黑体"/>
                <w:i/>
                <w:iCs/>
                <w:color w:val="000000"/>
                <w:sz w:val="18"/>
                <w:szCs w:val="18"/>
                <w:u w:val="none"/>
              </w:rPr>
            </w:pPr>
          </w:p>
        </w:tc>
      </w:tr>
      <w:tr w14:paraId="6CF49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6D68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D57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19D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545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9B1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FB0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92B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390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1D3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83F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343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A671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A1A11">
            <w:pPr>
              <w:jc w:val="center"/>
              <w:rPr>
                <w:rFonts w:hint="eastAsia" w:ascii="宋体" w:hAnsi="宋体" w:eastAsia="宋体" w:cs="宋体"/>
                <w:i w:val="0"/>
                <w:iCs w:val="0"/>
                <w:color w:val="000000"/>
                <w:sz w:val="18"/>
                <w:szCs w:val="18"/>
                <w:u w:val="none"/>
              </w:rPr>
            </w:pPr>
          </w:p>
        </w:tc>
        <w:tc>
          <w:tcPr>
            <w:tcW w:w="8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98AC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8F3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844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参加公务员笔试学校</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C78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0B0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2C7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所</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0A63E">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F71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B3C5E">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EFE8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AE0F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F761B">
            <w:pPr>
              <w:jc w:val="cente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319A9">
            <w:pPr>
              <w:jc w:val="center"/>
              <w:rPr>
                <w:rFonts w:hint="eastAsia" w:ascii="宋体" w:hAnsi="宋体" w:eastAsia="宋体" w:cs="宋体"/>
                <w:i w:val="0"/>
                <w:iCs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E9D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103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公务员笔试工作考务费经费足额发放率</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C01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CCD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B0D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9B50C">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7E0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A4697">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5EC0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F2B6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6"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72FCB">
            <w:pPr>
              <w:jc w:val="cente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28C6A">
            <w:pPr>
              <w:jc w:val="center"/>
              <w:rPr>
                <w:rFonts w:hint="eastAsia" w:ascii="宋体" w:hAnsi="宋体" w:eastAsia="宋体" w:cs="宋体"/>
                <w:i w:val="0"/>
                <w:iCs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DE1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DA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公务员笔试工作考务费完成时限</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471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4EA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829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93FE7">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59F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5D076">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36EA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941E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6"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4880B">
            <w:pPr>
              <w:jc w:val="center"/>
              <w:rPr>
                <w:rFonts w:hint="eastAsia" w:ascii="宋体" w:hAnsi="宋体" w:eastAsia="宋体" w:cs="宋体"/>
                <w:i w:val="0"/>
                <w:iCs w:val="0"/>
                <w:color w:val="000000"/>
                <w:sz w:val="18"/>
                <w:szCs w:val="18"/>
                <w:u w:val="none"/>
              </w:rPr>
            </w:pPr>
          </w:p>
        </w:tc>
        <w:tc>
          <w:tcPr>
            <w:tcW w:w="8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1A51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F42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E2A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保障公务员考试安全、筑牢公务员考试安全防线为考生提供一个公平、安全的考试环境</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FD3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7C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CAE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B7B20">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B7C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1B23C">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D3FF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4525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47E3B">
            <w:pPr>
              <w:jc w:val="center"/>
              <w:rPr>
                <w:rFonts w:hint="eastAsia" w:ascii="宋体" w:hAnsi="宋体" w:eastAsia="宋体" w:cs="宋体"/>
                <w:i w:val="0"/>
                <w:iCs w:val="0"/>
                <w:color w:val="000000"/>
                <w:sz w:val="18"/>
                <w:szCs w:val="18"/>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76EC4">
            <w:pPr>
              <w:jc w:val="center"/>
              <w:rPr>
                <w:rFonts w:hint="eastAsia" w:ascii="宋体" w:hAnsi="宋体" w:eastAsia="宋体" w:cs="宋体"/>
                <w:i w:val="0"/>
                <w:iCs w:val="0"/>
                <w:color w:val="000000"/>
                <w:sz w:val="18"/>
                <w:szCs w:val="18"/>
                <w:u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196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501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保障公务员考试顺利进行</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5C6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184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A04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9BA63">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759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066F0">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E8D5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9A17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4BBD1">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2C5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DB9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A54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参考人员满意度</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055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504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48B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DC6A8">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5E0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73E0F">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DC13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90FC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83082">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3AD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FD0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2B5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项目资金总支出</w:t>
            </w:r>
          </w:p>
        </w:tc>
        <w:tc>
          <w:tcPr>
            <w:tcW w:w="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90A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32E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39500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FD8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C4504">
            <w:pPr>
              <w:jc w:val="center"/>
              <w:rPr>
                <w:rFonts w:hint="eastAsia" w:ascii="微软雅黑" w:hAnsi="微软雅黑" w:eastAsia="微软雅黑" w:cs="微软雅黑"/>
                <w:i/>
                <w:iCs/>
                <w:color w:val="000000"/>
                <w:sz w:val="16"/>
                <w:szCs w:val="16"/>
                <w:u w:val="none"/>
              </w:rPr>
            </w:pP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C0E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4B8E3">
            <w:pPr>
              <w:jc w:val="cente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E956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2FA6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6000F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BB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D97DF">
            <w:pPr>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D5E80">
            <w:pPr>
              <w:rPr>
                <w:rFonts w:hint="eastAsia" w:ascii="宋体" w:hAnsi="宋体" w:eastAsia="宋体" w:cs="宋体"/>
                <w:i w:val="0"/>
                <w:iCs w:val="0"/>
                <w:color w:val="000000"/>
                <w:sz w:val="18"/>
                <w:szCs w:val="18"/>
                <w:u w:val="none"/>
              </w:rPr>
            </w:pPr>
          </w:p>
        </w:tc>
      </w:tr>
      <w:tr w14:paraId="702D0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F76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20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F658D1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62C9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5A8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20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84D138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DF02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5CD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20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540F21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6E64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D52BF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项目负责人：蹇志康</w:t>
            </w:r>
          </w:p>
        </w:tc>
        <w:tc>
          <w:tcPr>
            <w:tcW w:w="400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29648F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财务负责人：蹇志康</w:t>
            </w:r>
          </w:p>
        </w:tc>
      </w:tr>
    </w:tbl>
    <w:p w14:paraId="12AF2A25">
      <w:pPr>
        <w:pageBreakBefore w:val="0"/>
        <w:suppressAutoHyphens/>
        <w:kinsoku/>
        <w:wordWrap/>
        <w:overflowPunct/>
        <w:topLinePunct w:val="0"/>
        <w:autoSpaceDE/>
        <w:autoSpaceDN/>
        <w:bidi w:val="0"/>
        <w:adjustRightInd/>
        <w:snapToGrid/>
        <w:spacing w:line="600" w:lineRule="exact"/>
        <w:jc w:val="center"/>
        <w:outlineLvl w:val="0"/>
        <w:rPr>
          <w:rStyle w:val="37"/>
          <w:rFonts w:hint="eastAsia" w:ascii="黑体" w:hAnsi="黑体" w:eastAsia="黑体"/>
          <w:b w:val="0"/>
          <w:color w:val="auto"/>
          <w:highlight w:val="none"/>
        </w:rPr>
      </w:pPr>
    </w:p>
    <w:p w14:paraId="6354292D">
      <w:pPr>
        <w:pageBreakBefore w:val="0"/>
        <w:suppressAutoHyphens/>
        <w:kinsoku/>
        <w:wordWrap/>
        <w:overflowPunct/>
        <w:topLinePunct w:val="0"/>
        <w:autoSpaceDE/>
        <w:autoSpaceDN/>
        <w:bidi w:val="0"/>
        <w:adjustRightInd/>
        <w:snapToGrid/>
        <w:spacing w:line="600" w:lineRule="exact"/>
        <w:jc w:val="center"/>
        <w:outlineLvl w:val="0"/>
        <w:rPr>
          <w:rStyle w:val="37"/>
          <w:rFonts w:hint="eastAsia" w:ascii="黑体" w:hAnsi="黑体" w:eastAsia="黑体"/>
          <w:b w:val="0"/>
          <w:color w:val="auto"/>
          <w:highlight w:val="none"/>
        </w:rPr>
      </w:pPr>
    </w:p>
    <w:p w14:paraId="703F382D">
      <w:pPr>
        <w:pageBreakBefore w:val="0"/>
        <w:suppressAutoHyphens/>
        <w:kinsoku/>
        <w:wordWrap/>
        <w:overflowPunct/>
        <w:topLinePunct w:val="0"/>
        <w:autoSpaceDE/>
        <w:autoSpaceDN/>
        <w:bidi w:val="0"/>
        <w:adjustRightInd/>
        <w:snapToGrid/>
        <w:spacing w:line="600" w:lineRule="exact"/>
        <w:jc w:val="center"/>
        <w:outlineLvl w:val="0"/>
        <w:rPr>
          <w:rStyle w:val="37"/>
          <w:rFonts w:hint="eastAsia" w:ascii="黑体" w:hAnsi="黑体" w:eastAsia="黑体"/>
          <w:b w:val="0"/>
          <w:color w:val="auto"/>
          <w:highlight w:val="none"/>
        </w:rPr>
      </w:pPr>
    </w:p>
    <w:p w14:paraId="57A0818E">
      <w:pPr>
        <w:pageBreakBefore w:val="0"/>
        <w:suppressAutoHyphens/>
        <w:kinsoku/>
        <w:wordWrap/>
        <w:overflowPunct/>
        <w:topLinePunct w:val="0"/>
        <w:autoSpaceDE/>
        <w:autoSpaceDN/>
        <w:bidi w:val="0"/>
        <w:adjustRightInd/>
        <w:snapToGrid/>
        <w:spacing w:line="600" w:lineRule="exact"/>
        <w:jc w:val="center"/>
        <w:outlineLvl w:val="0"/>
        <w:rPr>
          <w:rStyle w:val="37"/>
          <w:rFonts w:hint="eastAsia" w:ascii="黑体" w:hAnsi="黑体" w:eastAsia="黑体"/>
          <w:b w:val="0"/>
          <w:color w:val="auto"/>
          <w:highlight w:val="none"/>
        </w:rPr>
      </w:pPr>
    </w:p>
    <w:p w14:paraId="39659531">
      <w:pPr>
        <w:pageBreakBefore w:val="0"/>
        <w:suppressAutoHyphens/>
        <w:kinsoku/>
        <w:wordWrap/>
        <w:overflowPunct/>
        <w:topLinePunct w:val="0"/>
        <w:autoSpaceDE/>
        <w:autoSpaceDN/>
        <w:bidi w:val="0"/>
        <w:adjustRightInd/>
        <w:snapToGrid/>
        <w:spacing w:line="600" w:lineRule="exact"/>
        <w:jc w:val="center"/>
        <w:outlineLvl w:val="0"/>
        <w:rPr>
          <w:rStyle w:val="37"/>
          <w:rFonts w:hint="eastAsia" w:ascii="黑体" w:hAnsi="黑体" w:eastAsia="黑体"/>
          <w:b w:val="0"/>
          <w:color w:val="auto"/>
          <w:highlight w:val="none"/>
        </w:rPr>
      </w:pPr>
    </w:p>
    <w:p w14:paraId="688CA7DD">
      <w:pPr>
        <w:pageBreakBefore w:val="0"/>
        <w:suppressAutoHyphens/>
        <w:kinsoku/>
        <w:wordWrap/>
        <w:overflowPunct/>
        <w:topLinePunct w:val="0"/>
        <w:autoSpaceDE/>
        <w:autoSpaceDN/>
        <w:bidi w:val="0"/>
        <w:adjustRightInd/>
        <w:snapToGrid/>
        <w:spacing w:line="600" w:lineRule="exact"/>
        <w:jc w:val="center"/>
        <w:outlineLvl w:val="0"/>
        <w:rPr>
          <w:rStyle w:val="37"/>
          <w:rFonts w:hint="eastAsia" w:ascii="黑体" w:hAnsi="黑体" w:eastAsia="黑体"/>
          <w:b w:val="0"/>
          <w:color w:val="auto"/>
          <w:highlight w:val="none"/>
        </w:rPr>
      </w:pPr>
    </w:p>
    <w:p w14:paraId="5A946001">
      <w:pPr>
        <w:pageBreakBefore w:val="0"/>
        <w:suppressAutoHyphens/>
        <w:kinsoku/>
        <w:wordWrap/>
        <w:overflowPunct/>
        <w:topLinePunct w:val="0"/>
        <w:autoSpaceDE/>
        <w:autoSpaceDN/>
        <w:bidi w:val="0"/>
        <w:adjustRightInd/>
        <w:snapToGrid/>
        <w:spacing w:line="600" w:lineRule="exact"/>
        <w:jc w:val="center"/>
        <w:outlineLvl w:val="0"/>
        <w:rPr>
          <w:rStyle w:val="37"/>
          <w:rFonts w:hint="eastAsia" w:ascii="黑体" w:hAnsi="黑体" w:eastAsia="黑体"/>
          <w:b w:val="0"/>
          <w:color w:val="auto"/>
          <w:highlight w:val="none"/>
        </w:rPr>
      </w:pPr>
    </w:p>
    <w:p w14:paraId="384EAE58">
      <w:pPr>
        <w:pageBreakBefore w:val="0"/>
        <w:suppressAutoHyphens/>
        <w:kinsoku/>
        <w:wordWrap/>
        <w:overflowPunct/>
        <w:topLinePunct w:val="0"/>
        <w:autoSpaceDE/>
        <w:autoSpaceDN/>
        <w:bidi w:val="0"/>
        <w:adjustRightInd/>
        <w:snapToGrid/>
        <w:spacing w:line="600" w:lineRule="exact"/>
        <w:jc w:val="center"/>
        <w:outlineLvl w:val="0"/>
        <w:rPr>
          <w:rStyle w:val="37"/>
          <w:rFonts w:hint="eastAsia" w:ascii="黑体" w:hAnsi="黑体" w:eastAsia="黑体"/>
          <w:b w:val="0"/>
          <w:color w:val="auto"/>
          <w:highlight w:val="none"/>
        </w:rPr>
      </w:pPr>
    </w:p>
    <w:p w14:paraId="1EA8F246">
      <w:pPr>
        <w:pageBreakBefore w:val="0"/>
        <w:suppressAutoHyphens/>
        <w:kinsoku/>
        <w:wordWrap/>
        <w:overflowPunct/>
        <w:topLinePunct w:val="0"/>
        <w:autoSpaceDE/>
        <w:autoSpaceDN/>
        <w:bidi w:val="0"/>
        <w:adjustRightInd/>
        <w:snapToGrid/>
        <w:spacing w:line="600" w:lineRule="exact"/>
        <w:jc w:val="center"/>
        <w:outlineLvl w:val="0"/>
        <w:rPr>
          <w:rStyle w:val="37"/>
          <w:rFonts w:hint="eastAsia" w:ascii="黑体" w:hAnsi="黑体" w:eastAsia="黑体"/>
          <w:b w:val="0"/>
          <w:color w:val="auto"/>
          <w:highlight w:val="none"/>
        </w:rPr>
      </w:pPr>
    </w:p>
    <w:p w14:paraId="243CA1E9">
      <w:pPr>
        <w:pageBreakBefore w:val="0"/>
        <w:suppressAutoHyphens/>
        <w:kinsoku/>
        <w:wordWrap/>
        <w:overflowPunct/>
        <w:topLinePunct w:val="0"/>
        <w:autoSpaceDE/>
        <w:autoSpaceDN/>
        <w:bidi w:val="0"/>
        <w:adjustRightInd/>
        <w:snapToGrid/>
        <w:spacing w:line="600" w:lineRule="exact"/>
        <w:jc w:val="center"/>
        <w:outlineLvl w:val="0"/>
        <w:rPr>
          <w:rFonts w:hint="eastAsia" w:ascii="思源黑体 CN Normal" w:hAnsi="思源黑体 CN Normal" w:eastAsia="思源黑体 CN Normal" w:cs="思源黑体 CN Normal"/>
          <w:b w:val="0"/>
          <w:bCs w:val="0"/>
        </w:rPr>
      </w:pPr>
      <w:r>
        <w:rPr>
          <w:rStyle w:val="37"/>
          <w:rFonts w:hint="eastAsia" w:ascii="黑体" w:hAnsi="黑体" w:eastAsia="黑体"/>
          <w:b w:val="0"/>
          <w:color w:val="auto"/>
          <w:highlight w:val="none"/>
        </w:rPr>
        <w:t>第五部分 附表</w:t>
      </w:r>
      <w:bookmarkEnd w:id="74"/>
      <w:bookmarkEnd w:id="75"/>
      <w:bookmarkEnd w:id="76"/>
      <w:bookmarkEnd w:id="77"/>
    </w:p>
    <w:p w14:paraId="5C875EC1">
      <w:pPr>
        <w:pStyle w:val="6"/>
        <w:pageBreakBefore w:val="0"/>
        <w:kinsoku/>
        <w:wordWrap/>
        <w:overflowPunct/>
        <w:topLinePunct w:val="0"/>
        <w:autoSpaceDE/>
        <w:autoSpaceDN/>
        <w:bidi w:val="0"/>
        <w:adjustRightInd/>
        <w:snapToGrid/>
        <w:spacing w:before="0" w:after="0"/>
        <w:ind w:firstLine="640" w:firstLineChars="200"/>
        <w:rPr>
          <w:rFonts w:hint="eastAsia" w:ascii="仿宋" w:hAnsi="仿宋" w:eastAsia="仿宋" w:cs="仿宋"/>
          <w:b w:val="0"/>
          <w:bCs/>
          <w:color w:val="000000"/>
        </w:rPr>
      </w:pPr>
      <w:bookmarkStart w:id="78" w:name="_Toc16431"/>
      <w:r>
        <w:rPr>
          <w:rFonts w:hint="eastAsia" w:ascii="仿宋" w:hAnsi="仿宋" w:eastAsia="仿宋" w:cs="仿宋"/>
          <w:b w:val="0"/>
          <w:bCs/>
          <w:color w:val="000000"/>
        </w:rPr>
        <w:t>一、收入支出决算总表</w:t>
      </w:r>
      <w:bookmarkEnd w:id="78"/>
    </w:p>
    <w:p w14:paraId="20FB461D">
      <w:pPr>
        <w:pStyle w:val="6"/>
        <w:pageBreakBefore w:val="0"/>
        <w:kinsoku/>
        <w:wordWrap/>
        <w:overflowPunct/>
        <w:topLinePunct w:val="0"/>
        <w:autoSpaceDE/>
        <w:autoSpaceDN/>
        <w:bidi w:val="0"/>
        <w:adjustRightInd/>
        <w:snapToGrid/>
        <w:spacing w:before="0" w:after="0"/>
        <w:ind w:firstLine="640" w:firstLineChars="200"/>
        <w:rPr>
          <w:rFonts w:hint="eastAsia" w:ascii="仿宋" w:hAnsi="仿宋" w:eastAsia="仿宋" w:cs="仿宋"/>
          <w:b w:val="0"/>
          <w:bCs/>
          <w:color w:val="000000"/>
        </w:rPr>
      </w:pPr>
      <w:bookmarkStart w:id="79" w:name="_Toc25389"/>
      <w:r>
        <w:rPr>
          <w:rFonts w:hint="eastAsia" w:ascii="仿宋" w:hAnsi="仿宋" w:eastAsia="仿宋" w:cs="仿宋"/>
          <w:b w:val="0"/>
          <w:bCs/>
          <w:color w:val="000000"/>
        </w:rPr>
        <w:t>二、收入决算表</w:t>
      </w:r>
      <w:bookmarkEnd w:id="79"/>
    </w:p>
    <w:p w14:paraId="04F05626">
      <w:pPr>
        <w:pStyle w:val="6"/>
        <w:pageBreakBefore w:val="0"/>
        <w:kinsoku/>
        <w:wordWrap/>
        <w:overflowPunct/>
        <w:topLinePunct w:val="0"/>
        <w:autoSpaceDE/>
        <w:autoSpaceDN/>
        <w:bidi w:val="0"/>
        <w:adjustRightInd/>
        <w:snapToGrid/>
        <w:spacing w:before="0" w:after="0"/>
        <w:ind w:firstLine="640" w:firstLineChars="200"/>
        <w:rPr>
          <w:rFonts w:hint="eastAsia" w:ascii="仿宋" w:hAnsi="仿宋" w:eastAsia="仿宋" w:cs="仿宋"/>
          <w:b w:val="0"/>
          <w:bCs/>
          <w:color w:val="000000"/>
        </w:rPr>
      </w:pPr>
      <w:bookmarkStart w:id="80" w:name="_Toc10450"/>
      <w:r>
        <w:rPr>
          <w:rFonts w:hint="eastAsia" w:ascii="仿宋" w:hAnsi="仿宋" w:eastAsia="仿宋" w:cs="仿宋"/>
          <w:b w:val="0"/>
          <w:bCs/>
          <w:color w:val="000000"/>
        </w:rPr>
        <w:t>三、支出决算表</w:t>
      </w:r>
      <w:bookmarkEnd w:id="80"/>
    </w:p>
    <w:p w14:paraId="55E9F853">
      <w:pPr>
        <w:pStyle w:val="6"/>
        <w:pageBreakBefore w:val="0"/>
        <w:kinsoku/>
        <w:wordWrap/>
        <w:overflowPunct/>
        <w:topLinePunct w:val="0"/>
        <w:autoSpaceDE/>
        <w:autoSpaceDN/>
        <w:bidi w:val="0"/>
        <w:adjustRightInd/>
        <w:snapToGrid/>
        <w:spacing w:before="0" w:after="0"/>
        <w:ind w:firstLine="640" w:firstLineChars="200"/>
        <w:rPr>
          <w:rFonts w:hint="eastAsia" w:ascii="仿宋" w:hAnsi="仿宋" w:eastAsia="仿宋" w:cs="仿宋"/>
          <w:b w:val="0"/>
          <w:bCs/>
          <w:color w:val="000000"/>
        </w:rPr>
      </w:pPr>
      <w:bookmarkStart w:id="81" w:name="_Toc15415"/>
      <w:r>
        <w:rPr>
          <w:rFonts w:hint="eastAsia" w:ascii="仿宋" w:hAnsi="仿宋" w:eastAsia="仿宋" w:cs="仿宋"/>
          <w:b w:val="0"/>
          <w:bCs/>
          <w:color w:val="000000"/>
        </w:rPr>
        <w:t>四、财政拨款收入支出决算总表</w:t>
      </w:r>
      <w:bookmarkEnd w:id="81"/>
    </w:p>
    <w:p w14:paraId="079ADFFD">
      <w:pPr>
        <w:pStyle w:val="6"/>
        <w:pageBreakBefore w:val="0"/>
        <w:kinsoku/>
        <w:wordWrap/>
        <w:overflowPunct/>
        <w:topLinePunct w:val="0"/>
        <w:autoSpaceDE/>
        <w:autoSpaceDN/>
        <w:bidi w:val="0"/>
        <w:adjustRightInd/>
        <w:snapToGrid/>
        <w:spacing w:before="0" w:after="0"/>
        <w:ind w:firstLine="640" w:firstLineChars="200"/>
        <w:rPr>
          <w:rFonts w:hint="eastAsia" w:ascii="仿宋" w:hAnsi="仿宋" w:eastAsia="仿宋" w:cs="仿宋"/>
          <w:b w:val="0"/>
          <w:bCs/>
          <w:color w:val="000000"/>
        </w:rPr>
      </w:pPr>
      <w:bookmarkStart w:id="82" w:name="_Toc17530"/>
      <w:r>
        <w:rPr>
          <w:rFonts w:hint="eastAsia" w:ascii="仿宋" w:hAnsi="仿宋" w:eastAsia="仿宋" w:cs="仿宋"/>
          <w:b w:val="0"/>
          <w:bCs/>
          <w:color w:val="000000"/>
        </w:rPr>
        <w:t>五、财政拨款支出决算明细表</w:t>
      </w:r>
      <w:bookmarkEnd w:id="82"/>
    </w:p>
    <w:p w14:paraId="0303BE25">
      <w:pPr>
        <w:pStyle w:val="6"/>
        <w:pageBreakBefore w:val="0"/>
        <w:kinsoku/>
        <w:wordWrap/>
        <w:overflowPunct/>
        <w:topLinePunct w:val="0"/>
        <w:autoSpaceDE/>
        <w:autoSpaceDN/>
        <w:bidi w:val="0"/>
        <w:adjustRightInd/>
        <w:snapToGrid/>
        <w:spacing w:before="0" w:after="0"/>
        <w:ind w:firstLine="640" w:firstLineChars="200"/>
        <w:rPr>
          <w:rFonts w:hint="eastAsia" w:ascii="仿宋" w:hAnsi="仿宋" w:eastAsia="仿宋" w:cs="仿宋"/>
          <w:b w:val="0"/>
          <w:bCs/>
          <w:color w:val="000000"/>
        </w:rPr>
      </w:pPr>
      <w:bookmarkStart w:id="83" w:name="_Toc22032"/>
      <w:r>
        <w:rPr>
          <w:rFonts w:hint="eastAsia" w:ascii="仿宋" w:hAnsi="仿宋" w:eastAsia="仿宋" w:cs="仿宋"/>
          <w:b w:val="0"/>
          <w:bCs/>
          <w:color w:val="000000"/>
        </w:rPr>
        <w:t>六、一般公共预算财政拨款支出决算表</w:t>
      </w:r>
      <w:bookmarkEnd w:id="83"/>
    </w:p>
    <w:p w14:paraId="5DB1D797">
      <w:pPr>
        <w:pStyle w:val="6"/>
        <w:pageBreakBefore w:val="0"/>
        <w:kinsoku/>
        <w:wordWrap/>
        <w:overflowPunct/>
        <w:topLinePunct w:val="0"/>
        <w:autoSpaceDE/>
        <w:autoSpaceDN/>
        <w:bidi w:val="0"/>
        <w:adjustRightInd/>
        <w:snapToGrid/>
        <w:spacing w:before="0" w:after="0"/>
        <w:ind w:firstLine="640" w:firstLineChars="200"/>
        <w:rPr>
          <w:rFonts w:hint="eastAsia" w:ascii="仿宋" w:hAnsi="仿宋" w:eastAsia="仿宋" w:cs="仿宋"/>
          <w:b w:val="0"/>
          <w:bCs/>
          <w:color w:val="000000"/>
        </w:rPr>
      </w:pPr>
      <w:bookmarkStart w:id="84" w:name="_Toc3364"/>
      <w:r>
        <w:rPr>
          <w:rFonts w:hint="eastAsia" w:ascii="仿宋" w:hAnsi="仿宋" w:eastAsia="仿宋" w:cs="仿宋"/>
          <w:b w:val="0"/>
          <w:bCs/>
          <w:color w:val="000000"/>
        </w:rPr>
        <w:t>七、一般公共预算财政拨款支出决算明细表</w:t>
      </w:r>
      <w:bookmarkEnd w:id="84"/>
    </w:p>
    <w:p w14:paraId="1B5C4E86">
      <w:pPr>
        <w:pStyle w:val="6"/>
        <w:pageBreakBefore w:val="0"/>
        <w:kinsoku/>
        <w:wordWrap/>
        <w:overflowPunct/>
        <w:topLinePunct w:val="0"/>
        <w:autoSpaceDE/>
        <w:autoSpaceDN/>
        <w:bidi w:val="0"/>
        <w:adjustRightInd/>
        <w:snapToGrid/>
        <w:spacing w:before="0" w:after="0"/>
        <w:ind w:firstLine="640" w:firstLineChars="200"/>
        <w:rPr>
          <w:rFonts w:hint="eastAsia" w:ascii="仿宋" w:hAnsi="仿宋" w:eastAsia="仿宋" w:cs="仿宋"/>
          <w:b w:val="0"/>
          <w:bCs/>
          <w:color w:val="000000"/>
        </w:rPr>
      </w:pPr>
      <w:bookmarkStart w:id="85" w:name="_Toc9110"/>
      <w:r>
        <w:rPr>
          <w:rFonts w:hint="eastAsia" w:ascii="仿宋" w:hAnsi="仿宋" w:eastAsia="仿宋" w:cs="仿宋"/>
          <w:b w:val="0"/>
          <w:bCs/>
          <w:color w:val="000000"/>
        </w:rPr>
        <w:t>八、一般公共预算财政拨款基本支出决算表</w:t>
      </w:r>
      <w:bookmarkEnd w:id="85"/>
    </w:p>
    <w:p w14:paraId="33EF8A5E">
      <w:pPr>
        <w:pStyle w:val="6"/>
        <w:pageBreakBefore w:val="0"/>
        <w:kinsoku/>
        <w:wordWrap/>
        <w:overflowPunct/>
        <w:topLinePunct w:val="0"/>
        <w:autoSpaceDE/>
        <w:autoSpaceDN/>
        <w:bidi w:val="0"/>
        <w:adjustRightInd/>
        <w:snapToGrid/>
        <w:spacing w:before="0" w:after="0"/>
        <w:ind w:firstLine="640" w:firstLineChars="200"/>
        <w:rPr>
          <w:rFonts w:hint="eastAsia" w:ascii="仿宋" w:hAnsi="仿宋" w:eastAsia="仿宋" w:cs="仿宋"/>
          <w:b w:val="0"/>
          <w:bCs/>
          <w:color w:val="000000"/>
        </w:rPr>
      </w:pPr>
      <w:bookmarkStart w:id="86" w:name="_Toc28582"/>
      <w:r>
        <w:rPr>
          <w:rFonts w:hint="eastAsia" w:ascii="仿宋" w:hAnsi="仿宋" w:eastAsia="仿宋" w:cs="仿宋"/>
          <w:b w:val="0"/>
          <w:bCs/>
          <w:color w:val="000000"/>
        </w:rPr>
        <w:t>九、一般公共预算财政拨款项目支出决算表</w:t>
      </w:r>
      <w:bookmarkEnd w:id="86"/>
    </w:p>
    <w:p w14:paraId="3987F703">
      <w:pPr>
        <w:pStyle w:val="6"/>
        <w:pageBreakBefore w:val="0"/>
        <w:kinsoku/>
        <w:wordWrap/>
        <w:overflowPunct/>
        <w:topLinePunct w:val="0"/>
        <w:autoSpaceDE/>
        <w:autoSpaceDN/>
        <w:bidi w:val="0"/>
        <w:adjustRightInd/>
        <w:snapToGrid/>
        <w:spacing w:before="0" w:after="0"/>
        <w:ind w:firstLine="640" w:firstLineChars="200"/>
        <w:rPr>
          <w:rFonts w:hint="eastAsia" w:ascii="仿宋" w:hAnsi="仿宋" w:eastAsia="仿宋" w:cs="仿宋"/>
          <w:b w:val="0"/>
          <w:bCs/>
          <w:color w:val="000000"/>
        </w:rPr>
      </w:pPr>
      <w:bookmarkStart w:id="87" w:name="_Toc22001"/>
      <w:r>
        <w:rPr>
          <w:rFonts w:hint="eastAsia" w:ascii="仿宋" w:hAnsi="仿宋" w:eastAsia="仿宋" w:cs="仿宋"/>
          <w:b w:val="0"/>
          <w:bCs/>
          <w:color w:val="000000"/>
        </w:rPr>
        <w:t>十、政府性基金预算财政拨款收入支出决算表</w:t>
      </w:r>
      <w:bookmarkEnd w:id="87"/>
    </w:p>
    <w:p w14:paraId="42C37D62">
      <w:pPr>
        <w:pStyle w:val="6"/>
        <w:pageBreakBefore w:val="0"/>
        <w:kinsoku/>
        <w:wordWrap/>
        <w:overflowPunct/>
        <w:topLinePunct w:val="0"/>
        <w:autoSpaceDE/>
        <w:autoSpaceDN/>
        <w:bidi w:val="0"/>
        <w:adjustRightInd/>
        <w:snapToGrid/>
        <w:spacing w:before="0" w:after="0"/>
        <w:ind w:firstLine="640" w:firstLineChars="200"/>
        <w:rPr>
          <w:rFonts w:hint="eastAsia" w:ascii="仿宋" w:hAnsi="仿宋" w:eastAsia="仿宋" w:cs="仿宋"/>
          <w:b w:val="0"/>
          <w:bCs/>
          <w:color w:val="000000"/>
        </w:rPr>
      </w:pPr>
      <w:bookmarkStart w:id="88" w:name="_Toc6538"/>
      <w:r>
        <w:rPr>
          <w:rFonts w:hint="eastAsia" w:ascii="仿宋" w:hAnsi="仿宋" w:eastAsia="仿宋" w:cs="仿宋"/>
          <w:b w:val="0"/>
          <w:bCs/>
          <w:color w:val="000000"/>
        </w:rPr>
        <w:t>十一、国有资本经营预算财政拨款收入支出决算表</w:t>
      </w:r>
      <w:bookmarkEnd w:id="88"/>
    </w:p>
    <w:p w14:paraId="78F53A84">
      <w:pPr>
        <w:pStyle w:val="6"/>
        <w:pageBreakBefore w:val="0"/>
        <w:kinsoku/>
        <w:wordWrap/>
        <w:overflowPunct/>
        <w:topLinePunct w:val="0"/>
        <w:autoSpaceDE/>
        <w:autoSpaceDN/>
        <w:bidi w:val="0"/>
        <w:adjustRightInd/>
        <w:snapToGrid/>
        <w:spacing w:before="0" w:after="0"/>
        <w:ind w:firstLine="640" w:firstLineChars="200"/>
        <w:rPr>
          <w:rFonts w:hint="eastAsia" w:ascii="仿宋" w:hAnsi="仿宋" w:eastAsia="仿宋" w:cs="仿宋"/>
          <w:b w:val="0"/>
          <w:bCs/>
          <w:color w:val="000000"/>
        </w:rPr>
      </w:pPr>
      <w:bookmarkStart w:id="89" w:name="_Toc10625"/>
      <w:r>
        <w:rPr>
          <w:rFonts w:hint="eastAsia" w:ascii="仿宋" w:hAnsi="仿宋" w:eastAsia="仿宋" w:cs="仿宋"/>
          <w:b w:val="0"/>
          <w:bCs/>
          <w:color w:val="000000"/>
        </w:rPr>
        <w:t>十二、国有资本经营预算财政拨款支出决算表</w:t>
      </w:r>
      <w:bookmarkEnd w:id="89"/>
    </w:p>
    <w:p w14:paraId="0E2DAC61">
      <w:pPr>
        <w:pStyle w:val="6"/>
        <w:pageBreakBefore w:val="0"/>
        <w:kinsoku/>
        <w:wordWrap/>
        <w:overflowPunct/>
        <w:topLinePunct w:val="0"/>
        <w:autoSpaceDE/>
        <w:autoSpaceDN/>
        <w:bidi w:val="0"/>
        <w:adjustRightInd/>
        <w:snapToGrid/>
        <w:spacing w:before="0" w:after="0"/>
        <w:ind w:firstLine="640" w:firstLineChars="200"/>
        <w:rPr>
          <w:rFonts w:hint="eastAsia" w:ascii="仿宋" w:hAnsi="仿宋" w:eastAsia="仿宋" w:cs="仿宋"/>
          <w:b w:val="0"/>
          <w:bCs/>
          <w:color w:val="000000"/>
        </w:rPr>
      </w:pPr>
      <w:bookmarkStart w:id="90" w:name="_Toc28356"/>
      <w:r>
        <w:rPr>
          <w:rFonts w:hint="eastAsia" w:ascii="仿宋" w:hAnsi="仿宋" w:eastAsia="仿宋" w:cs="仿宋"/>
          <w:b w:val="0"/>
          <w:bCs/>
          <w:color w:val="000000"/>
        </w:rPr>
        <w:t>十三、财政拨款“三公”经费支出决算表</w:t>
      </w:r>
      <w:bookmarkEnd w:id="90"/>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BB11326-EFA8-4CCF-BC8A-C52367F3442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6C0851B5-2C02-4EDA-8955-9FF413674F03}"/>
  </w:font>
  <w:font w:name="仿宋">
    <w:panose1 w:val="02010609060101010101"/>
    <w:charset w:val="86"/>
    <w:family w:val="modern"/>
    <w:pitch w:val="default"/>
    <w:sig w:usb0="800002BF" w:usb1="38CF7CFA" w:usb2="00000016" w:usb3="00000000" w:csb0="00040001" w:csb1="00000000"/>
    <w:embedRegular r:id="rId3" w:fontKey="{7EE43DFE-66FB-4859-A8A6-22C00F88D7B1}"/>
  </w:font>
  <w:font w:name="思源黑体 CN Normal">
    <w:altName w:val="黑体"/>
    <w:panose1 w:val="020B0400000000000000"/>
    <w:charset w:val="86"/>
    <w:family w:val="auto"/>
    <w:pitch w:val="default"/>
    <w:sig w:usb0="00000000" w:usb1="00000000" w:usb2="00000016" w:usb3="00000000" w:csb0="60060107" w:csb1="00000000"/>
    <w:embedRegular r:id="rId4" w:fontKey="{D62B9D30-15A7-4008-8201-AF67A5ACDBC1}"/>
  </w:font>
  <w:font w:name="方正小标宋简体">
    <w:panose1 w:val="03000509000000000000"/>
    <w:charset w:val="86"/>
    <w:family w:val="auto"/>
    <w:pitch w:val="default"/>
    <w:sig w:usb0="00000001" w:usb1="080E0000" w:usb2="00000000" w:usb3="00000000" w:csb0="00040000" w:csb1="00000000"/>
    <w:embedRegular r:id="rId5" w:fontKey="{2ABEEEFE-59CA-42DD-AF29-B1FF06E6CCC6}"/>
  </w:font>
  <w:font w:name="楷体_GB2312">
    <w:panose1 w:val="02010609030101010101"/>
    <w:charset w:val="86"/>
    <w:family w:val="auto"/>
    <w:pitch w:val="default"/>
    <w:sig w:usb0="00000001" w:usb1="080E0000" w:usb2="00000000" w:usb3="00000000" w:csb0="00040000" w:csb1="00000000"/>
    <w:embedRegular r:id="rId6" w:fontKey="{5B305FB1-1362-472D-B969-8984D87B19CB}"/>
  </w:font>
  <w:font w:name="楷体">
    <w:panose1 w:val="02010609060101010101"/>
    <w:charset w:val="86"/>
    <w:family w:val="auto"/>
    <w:pitch w:val="default"/>
    <w:sig w:usb0="800002BF" w:usb1="38CF7CFA" w:usb2="00000016" w:usb3="00000000" w:csb0="00040001" w:csb1="00000000"/>
    <w:embedRegular r:id="rId7" w:fontKey="{3FAA8926-536F-4EA7-AB45-B7BE1517C2B2}"/>
  </w:font>
  <w:font w:name="Lucida Sans">
    <w:altName w:val="Lucida Sans Unicode"/>
    <w:panose1 w:val="020B0602030504020204"/>
    <w:charset w:val="01"/>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embedRegular r:id="rId8" w:fontKey="{1537B4BD-F445-4C88-82D7-C8174548FCA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2E0B7">
    <w:pPr>
      <w:pStyle w:val="13"/>
      <w:jc w:val="center"/>
    </w:pPr>
  </w:p>
  <w:p w14:paraId="0D82A759">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F5195">
    <w:pPr>
      <w:pStyle w:val="1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4856"/>
                          </w:sdtPr>
                          <w:sdtContent>
                            <w:p w14:paraId="2FB17705">
                              <w:pPr>
                                <w:pStyle w:val="13"/>
                                <w:jc w:val="center"/>
                              </w:pPr>
                              <w:r>
                                <w:fldChar w:fldCharType="begin"/>
                              </w:r>
                              <w:r>
                                <w:instrText xml:space="preserve">PAGE   \* MERGEFORMAT</w:instrText>
                              </w:r>
                              <w:r>
                                <w:fldChar w:fldCharType="separate"/>
                              </w:r>
                              <w:r>
                                <w:rPr>
                                  <w:lang w:val="zh-CN"/>
                                </w:rPr>
                                <w:t>4</w:t>
                              </w:r>
                              <w:r>
                                <w:fldChar w:fldCharType="end"/>
                              </w:r>
                            </w:p>
                          </w:sdtContent>
                        </w:sdt>
                        <w:p w14:paraId="2E651665">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sdt>
                    <w:sdtPr>
                      <w:id w:val="147464856"/>
                    </w:sdtPr>
                    <w:sdtContent>
                      <w:p w14:paraId="2FB17705">
                        <w:pPr>
                          <w:pStyle w:val="13"/>
                          <w:jc w:val="center"/>
                        </w:pPr>
                        <w:r>
                          <w:fldChar w:fldCharType="begin"/>
                        </w:r>
                        <w:r>
                          <w:instrText xml:space="preserve">PAGE   \* MERGEFORMAT</w:instrText>
                        </w:r>
                        <w:r>
                          <w:fldChar w:fldCharType="separate"/>
                        </w:r>
                        <w:r>
                          <w:rPr>
                            <w:lang w:val="zh-CN"/>
                          </w:rPr>
                          <w:t>4</w:t>
                        </w:r>
                        <w:r>
                          <w:fldChar w:fldCharType="end"/>
                        </w:r>
                      </w:p>
                    </w:sdtContent>
                  </w:sdt>
                  <w:p w14:paraId="2E651665">
                    <w:pPr>
                      <w:pStyle w:val="2"/>
                    </w:pPr>
                  </w:p>
                </w:txbxContent>
              </v:textbox>
            </v:shape>
          </w:pict>
        </mc:Fallback>
      </mc:AlternateContent>
    </w:r>
  </w:p>
  <w:p w14:paraId="32A40E35">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201480">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F79095">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AF79095">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0D517">
    <w:pPr>
      <w:pStyle w:val="1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hmNjAzMWJlZjFkMmQwODUwMTJkYzE2ODFiYmFmYTcifQ=="/>
  </w:docVars>
  <w:rsids>
    <w:rsidRoot w:val="00F1361C"/>
    <w:rsid w:val="000000BC"/>
    <w:rsid w:val="00000665"/>
    <w:rsid w:val="00000B38"/>
    <w:rsid w:val="000015A2"/>
    <w:rsid w:val="00002628"/>
    <w:rsid w:val="00003E5B"/>
    <w:rsid w:val="00004806"/>
    <w:rsid w:val="00007EA6"/>
    <w:rsid w:val="00012FB7"/>
    <w:rsid w:val="00013357"/>
    <w:rsid w:val="00013C9E"/>
    <w:rsid w:val="00015450"/>
    <w:rsid w:val="000175E6"/>
    <w:rsid w:val="00017F98"/>
    <w:rsid w:val="00020F07"/>
    <w:rsid w:val="000222C6"/>
    <w:rsid w:val="00022FC0"/>
    <w:rsid w:val="000230B2"/>
    <w:rsid w:val="0002359B"/>
    <w:rsid w:val="00023DEB"/>
    <w:rsid w:val="00025226"/>
    <w:rsid w:val="0002549F"/>
    <w:rsid w:val="00025F1E"/>
    <w:rsid w:val="0002749D"/>
    <w:rsid w:val="0003013F"/>
    <w:rsid w:val="00031598"/>
    <w:rsid w:val="00031926"/>
    <w:rsid w:val="000326D5"/>
    <w:rsid w:val="00033414"/>
    <w:rsid w:val="00034ABC"/>
    <w:rsid w:val="00034D1D"/>
    <w:rsid w:val="00034D24"/>
    <w:rsid w:val="00035A69"/>
    <w:rsid w:val="000366B3"/>
    <w:rsid w:val="00036E57"/>
    <w:rsid w:val="00047195"/>
    <w:rsid w:val="00047C09"/>
    <w:rsid w:val="00052D93"/>
    <w:rsid w:val="000551CF"/>
    <w:rsid w:val="000571AC"/>
    <w:rsid w:val="00063AA8"/>
    <w:rsid w:val="0006487A"/>
    <w:rsid w:val="00065F8F"/>
    <w:rsid w:val="00066365"/>
    <w:rsid w:val="00066A65"/>
    <w:rsid w:val="00070C93"/>
    <w:rsid w:val="00070D58"/>
    <w:rsid w:val="00070F40"/>
    <w:rsid w:val="00071796"/>
    <w:rsid w:val="00072BEC"/>
    <w:rsid w:val="00073345"/>
    <w:rsid w:val="000768F2"/>
    <w:rsid w:val="00077C80"/>
    <w:rsid w:val="00081156"/>
    <w:rsid w:val="000815F6"/>
    <w:rsid w:val="00083B72"/>
    <w:rsid w:val="000846FF"/>
    <w:rsid w:val="0008503A"/>
    <w:rsid w:val="000851B4"/>
    <w:rsid w:val="000859F0"/>
    <w:rsid w:val="00087C06"/>
    <w:rsid w:val="00090134"/>
    <w:rsid w:val="00090DB7"/>
    <w:rsid w:val="0009184B"/>
    <w:rsid w:val="00091AAC"/>
    <w:rsid w:val="000921CB"/>
    <w:rsid w:val="000925CB"/>
    <w:rsid w:val="0009389E"/>
    <w:rsid w:val="0009593C"/>
    <w:rsid w:val="000A1370"/>
    <w:rsid w:val="000A17C4"/>
    <w:rsid w:val="000A37A2"/>
    <w:rsid w:val="000A500C"/>
    <w:rsid w:val="000B007F"/>
    <w:rsid w:val="000B047F"/>
    <w:rsid w:val="000B071C"/>
    <w:rsid w:val="000B1716"/>
    <w:rsid w:val="000B202D"/>
    <w:rsid w:val="000B26BE"/>
    <w:rsid w:val="000B2D44"/>
    <w:rsid w:val="000B2FD8"/>
    <w:rsid w:val="000B44F0"/>
    <w:rsid w:val="000B5923"/>
    <w:rsid w:val="000B5A48"/>
    <w:rsid w:val="000B6FF3"/>
    <w:rsid w:val="000C0A06"/>
    <w:rsid w:val="000C148A"/>
    <w:rsid w:val="000C2B6A"/>
    <w:rsid w:val="000C3467"/>
    <w:rsid w:val="000C3CA6"/>
    <w:rsid w:val="000C4E3D"/>
    <w:rsid w:val="000C7136"/>
    <w:rsid w:val="000D1267"/>
    <w:rsid w:val="000D17A8"/>
    <w:rsid w:val="000D1D50"/>
    <w:rsid w:val="000D304F"/>
    <w:rsid w:val="000D4033"/>
    <w:rsid w:val="000D5782"/>
    <w:rsid w:val="000D620F"/>
    <w:rsid w:val="000D74AA"/>
    <w:rsid w:val="000E3AC5"/>
    <w:rsid w:val="000E4C84"/>
    <w:rsid w:val="000E6613"/>
    <w:rsid w:val="000E6663"/>
    <w:rsid w:val="000E7119"/>
    <w:rsid w:val="000E75B2"/>
    <w:rsid w:val="000F0D1B"/>
    <w:rsid w:val="000F3E1D"/>
    <w:rsid w:val="000F7336"/>
    <w:rsid w:val="00101546"/>
    <w:rsid w:val="00106B75"/>
    <w:rsid w:val="0010727E"/>
    <w:rsid w:val="00107CCA"/>
    <w:rsid w:val="00110310"/>
    <w:rsid w:val="0011211B"/>
    <w:rsid w:val="00112787"/>
    <w:rsid w:val="00114E9B"/>
    <w:rsid w:val="0011649B"/>
    <w:rsid w:val="00116E5E"/>
    <w:rsid w:val="0012218E"/>
    <w:rsid w:val="0012398F"/>
    <w:rsid w:val="00124113"/>
    <w:rsid w:val="00124BFE"/>
    <w:rsid w:val="0012516D"/>
    <w:rsid w:val="00125224"/>
    <w:rsid w:val="00130F18"/>
    <w:rsid w:val="00133C7A"/>
    <w:rsid w:val="0013434B"/>
    <w:rsid w:val="00137E3C"/>
    <w:rsid w:val="001418EE"/>
    <w:rsid w:val="00142F42"/>
    <w:rsid w:val="00143AE1"/>
    <w:rsid w:val="00143C8F"/>
    <w:rsid w:val="001446FE"/>
    <w:rsid w:val="00144A59"/>
    <w:rsid w:val="00146A3D"/>
    <w:rsid w:val="0014729F"/>
    <w:rsid w:val="00147410"/>
    <w:rsid w:val="001506F6"/>
    <w:rsid w:val="00151128"/>
    <w:rsid w:val="0015213E"/>
    <w:rsid w:val="001544D9"/>
    <w:rsid w:val="00156D25"/>
    <w:rsid w:val="00156D5D"/>
    <w:rsid w:val="00157BAB"/>
    <w:rsid w:val="0016151A"/>
    <w:rsid w:val="00163B54"/>
    <w:rsid w:val="00163F03"/>
    <w:rsid w:val="001654D1"/>
    <w:rsid w:val="00166A14"/>
    <w:rsid w:val="00166F25"/>
    <w:rsid w:val="0016730C"/>
    <w:rsid w:val="00167FD7"/>
    <w:rsid w:val="0017190C"/>
    <w:rsid w:val="00174145"/>
    <w:rsid w:val="0018106D"/>
    <w:rsid w:val="0018125C"/>
    <w:rsid w:val="00181856"/>
    <w:rsid w:val="00183B64"/>
    <w:rsid w:val="00184B52"/>
    <w:rsid w:val="001877A7"/>
    <w:rsid w:val="00187CD2"/>
    <w:rsid w:val="00191536"/>
    <w:rsid w:val="00191B2C"/>
    <w:rsid w:val="001927B3"/>
    <w:rsid w:val="00193E73"/>
    <w:rsid w:val="00193FE2"/>
    <w:rsid w:val="001959D9"/>
    <w:rsid w:val="00195AB7"/>
    <w:rsid w:val="00196687"/>
    <w:rsid w:val="001A0107"/>
    <w:rsid w:val="001A0B9F"/>
    <w:rsid w:val="001A0EA2"/>
    <w:rsid w:val="001A1DBF"/>
    <w:rsid w:val="001A41F1"/>
    <w:rsid w:val="001A5CF3"/>
    <w:rsid w:val="001A63BB"/>
    <w:rsid w:val="001B1840"/>
    <w:rsid w:val="001B1FA9"/>
    <w:rsid w:val="001B2FB3"/>
    <w:rsid w:val="001B5F65"/>
    <w:rsid w:val="001B6640"/>
    <w:rsid w:val="001B7FF7"/>
    <w:rsid w:val="001C0962"/>
    <w:rsid w:val="001C1941"/>
    <w:rsid w:val="001C1A81"/>
    <w:rsid w:val="001C38A5"/>
    <w:rsid w:val="001C597C"/>
    <w:rsid w:val="001C6464"/>
    <w:rsid w:val="001C746B"/>
    <w:rsid w:val="001D14B6"/>
    <w:rsid w:val="001D342B"/>
    <w:rsid w:val="001D6C1E"/>
    <w:rsid w:val="001D7531"/>
    <w:rsid w:val="001E0A1B"/>
    <w:rsid w:val="001E1402"/>
    <w:rsid w:val="001E2922"/>
    <w:rsid w:val="001E3680"/>
    <w:rsid w:val="001E6926"/>
    <w:rsid w:val="001E737D"/>
    <w:rsid w:val="001F0592"/>
    <w:rsid w:val="001F0C89"/>
    <w:rsid w:val="001F7506"/>
    <w:rsid w:val="002006CD"/>
    <w:rsid w:val="0020075A"/>
    <w:rsid w:val="00202B36"/>
    <w:rsid w:val="00202C44"/>
    <w:rsid w:val="00202F80"/>
    <w:rsid w:val="002030A5"/>
    <w:rsid w:val="00204B7A"/>
    <w:rsid w:val="00206616"/>
    <w:rsid w:val="0020689D"/>
    <w:rsid w:val="00206B0E"/>
    <w:rsid w:val="00207949"/>
    <w:rsid w:val="0021101A"/>
    <w:rsid w:val="0021190F"/>
    <w:rsid w:val="0021334C"/>
    <w:rsid w:val="00216B50"/>
    <w:rsid w:val="00220536"/>
    <w:rsid w:val="00220C02"/>
    <w:rsid w:val="00224F1D"/>
    <w:rsid w:val="00225CB7"/>
    <w:rsid w:val="0023060C"/>
    <w:rsid w:val="00234E40"/>
    <w:rsid w:val="00235629"/>
    <w:rsid w:val="00237409"/>
    <w:rsid w:val="00237AE4"/>
    <w:rsid w:val="00240C43"/>
    <w:rsid w:val="00240C5D"/>
    <w:rsid w:val="00243589"/>
    <w:rsid w:val="002527B1"/>
    <w:rsid w:val="0025301B"/>
    <w:rsid w:val="00253FF8"/>
    <w:rsid w:val="00260A32"/>
    <w:rsid w:val="00260C38"/>
    <w:rsid w:val="00260F84"/>
    <w:rsid w:val="002616C0"/>
    <w:rsid w:val="002620C0"/>
    <w:rsid w:val="002662AA"/>
    <w:rsid w:val="00267E1C"/>
    <w:rsid w:val="00272FB2"/>
    <w:rsid w:val="0027313F"/>
    <w:rsid w:val="00273F8B"/>
    <w:rsid w:val="002740FA"/>
    <w:rsid w:val="0027692F"/>
    <w:rsid w:val="0027703A"/>
    <w:rsid w:val="00277BF4"/>
    <w:rsid w:val="002803BD"/>
    <w:rsid w:val="00280496"/>
    <w:rsid w:val="00283D63"/>
    <w:rsid w:val="00283E91"/>
    <w:rsid w:val="002856F9"/>
    <w:rsid w:val="002866CA"/>
    <w:rsid w:val="00286C21"/>
    <w:rsid w:val="002875BF"/>
    <w:rsid w:val="0029076F"/>
    <w:rsid w:val="0029094E"/>
    <w:rsid w:val="00291DC2"/>
    <w:rsid w:val="00292626"/>
    <w:rsid w:val="00292E6B"/>
    <w:rsid w:val="00295495"/>
    <w:rsid w:val="002A0D55"/>
    <w:rsid w:val="002A0E88"/>
    <w:rsid w:val="002A1940"/>
    <w:rsid w:val="002A3F4C"/>
    <w:rsid w:val="002A70D7"/>
    <w:rsid w:val="002A77B7"/>
    <w:rsid w:val="002A7AE1"/>
    <w:rsid w:val="002B133E"/>
    <w:rsid w:val="002B1B6D"/>
    <w:rsid w:val="002B2613"/>
    <w:rsid w:val="002B2C2A"/>
    <w:rsid w:val="002B2F51"/>
    <w:rsid w:val="002B44FC"/>
    <w:rsid w:val="002B5438"/>
    <w:rsid w:val="002B544A"/>
    <w:rsid w:val="002B5F40"/>
    <w:rsid w:val="002B79B7"/>
    <w:rsid w:val="002C00BF"/>
    <w:rsid w:val="002C0137"/>
    <w:rsid w:val="002C1004"/>
    <w:rsid w:val="002C1E97"/>
    <w:rsid w:val="002C4022"/>
    <w:rsid w:val="002C5275"/>
    <w:rsid w:val="002C6074"/>
    <w:rsid w:val="002D1F9E"/>
    <w:rsid w:val="002D30E8"/>
    <w:rsid w:val="002E0F9C"/>
    <w:rsid w:val="002E1F75"/>
    <w:rsid w:val="002E202A"/>
    <w:rsid w:val="002E5C3A"/>
    <w:rsid w:val="002E64D0"/>
    <w:rsid w:val="002F1818"/>
    <w:rsid w:val="002F1A28"/>
    <w:rsid w:val="002F2C84"/>
    <w:rsid w:val="002F335F"/>
    <w:rsid w:val="002F567B"/>
    <w:rsid w:val="002F66D8"/>
    <w:rsid w:val="002F7353"/>
    <w:rsid w:val="0030080A"/>
    <w:rsid w:val="0030298F"/>
    <w:rsid w:val="00302AF1"/>
    <w:rsid w:val="00305126"/>
    <w:rsid w:val="0030593B"/>
    <w:rsid w:val="00310306"/>
    <w:rsid w:val="0031156F"/>
    <w:rsid w:val="00317FD1"/>
    <w:rsid w:val="00321358"/>
    <w:rsid w:val="003216A9"/>
    <w:rsid w:val="00322D89"/>
    <w:rsid w:val="00325332"/>
    <w:rsid w:val="00325856"/>
    <w:rsid w:val="00325985"/>
    <w:rsid w:val="003278AA"/>
    <w:rsid w:val="00332726"/>
    <w:rsid w:val="0033309F"/>
    <w:rsid w:val="00335ED6"/>
    <w:rsid w:val="00337694"/>
    <w:rsid w:val="003431B7"/>
    <w:rsid w:val="0034381A"/>
    <w:rsid w:val="003440C6"/>
    <w:rsid w:val="00350C26"/>
    <w:rsid w:val="003515CF"/>
    <w:rsid w:val="00353569"/>
    <w:rsid w:val="00354D51"/>
    <w:rsid w:val="0035612F"/>
    <w:rsid w:val="00356A32"/>
    <w:rsid w:val="0035779A"/>
    <w:rsid w:val="00360394"/>
    <w:rsid w:val="0036392A"/>
    <w:rsid w:val="003663FE"/>
    <w:rsid w:val="0036688B"/>
    <w:rsid w:val="00366A86"/>
    <w:rsid w:val="00367683"/>
    <w:rsid w:val="00367B91"/>
    <w:rsid w:val="0037013F"/>
    <w:rsid w:val="00373FCE"/>
    <w:rsid w:val="00377A4C"/>
    <w:rsid w:val="003802FF"/>
    <w:rsid w:val="00380C92"/>
    <w:rsid w:val="00383877"/>
    <w:rsid w:val="00385025"/>
    <w:rsid w:val="00386455"/>
    <w:rsid w:val="00390D36"/>
    <w:rsid w:val="00390F3B"/>
    <w:rsid w:val="0039111A"/>
    <w:rsid w:val="003936B4"/>
    <w:rsid w:val="00393AFD"/>
    <w:rsid w:val="003A079E"/>
    <w:rsid w:val="003A10FA"/>
    <w:rsid w:val="003A163E"/>
    <w:rsid w:val="003A32EC"/>
    <w:rsid w:val="003A36AE"/>
    <w:rsid w:val="003A3ACA"/>
    <w:rsid w:val="003A4404"/>
    <w:rsid w:val="003A484F"/>
    <w:rsid w:val="003A4F96"/>
    <w:rsid w:val="003A5540"/>
    <w:rsid w:val="003B0BE0"/>
    <w:rsid w:val="003B0C1A"/>
    <w:rsid w:val="003B0C1B"/>
    <w:rsid w:val="003B5601"/>
    <w:rsid w:val="003B688C"/>
    <w:rsid w:val="003C0291"/>
    <w:rsid w:val="003C2ECB"/>
    <w:rsid w:val="003C350E"/>
    <w:rsid w:val="003C39AE"/>
    <w:rsid w:val="003C6D0D"/>
    <w:rsid w:val="003C76CC"/>
    <w:rsid w:val="003C7B60"/>
    <w:rsid w:val="003D0821"/>
    <w:rsid w:val="003D1FB2"/>
    <w:rsid w:val="003D2303"/>
    <w:rsid w:val="003D3CC9"/>
    <w:rsid w:val="003D4221"/>
    <w:rsid w:val="003D644D"/>
    <w:rsid w:val="003D66DA"/>
    <w:rsid w:val="003E10D3"/>
    <w:rsid w:val="003E1310"/>
    <w:rsid w:val="003E2E1C"/>
    <w:rsid w:val="003E5BD3"/>
    <w:rsid w:val="003E6348"/>
    <w:rsid w:val="003E6F55"/>
    <w:rsid w:val="003F133D"/>
    <w:rsid w:val="003F2794"/>
    <w:rsid w:val="003F339D"/>
    <w:rsid w:val="003F363F"/>
    <w:rsid w:val="003F3A2A"/>
    <w:rsid w:val="003F3DED"/>
    <w:rsid w:val="003F3E94"/>
    <w:rsid w:val="003F44B8"/>
    <w:rsid w:val="003F7CD6"/>
    <w:rsid w:val="00400549"/>
    <w:rsid w:val="00401C71"/>
    <w:rsid w:val="004026F9"/>
    <w:rsid w:val="00402FCE"/>
    <w:rsid w:val="00405639"/>
    <w:rsid w:val="00406254"/>
    <w:rsid w:val="004071E0"/>
    <w:rsid w:val="00407AD0"/>
    <w:rsid w:val="00410C16"/>
    <w:rsid w:val="00422023"/>
    <w:rsid w:val="004223DE"/>
    <w:rsid w:val="004234B2"/>
    <w:rsid w:val="00426FA8"/>
    <w:rsid w:val="00427162"/>
    <w:rsid w:val="0043341C"/>
    <w:rsid w:val="004343F3"/>
    <w:rsid w:val="00434489"/>
    <w:rsid w:val="0043475E"/>
    <w:rsid w:val="0043497B"/>
    <w:rsid w:val="00435137"/>
    <w:rsid w:val="00436E88"/>
    <w:rsid w:val="00437085"/>
    <w:rsid w:val="004370D1"/>
    <w:rsid w:val="00440872"/>
    <w:rsid w:val="00440A29"/>
    <w:rsid w:val="00441C18"/>
    <w:rsid w:val="004422EF"/>
    <w:rsid w:val="00443880"/>
    <w:rsid w:val="00444CE1"/>
    <w:rsid w:val="0044578E"/>
    <w:rsid w:val="0044581C"/>
    <w:rsid w:val="004464F4"/>
    <w:rsid w:val="00446FA9"/>
    <w:rsid w:val="00447035"/>
    <w:rsid w:val="00450BFF"/>
    <w:rsid w:val="00454FA9"/>
    <w:rsid w:val="004571F2"/>
    <w:rsid w:val="0045723A"/>
    <w:rsid w:val="00460A67"/>
    <w:rsid w:val="00461A98"/>
    <w:rsid w:val="00462B33"/>
    <w:rsid w:val="0046346E"/>
    <w:rsid w:val="004700E2"/>
    <w:rsid w:val="004708B9"/>
    <w:rsid w:val="00471401"/>
    <w:rsid w:val="00471CBB"/>
    <w:rsid w:val="00473F31"/>
    <w:rsid w:val="00474218"/>
    <w:rsid w:val="004750E8"/>
    <w:rsid w:val="00476F1B"/>
    <w:rsid w:val="0047729B"/>
    <w:rsid w:val="0048263A"/>
    <w:rsid w:val="0048368B"/>
    <w:rsid w:val="0048372E"/>
    <w:rsid w:val="00483F46"/>
    <w:rsid w:val="00484CD3"/>
    <w:rsid w:val="004857E4"/>
    <w:rsid w:val="00486073"/>
    <w:rsid w:val="0048694C"/>
    <w:rsid w:val="00486E3E"/>
    <w:rsid w:val="00487E5D"/>
    <w:rsid w:val="00491181"/>
    <w:rsid w:val="00492070"/>
    <w:rsid w:val="004941B6"/>
    <w:rsid w:val="00497E59"/>
    <w:rsid w:val="004A2A48"/>
    <w:rsid w:val="004A4A66"/>
    <w:rsid w:val="004A4B01"/>
    <w:rsid w:val="004A5576"/>
    <w:rsid w:val="004A6B85"/>
    <w:rsid w:val="004A711F"/>
    <w:rsid w:val="004A7B2B"/>
    <w:rsid w:val="004B01AE"/>
    <w:rsid w:val="004B199D"/>
    <w:rsid w:val="004B2279"/>
    <w:rsid w:val="004B25B9"/>
    <w:rsid w:val="004B3F00"/>
    <w:rsid w:val="004B4690"/>
    <w:rsid w:val="004B7108"/>
    <w:rsid w:val="004B778F"/>
    <w:rsid w:val="004B785F"/>
    <w:rsid w:val="004C01B1"/>
    <w:rsid w:val="004C062D"/>
    <w:rsid w:val="004C4638"/>
    <w:rsid w:val="004C5745"/>
    <w:rsid w:val="004C5DBD"/>
    <w:rsid w:val="004C62FA"/>
    <w:rsid w:val="004C6FB9"/>
    <w:rsid w:val="004D1DC6"/>
    <w:rsid w:val="004D31FB"/>
    <w:rsid w:val="004D4BB1"/>
    <w:rsid w:val="004D4D6E"/>
    <w:rsid w:val="004D4DA3"/>
    <w:rsid w:val="004D798C"/>
    <w:rsid w:val="004D7AEF"/>
    <w:rsid w:val="004E028C"/>
    <w:rsid w:val="004E0815"/>
    <w:rsid w:val="004E0A2D"/>
    <w:rsid w:val="004E206B"/>
    <w:rsid w:val="004E3DEC"/>
    <w:rsid w:val="004E67E0"/>
    <w:rsid w:val="004E6DF7"/>
    <w:rsid w:val="004F0FBD"/>
    <w:rsid w:val="00501436"/>
    <w:rsid w:val="00501B3E"/>
    <w:rsid w:val="00502053"/>
    <w:rsid w:val="005020BB"/>
    <w:rsid w:val="00505843"/>
    <w:rsid w:val="00505A47"/>
    <w:rsid w:val="0050679E"/>
    <w:rsid w:val="0051166F"/>
    <w:rsid w:val="0051173A"/>
    <w:rsid w:val="00512FDA"/>
    <w:rsid w:val="00513ED7"/>
    <w:rsid w:val="0051467D"/>
    <w:rsid w:val="00520DA0"/>
    <w:rsid w:val="005225FC"/>
    <w:rsid w:val="00524AC4"/>
    <w:rsid w:val="0052729E"/>
    <w:rsid w:val="0052733D"/>
    <w:rsid w:val="00530E19"/>
    <w:rsid w:val="00530F71"/>
    <w:rsid w:val="005322EB"/>
    <w:rsid w:val="0053459C"/>
    <w:rsid w:val="00550726"/>
    <w:rsid w:val="00550F95"/>
    <w:rsid w:val="0055106D"/>
    <w:rsid w:val="005559A4"/>
    <w:rsid w:val="0056304B"/>
    <w:rsid w:val="005651E3"/>
    <w:rsid w:val="00565D17"/>
    <w:rsid w:val="005664BB"/>
    <w:rsid w:val="00566C08"/>
    <w:rsid w:val="0056722F"/>
    <w:rsid w:val="00567B67"/>
    <w:rsid w:val="00570C62"/>
    <w:rsid w:val="00572EB1"/>
    <w:rsid w:val="00572EC9"/>
    <w:rsid w:val="00573576"/>
    <w:rsid w:val="0057481D"/>
    <w:rsid w:val="0057798B"/>
    <w:rsid w:val="00577A75"/>
    <w:rsid w:val="00577DF2"/>
    <w:rsid w:val="00580D35"/>
    <w:rsid w:val="0058486E"/>
    <w:rsid w:val="00584F2B"/>
    <w:rsid w:val="005935E9"/>
    <w:rsid w:val="005939BC"/>
    <w:rsid w:val="00593D4E"/>
    <w:rsid w:val="005975DB"/>
    <w:rsid w:val="00597919"/>
    <w:rsid w:val="005A0204"/>
    <w:rsid w:val="005A0CF8"/>
    <w:rsid w:val="005A324B"/>
    <w:rsid w:val="005B186A"/>
    <w:rsid w:val="005B553C"/>
    <w:rsid w:val="005B57DB"/>
    <w:rsid w:val="005B58F9"/>
    <w:rsid w:val="005B5ACB"/>
    <w:rsid w:val="005B76E6"/>
    <w:rsid w:val="005C0AF7"/>
    <w:rsid w:val="005C0B82"/>
    <w:rsid w:val="005C0D5C"/>
    <w:rsid w:val="005C4A4C"/>
    <w:rsid w:val="005C52C6"/>
    <w:rsid w:val="005C7204"/>
    <w:rsid w:val="005D1C8B"/>
    <w:rsid w:val="005D5CED"/>
    <w:rsid w:val="005D6054"/>
    <w:rsid w:val="005E1522"/>
    <w:rsid w:val="005E3365"/>
    <w:rsid w:val="005E5517"/>
    <w:rsid w:val="005F0705"/>
    <w:rsid w:val="005F0C83"/>
    <w:rsid w:val="005F1A4C"/>
    <w:rsid w:val="005F1F76"/>
    <w:rsid w:val="005F2C70"/>
    <w:rsid w:val="005F32B6"/>
    <w:rsid w:val="005F4162"/>
    <w:rsid w:val="005F44C7"/>
    <w:rsid w:val="005F632F"/>
    <w:rsid w:val="00600946"/>
    <w:rsid w:val="006044AC"/>
    <w:rsid w:val="00604551"/>
    <w:rsid w:val="00605688"/>
    <w:rsid w:val="006070AF"/>
    <w:rsid w:val="00607816"/>
    <w:rsid w:val="00607E6C"/>
    <w:rsid w:val="006101B1"/>
    <w:rsid w:val="00611AD3"/>
    <w:rsid w:val="00612209"/>
    <w:rsid w:val="00614423"/>
    <w:rsid w:val="00614E44"/>
    <w:rsid w:val="006155B0"/>
    <w:rsid w:val="006205F4"/>
    <w:rsid w:val="00620717"/>
    <w:rsid w:val="00622830"/>
    <w:rsid w:val="006256DB"/>
    <w:rsid w:val="00630AEF"/>
    <w:rsid w:val="00630BB3"/>
    <w:rsid w:val="006325F8"/>
    <w:rsid w:val="00633AE4"/>
    <w:rsid w:val="006348B1"/>
    <w:rsid w:val="00634C9A"/>
    <w:rsid w:val="00635FC7"/>
    <w:rsid w:val="00636040"/>
    <w:rsid w:val="00642529"/>
    <w:rsid w:val="0064301E"/>
    <w:rsid w:val="00643322"/>
    <w:rsid w:val="00643C0A"/>
    <w:rsid w:val="006440E4"/>
    <w:rsid w:val="00645301"/>
    <w:rsid w:val="00645F78"/>
    <w:rsid w:val="0064753B"/>
    <w:rsid w:val="00650D36"/>
    <w:rsid w:val="00650F17"/>
    <w:rsid w:val="006511E7"/>
    <w:rsid w:val="0065182B"/>
    <w:rsid w:val="00660339"/>
    <w:rsid w:val="00660F57"/>
    <w:rsid w:val="00661830"/>
    <w:rsid w:val="0066343B"/>
    <w:rsid w:val="00663BDD"/>
    <w:rsid w:val="00664777"/>
    <w:rsid w:val="00664ED7"/>
    <w:rsid w:val="0066615D"/>
    <w:rsid w:val="00666366"/>
    <w:rsid w:val="0066748A"/>
    <w:rsid w:val="0067155A"/>
    <w:rsid w:val="00671D25"/>
    <w:rsid w:val="00672345"/>
    <w:rsid w:val="00673381"/>
    <w:rsid w:val="006740AB"/>
    <w:rsid w:val="00674446"/>
    <w:rsid w:val="006748A4"/>
    <w:rsid w:val="006757D8"/>
    <w:rsid w:val="00680EF7"/>
    <w:rsid w:val="00683E73"/>
    <w:rsid w:val="0068590F"/>
    <w:rsid w:val="00686CF0"/>
    <w:rsid w:val="00687CAC"/>
    <w:rsid w:val="00691D82"/>
    <w:rsid w:val="006931FE"/>
    <w:rsid w:val="006947FC"/>
    <w:rsid w:val="006950FD"/>
    <w:rsid w:val="00695AD3"/>
    <w:rsid w:val="00696ACE"/>
    <w:rsid w:val="006A01D3"/>
    <w:rsid w:val="006A04FE"/>
    <w:rsid w:val="006A0C2C"/>
    <w:rsid w:val="006A0C51"/>
    <w:rsid w:val="006A1E7E"/>
    <w:rsid w:val="006A2BCD"/>
    <w:rsid w:val="006A3141"/>
    <w:rsid w:val="006A5E34"/>
    <w:rsid w:val="006A75B7"/>
    <w:rsid w:val="006B0ABA"/>
    <w:rsid w:val="006B2422"/>
    <w:rsid w:val="006B2B9A"/>
    <w:rsid w:val="006B2E2F"/>
    <w:rsid w:val="006B471C"/>
    <w:rsid w:val="006B4C59"/>
    <w:rsid w:val="006B533E"/>
    <w:rsid w:val="006C04D7"/>
    <w:rsid w:val="006C1937"/>
    <w:rsid w:val="006C397F"/>
    <w:rsid w:val="006C6427"/>
    <w:rsid w:val="006C76DB"/>
    <w:rsid w:val="006D1F0B"/>
    <w:rsid w:val="006D42C6"/>
    <w:rsid w:val="006E0081"/>
    <w:rsid w:val="006E0706"/>
    <w:rsid w:val="006E3700"/>
    <w:rsid w:val="006E6C66"/>
    <w:rsid w:val="006F020C"/>
    <w:rsid w:val="006F3DF7"/>
    <w:rsid w:val="006F7849"/>
    <w:rsid w:val="006F7CBD"/>
    <w:rsid w:val="0070094B"/>
    <w:rsid w:val="007040F2"/>
    <w:rsid w:val="00705B7C"/>
    <w:rsid w:val="00705E24"/>
    <w:rsid w:val="00707EEC"/>
    <w:rsid w:val="007115FE"/>
    <w:rsid w:val="007127B7"/>
    <w:rsid w:val="00713977"/>
    <w:rsid w:val="00714DBE"/>
    <w:rsid w:val="007220F2"/>
    <w:rsid w:val="007231D9"/>
    <w:rsid w:val="007244D2"/>
    <w:rsid w:val="00725B08"/>
    <w:rsid w:val="007355BA"/>
    <w:rsid w:val="0074019B"/>
    <w:rsid w:val="007403C2"/>
    <w:rsid w:val="007410FA"/>
    <w:rsid w:val="007416B6"/>
    <w:rsid w:val="007426C0"/>
    <w:rsid w:val="00746F48"/>
    <w:rsid w:val="0074730D"/>
    <w:rsid w:val="0075129E"/>
    <w:rsid w:val="00751951"/>
    <w:rsid w:val="00751EE9"/>
    <w:rsid w:val="007522D6"/>
    <w:rsid w:val="007525C3"/>
    <w:rsid w:val="007537B3"/>
    <w:rsid w:val="00753DC2"/>
    <w:rsid w:val="0075404D"/>
    <w:rsid w:val="0075503D"/>
    <w:rsid w:val="0076078E"/>
    <w:rsid w:val="00760D5E"/>
    <w:rsid w:val="0076182A"/>
    <w:rsid w:val="00763BC1"/>
    <w:rsid w:val="0076499D"/>
    <w:rsid w:val="007656DB"/>
    <w:rsid w:val="007676D8"/>
    <w:rsid w:val="00767A7D"/>
    <w:rsid w:val="00767B7E"/>
    <w:rsid w:val="00767BE6"/>
    <w:rsid w:val="00775A39"/>
    <w:rsid w:val="00776900"/>
    <w:rsid w:val="007770C3"/>
    <w:rsid w:val="00780AAA"/>
    <w:rsid w:val="00781060"/>
    <w:rsid w:val="0078143E"/>
    <w:rsid w:val="0078201F"/>
    <w:rsid w:val="007820E1"/>
    <w:rsid w:val="00784D24"/>
    <w:rsid w:val="00784D4C"/>
    <w:rsid w:val="00784E42"/>
    <w:rsid w:val="00785FBA"/>
    <w:rsid w:val="00786E4A"/>
    <w:rsid w:val="007875EB"/>
    <w:rsid w:val="00787E51"/>
    <w:rsid w:val="00792C26"/>
    <w:rsid w:val="0079426B"/>
    <w:rsid w:val="00794D8C"/>
    <w:rsid w:val="00794F74"/>
    <w:rsid w:val="0079655C"/>
    <w:rsid w:val="007A0619"/>
    <w:rsid w:val="007A762F"/>
    <w:rsid w:val="007B0CA2"/>
    <w:rsid w:val="007B5C15"/>
    <w:rsid w:val="007B6032"/>
    <w:rsid w:val="007B6B9B"/>
    <w:rsid w:val="007C014E"/>
    <w:rsid w:val="007C0C20"/>
    <w:rsid w:val="007C0E0A"/>
    <w:rsid w:val="007C2008"/>
    <w:rsid w:val="007C26C9"/>
    <w:rsid w:val="007C57E7"/>
    <w:rsid w:val="007C6362"/>
    <w:rsid w:val="007C70B5"/>
    <w:rsid w:val="007C72D0"/>
    <w:rsid w:val="007D028D"/>
    <w:rsid w:val="007D0AE2"/>
    <w:rsid w:val="007D0C80"/>
    <w:rsid w:val="007D312A"/>
    <w:rsid w:val="007D3F19"/>
    <w:rsid w:val="007D40BF"/>
    <w:rsid w:val="007D598F"/>
    <w:rsid w:val="007D7F29"/>
    <w:rsid w:val="007E0391"/>
    <w:rsid w:val="007E2118"/>
    <w:rsid w:val="007E23B0"/>
    <w:rsid w:val="007E30F0"/>
    <w:rsid w:val="007E4E9E"/>
    <w:rsid w:val="007E4F63"/>
    <w:rsid w:val="007E5C1C"/>
    <w:rsid w:val="007E6821"/>
    <w:rsid w:val="007E6A33"/>
    <w:rsid w:val="007E6D1B"/>
    <w:rsid w:val="007F0CD6"/>
    <w:rsid w:val="007F0EAA"/>
    <w:rsid w:val="007F1991"/>
    <w:rsid w:val="007F1E4C"/>
    <w:rsid w:val="007F2C2F"/>
    <w:rsid w:val="007F2D6D"/>
    <w:rsid w:val="007F55FC"/>
    <w:rsid w:val="007F5665"/>
    <w:rsid w:val="007F57B1"/>
    <w:rsid w:val="007F5B1E"/>
    <w:rsid w:val="007F703A"/>
    <w:rsid w:val="007F772D"/>
    <w:rsid w:val="007F78DE"/>
    <w:rsid w:val="00800112"/>
    <w:rsid w:val="0080112E"/>
    <w:rsid w:val="008014B3"/>
    <w:rsid w:val="008031B0"/>
    <w:rsid w:val="008068DA"/>
    <w:rsid w:val="00806B6F"/>
    <w:rsid w:val="00807797"/>
    <w:rsid w:val="0081195D"/>
    <w:rsid w:val="00811C29"/>
    <w:rsid w:val="00812255"/>
    <w:rsid w:val="00813AEF"/>
    <w:rsid w:val="00815AF8"/>
    <w:rsid w:val="008169F8"/>
    <w:rsid w:val="00820AF4"/>
    <w:rsid w:val="008212F9"/>
    <w:rsid w:val="008244FA"/>
    <w:rsid w:val="008248EC"/>
    <w:rsid w:val="00824C90"/>
    <w:rsid w:val="00824CEE"/>
    <w:rsid w:val="008253BB"/>
    <w:rsid w:val="008273C2"/>
    <w:rsid w:val="00830A33"/>
    <w:rsid w:val="00830F24"/>
    <w:rsid w:val="0083234B"/>
    <w:rsid w:val="00833D7A"/>
    <w:rsid w:val="008347A0"/>
    <w:rsid w:val="00835B31"/>
    <w:rsid w:val="00836025"/>
    <w:rsid w:val="0083706E"/>
    <w:rsid w:val="00840550"/>
    <w:rsid w:val="008423A5"/>
    <w:rsid w:val="00843431"/>
    <w:rsid w:val="00845501"/>
    <w:rsid w:val="008503A5"/>
    <w:rsid w:val="00850625"/>
    <w:rsid w:val="008511F3"/>
    <w:rsid w:val="00851894"/>
    <w:rsid w:val="0085265B"/>
    <w:rsid w:val="00852C5C"/>
    <w:rsid w:val="00853718"/>
    <w:rsid w:val="00855221"/>
    <w:rsid w:val="00855AF5"/>
    <w:rsid w:val="00855E16"/>
    <w:rsid w:val="00857B79"/>
    <w:rsid w:val="00860645"/>
    <w:rsid w:val="00860C44"/>
    <w:rsid w:val="0086131A"/>
    <w:rsid w:val="00862A9D"/>
    <w:rsid w:val="00863483"/>
    <w:rsid w:val="00863CF0"/>
    <w:rsid w:val="00863D72"/>
    <w:rsid w:val="00865F20"/>
    <w:rsid w:val="00867695"/>
    <w:rsid w:val="00870000"/>
    <w:rsid w:val="00870C33"/>
    <w:rsid w:val="00871F71"/>
    <w:rsid w:val="008722FB"/>
    <w:rsid w:val="00872F95"/>
    <w:rsid w:val="00873D8F"/>
    <w:rsid w:val="0087464B"/>
    <w:rsid w:val="00875814"/>
    <w:rsid w:val="00877427"/>
    <w:rsid w:val="0088122F"/>
    <w:rsid w:val="00885AF4"/>
    <w:rsid w:val="00886435"/>
    <w:rsid w:val="008875FA"/>
    <w:rsid w:val="00887A58"/>
    <w:rsid w:val="008918AA"/>
    <w:rsid w:val="008918C9"/>
    <w:rsid w:val="008920D1"/>
    <w:rsid w:val="008939CD"/>
    <w:rsid w:val="00893E7C"/>
    <w:rsid w:val="00895862"/>
    <w:rsid w:val="00896814"/>
    <w:rsid w:val="00897199"/>
    <w:rsid w:val="008A04BB"/>
    <w:rsid w:val="008A6293"/>
    <w:rsid w:val="008A6BC0"/>
    <w:rsid w:val="008A7CE3"/>
    <w:rsid w:val="008B045D"/>
    <w:rsid w:val="008B2B26"/>
    <w:rsid w:val="008B5614"/>
    <w:rsid w:val="008B6287"/>
    <w:rsid w:val="008B69A5"/>
    <w:rsid w:val="008B768C"/>
    <w:rsid w:val="008B7992"/>
    <w:rsid w:val="008C1D33"/>
    <w:rsid w:val="008C33D9"/>
    <w:rsid w:val="008C4DB1"/>
    <w:rsid w:val="008C4EAF"/>
    <w:rsid w:val="008C5176"/>
    <w:rsid w:val="008C7FD0"/>
    <w:rsid w:val="008D06D5"/>
    <w:rsid w:val="008D08E5"/>
    <w:rsid w:val="008D2C92"/>
    <w:rsid w:val="008D2DE2"/>
    <w:rsid w:val="008D55A6"/>
    <w:rsid w:val="008E0EF3"/>
    <w:rsid w:val="008E1DC6"/>
    <w:rsid w:val="008E1DE7"/>
    <w:rsid w:val="008E2847"/>
    <w:rsid w:val="008E380B"/>
    <w:rsid w:val="008E707C"/>
    <w:rsid w:val="008E7651"/>
    <w:rsid w:val="008F24AB"/>
    <w:rsid w:val="00900B08"/>
    <w:rsid w:val="00901E1C"/>
    <w:rsid w:val="00902155"/>
    <w:rsid w:val="00902BCF"/>
    <w:rsid w:val="00902FA3"/>
    <w:rsid w:val="009109D0"/>
    <w:rsid w:val="00910FAA"/>
    <w:rsid w:val="00912DEB"/>
    <w:rsid w:val="00913706"/>
    <w:rsid w:val="00913A29"/>
    <w:rsid w:val="00915BE4"/>
    <w:rsid w:val="009205F5"/>
    <w:rsid w:val="009215C3"/>
    <w:rsid w:val="00923564"/>
    <w:rsid w:val="0092392E"/>
    <w:rsid w:val="00923F58"/>
    <w:rsid w:val="00924FB0"/>
    <w:rsid w:val="00930109"/>
    <w:rsid w:val="00930E8F"/>
    <w:rsid w:val="009315F9"/>
    <w:rsid w:val="009337F3"/>
    <w:rsid w:val="009339C3"/>
    <w:rsid w:val="00934AB8"/>
    <w:rsid w:val="00935D57"/>
    <w:rsid w:val="00936283"/>
    <w:rsid w:val="00940B88"/>
    <w:rsid w:val="00940F73"/>
    <w:rsid w:val="0094526A"/>
    <w:rsid w:val="00945399"/>
    <w:rsid w:val="00945492"/>
    <w:rsid w:val="00945EEC"/>
    <w:rsid w:val="009461EE"/>
    <w:rsid w:val="00946945"/>
    <w:rsid w:val="00947929"/>
    <w:rsid w:val="00947BF1"/>
    <w:rsid w:val="009500E2"/>
    <w:rsid w:val="00951248"/>
    <w:rsid w:val="0095152F"/>
    <w:rsid w:val="009534A8"/>
    <w:rsid w:val="009540C0"/>
    <w:rsid w:val="00954C49"/>
    <w:rsid w:val="00955EAD"/>
    <w:rsid w:val="0095708C"/>
    <w:rsid w:val="00957098"/>
    <w:rsid w:val="00960F20"/>
    <w:rsid w:val="009620B2"/>
    <w:rsid w:val="00962131"/>
    <w:rsid w:val="00962556"/>
    <w:rsid w:val="00964305"/>
    <w:rsid w:val="0096477D"/>
    <w:rsid w:val="00964EBA"/>
    <w:rsid w:val="0097099F"/>
    <w:rsid w:val="009710DA"/>
    <w:rsid w:val="00971997"/>
    <w:rsid w:val="00971FFC"/>
    <w:rsid w:val="00972A49"/>
    <w:rsid w:val="00973726"/>
    <w:rsid w:val="00974188"/>
    <w:rsid w:val="0098033F"/>
    <w:rsid w:val="00985645"/>
    <w:rsid w:val="0098595E"/>
    <w:rsid w:val="00985C49"/>
    <w:rsid w:val="0098660A"/>
    <w:rsid w:val="009869AA"/>
    <w:rsid w:val="009931C3"/>
    <w:rsid w:val="00995CE3"/>
    <w:rsid w:val="009B2C43"/>
    <w:rsid w:val="009B4EAE"/>
    <w:rsid w:val="009B6C92"/>
    <w:rsid w:val="009B7573"/>
    <w:rsid w:val="009C0EF0"/>
    <w:rsid w:val="009C1B2D"/>
    <w:rsid w:val="009C22F4"/>
    <w:rsid w:val="009C2AE3"/>
    <w:rsid w:val="009C2E98"/>
    <w:rsid w:val="009C5896"/>
    <w:rsid w:val="009C6399"/>
    <w:rsid w:val="009D3447"/>
    <w:rsid w:val="009D3AA6"/>
    <w:rsid w:val="009D4711"/>
    <w:rsid w:val="009D5EF4"/>
    <w:rsid w:val="009E0018"/>
    <w:rsid w:val="009E2320"/>
    <w:rsid w:val="009E2C7B"/>
    <w:rsid w:val="009E576A"/>
    <w:rsid w:val="009E7FBF"/>
    <w:rsid w:val="009F1185"/>
    <w:rsid w:val="009F178D"/>
    <w:rsid w:val="009F18CD"/>
    <w:rsid w:val="009F2021"/>
    <w:rsid w:val="009F2A13"/>
    <w:rsid w:val="009F4A42"/>
    <w:rsid w:val="009F4D78"/>
    <w:rsid w:val="009F6A87"/>
    <w:rsid w:val="009F6B63"/>
    <w:rsid w:val="009F6F4A"/>
    <w:rsid w:val="00A02DD4"/>
    <w:rsid w:val="00A04EB0"/>
    <w:rsid w:val="00A05E7E"/>
    <w:rsid w:val="00A06741"/>
    <w:rsid w:val="00A06EF8"/>
    <w:rsid w:val="00A07DE7"/>
    <w:rsid w:val="00A07E24"/>
    <w:rsid w:val="00A1247B"/>
    <w:rsid w:val="00A13443"/>
    <w:rsid w:val="00A13CC1"/>
    <w:rsid w:val="00A15286"/>
    <w:rsid w:val="00A1571F"/>
    <w:rsid w:val="00A1637E"/>
    <w:rsid w:val="00A16684"/>
    <w:rsid w:val="00A16847"/>
    <w:rsid w:val="00A1745F"/>
    <w:rsid w:val="00A2301F"/>
    <w:rsid w:val="00A237D8"/>
    <w:rsid w:val="00A25634"/>
    <w:rsid w:val="00A268C4"/>
    <w:rsid w:val="00A27771"/>
    <w:rsid w:val="00A300FE"/>
    <w:rsid w:val="00A307CD"/>
    <w:rsid w:val="00A3233A"/>
    <w:rsid w:val="00A35068"/>
    <w:rsid w:val="00A3556D"/>
    <w:rsid w:val="00A35870"/>
    <w:rsid w:val="00A35FE0"/>
    <w:rsid w:val="00A40A00"/>
    <w:rsid w:val="00A4142F"/>
    <w:rsid w:val="00A41D4A"/>
    <w:rsid w:val="00A43522"/>
    <w:rsid w:val="00A4622C"/>
    <w:rsid w:val="00A462AA"/>
    <w:rsid w:val="00A46A63"/>
    <w:rsid w:val="00A47A0F"/>
    <w:rsid w:val="00A50F96"/>
    <w:rsid w:val="00A514F8"/>
    <w:rsid w:val="00A52260"/>
    <w:rsid w:val="00A53D20"/>
    <w:rsid w:val="00A54687"/>
    <w:rsid w:val="00A54CE0"/>
    <w:rsid w:val="00A55073"/>
    <w:rsid w:val="00A55447"/>
    <w:rsid w:val="00A55ED8"/>
    <w:rsid w:val="00A56DF2"/>
    <w:rsid w:val="00A56E1B"/>
    <w:rsid w:val="00A57F63"/>
    <w:rsid w:val="00A61738"/>
    <w:rsid w:val="00A62ECF"/>
    <w:rsid w:val="00A63814"/>
    <w:rsid w:val="00A64138"/>
    <w:rsid w:val="00A64421"/>
    <w:rsid w:val="00A659FC"/>
    <w:rsid w:val="00A65DE6"/>
    <w:rsid w:val="00A66D73"/>
    <w:rsid w:val="00A67AB5"/>
    <w:rsid w:val="00A70317"/>
    <w:rsid w:val="00A72FA8"/>
    <w:rsid w:val="00A76B3A"/>
    <w:rsid w:val="00A77CB7"/>
    <w:rsid w:val="00A804D8"/>
    <w:rsid w:val="00A85003"/>
    <w:rsid w:val="00A85A0C"/>
    <w:rsid w:val="00A91460"/>
    <w:rsid w:val="00A91760"/>
    <w:rsid w:val="00A93902"/>
    <w:rsid w:val="00A93B00"/>
    <w:rsid w:val="00A93C21"/>
    <w:rsid w:val="00A94004"/>
    <w:rsid w:val="00A95D33"/>
    <w:rsid w:val="00A96D42"/>
    <w:rsid w:val="00AA1212"/>
    <w:rsid w:val="00AA14EC"/>
    <w:rsid w:val="00AA2E83"/>
    <w:rsid w:val="00AA6693"/>
    <w:rsid w:val="00AA6D23"/>
    <w:rsid w:val="00AA7B07"/>
    <w:rsid w:val="00AB1A65"/>
    <w:rsid w:val="00AB26EC"/>
    <w:rsid w:val="00AB2A36"/>
    <w:rsid w:val="00AB5E60"/>
    <w:rsid w:val="00AB5E86"/>
    <w:rsid w:val="00AB6DD7"/>
    <w:rsid w:val="00AC20D9"/>
    <w:rsid w:val="00AC3237"/>
    <w:rsid w:val="00AC3A9E"/>
    <w:rsid w:val="00AC3C6A"/>
    <w:rsid w:val="00AC40DA"/>
    <w:rsid w:val="00AC6A20"/>
    <w:rsid w:val="00AD013F"/>
    <w:rsid w:val="00AD1561"/>
    <w:rsid w:val="00AD1E04"/>
    <w:rsid w:val="00AD4E89"/>
    <w:rsid w:val="00AD5090"/>
    <w:rsid w:val="00AD55F4"/>
    <w:rsid w:val="00AD5620"/>
    <w:rsid w:val="00AD654C"/>
    <w:rsid w:val="00AD712A"/>
    <w:rsid w:val="00AD7C1B"/>
    <w:rsid w:val="00AE16BA"/>
    <w:rsid w:val="00AE1B18"/>
    <w:rsid w:val="00AE1EBE"/>
    <w:rsid w:val="00AE3F47"/>
    <w:rsid w:val="00AE5217"/>
    <w:rsid w:val="00AE57E5"/>
    <w:rsid w:val="00AE5ACD"/>
    <w:rsid w:val="00AE7003"/>
    <w:rsid w:val="00AE78D4"/>
    <w:rsid w:val="00AF334F"/>
    <w:rsid w:val="00AF567D"/>
    <w:rsid w:val="00B03C9D"/>
    <w:rsid w:val="00B03D45"/>
    <w:rsid w:val="00B03DEF"/>
    <w:rsid w:val="00B04041"/>
    <w:rsid w:val="00B046DB"/>
    <w:rsid w:val="00B059FA"/>
    <w:rsid w:val="00B060AE"/>
    <w:rsid w:val="00B06286"/>
    <w:rsid w:val="00B06EEB"/>
    <w:rsid w:val="00B07376"/>
    <w:rsid w:val="00B10406"/>
    <w:rsid w:val="00B10517"/>
    <w:rsid w:val="00B1323D"/>
    <w:rsid w:val="00B1364D"/>
    <w:rsid w:val="00B13D51"/>
    <w:rsid w:val="00B13F34"/>
    <w:rsid w:val="00B14E76"/>
    <w:rsid w:val="00B15718"/>
    <w:rsid w:val="00B15757"/>
    <w:rsid w:val="00B161B8"/>
    <w:rsid w:val="00B2048C"/>
    <w:rsid w:val="00B22224"/>
    <w:rsid w:val="00B22E19"/>
    <w:rsid w:val="00B268D9"/>
    <w:rsid w:val="00B30B06"/>
    <w:rsid w:val="00B310B9"/>
    <w:rsid w:val="00B3183E"/>
    <w:rsid w:val="00B330FA"/>
    <w:rsid w:val="00B35211"/>
    <w:rsid w:val="00B35F3F"/>
    <w:rsid w:val="00B36CBB"/>
    <w:rsid w:val="00B370EB"/>
    <w:rsid w:val="00B40532"/>
    <w:rsid w:val="00B425E0"/>
    <w:rsid w:val="00B440AA"/>
    <w:rsid w:val="00B44B70"/>
    <w:rsid w:val="00B47B8F"/>
    <w:rsid w:val="00B50563"/>
    <w:rsid w:val="00B507B7"/>
    <w:rsid w:val="00B51BBE"/>
    <w:rsid w:val="00B53703"/>
    <w:rsid w:val="00B53C56"/>
    <w:rsid w:val="00B53E4F"/>
    <w:rsid w:val="00B54341"/>
    <w:rsid w:val="00B545A6"/>
    <w:rsid w:val="00B5556B"/>
    <w:rsid w:val="00B60A7E"/>
    <w:rsid w:val="00B6427E"/>
    <w:rsid w:val="00B67CE3"/>
    <w:rsid w:val="00B706F1"/>
    <w:rsid w:val="00B725E6"/>
    <w:rsid w:val="00B736DE"/>
    <w:rsid w:val="00B74FE7"/>
    <w:rsid w:val="00B753E0"/>
    <w:rsid w:val="00B7569F"/>
    <w:rsid w:val="00B75C09"/>
    <w:rsid w:val="00B76674"/>
    <w:rsid w:val="00B77EA6"/>
    <w:rsid w:val="00B80439"/>
    <w:rsid w:val="00B80BAB"/>
    <w:rsid w:val="00B81598"/>
    <w:rsid w:val="00B82F7D"/>
    <w:rsid w:val="00B839DA"/>
    <w:rsid w:val="00B83EE2"/>
    <w:rsid w:val="00B841F1"/>
    <w:rsid w:val="00B8480B"/>
    <w:rsid w:val="00B91D3E"/>
    <w:rsid w:val="00B92400"/>
    <w:rsid w:val="00B93AA8"/>
    <w:rsid w:val="00B944D6"/>
    <w:rsid w:val="00B96CD2"/>
    <w:rsid w:val="00BA054C"/>
    <w:rsid w:val="00BA0777"/>
    <w:rsid w:val="00BA0AED"/>
    <w:rsid w:val="00BA22CD"/>
    <w:rsid w:val="00BA3028"/>
    <w:rsid w:val="00BA3356"/>
    <w:rsid w:val="00BA49E7"/>
    <w:rsid w:val="00BA5298"/>
    <w:rsid w:val="00BB1990"/>
    <w:rsid w:val="00BB2D7E"/>
    <w:rsid w:val="00BB4C52"/>
    <w:rsid w:val="00BB4DF0"/>
    <w:rsid w:val="00BC0AE4"/>
    <w:rsid w:val="00BC1202"/>
    <w:rsid w:val="00BC1A97"/>
    <w:rsid w:val="00BC2731"/>
    <w:rsid w:val="00BC289F"/>
    <w:rsid w:val="00BC5361"/>
    <w:rsid w:val="00BC5460"/>
    <w:rsid w:val="00BC6B50"/>
    <w:rsid w:val="00BD0E25"/>
    <w:rsid w:val="00BD2458"/>
    <w:rsid w:val="00BD5121"/>
    <w:rsid w:val="00BD6D67"/>
    <w:rsid w:val="00BD6E57"/>
    <w:rsid w:val="00BE01DE"/>
    <w:rsid w:val="00BE218A"/>
    <w:rsid w:val="00BE39F0"/>
    <w:rsid w:val="00BE5FB5"/>
    <w:rsid w:val="00BE7259"/>
    <w:rsid w:val="00BF060C"/>
    <w:rsid w:val="00BF2962"/>
    <w:rsid w:val="00BF2E85"/>
    <w:rsid w:val="00BF5BD6"/>
    <w:rsid w:val="00BF6316"/>
    <w:rsid w:val="00BF718F"/>
    <w:rsid w:val="00C01DBE"/>
    <w:rsid w:val="00C03E31"/>
    <w:rsid w:val="00C05BAF"/>
    <w:rsid w:val="00C05CAD"/>
    <w:rsid w:val="00C05F29"/>
    <w:rsid w:val="00C06A2B"/>
    <w:rsid w:val="00C11626"/>
    <w:rsid w:val="00C137AD"/>
    <w:rsid w:val="00C13B26"/>
    <w:rsid w:val="00C1480D"/>
    <w:rsid w:val="00C1658B"/>
    <w:rsid w:val="00C23BFD"/>
    <w:rsid w:val="00C24603"/>
    <w:rsid w:val="00C259D0"/>
    <w:rsid w:val="00C30983"/>
    <w:rsid w:val="00C30D73"/>
    <w:rsid w:val="00C313B9"/>
    <w:rsid w:val="00C31B41"/>
    <w:rsid w:val="00C33276"/>
    <w:rsid w:val="00C33E72"/>
    <w:rsid w:val="00C3423D"/>
    <w:rsid w:val="00C342CE"/>
    <w:rsid w:val="00C34C84"/>
    <w:rsid w:val="00C34EED"/>
    <w:rsid w:val="00C354B2"/>
    <w:rsid w:val="00C35554"/>
    <w:rsid w:val="00C36831"/>
    <w:rsid w:val="00C4133E"/>
    <w:rsid w:val="00C41611"/>
    <w:rsid w:val="00C41EB1"/>
    <w:rsid w:val="00C426CE"/>
    <w:rsid w:val="00C42709"/>
    <w:rsid w:val="00C516E5"/>
    <w:rsid w:val="00C5216D"/>
    <w:rsid w:val="00C533CC"/>
    <w:rsid w:val="00C54531"/>
    <w:rsid w:val="00C5751C"/>
    <w:rsid w:val="00C61BFC"/>
    <w:rsid w:val="00C62B85"/>
    <w:rsid w:val="00C634C6"/>
    <w:rsid w:val="00C63DE6"/>
    <w:rsid w:val="00C65438"/>
    <w:rsid w:val="00C65FA1"/>
    <w:rsid w:val="00C663B4"/>
    <w:rsid w:val="00C66789"/>
    <w:rsid w:val="00C677E0"/>
    <w:rsid w:val="00C71C3C"/>
    <w:rsid w:val="00C73C9E"/>
    <w:rsid w:val="00C77033"/>
    <w:rsid w:val="00C77575"/>
    <w:rsid w:val="00C77955"/>
    <w:rsid w:val="00C77D11"/>
    <w:rsid w:val="00C80BE1"/>
    <w:rsid w:val="00C80E5E"/>
    <w:rsid w:val="00C87773"/>
    <w:rsid w:val="00C91BEF"/>
    <w:rsid w:val="00C91CBB"/>
    <w:rsid w:val="00C94460"/>
    <w:rsid w:val="00C94755"/>
    <w:rsid w:val="00C9494C"/>
    <w:rsid w:val="00C976D8"/>
    <w:rsid w:val="00C9779E"/>
    <w:rsid w:val="00CA1D7E"/>
    <w:rsid w:val="00CA4889"/>
    <w:rsid w:val="00CA6417"/>
    <w:rsid w:val="00CA7A47"/>
    <w:rsid w:val="00CA7CBE"/>
    <w:rsid w:val="00CB2258"/>
    <w:rsid w:val="00CB37D6"/>
    <w:rsid w:val="00CB5AA7"/>
    <w:rsid w:val="00CC09B6"/>
    <w:rsid w:val="00CC2ECC"/>
    <w:rsid w:val="00CC42AE"/>
    <w:rsid w:val="00CC5828"/>
    <w:rsid w:val="00CC666F"/>
    <w:rsid w:val="00CD0159"/>
    <w:rsid w:val="00CD1E3F"/>
    <w:rsid w:val="00CD2CD4"/>
    <w:rsid w:val="00CD2F8E"/>
    <w:rsid w:val="00CD33CA"/>
    <w:rsid w:val="00CD41F7"/>
    <w:rsid w:val="00CD7039"/>
    <w:rsid w:val="00CE07D1"/>
    <w:rsid w:val="00CE10F5"/>
    <w:rsid w:val="00CE245D"/>
    <w:rsid w:val="00CE298B"/>
    <w:rsid w:val="00CE41E9"/>
    <w:rsid w:val="00CE4476"/>
    <w:rsid w:val="00CE44F6"/>
    <w:rsid w:val="00CE49DA"/>
    <w:rsid w:val="00CE6166"/>
    <w:rsid w:val="00CE7B61"/>
    <w:rsid w:val="00CF0C95"/>
    <w:rsid w:val="00CF303D"/>
    <w:rsid w:val="00CF32A8"/>
    <w:rsid w:val="00CF47D0"/>
    <w:rsid w:val="00CF537A"/>
    <w:rsid w:val="00CF5A38"/>
    <w:rsid w:val="00D00095"/>
    <w:rsid w:val="00D007A3"/>
    <w:rsid w:val="00D00CD9"/>
    <w:rsid w:val="00D01872"/>
    <w:rsid w:val="00D01D1C"/>
    <w:rsid w:val="00D03F76"/>
    <w:rsid w:val="00D07457"/>
    <w:rsid w:val="00D120DF"/>
    <w:rsid w:val="00D12260"/>
    <w:rsid w:val="00D14981"/>
    <w:rsid w:val="00D17582"/>
    <w:rsid w:val="00D20620"/>
    <w:rsid w:val="00D21AB8"/>
    <w:rsid w:val="00D21B96"/>
    <w:rsid w:val="00D21FCA"/>
    <w:rsid w:val="00D23CC1"/>
    <w:rsid w:val="00D253CD"/>
    <w:rsid w:val="00D26091"/>
    <w:rsid w:val="00D26765"/>
    <w:rsid w:val="00D30031"/>
    <w:rsid w:val="00D34E7C"/>
    <w:rsid w:val="00D35489"/>
    <w:rsid w:val="00D41FB4"/>
    <w:rsid w:val="00D42D3C"/>
    <w:rsid w:val="00D43BB3"/>
    <w:rsid w:val="00D4531F"/>
    <w:rsid w:val="00D5056E"/>
    <w:rsid w:val="00D51276"/>
    <w:rsid w:val="00D577F9"/>
    <w:rsid w:val="00D6086D"/>
    <w:rsid w:val="00D60B63"/>
    <w:rsid w:val="00D6672E"/>
    <w:rsid w:val="00D66F3E"/>
    <w:rsid w:val="00D67949"/>
    <w:rsid w:val="00D70080"/>
    <w:rsid w:val="00D7035F"/>
    <w:rsid w:val="00D70D9E"/>
    <w:rsid w:val="00D7255A"/>
    <w:rsid w:val="00D729A5"/>
    <w:rsid w:val="00D7311E"/>
    <w:rsid w:val="00D74434"/>
    <w:rsid w:val="00D74948"/>
    <w:rsid w:val="00D75E52"/>
    <w:rsid w:val="00D769DB"/>
    <w:rsid w:val="00D8058B"/>
    <w:rsid w:val="00D811F1"/>
    <w:rsid w:val="00D81CF0"/>
    <w:rsid w:val="00D86259"/>
    <w:rsid w:val="00D87885"/>
    <w:rsid w:val="00D9128F"/>
    <w:rsid w:val="00D938FB"/>
    <w:rsid w:val="00D95A81"/>
    <w:rsid w:val="00DA2414"/>
    <w:rsid w:val="00DA2E7B"/>
    <w:rsid w:val="00DA376F"/>
    <w:rsid w:val="00DA4CF4"/>
    <w:rsid w:val="00DA517E"/>
    <w:rsid w:val="00DA64CE"/>
    <w:rsid w:val="00DA65AC"/>
    <w:rsid w:val="00DA73F4"/>
    <w:rsid w:val="00DB1913"/>
    <w:rsid w:val="00DB23A2"/>
    <w:rsid w:val="00DB31AE"/>
    <w:rsid w:val="00DB469B"/>
    <w:rsid w:val="00DB6217"/>
    <w:rsid w:val="00DB6D81"/>
    <w:rsid w:val="00DB7682"/>
    <w:rsid w:val="00DB774B"/>
    <w:rsid w:val="00DB7B27"/>
    <w:rsid w:val="00DB7ED3"/>
    <w:rsid w:val="00DC1D19"/>
    <w:rsid w:val="00DC29F0"/>
    <w:rsid w:val="00DC410D"/>
    <w:rsid w:val="00DC482F"/>
    <w:rsid w:val="00DC4E3B"/>
    <w:rsid w:val="00DC53AB"/>
    <w:rsid w:val="00DC68CA"/>
    <w:rsid w:val="00DC7CBA"/>
    <w:rsid w:val="00DD0F4D"/>
    <w:rsid w:val="00DD109B"/>
    <w:rsid w:val="00DD2D64"/>
    <w:rsid w:val="00DD73B7"/>
    <w:rsid w:val="00DE28E8"/>
    <w:rsid w:val="00DE57ED"/>
    <w:rsid w:val="00DE6D3D"/>
    <w:rsid w:val="00DF0369"/>
    <w:rsid w:val="00DF256A"/>
    <w:rsid w:val="00DF28BC"/>
    <w:rsid w:val="00DF2BBE"/>
    <w:rsid w:val="00DF34B9"/>
    <w:rsid w:val="00DF36DA"/>
    <w:rsid w:val="00DF4EE4"/>
    <w:rsid w:val="00DF69F2"/>
    <w:rsid w:val="00E00C0C"/>
    <w:rsid w:val="00E01053"/>
    <w:rsid w:val="00E032C4"/>
    <w:rsid w:val="00E03AB5"/>
    <w:rsid w:val="00E04FF6"/>
    <w:rsid w:val="00E07ACF"/>
    <w:rsid w:val="00E07C49"/>
    <w:rsid w:val="00E1142E"/>
    <w:rsid w:val="00E11EA9"/>
    <w:rsid w:val="00E13C23"/>
    <w:rsid w:val="00E17451"/>
    <w:rsid w:val="00E176E0"/>
    <w:rsid w:val="00E20F23"/>
    <w:rsid w:val="00E21189"/>
    <w:rsid w:val="00E22344"/>
    <w:rsid w:val="00E22D73"/>
    <w:rsid w:val="00E24A28"/>
    <w:rsid w:val="00E2598A"/>
    <w:rsid w:val="00E26D43"/>
    <w:rsid w:val="00E2719A"/>
    <w:rsid w:val="00E331A1"/>
    <w:rsid w:val="00E33202"/>
    <w:rsid w:val="00E336A9"/>
    <w:rsid w:val="00E339F9"/>
    <w:rsid w:val="00E34D61"/>
    <w:rsid w:val="00E352AD"/>
    <w:rsid w:val="00E35DF9"/>
    <w:rsid w:val="00E36162"/>
    <w:rsid w:val="00E4020E"/>
    <w:rsid w:val="00E41572"/>
    <w:rsid w:val="00E42E24"/>
    <w:rsid w:val="00E4326C"/>
    <w:rsid w:val="00E43716"/>
    <w:rsid w:val="00E43E83"/>
    <w:rsid w:val="00E4418C"/>
    <w:rsid w:val="00E442E7"/>
    <w:rsid w:val="00E47FEC"/>
    <w:rsid w:val="00E50624"/>
    <w:rsid w:val="00E50EC1"/>
    <w:rsid w:val="00E559C8"/>
    <w:rsid w:val="00E559F4"/>
    <w:rsid w:val="00E568DF"/>
    <w:rsid w:val="00E6091E"/>
    <w:rsid w:val="00E63E1C"/>
    <w:rsid w:val="00E64269"/>
    <w:rsid w:val="00E648BF"/>
    <w:rsid w:val="00E67B9B"/>
    <w:rsid w:val="00E70395"/>
    <w:rsid w:val="00E71182"/>
    <w:rsid w:val="00E7180C"/>
    <w:rsid w:val="00E71EE8"/>
    <w:rsid w:val="00E759C7"/>
    <w:rsid w:val="00E778AF"/>
    <w:rsid w:val="00E82267"/>
    <w:rsid w:val="00E82D19"/>
    <w:rsid w:val="00E8382C"/>
    <w:rsid w:val="00E84714"/>
    <w:rsid w:val="00E879E6"/>
    <w:rsid w:val="00E9375F"/>
    <w:rsid w:val="00E938AA"/>
    <w:rsid w:val="00E95984"/>
    <w:rsid w:val="00E96D03"/>
    <w:rsid w:val="00EA010F"/>
    <w:rsid w:val="00EA039B"/>
    <w:rsid w:val="00EA2455"/>
    <w:rsid w:val="00EA262D"/>
    <w:rsid w:val="00EA4AA3"/>
    <w:rsid w:val="00EA4BCA"/>
    <w:rsid w:val="00EA545A"/>
    <w:rsid w:val="00EA5E4F"/>
    <w:rsid w:val="00EB2461"/>
    <w:rsid w:val="00EC1C2C"/>
    <w:rsid w:val="00EC25B6"/>
    <w:rsid w:val="00EC38BD"/>
    <w:rsid w:val="00EC3F04"/>
    <w:rsid w:val="00ED1B63"/>
    <w:rsid w:val="00ED29E6"/>
    <w:rsid w:val="00ED29EA"/>
    <w:rsid w:val="00ED360C"/>
    <w:rsid w:val="00ED3C1F"/>
    <w:rsid w:val="00ED4085"/>
    <w:rsid w:val="00ED420E"/>
    <w:rsid w:val="00ED6AD8"/>
    <w:rsid w:val="00ED71DF"/>
    <w:rsid w:val="00EE0963"/>
    <w:rsid w:val="00EE1FC9"/>
    <w:rsid w:val="00EE24E3"/>
    <w:rsid w:val="00EE2F57"/>
    <w:rsid w:val="00EE6332"/>
    <w:rsid w:val="00EF132A"/>
    <w:rsid w:val="00EF4C34"/>
    <w:rsid w:val="00EF5291"/>
    <w:rsid w:val="00EF64E8"/>
    <w:rsid w:val="00EF659B"/>
    <w:rsid w:val="00EF77C6"/>
    <w:rsid w:val="00EF7BDE"/>
    <w:rsid w:val="00EF7CA7"/>
    <w:rsid w:val="00F022B4"/>
    <w:rsid w:val="00F0292C"/>
    <w:rsid w:val="00F05438"/>
    <w:rsid w:val="00F0746A"/>
    <w:rsid w:val="00F110A1"/>
    <w:rsid w:val="00F113D8"/>
    <w:rsid w:val="00F118C3"/>
    <w:rsid w:val="00F1361C"/>
    <w:rsid w:val="00F14902"/>
    <w:rsid w:val="00F160C7"/>
    <w:rsid w:val="00F16FDE"/>
    <w:rsid w:val="00F20320"/>
    <w:rsid w:val="00F20532"/>
    <w:rsid w:val="00F21001"/>
    <w:rsid w:val="00F228F9"/>
    <w:rsid w:val="00F248A8"/>
    <w:rsid w:val="00F24E3F"/>
    <w:rsid w:val="00F26D60"/>
    <w:rsid w:val="00F30138"/>
    <w:rsid w:val="00F301B6"/>
    <w:rsid w:val="00F31EA1"/>
    <w:rsid w:val="00F3294D"/>
    <w:rsid w:val="00F354A9"/>
    <w:rsid w:val="00F36D8F"/>
    <w:rsid w:val="00F3744E"/>
    <w:rsid w:val="00F40698"/>
    <w:rsid w:val="00F406E9"/>
    <w:rsid w:val="00F417B1"/>
    <w:rsid w:val="00F460AB"/>
    <w:rsid w:val="00F50AC5"/>
    <w:rsid w:val="00F53E68"/>
    <w:rsid w:val="00F5454E"/>
    <w:rsid w:val="00F559FA"/>
    <w:rsid w:val="00F57903"/>
    <w:rsid w:val="00F602DF"/>
    <w:rsid w:val="00F6390A"/>
    <w:rsid w:val="00F6529E"/>
    <w:rsid w:val="00F6641D"/>
    <w:rsid w:val="00F75CC0"/>
    <w:rsid w:val="00F75CCC"/>
    <w:rsid w:val="00F75F9D"/>
    <w:rsid w:val="00F81FD9"/>
    <w:rsid w:val="00F82490"/>
    <w:rsid w:val="00F8281D"/>
    <w:rsid w:val="00F835D4"/>
    <w:rsid w:val="00F841AA"/>
    <w:rsid w:val="00F845B5"/>
    <w:rsid w:val="00F86932"/>
    <w:rsid w:val="00F875DB"/>
    <w:rsid w:val="00F87E73"/>
    <w:rsid w:val="00F905A4"/>
    <w:rsid w:val="00F92C70"/>
    <w:rsid w:val="00F93633"/>
    <w:rsid w:val="00F93DF5"/>
    <w:rsid w:val="00FA0947"/>
    <w:rsid w:val="00FA23E8"/>
    <w:rsid w:val="00FA2F5B"/>
    <w:rsid w:val="00FA4421"/>
    <w:rsid w:val="00FA4B00"/>
    <w:rsid w:val="00FA525F"/>
    <w:rsid w:val="00FA77AD"/>
    <w:rsid w:val="00FB0BBA"/>
    <w:rsid w:val="00FB1FF4"/>
    <w:rsid w:val="00FB55E6"/>
    <w:rsid w:val="00FC124C"/>
    <w:rsid w:val="00FC1E02"/>
    <w:rsid w:val="00FC3048"/>
    <w:rsid w:val="00FC4660"/>
    <w:rsid w:val="00FC46BC"/>
    <w:rsid w:val="00FC7DEF"/>
    <w:rsid w:val="00FD020D"/>
    <w:rsid w:val="00FD3016"/>
    <w:rsid w:val="00FD3828"/>
    <w:rsid w:val="00FD3CC1"/>
    <w:rsid w:val="00FD5BFE"/>
    <w:rsid w:val="00FE17BC"/>
    <w:rsid w:val="00FE2AD1"/>
    <w:rsid w:val="00FE4DB0"/>
    <w:rsid w:val="00FE5493"/>
    <w:rsid w:val="00FE625C"/>
    <w:rsid w:val="00FF1E02"/>
    <w:rsid w:val="00FF30B4"/>
    <w:rsid w:val="00FF66E8"/>
    <w:rsid w:val="012F3CEB"/>
    <w:rsid w:val="01B354EA"/>
    <w:rsid w:val="01CF32DE"/>
    <w:rsid w:val="01D74DB7"/>
    <w:rsid w:val="01D86637"/>
    <w:rsid w:val="01F04616"/>
    <w:rsid w:val="02632077"/>
    <w:rsid w:val="02B16458"/>
    <w:rsid w:val="034623D5"/>
    <w:rsid w:val="037A757D"/>
    <w:rsid w:val="03F359AA"/>
    <w:rsid w:val="03FC64BE"/>
    <w:rsid w:val="043A3897"/>
    <w:rsid w:val="045647CC"/>
    <w:rsid w:val="0463543B"/>
    <w:rsid w:val="048D6B52"/>
    <w:rsid w:val="04A56E6E"/>
    <w:rsid w:val="04D45254"/>
    <w:rsid w:val="04D550AF"/>
    <w:rsid w:val="051A6F96"/>
    <w:rsid w:val="05C25E8C"/>
    <w:rsid w:val="05EA06E6"/>
    <w:rsid w:val="067B1F1D"/>
    <w:rsid w:val="06951176"/>
    <w:rsid w:val="07001BE1"/>
    <w:rsid w:val="07267DE7"/>
    <w:rsid w:val="07EF6488"/>
    <w:rsid w:val="082339B9"/>
    <w:rsid w:val="088F55D5"/>
    <w:rsid w:val="089C4B49"/>
    <w:rsid w:val="09081517"/>
    <w:rsid w:val="091B747D"/>
    <w:rsid w:val="092E626A"/>
    <w:rsid w:val="09A572B6"/>
    <w:rsid w:val="0A19737C"/>
    <w:rsid w:val="0B7218AA"/>
    <w:rsid w:val="0B99373B"/>
    <w:rsid w:val="0BA37CB5"/>
    <w:rsid w:val="0BF027CF"/>
    <w:rsid w:val="0C727688"/>
    <w:rsid w:val="0CA84E57"/>
    <w:rsid w:val="0CB9312F"/>
    <w:rsid w:val="0D0429D6"/>
    <w:rsid w:val="0D093B48"/>
    <w:rsid w:val="0D322E51"/>
    <w:rsid w:val="0D6C338E"/>
    <w:rsid w:val="0DB37F58"/>
    <w:rsid w:val="0DB742A8"/>
    <w:rsid w:val="0E6D2010"/>
    <w:rsid w:val="0EC00B7E"/>
    <w:rsid w:val="0F5E6610"/>
    <w:rsid w:val="0FB52B86"/>
    <w:rsid w:val="0FDB629D"/>
    <w:rsid w:val="0FFD0B0D"/>
    <w:rsid w:val="103747CF"/>
    <w:rsid w:val="103F4D68"/>
    <w:rsid w:val="10C055FF"/>
    <w:rsid w:val="116A6D7C"/>
    <w:rsid w:val="11761AF6"/>
    <w:rsid w:val="11851C0B"/>
    <w:rsid w:val="11D56DF6"/>
    <w:rsid w:val="11ED6591"/>
    <w:rsid w:val="11F85D8C"/>
    <w:rsid w:val="1250214B"/>
    <w:rsid w:val="13367661"/>
    <w:rsid w:val="136F089E"/>
    <w:rsid w:val="13D81ACD"/>
    <w:rsid w:val="14D728AA"/>
    <w:rsid w:val="15F1161D"/>
    <w:rsid w:val="15F1786F"/>
    <w:rsid w:val="1648257A"/>
    <w:rsid w:val="1665477F"/>
    <w:rsid w:val="16BB723D"/>
    <w:rsid w:val="17283764"/>
    <w:rsid w:val="17BC7656"/>
    <w:rsid w:val="17EA348C"/>
    <w:rsid w:val="1826220B"/>
    <w:rsid w:val="1840212F"/>
    <w:rsid w:val="184656CF"/>
    <w:rsid w:val="193C261A"/>
    <w:rsid w:val="19934117"/>
    <w:rsid w:val="19943114"/>
    <w:rsid w:val="19DE22C0"/>
    <w:rsid w:val="1AB026BC"/>
    <w:rsid w:val="1ABB32B6"/>
    <w:rsid w:val="1B787B60"/>
    <w:rsid w:val="1BAE10FA"/>
    <w:rsid w:val="1BF70747"/>
    <w:rsid w:val="1C06153F"/>
    <w:rsid w:val="1C986C96"/>
    <w:rsid w:val="1D7371C3"/>
    <w:rsid w:val="1DDC2BB3"/>
    <w:rsid w:val="1E34479D"/>
    <w:rsid w:val="1EB51D82"/>
    <w:rsid w:val="1EF81F78"/>
    <w:rsid w:val="1F620905"/>
    <w:rsid w:val="1F7A2683"/>
    <w:rsid w:val="1FD12B34"/>
    <w:rsid w:val="201A6AB0"/>
    <w:rsid w:val="203B66A0"/>
    <w:rsid w:val="203C0AD9"/>
    <w:rsid w:val="206D278F"/>
    <w:rsid w:val="20FD6BA6"/>
    <w:rsid w:val="211A679A"/>
    <w:rsid w:val="21253DA0"/>
    <w:rsid w:val="21A94BCD"/>
    <w:rsid w:val="22857975"/>
    <w:rsid w:val="23700C36"/>
    <w:rsid w:val="23844B7E"/>
    <w:rsid w:val="23902475"/>
    <w:rsid w:val="23FA0B3C"/>
    <w:rsid w:val="240371BF"/>
    <w:rsid w:val="2435534E"/>
    <w:rsid w:val="244017F7"/>
    <w:rsid w:val="24534F10"/>
    <w:rsid w:val="24DF6C66"/>
    <w:rsid w:val="253D03DB"/>
    <w:rsid w:val="253F66D1"/>
    <w:rsid w:val="25A20B86"/>
    <w:rsid w:val="25B1070F"/>
    <w:rsid w:val="25BC6564"/>
    <w:rsid w:val="25DD571A"/>
    <w:rsid w:val="265C1D1F"/>
    <w:rsid w:val="26AB16A5"/>
    <w:rsid w:val="26BB36DB"/>
    <w:rsid w:val="271C5A93"/>
    <w:rsid w:val="27581292"/>
    <w:rsid w:val="276F1834"/>
    <w:rsid w:val="27B459F9"/>
    <w:rsid w:val="27C51E91"/>
    <w:rsid w:val="280173B2"/>
    <w:rsid w:val="28513369"/>
    <w:rsid w:val="289E0623"/>
    <w:rsid w:val="28BF6D42"/>
    <w:rsid w:val="28C822A0"/>
    <w:rsid w:val="292E058E"/>
    <w:rsid w:val="293E0349"/>
    <w:rsid w:val="29FD04D3"/>
    <w:rsid w:val="2A2E11EF"/>
    <w:rsid w:val="2C1E1BB4"/>
    <w:rsid w:val="2C2A7C09"/>
    <w:rsid w:val="2CAE1BBE"/>
    <w:rsid w:val="2CCF04B2"/>
    <w:rsid w:val="2DF079DB"/>
    <w:rsid w:val="2E4C04E0"/>
    <w:rsid w:val="2E67588F"/>
    <w:rsid w:val="2E760762"/>
    <w:rsid w:val="2E996F2D"/>
    <w:rsid w:val="2EEC551F"/>
    <w:rsid w:val="2F223BD8"/>
    <w:rsid w:val="2F803D16"/>
    <w:rsid w:val="2FF22B1D"/>
    <w:rsid w:val="30A54BAA"/>
    <w:rsid w:val="30CB71E3"/>
    <w:rsid w:val="30E36C85"/>
    <w:rsid w:val="31810DA9"/>
    <w:rsid w:val="31903F88"/>
    <w:rsid w:val="319F7F4E"/>
    <w:rsid w:val="31B72CAD"/>
    <w:rsid w:val="32004B5E"/>
    <w:rsid w:val="323A1C2F"/>
    <w:rsid w:val="329448A6"/>
    <w:rsid w:val="32F45598"/>
    <w:rsid w:val="33204932"/>
    <w:rsid w:val="33447C07"/>
    <w:rsid w:val="33A930DF"/>
    <w:rsid w:val="345D075E"/>
    <w:rsid w:val="34D50630"/>
    <w:rsid w:val="35244754"/>
    <w:rsid w:val="361C390A"/>
    <w:rsid w:val="364D41F6"/>
    <w:rsid w:val="36981915"/>
    <w:rsid w:val="36FD0156"/>
    <w:rsid w:val="37B95FE7"/>
    <w:rsid w:val="38207F4E"/>
    <w:rsid w:val="38F8371D"/>
    <w:rsid w:val="39226F5F"/>
    <w:rsid w:val="397877DC"/>
    <w:rsid w:val="39842625"/>
    <w:rsid w:val="39902098"/>
    <w:rsid w:val="39FD5F33"/>
    <w:rsid w:val="3A3A0F35"/>
    <w:rsid w:val="3A4E1148"/>
    <w:rsid w:val="3A633C9E"/>
    <w:rsid w:val="3AF15A98"/>
    <w:rsid w:val="3C233CBA"/>
    <w:rsid w:val="3C8D2F9D"/>
    <w:rsid w:val="3CE0510E"/>
    <w:rsid w:val="3D0E3B71"/>
    <w:rsid w:val="3D1927CA"/>
    <w:rsid w:val="3D1E4B3E"/>
    <w:rsid w:val="3D3F5EE5"/>
    <w:rsid w:val="3D6F2272"/>
    <w:rsid w:val="3D8344ED"/>
    <w:rsid w:val="3D9A20BC"/>
    <w:rsid w:val="3DB14585"/>
    <w:rsid w:val="3E03620E"/>
    <w:rsid w:val="3E3355D7"/>
    <w:rsid w:val="3E343C22"/>
    <w:rsid w:val="3F512FA9"/>
    <w:rsid w:val="3F7C601F"/>
    <w:rsid w:val="3FAC4683"/>
    <w:rsid w:val="3FB745DB"/>
    <w:rsid w:val="3FEA5DFB"/>
    <w:rsid w:val="40035B02"/>
    <w:rsid w:val="401C35B7"/>
    <w:rsid w:val="40376912"/>
    <w:rsid w:val="40EA7211"/>
    <w:rsid w:val="4119235A"/>
    <w:rsid w:val="41477E6C"/>
    <w:rsid w:val="41677310"/>
    <w:rsid w:val="41881F15"/>
    <w:rsid w:val="422C2C46"/>
    <w:rsid w:val="4251506E"/>
    <w:rsid w:val="42B75819"/>
    <w:rsid w:val="43684120"/>
    <w:rsid w:val="443E0078"/>
    <w:rsid w:val="444F07DA"/>
    <w:rsid w:val="44601E28"/>
    <w:rsid w:val="46E11C47"/>
    <w:rsid w:val="46FE66F1"/>
    <w:rsid w:val="47046CAB"/>
    <w:rsid w:val="47206137"/>
    <w:rsid w:val="472E4611"/>
    <w:rsid w:val="475E72DC"/>
    <w:rsid w:val="47F514AF"/>
    <w:rsid w:val="4839282C"/>
    <w:rsid w:val="488175D2"/>
    <w:rsid w:val="48FD75BD"/>
    <w:rsid w:val="49243056"/>
    <w:rsid w:val="494C4A06"/>
    <w:rsid w:val="4A113668"/>
    <w:rsid w:val="4A277A41"/>
    <w:rsid w:val="4A745623"/>
    <w:rsid w:val="4B187071"/>
    <w:rsid w:val="4B2B2DCB"/>
    <w:rsid w:val="4B6A5BC2"/>
    <w:rsid w:val="4B6D2BD3"/>
    <w:rsid w:val="4C0575F5"/>
    <w:rsid w:val="4C48508A"/>
    <w:rsid w:val="4C7555EC"/>
    <w:rsid w:val="4D135D42"/>
    <w:rsid w:val="4D846266"/>
    <w:rsid w:val="4D8D78A2"/>
    <w:rsid w:val="4DF123A8"/>
    <w:rsid w:val="4E290981"/>
    <w:rsid w:val="4E832A53"/>
    <w:rsid w:val="4E9E44C2"/>
    <w:rsid w:val="4EBC1A30"/>
    <w:rsid w:val="4F395B30"/>
    <w:rsid w:val="4F3B530F"/>
    <w:rsid w:val="4F6F7A34"/>
    <w:rsid w:val="4FD74194"/>
    <w:rsid w:val="4FDA49F5"/>
    <w:rsid w:val="5019366F"/>
    <w:rsid w:val="50AE413E"/>
    <w:rsid w:val="512E47E2"/>
    <w:rsid w:val="51594984"/>
    <w:rsid w:val="51E1640E"/>
    <w:rsid w:val="51EE42CA"/>
    <w:rsid w:val="52195E38"/>
    <w:rsid w:val="52302EF2"/>
    <w:rsid w:val="526E48F5"/>
    <w:rsid w:val="52E86D2D"/>
    <w:rsid w:val="52ED6284"/>
    <w:rsid w:val="5322283B"/>
    <w:rsid w:val="532B0C13"/>
    <w:rsid w:val="533D4F08"/>
    <w:rsid w:val="53BA6F17"/>
    <w:rsid w:val="53BE2B80"/>
    <w:rsid w:val="54136CE6"/>
    <w:rsid w:val="541505F1"/>
    <w:rsid w:val="542D2749"/>
    <w:rsid w:val="54992FD0"/>
    <w:rsid w:val="55872E29"/>
    <w:rsid w:val="55923320"/>
    <w:rsid w:val="56384123"/>
    <w:rsid w:val="56D0674C"/>
    <w:rsid w:val="57A53097"/>
    <w:rsid w:val="57D23F06"/>
    <w:rsid w:val="589B4956"/>
    <w:rsid w:val="58BA52C3"/>
    <w:rsid w:val="58BC5D23"/>
    <w:rsid w:val="59177DCC"/>
    <w:rsid w:val="593C0017"/>
    <w:rsid w:val="59C41AA7"/>
    <w:rsid w:val="59E040FC"/>
    <w:rsid w:val="59E11CD3"/>
    <w:rsid w:val="5A857BDE"/>
    <w:rsid w:val="5B2630E4"/>
    <w:rsid w:val="5B2A4567"/>
    <w:rsid w:val="5BE202EA"/>
    <w:rsid w:val="5CAD7C22"/>
    <w:rsid w:val="5CE95B0C"/>
    <w:rsid w:val="5CFA7F1D"/>
    <w:rsid w:val="5D3A2E77"/>
    <w:rsid w:val="5D577E65"/>
    <w:rsid w:val="5D6F6B2F"/>
    <w:rsid w:val="5D860343"/>
    <w:rsid w:val="5DEA651F"/>
    <w:rsid w:val="5E2506F8"/>
    <w:rsid w:val="5E5E7F75"/>
    <w:rsid w:val="5EA316D6"/>
    <w:rsid w:val="5ECE1AC8"/>
    <w:rsid w:val="5EF556B7"/>
    <w:rsid w:val="5F3A07D2"/>
    <w:rsid w:val="5F593A88"/>
    <w:rsid w:val="5FD0737A"/>
    <w:rsid w:val="5FE356D0"/>
    <w:rsid w:val="5FF901AE"/>
    <w:rsid w:val="60651EAC"/>
    <w:rsid w:val="60BB3927"/>
    <w:rsid w:val="613B39A0"/>
    <w:rsid w:val="6200749A"/>
    <w:rsid w:val="620F0B35"/>
    <w:rsid w:val="6240022D"/>
    <w:rsid w:val="628E7408"/>
    <w:rsid w:val="62A42EE2"/>
    <w:rsid w:val="62BE686B"/>
    <w:rsid w:val="62F14F12"/>
    <w:rsid w:val="630D013F"/>
    <w:rsid w:val="63347FC4"/>
    <w:rsid w:val="63604CB9"/>
    <w:rsid w:val="64A36D0B"/>
    <w:rsid w:val="64C656C1"/>
    <w:rsid w:val="64F77166"/>
    <w:rsid w:val="65201386"/>
    <w:rsid w:val="657F4183"/>
    <w:rsid w:val="658466A7"/>
    <w:rsid w:val="6596487B"/>
    <w:rsid w:val="65C43368"/>
    <w:rsid w:val="65CE0600"/>
    <w:rsid w:val="65DF63C9"/>
    <w:rsid w:val="65E950BC"/>
    <w:rsid w:val="662A7F2C"/>
    <w:rsid w:val="664819A0"/>
    <w:rsid w:val="665F6BF1"/>
    <w:rsid w:val="66627873"/>
    <w:rsid w:val="66C409E7"/>
    <w:rsid w:val="66D65FFA"/>
    <w:rsid w:val="66F61BBC"/>
    <w:rsid w:val="67C24194"/>
    <w:rsid w:val="67E59C7B"/>
    <w:rsid w:val="67EB36EB"/>
    <w:rsid w:val="685968A7"/>
    <w:rsid w:val="68DA2DB6"/>
    <w:rsid w:val="68DA63E9"/>
    <w:rsid w:val="692C74F0"/>
    <w:rsid w:val="69725134"/>
    <w:rsid w:val="69BB70ED"/>
    <w:rsid w:val="69C07F45"/>
    <w:rsid w:val="6ADE2015"/>
    <w:rsid w:val="6B4666B6"/>
    <w:rsid w:val="6BB306BC"/>
    <w:rsid w:val="6CC85DA9"/>
    <w:rsid w:val="6D2A5F93"/>
    <w:rsid w:val="6D386C46"/>
    <w:rsid w:val="6D5E6AC3"/>
    <w:rsid w:val="6D8F2D6B"/>
    <w:rsid w:val="6DB91990"/>
    <w:rsid w:val="6DC31436"/>
    <w:rsid w:val="6E6F4E2B"/>
    <w:rsid w:val="6EC86534"/>
    <w:rsid w:val="6ECB49CF"/>
    <w:rsid w:val="6ECB5A2B"/>
    <w:rsid w:val="6F4D197C"/>
    <w:rsid w:val="6F503088"/>
    <w:rsid w:val="6F806E0F"/>
    <w:rsid w:val="70202A42"/>
    <w:rsid w:val="70B12FF8"/>
    <w:rsid w:val="70ED3F4C"/>
    <w:rsid w:val="719170B1"/>
    <w:rsid w:val="72227D09"/>
    <w:rsid w:val="728B0560"/>
    <w:rsid w:val="72AD06C6"/>
    <w:rsid w:val="72E476B5"/>
    <w:rsid w:val="72F22338"/>
    <w:rsid w:val="73327580"/>
    <w:rsid w:val="733572FD"/>
    <w:rsid w:val="739D2835"/>
    <w:rsid w:val="73BE3A62"/>
    <w:rsid w:val="746C7E4B"/>
    <w:rsid w:val="750E6C6B"/>
    <w:rsid w:val="755E374E"/>
    <w:rsid w:val="75884CEA"/>
    <w:rsid w:val="75B310E7"/>
    <w:rsid w:val="75B318F4"/>
    <w:rsid w:val="75EF09CF"/>
    <w:rsid w:val="75F61299"/>
    <w:rsid w:val="761A4623"/>
    <w:rsid w:val="76377F56"/>
    <w:rsid w:val="764B35A7"/>
    <w:rsid w:val="76535888"/>
    <w:rsid w:val="769E6A57"/>
    <w:rsid w:val="77B238DE"/>
    <w:rsid w:val="78A4106B"/>
    <w:rsid w:val="79975481"/>
    <w:rsid w:val="79B4511D"/>
    <w:rsid w:val="79F60BE5"/>
    <w:rsid w:val="7A1B4027"/>
    <w:rsid w:val="7A965738"/>
    <w:rsid w:val="7ABC1C9C"/>
    <w:rsid w:val="7B022DCE"/>
    <w:rsid w:val="7B272834"/>
    <w:rsid w:val="7B4012BE"/>
    <w:rsid w:val="7B8F71DF"/>
    <w:rsid w:val="7BB62F8E"/>
    <w:rsid w:val="7BBD479A"/>
    <w:rsid w:val="7BE5798B"/>
    <w:rsid w:val="7C1568F9"/>
    <w:rsid w:val="7CB2612E"/>
    <w:rsid w:val="7CC25607"/>
    <w:rsid w:val="7DE859ED"/>
    <w:rsid w:val="7E4C610E"/>
    <w:rsid w:val="7ECA59B1"/>
    <w:rsid w:val="7F09108F"/>
    <w:rsid w:val="7FB573AC"/>
    <w:rsid w:val="7FDC49A0"/>
    <w:rsid w:val="F9F7285E"/>
    <w:rsid w:val="FC397602"/>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qFormat="1"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7"/>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6"/>
    <w:unhideWhenUsed/>
    <w:qFormat/>
    <w:uiPriority w:val="9"/>
    <w:pPr>
      <w:keepNext/>
      <w:keepLines/>
      <w:spacing w:before="260" w:after="260" w:line="416" w:lineRule="auto"/>
      <w:outlineLvl w:val="2"/>
    </w:pPr>
    <w:rPr>
      <w:b/>
      <w:bCs/>
      <w:sz w:val="32"/>
      <w:szCs w:val="32"/>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Normal Indent"/>
    <w:basedOn w:val="1"/>
    <w:unhideWhenUsed/>
    <w:qFormat/>
    <w:uiPriority w:val="99"/>
    <w:pPr>
      <w:ind w:firstLine="680"/>
    </w:pPr>
  </w:style>
  <w:style w:type="paragraph" w:styleId="9">
    <w:name w:val="annotation text"/>
    <w:basedOn w:val="1"/>
    <w:semiHidden/>
    <w:unhideWhenUsed/>
    <w:qFormat/>
    <w:uiPriority w:val="99"/>
    <w:pPr>
      <w:jc w:val="left"/>
    </w:pPr>
  </w:style>
  <w:style w:type="paragraph" w:styleId="10">
    <w:name w:val="Body Text"/>
    <w:basedOn w:val="1"/>
    <w:link w:val="30"/>
    <w:qFormat/>
    <w:uiPriority w:val="99"/>
    <w:pPr>
      <w:spacing w:beforeLines="30"/>
    </w:pPr>
    <w:rPr>
      <w:rFonts w:ascii="仿宋_GB2312" w:eastAsia="仿宋_GB2312"/>
      <w:kern w:val="0"/>
      <w:sz w:val="30"/>
    </w:rPr>
  </w:style>
  <w:style w:type="paragraph" w:styleId="11">
    <w:name w:val="toc 3"/>
    <w:basedOn w:val="1"/>
    <w:next w:val="1"/>
    <w:unhideWhenUsed/>
    <w:qFormat/>
    <w:uiPriority w:val="39"/>
    <w:pPr>
      <w:tabs>
        <w:tab w:val="right" w:leader="dot" w:pos="8296"/>
      </w:tabs>
      <w:ind w:left="840" w:leftChars="400"/>
    </w:pPr>
  </w:style>
  <w:style w:type="paragraph" w:styleId="12">
    <w:name w:val="Balloon Text"/>
    <w:basedOn w:val="1"/>
    <w:link w:val="35"/>
    <w:semiHidden/>
    <w:unhideWhenUsed/>
    <w:qFormat/>
    <w:uiPriority w:val="99"/>
    <w:rPr>
      <w:sz w:val="18"/>
      <w:szCs w:val="18"/>
    </w:rPr>
  </w:style>
  <w:style w:type="paragraph" w:styleId="13">
    <w:name w:val="footer"/>
    <w:basedOn w:val="1"/>
    <w:link w:val="28"/>
    <w:qFormat/>
    <w:uiPriority w:val="99"/>
    <w:pPr>
      <w:tabs>
        <w:tab w:val="center" w:pos="4153"/>
        <w:tab w:val="right" w:pos="8306"/>
      </w:tabs>
      <w:snapToGrid w:val="0"/>
      <w:jc w:val="left"/>
    </w:pPr>
    <w:rPr>
      <w:rFonts w:ascii="Calibri" w:hAnsi="Calibri"/>
      <w:kern w:val="0"/>
      <w:sz w:val="18"/>
      <w:szCs w:val="18"/>
    </w:rPr>
  </w:style>
  <w:style w:type="paragraph" w:styleId="14">
    <w:name w:val="header"/>
    <w:basedOn w:val="1"/>
    <w:link w:val="26"/>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5">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6">
    <w:name w:val="table of figures"/>
    <w:basedOn w:val="1"/>
    <w:next w:val="1"/>
    <w:qFormat/>
    <w:uiPriority w:val="0"/>
    <w:pPr>
      <w:ind w:left="200" w:leftChars="200" w:hanging="200" w:hangingChars="200"/>
    </w:pPr>
  </w:style>
  <w:style w:type="paragraph" w:styleId="17">
    <w:name w:val="toc 2"/>
    <w:basedOn w:val="1"/>
    <w:next w:val="1"/>
    <w:unhideWhenUsed/>
    <w:qFormat/>
    <w:uiPriority w:val="39"/>
    <w:pPr>
      <w:tabs>
        <w:tab w:val="right" w:leader="dot" w:pos="8296"/>
      </w:tabs>
      <w:ind w:left="420" w:leftChars="200"/>
    </w:pPr>
  </w:style>
  <w:style w:type="paragraph" w:styleId="18">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21">
    <w:name w:val="Strong"/>
    <w:basedOn w:val="20"/>
    <w:qFormat/>
    <w:uiPriority w:val="99"/>
    <w:rPr>
      <w:b/>
    </w:rPr>
  </w:style>
  <w:style w:type="character" w:styleId="22">
    <w:name w:val="Hyperlink"/>
    <w:basedOn w:val="20"/>
    <w:unhideWhenUsed/>
    <w:qFormat/>
    <w:uiPriority w:val="99"/>
    <w:rPr>
      <w:color w:val="0000FF" w:themeColor="hyperlink"/>
      <w:u w:val="single"/>
      <w14:textFill>
        <w14:solidFill>
          <w14:schemeClr w14:val="hlink"/>
        </w14:solidFill>
      </w14:textFill>
    </w:rPr>
  </w:style>
  <w:style w:type="character" w:styleId="23">
    <w:name w:val="annotation reference"/>
    <w:basedOn w:val="20"/>
    <w:semiHidden/>
    <w:unhideWhenUsed/>
    <w:qFormat/>
    <w:uiPriority w:val="99"/>
    <w:rPr>
      <w:sz w:val="21"/>
      <w:szCs w:val="21"/>
    </w:rPr>
  </w:style>
  <w:style w:type="paragraph" w:customStyle="1" w:styleId="24">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character" w:customStyle="1" w:styleId="25">
    <w:name w:val="Header Char"/>
    <w:basedOn w:val="20"/>
    <w:semiHidden/>
    <w:qFormat/>
    <w:uiPriority w:val="99"/>
    <w:rPr>
      <w:rFonts w:ascii="Times New Roman" w:hAnsi="Times New Roman"/>
      <w:sz w:val="18"/>
      <w:szCs w:val="18"/>
    </w:rPr>
  </w:style>
  <w:style w:type="character" w:customStyle="1" w:styleId="26">
    <w:name w:val="页眉 字符"/>
    <w:link w:val="14"/>
    <w:semiHidden/>
    <w:qFormat/>
    <w:locked/>
    <w:uiPriority w:val="99"/>
    <w:rPr>
      <w:sz w:val="18"/>
    </w:rPr>
  </w:style>
  <w:style w:type="character" w:customStyle="1" w:styleId="27">
    <w:name w:val="Footer Char"/>
    <w:basedOn w:val="20"/>
    <w:semiHidden/>
    <w:qFormat/>
    <w:uiPriority w:val="99"/>
    <w:rPr>
      <w:rFonts w:ascii="Times New Roman" w:hAnsi="Times New Roman"/>
      <w:sz w:val="18"/>
      <w:szCs w:val="18"/>
    </w:rPr>
  </w:style>
  <w:style w:type="character" w:customStyle="1" w:styleId="28">
    <w:name w:val="页脚 字符"/>
    <w:link w:val="13"/>
    <w:qFormat/>
    <w:locked/>
    <w:uiPriority w:val="99"/>
    <w:rPr>
      <w:sz w:val="18"/>
    </w:rPr>
  </w:style>
  <w:style w:type="character" w:customStyle="1" w:styleId="29">
    <w:name w:val="Body Text Char"/>
    <w:basedOn w:val="20"/>
    <w:semiHidden/>
    <w:qFormat/>
    <w:uiPriority w:val="99"/>
    <w:rPr>
      <w:rFonts w:ascii="Times New Roman" w:hAnsi="Times New Roman"/>
      <w:szCs w:val="24"/>
    </w:rPr>
  </w:style>
  <w:style w:type="character" w:customStyle="1" w:styleId="30">
    <w:name w:val="正文文本 字符"/>
    <w:link w:val="10"/>
    <w:qFormat/>
    <w:locked/>
    <w:uiPriority w:val="99"/>
    <w:rPr>
      <w:rFonts w:ascii="仿宋_GB2312" w:hAnsi="Times New Roman" w:eastAsia="仿宋_GB2312"/>
      <w:sz w:val="24"/>
    </w:rPr>
  </w:style>
  <w:style w:type="paragraph" w:styleId="31">
    <w:name w:val="List Paragraph"/>
    <w:basedOn w:val="1"/>
    <w:qFormat/>
    <w:uiPriority w:val="34"/>
    <w:pPr>
      <w:ind w:firstLine="420" w:firstLineChars="200"/>
    </w:pPr>
  </w:style>
  <w:style w:type="character" w:customStyle="1" w:styleId="32">
    <w:name w:val="标题 1 字符"/>
    <w:basedOn w:val="20"/>
    <w:link w:val="5"/>
    <w:qFormat/>
    <w:uiPriority w:val="9"/>
    <w:rPr>
      <w:rFonts w:ascii="Times New Roman" w:hAnsi="Times New Roman"/>
      <w:b/>
      <w:bCs/>
      <w:kern w:val="44"/>
      <w:sz w:val="44"/>
      <w:szCs w:val="44"/>
    </w:rPr>
  </w:style>
  <w:style w:type="character" w:customStyle="1" w:styleId="33">
    <w:name w:val="标题 2 字符"/>
    <w:basedOn w:val="20"/>
    <w:link w:val="6"/>
    <w:qFormat/>
    <w:uiPriority w:val="9"/>
    <w:rPr>
      <w:rFonts w:asciiTheme="majorHAnsi" w:hAnsiTheme="majorHAnsi" w:eastAsiaTheme="majorEastAsia" w:cstheme="majorBidi"/>
      <w:b/>
      <w:bCs/>
      <w:kern w:val="2"/>
      <w:sz w:val="32"/>
      <w:szCs w:val="32"/>
    </w:rPr>
  </w:style>
  <w:style w:type="paragraph" w:customStyle="1" w:styleId="34">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批注框文本 字符"/>
    <w:basedOn w:val="20"/>
    <w:link w:val="12"/>
    <w:semiHidden/>
    <w:qFormat/>
    <w:uiPriority w:val="99"/>
    <w:rPr>
      <w:rFonts w:ascii="Times New Roman" w:hAnsi="Times New Roman"/>
      <w:kern w:val="2"/>
      <w:sz w:val="18"/>
      <w:szCs w:val="18"/>
    </w:rPr>
  </w:style>
  <w:style w:type="character" w:customStyle="1" w:styleId="36">
    <w:name w:val="标题 3 字符"/>
    <w:basedOn w:val="20"/>
    <w:link w:val="7"/>
    <w:qFormat/>
    <w:uiPriority w:val="9"/>
    <w:rPr>
      <w:rFonts w:ascii="Times New Roman" w:hAnsi="Times New Roman"/>
      <w:b/>
      <w:bCs/>
      <w:kern w:val="2"/>
      <w:sz w:val="32"/>
      <w:szCs w:val="32"/>
    </w:rPr>
  </w:style>
  <w:style w:type="character" w:customStyle="1" w:styleId="37">
    <w:name w:val="标题 1 Char"/>
    <w:basedOn w:val="20"/>
    <w:link w:val="5"/>
    <w:qFormat/>
    <w:uiPriority w:val="9"/>
    <w:rPr>
      <w:b/>
      <w:bCs/>
      <w:kern w:val="44"/>
      <w:sz w:val="44"/>
      <w:szCs w:val="44"/>
    </w:rPr>
  </w:style>
  <w:style w:type="character" w:customStyle="1" w:styleId="38">
    <w:name w:val="font71"/>
    <w:basedOn w:val="20"/>
    <w:qFormat/>
    <w:uiPriority w:val="0"/>
    <w:rPr>
      <w:rFonts w:ascii="宋体" w:hAnsi="宋体" w:eastAsia="宋体" w:cs="宋体"/>
      <w:color w:val="000000"/>
      <w:sz w:val="16"/>
      <w:szCs w:val="16"/>
      <w:u w:val="none"/>
    </w:rPr>
  </w:style>
  <w:style w:type="character" w:customStyle="1" w:styleId="39">
    <w:name w:val="font131"/>
    <w:basedOn w:val="20"/>
    <w:qFormat/>
    <w:uiPriority w:val="0"/>
    <w:rPr>
      <w:rFonts w:hint="default" w:ascii="Times New Roman" w:hAnsi="Times New Roman" w:cs="Times New Roman"/>
      <w:color w:val="000000"/>
      <w:sz w:val="16"/>
      <w:szCs w:val="16"/>
      <w:u w:val="none"/>
    </w:rPr>
  </w:style>
  <w:style w:type="character" w:customStyle="1" w:styleId="40">
    <w:name w:val="font141"/>
    <w:basedOn w:val="20"/>
    <w:qFormat/>
    <w:uiPriority w:val="0"/>
    <w:rPr>
      <w:rFonts w:hint="default" w:ascii="仿宋_GB2312" w:eastAsia="仿宋_GB2312" w:cs="仿宋_GB2312"/>
      <w:color w:val="000000"/>
      <w:sz w:val="16"/>
      <w:szCs w:val="16"/>
      <w:u w:val="none"/>
    </w:rPr>
  </w:style>
  <w:style w:type="character" w:customStyle="1" w:styleId="41">
    <w:name w:val="font151"/>
    <w:basedOn w:val="20"/>
    <w:qFormat/>
    <w:uiPriority w:val="0"/>
    <w:rPr>
      <w:rFonts w:hint="default" w:ascii="仿宋_GB2312" w:eastAsia="仿宋_GB2312" w:cs="仿宋_GB2312"/>
      <w:b/>
      <w:bCs/>
      <w:color w:val="000000"/>
      <w:sz w:val="16"/>
      <w:szCs w:val="16"/>
      <w:u w:val="none"/>
    </w:rPr>
  </w:style>
  <w:style w:type="paragraph" w:customStyle="1" w:styleId="42">
    <w:name w:val="图表目录1"/>
    <w:basedOn w:val="1"/>
    <w:next w:val="1"/>
    <w:qFormat/>
    <w:uiPriority w:val="0"/>
    <w:pPr>
      <w:ind w:left="400" w:leftChars="200" w:hanging="200" w:hangingChars="200"/>
    </w:pPr>
  </w:style>
  <w:style w:type="character" w:customStyle="1" w:styleId="43">
    <w:name w:val="font61"/>
    <w:basedOn w:val="20"/>
    <w:qFormat/>
    <w:uiPriority w:val="0"/>
    <w:rPr>
      <w:rFonts w:hint="eastAsia" w:ascii="黑体" w:hAnsi="黑体" w:eastAsia="黑体" w:cs="黑体"/>
      <w:color w:val="000000"/>
      <w:sz w:val="16"/>
      <w:szCs w:val="16"/>
      <w:u w:val="none"/>
    </w:rPr>
  </w:style>
  <w:style w:type="character" w:customStyle="1" w:styleId="44">
    <w:name w:val="font121"/>
    <w:basedOn w:val="20"/>
    <w:qFormat/>
    <w:uiPriority w:val="0"/>
    <w:rPr>
      <w:rFonts w:ascii="仿宋_GB2312" w:eastAsia="仿宋_GB2312" w:cs="仿宋_GB2312"/>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a:t>收、支决算总计变动情况图</a:t>
            </a:r>
            <a:endParaRPr lang="en-US" sz="1100"/>
          </a:p>
        </c:rich>
      </c:tx>
      <c:layout/>
      <c:overlay val="0"/>
    </c:title>
    <c:autoTitleDeleted val="0"/>
    <c:plotArea>
      <c:layout>
        <c:manualLayout>
          <c:layoutTarget val="inner"/>
          <c:xMode val="edge"/>
          <c:yMode val="edge"/>
          <c:x val="0.0583697565510227"/>
          <c:y val="0.243411291998319"/>
          <c:w val="0.800713012477719"/>
          <c:h val="0.654027777777778"/>
        </c:manualLayout>
      </c:layout>
      <c:barChart>
        <c:barDir val="col"/>
        <c:grouping val="clustered"/>
        <c:varyColors val="0"/>
        <c:ser>
          <c:idx val="1"/>
          <c:order val="0"/>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1550.71</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3101.78</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Sheet0!$A$1:$A$2</c:f>
              <c:strCache>
                <c:ptCount val="2"/>
                <c:pt idx="0">
                  <c:v>2024年</c:v>
                </c:pt>
                <c:pt idx="1">
                  <c:v>2025年</c:v>
                </c:pt>
              </c:strCache>
            </c:strRef>
          </c:cat>
          <c:val>
            <c:numRef>
              <c:f>Sheet0!$B$1:$B$2</c:f>
              <c:numCache>
                <c:formatCode>General</c:formatCode>
                <c:ptCount val="2"/>
                <c:pt idx="0">
                  <c:v>1550.71</c:v>
                </c:pt>
                <c:pt idx="1">
                  <c:v>3101.78</c:v>
                </c:pt>
              </c:numCache>
            </c:numRef>
          </c:val>
        </c:ser>
        <c:dLbls>
          <c:showLegendKey val="0"/>
          <c:showVal val="1"/>
          <c:showCatName val="0"/>
          <c:showSerName val="0"/>
          <c:showPercent val="0"/>
          <c:showBubbleSize val="0"/>
        </c:dLbls>
        <c:gapWidth val="41"/>
        <c:axId val="261387392"/>
        <c:axId val="261388928"/>
      </c:barChart>
      <c:catAx>
        <c:axId val="261387392"/>
        <c:scaling>
          <c:orientation val="minMax"/>
        </c:scaling>
        <c:delete val="0"/>
        <c:axPos val="b"/>
        <c:title>
          <c:tx>
            <c:rich>
              <a:bodyPr rot="0" spcFirstLastPara="0" vertOverflow="ellipsis" vert="horz" wrap="square" rtlCol="0" anchor="t" anchorCtr="1"/>
              <a:lstStyle/>
              <a:p>
                <a:pPr algn="l">
                  <a:defRPr lang="zh-CN" sz="1000" b="1" i="0" u="none" strike="noStrike" kern="1200" baseline="0">
                    <a:solidFill>
                      <a:schemeClr val="tx1"/>
                    </a:solidFill>
                    <a:latin typeface="+mn-lt"/>
                    <a:ea typeface="+mn-ea"/>
                    <a:cs typeface="+mn-cs"/>
                  </a:defRPr>
                </a:pPr>
                <a:r>
                  <a:rPr lang="zh-CN"/>
                  <a:t>单位：万元</a:t>
                </a:r>
                <a:endParaRPr lang="en-US" sz="1100"/>
              </a:p>
            </c:rich>
          </c:tx>
          <c:layout/>
          <c:overlay val="0"/>
        </c:title>
        <c:numFmt formatCode="General" sourceLinked="0"/>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dk1">
                    <a:lumMod val="65000"/>
                    <a:lumOff val="35000"/>
                  </a:schemeClr>
                </a:solidFill>
                <a:effectLst/>
                <a:latin typeface="+mn-lt"/>
                <a:ea typeface="+mn-ea"/>
                <a:cs typeface="+mn-cs"/>
              </a:defRPr>
            </a:pPr>
          </a:p>
        </c:txPr>
        <c:crossAx val="261388928"/>
        <c:crosses val="autoZero"/>
        <c:auto val="1"/>
        <c:lblAlgn val="ctr"/>
        <c:lblOffset val="100"/>
        <c:noMultiLvlLbl val="0"/>
      </c:catAx>
      <c:valAx>
        <c:axId val="261388928"/>
        <c:scaling>
          <c:orientation val="minMax"/>
        </c:scaling>
        <c:delete val="1"/>
        <c:axPos val="l"/>
        <c:title>
          <c:tx>
            <c:rich>
              <a:bodyPr rot="-5400000" spcFirstLastPara="0" vertOverflow="ellipsis" vert="horz" wrap="square" rtlCol="0" anchor="t" anchorCtr="1"/>
              <a:lstStyle/>
              <a:p>
                <a:pPr algn="l">
                  <a:defRPr lang="zh-CN" sz="1000" b="1" i="0" u="none" strike="noStrike" kern="1200" baseline="0">
                    <a:solidFill>
                      <a:schemeClr val="tx1"/>
                    </a:solidFill>
                    <a:latin typeface="+mn-lt"/>
                    <a:ea typeface="+mn-ea"/>
                    <a:cs typeface="+mn-cs"/>
                  </a:defRPr>
                </a:pPr>
                <a:r>
                  <a:rPr lang="zh-CN"/>
                  <a:t> </a:t>
                </a:r>
                <a:endParaRPr lang="en-US" sz="1100"/>
              </a:p>
            </c:rich>
          </c:tx>
          <c:layout/>
          <c:overlay val="0"/>
        </c:title>
        <c:numFmt formatCode="General" sourceLinked="1"/>
        <c:majorTickMark val="none"/>
        <c:minorTickMark val="none"/>
        <c:tickLblPos val="none"/>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61387392"/>
        <c:crosses val="autoZero"/>
        <c:crossBetween val="between"/>
      </c:valAx>
      <c:spPr>
        <a:noFill/>
        <a:ln>
          <a:noFill/>
        </a:ln>
        <a:effectLst/>
      </c:spPr>
    </c:plotArea>
    <c:plotVisOnly val="1"/>
    <c:dispBlanksAs val="gap"/>
    <c:showDLblsOverMax val="0"/>
    <c:extLst>
      <c:ext uri="{0b15fc19-7d7d-44ad-8c2d-2c3a37ce22c3}">
        <chartProps xmlns="https://web.wps.cn/et/2018/main" chartId="{fb865c93-c81f-4771-9100-a3cf1e2260f1}"/>
      </c:ext>
    </c:extLst>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a:t>收入决算结构图</a:t>
            </a:r>
            <a:endParaRPr lang="en-US" sz="1100"/>
          </a:p>
        </c:rich>
      </c:tx>
      <c:layout/>
      <c:overlay val="0"/>
    </c:title>
    <c:autoTitleDeleted val="0"/>
    <c:plotArea>
      <c:layout/>
      <c:pieChart>
        <c:varyColors val="1"/>
        <c:ser>
          <c:idx val="1"/>
          <c:order val="0"/>
          <c:explosion val="0"/>
          <c:dPt>
            <c:idx val="0"/>
            <c:bubble3D val="0"/>
          </c:dPt>
          <c:dPt>
            <c:idx val="1"/>
            <c:bubble3D val="0"/>
          </c:dPt>
          <c:dPt>
            <c:idx val="2"/>
            <c:bubble3D val="0"/>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95.7%</a:t>
                    </a:r>
                    <a:endParaRPr lang="en-US" altLang="zh-CN"/>
                  </a:p>
                </c:rich>
              </c:tx>
              <c:dLblPos val="bestFit"/>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t>0</a:t>
                    </a:r>
                    <a:r>
                      <a:rPr lang="en-US" altLang="zh-CN"/>
                      <a:t>.3</a:t>
                    </a:r>
                    <a:r>
                      <a:t>%</a:t>
                    </a:r>
                  </a:p>
                </c:rich>
              </c:tx>
              <c:dLblPos val="bestFit"/>
              <c:showLegendKey val="0"/>
              <c:showVal val="0"/>
              <c:showCatName val="0"/>
              <c:showSerName val="0"/>
              <c:showPercent val="1"/>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Sheet1!$A$2:$A$4</c:f>
              <c:strCache>
                <c:ptCount val="3"/>
                <c:pt idx="0">
                  <c:v>一般公共预算财政拨款收入</c:v>
                </c:pt>
                <c:pt idx="1">
                  <c:v>政府性基金预算财政拨款收入</c:v>
                </c:pt>
                <c:pt idx="2">
                  <c:v>其他收入</c:v>
                </c:pt>
              </c:strCache>
            </c:strRef>
          </c:cat>
          <c:val>
            <c:numRef>
              <c:f>Sheet1!$B$2:$B$4</c:f>
              <c:numCache>
                <c:formatCode>General</c:formatCode>
                <c:ptCount val="3"/>
                <c:pt idx="0">
                  <c:v>2971.07</c:v>
                </c:pt>
                <c:pt idx="1">
                  <c:v>1</c:v>
                </c:pt>
                <c:pt idx="2">
                  <c:v>129.72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zero"/>
    <c:showDLblsOverMax val="0"/>
    <c:extLst>
      <c:ext uri="{0b15fc19-7d7d-44ad-8c2d-2c3a37ce22c3}">
        <chartProps xmlns="https://web.wps.cn/et/2018/main" chartId="{8ec69e4b-fbab-4ab9-842b-a1cb5a4b1290}"/>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支出（万元）</c:v>
                </c:pt>
              </c:strCache>
            </c:strRef>
          </c:tx>
          <c:explosion val="2"/>
          <c:dPt>
            <c:idx val="0"/>
            <c:bubble3D val="0"/>
          </c:dPt>
          <c:dPt>
            <c:idx val="1"/>
            <c:bubble3D val="0"/>
          </c:dPt>
          <c:dLbls>
            <c:dLbl>
              <c:idx val="0"/>
              <c:layout>
                <c:manualLayout>
                  <c:x val="-6.78558410835572e-7"/>
                  <c:y val="-0.410847367426321"/>
                </c:manualLayout>
              </c:layout>
              <c:dLblPos val="bestFit"/>
              <c:showLegendKey val="0"/>
              <c:showVal val="1"/>
              <c:showCatName val="0"/>
              <c:showSerName val="0"/>
              <c:showPercent val="0"/>
              <c:showBubbleSize val="0"/>
              <c:extLst>
                <c:ext xmlns:c15="http://schemas.microsoft.com/office/drawing/2012/chart" uri="{CE6537A1-D6FC-4f65-9D91-7224C49458BB}">
                  <c15:layout>
                    <c:manualLayout>
                      <c:w val="0.132184647036132"/>
                      <c:h val="0.0875458909912454"/>
                    </c:manualLayout>
                  </c15:layout>
                </c:ext>
              </c:extLst>
            </c:dLbl>
            <c:dLbl>
              <c:idx val="1"/>
              <c:layout/>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extLst>
                <c:ext xmlns:c15="http://schemas.microsoft.com/office/drawing/2012/chart" uri="{02D57815-91ED-43cb-92C2-25804820EDAC}">
                  <c15:fullRef>
                    <c15:sqref>Sheet1!$A$2:$A$5</c15:sqref>
                  </c15:fullRef>
                </c:ext>
              </c:extLst>
              <c:f>Sheet1!$A$2:$A$3</c:f>
              <c:strCache>
                <c:ptCount val="2"/>
                <c:pt idx="0">
                  <c:v>基本支出</c:v>
                </c:pt>
                <c:pt idx="1">
                  <c:v>项目支出</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3066.16</c:v>
                </c:pt>
                <c:pt idx="1">
                  <c:v>35.62</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95497470467695"/>
          <c:y val="0.341703009809662"/>
          <c:w val="0.183200412116947"/>
          <c:h val="0.54879858530582"/>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6ce7239f-a67d-446c-ae36-1b4584b2163e}"/>
      </c:ext>
    </c:extLst>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baseline="0">
                <a:solidFill>
                  <a:schemeClr val="tx2"/>
                </a:solidFill>
                <a:latin typeface="+mn-lt"/>
                <a:ea typeface="+mn-ea"/>
                <a:cs typeface="+mn-cs"/>
              </a:defRPr>
            </a:pPr>
            <a:r>
              <a:rPr lang="en-US" altLang="zh-CN"/>
              <a:t>财政拨款收、支决算总计变动情况</a:t>
            </a:r>
            <a:endParaRPr lang="en-US" altLang="zh-CN"/>
          </a:p>
        </c:rich>
      </c:tx>
      <c:layout/>
      <c:overlay val="0"/>
      <c:spPr>
        <a:noFill/>
        <a:ln>
          <a:noFill/>
        </a:ln>
        <a:effectLst/>
      </c:spPr>
    </c:title>
    <c:autoTitleDeleted val="0"/>
    <c:plotArea>
      <c:layout/>
      <c:barChart>
        <c:barDir val="col"/>
        <c:grouping val="clustered"/>
        <c:varyColors val="0"/>
        <c:ser>
          <c:idx val="1"/>
          <c:order val="0"/>
          <c:tx>
            <c:strRef>
              <c:f>Sheet1!$B$1</c:f>
              <c:strCache>
                <c:ptCount val="1"/>
                <c:pt idx="0">
                  <c:v>列1</c:v>
                </c:pt>
              </c:strCache>
            </c:strRef>
          </c:tx>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2024年</c:v>
                </c:pt>
                <c:pt idx="1">
                  <c:v>2025年</c:v>
                </c:pt>
              </c:strCache>
            </c:strRef>
          </c:cat>
          <c:val>
            <c:numRef>
              <c:f>Sheet1!$B$2:$B$3</c:f>
              <c:numCache>
                <c:formatCode>General</c:formatCode>
                <c:ptCount val="2"/>
                <c:pt idx="0">
                  <c:v>1550.71</c:v>
                </c:pt>
                <c:pt idx="1">
                  <c:v>3101.78</c:v>
                </c:pt>
              </c:numCache>
            </c:numRef>
          </c:val>
        </c:ser>
        <c:dLbls>
          <c:showLegendKey val="0"/>
          <c:showVal val="1"/>
          <c:showCatName val="0"/>
          <c:showSerName val="0"/>
          <c:showPercent val="0"/>
          <c:showBubbleSize val="0"/>
        </c:dLbls>
        <c:gapWidth val="100"/>
        <c:overlap val="-24"/>
        <c:axId val="263359104"/>
        <c:axId val="263373184"/>
      </c:barChart>
      <c:catAx>
        <c:axId val="263359104"/>
        <c:scaling>
          <c:orientation val="minMax"/>
        </c:scaling>
        <c:delete val="0"/>
        <c:axPos val="b"/>
        <c:title>
          <c:tx>
            <c:rich>
              <a:bodyPr rot="0" spcFirstLastPara="0" vertOverflow="ellipsis" vert="horz" wrap="square" rtlCol="0" anchor="t" anchorCtr="1"/>
              <a:lstStyle/>
              <a:p>
                <a:pPr algn="l">
                  <a:defRPr lang="zh-CN" sz="1000" b="1" i="0" u="none" strike="noStrike" kern="1200" baseline="0">
                    <a:solidFill>
                      <a:schemeClr val="tx1"/>
                    </a:solidFill>
                    <a:latin typeface="+mn-lt"/>
                    <a:ea typeface="+mn-ea"/>
                    <a:cs typeface="+mn-cs"/>
                  </a:defRPr>
                </a:pPr>
                <a:r>
                  <a:rPr lang="zh-CN"/>
                  <a:t>单位：万元</a:t>
                </a:r>
                <a:endParaRPr lang="en-US" sz="1100"/>
              </a:p>
            </c:rich>
          </c:tx>
          <c:layout/>
          <c:overlay val="0"/>
        </c:title>
        <c:numFmt formatCode="General" sourceLinked="0"/>
        <c:majorTickMark val="none"/>
        <c:minorTickMark val="none"/>
        <c:tickLblPos val="nextTo"/>
        <c:spPr>
          <a:noFill/>
          <a:ln w="9525" cap="flat" cmpd="sng" algn="ctr">
            <a:solidFill>
              <a:schemeClr val="tx2">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2"/>
                </a:solidFill>
                <a:latin typeface="+mn-lt"/>
                <a:ea typeface="+mn-ea"/>
                <a:cs typeface="+mn-cs"/>
              </a:defRPr>
            </a:pPr>
          </a:p>
        </c:txPr>
        <c:crossAx val="263373184"/>
        <c:crosses val="autoZero"/>
        <c:auto val="1"/>
        <c:lblAlgn val="ctr"/>
        <c:lblOffset val="100"/>
        <c:noMultiLvlLbl val="0"/>
      </c:catAx>
      <c:valAx>
        <c:axId val="263373184"/>
        <c:scaling>
          <c:orientation val="minMax"/>
        </c:scaling>
        <c:delete val="0"/>
        <c:axPos val="l"/>
        <c:majorGridlines>
          <c:spPr>
            <a:ln w="9525" cap="flat" cmpd="sng" algn="ctr">
              <a:solidFill>
                <a:schemeClr val="tx2">
                  <a:lumMod val="15000"/>
                  <a:lumOff val="85000"/>
                </a:schemeClr>
              </a:solidFill>
              <a:prstDash val="solid"/>
              <a:round/>
            </a:ln>
            <a:effectLst/>
          </c:spPr>
        </c:majorGridlines>
        <c:title>
          <c:tx>
            <c:rich>
              <a:bodyPr rot="-5400000" spcFirstLastPara="0" vertOverflow="ellipsis" vert="horz" wrap="square" rtlCol="0" anchor="t" anchorCtr="1"/>
              <a:lstStyle/>
              <a:p>
                <a:pPr algn="l">
                  <a:defRPr lang="zh-CN" sz="1000" b="1" i="0" u="none" strike="noStrike" kern="1200" baseline="0">
                    <a:solidFill>
                      <a:schemeClr val="tx1"/>
                    </a:solidFill>
                    <a:latin typeface="+mn-lt"/>
                    <a:ea typeface="+mn-ea"/>
                    <a:cs typeface="+mn-cs"/>
                  </a:defRPr>
                </a:pPr>
                <a:r>
                  <a:rPr lang="zh-CN"/>
                  <a:t> </a:t>
                </a:r>
                <a:endParaRPr lang="en-US" sz="1100"/>
              </a:p>
            </c:rich>
          </c:tx>
          <c:layout/>
          <c:overlay val="0"/>
        </c:title>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2"/>
                </a:solidFill>
                <a:latin typeface="+mn-lt"/>
                <a:ea typeface="+mn-ea"/>
                <a:cs typeface="+mn-cs"/>
              </a:defRPr>
            </a:pPr>
          </a:p>
        </c:txPr>
        <c:crossAx val="263359104"/>
        <c:crosses val="autoZero"/>
        <c:crossBetween val="between"/>
      </c:valAx>
      <c:spPr>
        <a:noFill/>
        <a:ln>
          <a:noFill/>
        </a:ln>
        <a:effectLst/>
      </c:spPr>
    </c:plotArea>
    <c:plotVisOnly val="1"/>
    <c:dispBlanksAs val="gap"/>
    <c:showDLblsOverMax val="0"/>
    <c:extLst>
      <c:ext uri="{0b15fc19-7d7d-44ad-8c2d-2c3a37ce22c3}">
        <chartProps xmlns="https://web.wps.cn/et/2018/main" chartId="{16d799ba-4522-4ec7-b5f2-3f99b5029d60}"/>
      </c:ext>
    </c:extLst>
  </c:chart>
  <c:spPr>
    <a:solidFill>
      <a:schemeClr val="bg1"/>
    </a:solidFill>
    <a:ln w="9525" cap="flat" cmpd="sng" algn="ctr">
      <a:solidFill>
        <a:schemeClr val="tx2">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200" b="0" i="0" u="none" strike="noStrike" kern="1200" baseline="0">
              <a:solidFill>
                <a:srgbClr val="000000"/>
              </a:solidFill>
              <a:latin typeface="Times New Roman" panose="02020603050405020304"/>
              <a:ea typeface="宋体" panose="02010600030101010101" charset="-122"/>
              <a:cs typeface="Lucida Sans" panose="020B0602030504020204"/>
            </a:defRPr>
          </a:pPr>
        </a:p>
      </c:txPr>
    </c:title>
    <c:autoTitleDeleted val="0"/>
    <c:plotArea>
      <c:layout>
        <c:manualLayout>
          <c:layoutTarget val="inner"/>
          <c:xMode val="edge"/>
          <c:yMode val="edge"/>
          <c:x val="0.285646047289229"/>
          <c:y val="0.230656075316269"/>
          <c:w val="0.563888225459756"/>
          <c:h val="0.635775228008238"/>
        </c:manualLayout>
      </c:layout>
      <c:barChart>
        <c:barDir val="col"/>
        <c:grouping val="clustered"/>
        <c:varyColors val="0"/>
        <c:ser>
          <c:idx val="0"/>
          <c:order val="0"/>
          <c:tx>
            <c:strRef>
              <c:f>'Sheet1 (4)'!$B$1</c:f>
              <c:strCache>
                <c:ptCount val="1"/>
                <c:pt idx="0">
                  <c:v>一般公共预算财政拨款支出（万元）</c:v>
                </c:pt>
              </c:strCache>
            </c:strRef>
          </c:tx>
          <c:spPr>
            <a:solidFill>
              <a:srgbClr val="4472C4"/>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'Sheet1 (4)'!$A$2:$A$3</c:f>
              <c:numCache>
                <c:formatCode>General</c:formatCode>
                <c:ptCount val="2"/>
                <c:pt idx="0">
                  <c:v>2024</c:v>
                </c:pt>
                <c:pt idx="1">
                  <c:v>2025</c:v>
                </c:pt>
              </c:numCache>
            </c:numRef>
          </c:cat>
          <c:val>
            <c:numRef>
              <c:f>'Sheet1 (4)'!$B$2:$B$3</c:f>
              <c:numCache>
                <c:formatCode>General</c:formatCode>
                <c:ptCount val="2"/>
                <c:pt idx="0">
                  <c:v>1548.84</c:v>
                </c:pt>
                <c:pt idx="1">
                  <c:v>2971.07</c:v>
                </c:pt>
              </c:numCache>
            </c:numRef>
          </c:val>
        </c:ser>
        <c:dLbls>
          <c:showLegendKey val="0"/>
          <c:showVal val="1"/>
          <c:showCatName val="0"/>
          <c:showSerName val="0"/>
          <c:showPercent val="0"/>
          <c:showBubbleSize val="0"/>
        </c:dLbls>
        <c:gapWidth val="150"/>
        <c:axId val="43700224"/>
        <c:axId val="43701760"/>
      </c:barChart>
      <c:catAx>
        <c:axId val="43700224"/>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crossAx val="43701760"/>
        <c:crosses val="autoZero"/>
        <c:auto val="1"/>
        <c:lblAlgn val="ctr"/>
        <c:lblOffset val="100"/>
        <c:noMultiLvlLbl val="0"/>
      </c:catAx>
      <c:valAx>
        <c:axId val="43701760"/>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crossAx val="43700224"/>
        <c:crossesAt val="1"/>
        <c:crossBetween val="between"/>
      </c:valAx>
      <c:spPr>
        <a:solidFill>
          <a:srgbClr val="FFFFFF"/>
        </a:solidFill>
      </c:spPr>
    </c:plotArea>
    <c:plotVisOnly val="1"/>
    <c:dispBlanksAs val="gap"/>
    <c:showDLblsOverMax val="0"/>
    <c:extLst>
      <c:ext uri="{0b15fc19-7d7d-44ad-8c2d-2c3a37ce22c3}">
        <chartProps xmlns="https://web.wps.cn/et/2018/main" chartId="{c18b8e19-a83f-469b-9c44-bbe1be3d9692}"/>
      </c:ext>
    </c:extLst>
  </c:chart>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a:t>一般公共预算财政拨款支出</a:t>
            </a:r>
            <a:endParaRPr lang="en-US" sz="1100"/>
          </a:p>
        </c:rich>
      </c:tx>
      <c:layout/>
      <c:overlay val="0"/>
    </c:title>
    <c:autoTitleDeleted val="0"/>
    <c:plotArea>
      <c:layout/>
      <c:pieChart>
        <c:varyColors val="1"/>
        <c:ser>
          <c:idx val="1"/>
          <c:order val="0"/>
          <c:explosion val="0"/>
          <c:dPt>
            <c:idx val="0"/>
            <c:bubble3D val="0"/>
          </c:dPt>
          <c:dPt>
            <c:idx val="1"/>
            <c:bubble3D val="0"/>
          </c:dPt>
          <c:dPt>
            <c:idx val="2"/>
            <c:bubble3D val="0"/>
          </c:dPt>
          <c:dPt>
            <c:idx val="3"/>
            <c:bubble3D val="0"/>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Sheet1!$A$2:$A$5</c:f>
              <c:strCache>
                <c:ptCount val="4"/>
                <c:pt idx="0">
                  <c:v>教育支出</c:v>
                </c:pt>
                <c:pt idx="1">
                  <c:v>社会保障和就业支出</c:v>
                </c:pt>
                <c:pt idx="2">
                  <c:v>卫生健康支出</c:v>
                </c:pt>
                <c:pt idx="3">
                  <c:v>住房保障支出</c:v>
                </c:pt>
              </c:strCache>
            </c:strRef>
          </c:cat>
          <c:val>
            <c:numRef>
              <c:f>Sheet1!$B$2:$B$5</c:f>
              <c:numCache>
                <c:formatCode>General</c:formatCode>
                <c:ptCount val="4"/>
                <c:pt idx="0">
                  <c:v>2273.94</c:v>
                </c:pt>
                <c:pt idx="1">
                  <c:v>351.7</c:v>
                </c:pt>
                <c:pt idx="2">
                  <c:v>149.78</c:v>
                </c:pt>
                <c:pt idx="3">
                  <c:v>195.66</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9d7cb550-6bc1-4f9f-9810-261e64a58bd0}"/>
      </c:ext>
    </c:extLst>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a:t>三公经费</a:t>
            </a:r>
            <a:endParaRPr lang="en-US" sz="1100"/>
          </a:p>
        </c:rich>
      </c:tx>
      <c:layout/>
      <c:overlay val="0"/>
    </c:title>
    <c:autoTitleDeleted val="0"/>
    <c:plotArea>
      <c:layout/>
      <c:pieChart>
        <c:varyColors val="1"/>
        <c:ser>
          <c:idx val="1"/>
          <c:order val="0"/>
          <c:explosion val="0"/>
          <c:dPt>
            <c:idx val="0"/>
            <c:bubble3D val="0"/>
          </c:dPt>
          <c:dPt>
            <c:idx val="1"/>
            <c:bubble3D val="0"/>
          </c:dPt>
          <c:dPt>
            <c:idx val="2"/>
            <c:bubble3D val="0"/>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{"因公出国（境）费","公务用车购置及运行维护费","公务接待费"}</c:f>
              <c:strCache>
                <c:ptCount val="3"/>
                <c:pt idx="0">
                  <c:v>因公出国（境）费</c:v>
                </c:pt>
                <c:pt idx="1">
                  <c:v>公务用车购置及运行维护费</c:v>
                </c:pt>
                <c:pt idx="2">
                  <c:v>公务接待费</c:v>
                </c:pt>
              </c:strCache>
            </c:strRef>
          </c:cat>
          <c:val>
            <c:numRef>
              <c:f>{0,0,0}</c:f>
              <c:numCache>
                <c:formatCode>General</c:formatCode>
                <c:ptCount val="3"/>
                <c:pt idx="0">
                  <c:v>0</c:v>
                </c:pt>
                <c:pt idx="1">
                  <c:v>0</c:v>
                </c:pt>
                <c:pt idx="2">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8e5e522a-4e03-45e3-8844-3a64a537fcac}"/>
      </c:ext>
    </c:extLst>
  </c:chart>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30</Pages>
  <Words>10170</Words>
  <Characters>11978</Characters>
  <Lines>48</Lines>
  <Paragraphs>13</Paragraphs>
  <TotalTime>42</TotalTime>
  <ScaleCrop>false</ScaleCrop>
  <LinksUpToDate>false</LinksUpToDate>
  <CharactersWithSpaces>12090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2023-08-18T15:28:00Z</dcterms:created>
  <dc:creator>pjf</dc:creator>
  <cp:lastModifiedBy>杨永德13551482036</cp:lastModifiedBy>
  <cp:lastPrinted>2026-09-02T01:50:00Z</cp:lastPrinted>
  <dcterms:modified xsi:type="dcterms:W3CDTF">2026-09-03T01:13:24Z</dcterms:modified>
  <dc:title>四川省决算编制说明</dc:title>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4C9FA7CAD6794E7080629D442C9E7149_13</vt:lpwstr>
  </property>
  <property fmtid="{D5CDD505-2E9C-101B-9397-08002B2CF9AE}" pid="4" name="KSOTemplateDocerSaveRecord">
    <vt:lpwstr>eyJoZGlkIjoiZjE0M2I0MDY1ZmQ1MGU2ZmMxODc3ZDI4MmRlNjZlZGEiLCJ1c2VySWQiOiIxNDA3NjE5ODYyIn0=</vt:lpwstr>
  </property>
</Properties>
</file>