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2F53F">
      <w:pPr>
        <w:pStyle w:val="6"/>
        <w:jc w:val="both"/>
        <w:rPr>
          <w:rFonts w:hint="default" w:ascii="Times New Roman" w:hAnsi="Times New Roman" w:eastAsia="方正小标宋简体" w:cs="Times New Roman"/>
          <w:color w:val="auto"/>
          <w:kern w:val="2"/>
          <w:sz w:val="44"/>
          <w:szCs w:val="44"/>
          <w:highlight w:val="none"/>
          <w:lang w:val="en-US" w:eastAsia="zh-CN" w:bidi="ar-SA"/>
        </w:rPr>
      </w:pPr>
      <w:bookmarkStart w:id="0" w:name="_Toc15377193"/>
      <w:bookmarkStart w:id="1" w:name="_Toc15378441"/>
      <w:bookmarkStart w:id="2" w:name="_Toc15377425"/>
      <w:bookmarkStart w:id="3" w:name="_Toc15306267"/>
      <w:bookmarkStart w:id="4" w:name="_Toc15396597"/>
      <w:bookmarkStart w:id="5" w:name="_Toc15396475"/>
    </w:p>
    <w:p w14:paraId="7BF43C81">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14:paraId="6C9985F1">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14:paraId="040BBE15">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14:paraId="511BF00E">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14:paraId="1A1114CE">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14:paraId="3D39CD8A">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14:paraId="0EEA21FB">
      <w:pPr>
        <w:pStyle w:val="6"/>
        <w:jc w:val="both"/>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2D7D77CD">
      <w:pPr>
        <w:pStyle w:val="6"/>
        <w:suppressAutoHyphens/>
        <w:spacing w:before="86" w:beforeLines="30" w:after="0" w:line="240" w:lineRule="auto"/>
        <w:jc w:val="center"/>
        <w:rPr>
          <w:rFonts w:hint="default" w:ascii="Times New Roman" w:hAnsi="Times New Roman" w:eastAsia="方正小标宋简体" w:cs="Times New Roman"/>
          <w:kern w:val="2"/>
          <w:sz w:val="72"/>
          <w:szCs w:val="72"/>
          <w:lang w:val="en-US" w:eastAsia="zh-CN"/>
        </w:rPr>
      </w:pPr>
      <w:r>
        <w:rPr>
          <w:rFonts w:hint="default" w:ascii="Times New Roman" w:hAnsi="Times New Roman" w:eastAsia="方正小标宋简体" w:cs="Times New Roman"/>
          <w:kern w:val="2"/>
          <w:sz w:val="72"/>
          <w:szCs w:val="72"/>
          <w:lang w:val="en-US" w:eastAsia="zh-CN"/>
        </w:rPr>
        <w:t>2025年度阿坝州</w:t>
      </w:r>
    </w:p>
    <w:p w14:paraId="39031246">
      <w:pPr>
        <w:pStyle w:val="6"/>
        <w:suppressAutoHyphens/>
        <w:spacing w:before="86" w:beforeLines="30" w:after="0" w:line="240" w:lineRule="auto"/>
        <w:jc w:val="center"/>
        <w:rPr>
          <w:rFonts w:hint="default" w:ascii="Times New Roman" w:hAnsi="Times New Roman" w:eastAsia="黑体" w:cs="Times New Roman"/>
          <w:color w:val="auto"/>
          <w:sz w:val="48"/>
          <w:szCs w:val="48"/>
          <w:highlight w:val="none"/>
        </w:rPr>
      </w:pPr>
      <w:r>
        <w:rPr>
          <w:rFonts w:hint="eastAsia" w:ascii="Times New Roman" w:eastAsia="方正小标宋简体" w:cs="Times New Roman"/>
          <w:kern w:val="2"/>
          <w:sz w:val="72"/>
          <w:szCs w:val="72"/>
          <w:lang w:val="en-US" w:eastAsia="zh-CN"/>
        </w:rPr>
        <w:t>茂县</w:t>
      </w:r>
      <w:r>
        <w:rPr>
          <w:rFonts w:hint="default" w:ascii="Times New Roman" w:hAnsi="Times New Roman" w:eastAsia="方正小标宋简体" w:cs="Times New Roman"/>
          <w:kern w:val="2"/>
          <w:sz w:val="72"/>
          <w:szCs w:val="72"/>
          <w:lang w:val="en-US" w:eastAsia="zh-CN"/>
        </w:rPr>
        <w:t>教育局汇总决算</w:t>
      </w:r>
    </w:p>
    <w:p w14:paraId="24477DB1">
      <w:pPr>
        <w:widowControl/>
        <w:jc w:val="center"/>
        <w:rPr>
          <w:rFonts w:hint="default" w:ascii="Times New Roman" w:hAnsi="Times New Roman" w:eastAsia="黑体" w:cs="Times New Roman"/>
          <w:color w:val="auto"/>
          <w:sz w:val="48"/>
          <w:szCs w:val="48"/>
          <w:highlight w:val="none"/>
        </w:rPr>
      </w:pPr>
    </w:p>
    <w:p w14:paraId="0A9DB3ED">
      <w:pPr>
        <w:widowControl/>
        <w:jc w:val="center"/>
        <w:rPr>
          <w:rFonts w:hint="default" w:ascii="Times New Roman" w:hAnsi="Times New Roman" w:eastAsia="黑体" w:cs="Times New Roman"/>
          <w:color w:val="auto"/>
          <w:sz w:val="48"/>
          <w:szCs w:val="48"/>
          <w:highlight w:val="none"/>
        </w:rPr>
      </w:pPr>
    </w:p>
    <w:p w14:paraId="210B97CD">
      <w:pPr>
        <w:widowControl/>
        <w:jc w:val="center"/>
        <w:rPr>
          <w:rFonts w:hint="default" w:ascii="Times New Roman" w:hAnsi="Times New Roman" w:eastAsia="黑体" w:cs="Times New Roman"/>
          <w:color w:val="auto"/>
          <w:sz w:val="48"/>
          <w:szCs w:val="48"/>
          <w:highlight w:val="none"/>
        </w:rPr>
      </w:pPr>
    </w:p>
    <w:p w14:paraId="01DF3FA5">
      <w:pPr>
        <w:widowControl/>
        <w:jc w:val="center"/>
        <w:rPr>
          <w:rFonts w:hint="default" w:ascii="Times New Roman" w:hAnsi="Times New Roman" w:eastAsia="黑体" w:cs="Times New Roman"/>
          <w:color w:val="auto"/>
          <w:sz w:val="48"/>
          <w:szCs w:val="48"/>
          <w:highlight w:val="none"/>
        </w:rPr>
      </w:pPr>
    </w:p>
    <w:p w14:paraId="33152575">
      <w:pPr>
        <w:widowControl/>
        <w:jc w:val="center"/>
        <w:rPr>
          <w:rFonts w:hint="default" w:ascii="Times New Roman" w:hAnsi="Times New Roman" w:eastAsia="黑体" w:cs="Times New Roman"/>
          <w:color w:val="auto"/>
          <w:sz w:val="48"/>
          <w:szCs w:val="48"/>
          <w:highlight w:val="none"/>
        </w:rPr>
      </w:pPr>
    </w:p>
    <w:p w14:paraId="4166BB60">
      <w:pPr>
        <w:widowControl/>
        <w:jc w:val="center"/>
        <w:rPr>
          <w:rFonts w:hint="default" w:ascii="Times New Roman" w:hAnsi="Times New Roman" w:eastAsia="黑体" w:cs="Times New Roman"/>
          <w:color w:val="auto"/>
          <w:sz w:val="48"/>
          <w:szCs w:val="48"/>
          <w:highlight w:val="none"/>
        </w:rPr>
      </w:pPr>
    </w:p>
    <w:p w14:paraId="5C89909D">
      <w:pPr>
        <w:pStyle w:val="2"/>
        <w:rPr>
          <w:rFonts w:hint="default"/>
        </w:rPr>
      </w:pPr>
    </w:p>
    <w:p w14:paraId="6FBF4CD9">
      <w:pPr>
        <w:rPr>
          <w:rFonts w:hint="default"/>
        </w:rPr>
      </w:pPr>
    </w:p>
    <w:p w14:paraId="145A5824">
      <w:pPr>
        <w:widowControl/>
        <w:jc w:val="center"/>
        <w:rPr>
          <w:rFonts w:hint="default" w:ascii="Times New Roman" w:hAnsi="Times New Roman" w:eastAsia="黑体" w:cs="Times New Roman"/>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76E8D0B7">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5FF1311D">
      <w:pPr>
        <w:widowControl/>
        <w:jc w:val="center"/>
        <w:rPr>
          <w:rFonts w:hint="default" w:ascii="Times New Roman" w:hAnsi="Times New Roman" w:eastAsia="黑体" w:cs="Times New Roman"/>
          <w:color w:val="auto"/>
          <w:sz w:val="28"/>
          <w:szCs w:val="28"/>
          <w:highlight w:val="none"/>
        </w:rPr>
      </w:pPr>
    </w:p>
    <w:p w14:paraId="511AB529">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日</w:t>
      </w:r>
    </w:p>
    <w:sdt>
      <w:sdtPr>
        <w:rPr>
          <w:rFonts w:ascii="宋体" w:hAnsi="宋体" w:eastAsia="宋体" w:cs="Times New Roman"/>
          <w:kern w:val="2"/>
          <w:sz w:val="21"/>
          <w:szCs w:val="24"/>
          <w:lang w:val="en-US" w:eastAsia="zh-CN" w:bidi="ar-SA"/>
        </w:rPr>
        <w:id w:val="118018342"/>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5682B40">
          <w:pPr>
            <w:spacing w:before="0" w:beforeLines="0" w:after="0" w:afterLines="0" w:line="240" w:lineRule="auto"/>
            <w:ind w:left="0" w:leftChars="0" w:right="0" w:rightChars="0" w:firstLine="0" w:firstLineChars="0"/>
            <w:jc w:val="center"/>
          </w:pPr>
        </w:p>
        <w:p w14:paraId="355DC5B5">
          <w:pPr>
            <w:pStyle w:val="13"/>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TOC \o "1-2" \h \u </w:instrText>
          </w:r>
          <w:r>
            <w:rPr>
              <w:rFonts w:hint="eastAsia" w:ascii="仿宋" w:hAnsi="仿宋" w:eastAsia="仿宋" w:cs="仿宋"/>
              <w:sz w:val="32"/>
              <w:szCs w:val="32"/>
            </w:rP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_Toc1173979516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bCs w:val="0"/>
              <w:sz w:val="32"/>
              <w:szCs w:val="32"/>
              <w:highlight w:val="none"/>
            </w:rPr>
            <w:t>部门概况</w:t>
          </w:r>
          <w:r>
            <w:rPr>
              <w:rFonts w:hint="eastAsia" w:ascii="黑体" w:hAnsi="黑体" w:eastAsia="黑体" w:cs="黑体"/>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_Toc1173979516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黑体" w:hAnsi="黑体" w:eastAsia="黑体" w:cs="黑体"/>
              <w:sz w:val="32"/>
              <w:szCs w:val="32"/>
            </w:rPr>
            <w:fldChar w:fldCharType="end"/>
          </w:r>
        </w:p>
        <w:p w14:paraId="1B4CBE71">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_Toc902788049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一、</w:t>
          </w:r>
          <w:r>
            <w:rPr>
              <w:rFonts w:hint="eastAsia" w:ascii="仿宋" w:hAnsi="仿宋" w:eastAsia="仿宋" w:cs="仿宋"/>
              <w:sz w:val="32"/>
              <w:szCs w:val="32"/>
              <w:highlight w:val="none"/>
              <w:lang w:eastAsia="zh-CN"/>
            </w:rPr>
            <w:t>部门职责</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_Toc902788049 \h </w:instrText>
          </w:r>
          <w:r>
            <w:rPr>
              <w:rFonts w:hint="eastAsia" w:ascii="仿宋" w:hAnsi="仿宋" w:eastAsia="仿宋" w:cs="仿宋"/>
              <w:sz w:val="32"/>
              <w:szCs w:val="32"/>
            </w:rPr>
            <w:fldChar w:fldCharType="separate"/>
          </w:r>
          <w:r>
            <w:rPr>
              <w:rFonts w:hint="eastAsia" w:ascii="仿宋" w:hAnsi="仿宋" w:eastAsia="仿宋" w:cs="仿宋"/>
              <w:sz w:val="32"/>
              <w:szCs w:val="32"/>
            </w:rPr>
            <w:t>1</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A8CCBE1">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_Toc632302017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二、机</w:t>
          </w:r>
          <w:r>
            <w:rPr>
              <w:rFonts w:hint="eastAsia" w:ascii="仿宋" w:hAnsi="仿宋" w:eastAsia="仿宋" w:cs="仿宋"/>
              <w:bCs w:val="0"/>
              <w:sz w:val="32"/>
              <w:szCs w:val="32"/>
              <w:highlight w:val="none"/>
            </w:rPr>
            <w:t>构设置</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_Toc632302017 \h </w:instrText>
          </w:r>
          <w:r>
            <w:rPr>
              <w:rFonts w:hint="eastAsia" w:ascii="仿宋" w:hAnsi="仿宋" w:eastAsia="仿宋" w:cs="仿宋"/>
              <w:sz w:val="32"/>
              <w:szCs w:val="32"/>
            </w:rPr>
            <w:fldChar w:fldCharType="separate"/>
          </w:r>
          <w:r>
            <w:rPr>
              <w:rFonts w:hint="eastAsia" w:ascii="仿宋" w:hAnsi="仿宋" w:eastAsia="仿宋" w:cs="仿宋"/>
              <w:sz w:val="32"/>
              <w:szCs w:val="32"/>
            </w:rPr>
            <w:t>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531FC5A">
          <w:pPr>
            <w:pStyle w:val="13"/>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_Toc1717482837 </w:instrText>
          </w:r>
          <w:r>
            <w:rPr>
              <w:rFonts w:hint="eastAsia" w:ascii="仿宋" w:hAnsi="仿宋" w:eastAsia="仿宋" w:cs="仿宋"/>
              <w:sz w:val="32"/>
              <w:szCs w:val="32"/>
            </w:rPr>
            <w:fldChar w:fldCharType="separate"/>
          </w:r>
          <w:r>
            <w:rPr>
              <w:rFonts w:hint="eastAsia" w:ascii="黑体" w:hAnsi="黑体" w:eastAsia="黑体" w:cs="黑体"/>
              <w:sz w:val="32"/>
              <w:szCs w:val="32"/>
              <w:highlight w:val="none"/>
            </w:rPr>
            <w:t>第二部分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sz w:val="32"/>
              <w:szCs w:val="32"/>
              <w:highlight w:val="none"/>
              <w:lang w:val="en-US" w:eastAsia="zh-CN"/>
            </w:rPr>
            <w:t>2025年度</w:t>
          </w:r>
          <w:r>
            <w:rPr>
              <w:rFonts w:hint="eastAsia" w:ascii="黑体" w:hAnsi="黑体" w:eastAsia="黑体" w:cs="黑体"/>
              <w:sz w:val="32"/>
              <w:szCs w:val="32"/>
              <w:highlight w:val="none"/>
            </w:rPr>
            <w:t>部门决算情况说明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_Toc1717482837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576B96E">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_Toc987561843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lang w:eastAsia="zh-CN"/>
            </w:rPr>
            <w:t>一、</w:t>
          </w:r>
          <w:r>
            <w:rPr>
              <w:rFonts w:hint="eastAsia" w:ascii="仿宋" w:hAnsi="仿宋" w:eastAsia="仿宋" w:cs="仿宋"/>
              <w:sz w:val="32"/>
              <w:szCs w:val="32"/>
              <w:highlight w:val="none"/>
            </w:rPr>
            <w:t>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_Toc987561843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EBF739D">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_Toc578378119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lang w:eastAsia="zh-CN"/>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_Toc578378119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5B2A42F">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_Toc652031933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lang w:eastAsia="zh-CN"/>
            </w:rPr>
            <w:t>三、</w:t>
          </w:r>
          <w:r>
            <w:rPr>
              <w:rFonts w:hint="eastAsia" w:ascii="仿宋" w:hAnsi="仿宋" w:eastAsia="仿宋" w:cs="仿宋"/>
              <w:sz w:val="32"/>
              <w:szCs w:val="32"/>
              <w:highlight w:val="none"/>
            </w:rPr>
            <w:t>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_Toc652031933 \h </w:instrText>
          </w:r>
          <w:r>
            <w:rPr>
              <w:rFonts w:hint="eastAsia" w:ascii="仿宋" w:hAnsi="仿宋" w:eastAsia="仿宋" w:cs="仿宋"/>
              <w:sz w:val="32"/>
              <w:szCs w:val="32"/>
            </w:rPr>
            <w:fldChar w:fldCharType="separate"/>
          </w:r>
          <w:r>
            <w:rPr>
              <w:rFonts w:hint="eastAsia" w:ascii="仿宋" w:hAnsi="仿宋" w:eastAsia="仿宋" w:cs="仿宋"/>
              <w:sz w:val="32"/>
              <w:szCs w:val="32"/>
            </w:rPr>
            <w:t>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AEC1E96">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_Toc661402197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_Toc661402197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031BD35">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_Toc570442718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_Toc570442718 \h </w:instrText>
          </w:r>
          <w:r>
            <w:rPr>
              <w:rFonts w:hint="eastAsia" w:ascii="仿宋" w:hAnsi="仿宋" w:eastAsia="仿宋" w:cs="仿宋"/>
              <w:sz w:val="32"/>
              <w:szCs w:val="32"/>
            </w:rPr>
            <w:fldChar w:fldCharType="separate"/>
          </w:r>
          <w:r>
            <w:rPr>
              <w:rFonts w:hint="eastAsia" w:ascii="仿宋" w:hAnsi="仿宋" w:eastAsia="仿宋" w:cs="仿宋"/>
              <w:sz w:val="32"/>
              <w:szCs w:val="32"/>
            </w:rPr>
            <w:t>5</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452232C">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_Toc1917099999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_Toc1917099999 \h </w:instrText>
          </w:r>
          <w:r>
            <w:rPr>
              <w:rFonts w:hint="eastAsia" w:ascii="仿宋" w:hAnsi="仿宋" w:eastAsia="仿宋" w:cs="仿宋"/>
              <w:sz w:val="32"/>
              <w:szCs w:val="32"/>
            </w:rPr>
            <w:fldChar w:fldCharType="separate"/>
          </w:r>
          <w:r>
            <w:rPr>
              <w:rFonts w:hint="eastAsia" w:ascii="仿宋" w:hAnsi="仿宋" w:eastAsia="仿宋" w:cs="仿宋"/>
              <w:sz w:val="32"/>
              <w:szCs w:val="32"/>
            </w:rPr>
            <w:t>9</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3A67FD7">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_Toc530216724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_Toc530216724 \h </w:instrText>
          </w:r>
          <w:r>
            <w:rPr>
              <w:rFonts w:hint="eastAsia" w:ascii="仿宋" w:hAnsi="仿宋" w:eastAsia="仿宋" w:cs="仿宋"/>
              <w:sz w:val="32"/>
              <w:szCs w:val="32"/>
            </w:rPr>
            <w:fldChar w:fldCharType="separate"/>
          </w:r>
          <w:r>
            <w:rPr>
              <w:rFonts w:hint="eastAsia" w:ascii="仿宋" w:hAnsi="仿宋" w:eastAsia="仿宋" w:cs="仿宋"/>
              <w:sz w:val="32"/>
              <w:szCs w:val="32"/>
            </w:rPr>
            <w:t>10</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1E8AE42">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_Toc489416279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_Toc489416279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67FCD5E">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_Toc980273211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lang w:eastAsia="zh-CN"/>
            </w:rPr>
            <w:t>九、</w:t>
          </w:r>
          <w:r>
            <w:rPr>
              <w:rFonts w:hint="eastAsia" w:ascii="仿宋" w:hAnsi="仿宋" w:eastAsia="仿宋" w:cs="仿宋"/>
              <w:sz w:val="32"/>
              <w:szCs w:val="32"/>
              <w:highlight w:val="none"/>
            </w:rPr>
            <w:t>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_Toc980273211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BF53011">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_Toc1591837624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lang w:eastAsia="zh-CN"/>
            </w:rPr>
            <w:t>十、</w:t>
          </w:r>
          <w:r>
            <w:rPr>
              <w:rFonts w:hint="eastAsia" w:ascii="仿宋" w:hAnsi="仿宋" w:eastAsia="仿宋" w:cs="仿宋"/>
              <w:sz w:val="32"/>
              <w:szCs w:val="32"/>
              <w:highlight w:val="none"/>
            </w:rPr>
            <w:t>其他重要事项的情况说明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_Toc1591837624 \h </w:instrText>
          </w:r>
          <w:r>
            <w:rPr>
              <w:rFonts w:hint="eastAsia" w:ascii="仿宋" w:hAnsi="仿宋" w:eastAsia="仿宋" w:cs="仿宋"/>
              <w:sz w:val="32"/>
              <w:szCs w:val="32"/>
            </w:rPr>
            <w:fldChar w:fldCharType="separate"/>
          </w:r>
          <w:r>
            <w:rPr>
              <w:rFonts w:hint="eastAsia" w:ascii="仿宋" w:hAnsi="仿宋" w:eastAsia="仿宋" w:cs="仿宋"/>
              <w:sz w:val="32"/>
              <w:szCs w:val="32"/>
            </w:rPr>
            <w:t>12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589FEF4">
          <w:pPr>
            <w:pStyle w:val="13"/>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_Toc1757897354 </w:instrText>
          </w:r>
          <w:r>
            <w:rPr>
              <w:rFonts w:hint="eastAsia" w:ascii="仿宋" w:hAnsi="仿宋" w:eastAsia="仿宋" w:cs="仿宋"/>
              <w:sz w:val="32"/>
              <w:szCs w:val="32"/>
            </w:rPr>
            <w:fldChar w:fldCharType="separate"/>
          </w: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名词解释</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_Toc1757897354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D594589">
          <w:pPr>
            <w:pStyle w:val="13"/>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_Toc166137752 </w:instrText>
          </w:r>
          <w:r>
            <w:rPr>
              <w:rFonts w:hint="eastAsia" w:ascii="仿宋" w:hAnsi="仿宋" w:eastAsia="仿宋" w:cs="仿宋"/>
              <w:sz w:val="32"/>
              <w:szCs w:val="32"/>
            </w:rPr>
            <w:fldChar w:fldCharType="separate"/>
          </w:r>
          <w:r>
            <w:rPr>
              <w:rFonts w:hint="eastAsia" w:ascii="黑体" w:hAnsi="黑体" w:eastAsia="黑体" w:cs="黑体"/>
              <w:sz w:val="32"/>
              <w:szCs w:val="32"/>
              <w:highlight w:val="none"/>
            </w:rPr>
            <w:t>第四部分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附件</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_Toc166137752 \h </w:instrText>
          </w:r>
          <w:r>
            <w:rPr>
              <w:rFonts w:hint="eastAsia" w:ascii="仿宋" w:hAnsi="仿宋" w:eastAsia="仿宋" w:cs="仿宋"/>
              <w:sz w:val="32"/>
              <w:szCs w:val="32"/>
            </w:rPr>
            <w:fldChar w:fldCharType="separate"/>
          </w:r>
          <w:r>
            <w:rPr>
              <w:rFonts w:hint="eastAsia" w:ascii="仿宋" w:hAnsi="仿宋" w:eastAsia="仿宋" w:cs="仿宋"/>
              <w:sz w:val="32"/>
              <w:szCs w:val="32"/>
            </w:rPr>
            <w:t>19</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70B930F">
          <w:pPr>
            <w:pStyle w:val="13"/>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_Toc305949330 </w:instrText>
          </w:r>
          <w:r>
            <w:rPr>
              <w:rFonts w:hint="eastAsia" w:ascii="仿宋" w:hAnsi="仿宋" w:eastAsia="仿宋" w:cs="仿宋"/>
              <w:sz w:val="32"/>
              <w:szCs w:val="32"/>
            </w:rPr>
            <w:fldChar w:fldCharType="separate"/>
          </w:r>
          <w:r>
            <w:rPr>
              <w:rFonts w:hint="eastAsia" w:ascii="黑体" w:hAnsi="黑体" w:eastAsia="黑体" w:cs="黑体"/>
              <w:sz w:val="32"/>
              <w:szCs w:val="32"/>
              <w:highlight w:val="none"/>
            </w:rPr>
            <w:t>第五部分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附表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_Toc305949330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ED877A9">
          <w:pPr>
            <w:pStyle w:val="16"/>
            <w:tabs>
              <w:tab w:val="right" w:leader="dot" w:pos="8306"/>
              <w:tab w:val="clear" w:pos="8296"/>
            </w:tabs>
            <w:rPr>
              <w:rFonts w:hint="eastAsia" w:ascii="仿宋" w:hAnsi="仿宋" w:eastAsia="仿宋" w:cs="仿宋"/>
              <w:sz w:val="32"/>
              <w:szCs w:val="32"/>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167A74F2">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_Toc50402580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一、收入支出决算总表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_Toc50402580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F16693E">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_Toc255290352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二、收入决算表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_Toc255290352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E88BAB0">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_Toc1676405257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三、支出决算表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_Toc1676405257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3907847">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_Toc539420109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四、财政拨款收入支出决算总表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_Toc539420109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DD75A9D">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_Toc541490748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五、财政拨款支出决算明细表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_Toc541490748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E0E4133">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_Toc15543396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六、一般公共预算财政拨款支出决算表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_Toc15543396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87F377B">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_Toc1556181849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七、一般公共预算财政拨款支出决算明细表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_Toc1556181849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89DAD40">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_Toc765168743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八、一般公共预算财政拨款基本支出决算表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_Toc765168743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FD1A663">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_Toc955027032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九、一般公共预算财政拨款项目支出决算表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_Toc955027032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ABB2D68">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_Toc1642547300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十、政府性基金预算财政拨款收入支出决算表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_Toc1642547300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5B988808">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_Toc1815224340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十一、国有资本经营预算</w:t>
          </w:r>
          <w:r>
            <w:rPr>
              <w:rFonts w:hint="eastAsia" w:ascii="仿宋" w:hAnsi="仿宋" w:eastAsia="仿宋" w:cs="仿宋"/>
              <w:sz w:val="32"/>
              <w:szCs w:val="32"/>
              <w:highlight w:val="none"/>
              <w:lang w:eastAsia="zh-CN"/>
            </w:rPr>
            <w:t>财政拨款收入</w:t>
          </w:r>
          <w:r>
            <w:rPr>
              <w:rFonts w:hint="eastAsia" w:ascii="仿宋" w:hAnsi="仿宋" w:eastAsia="仿宋" w:cs="仿宋"/>
              <w:sz w:val="32"/>
              <w:szCs w:val="32"/>
              <w:highlight w:val="none"/>
            </w:rPr>
            <w:t>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_Toc1815224340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1BCB1E4">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_Toc594534740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十二、</w:t>
          </w:r>
          <w:r>
            <w:rPr>
              <w:rFonts w:hint="eastAsia" w:ascii="仿宋" w:hAnsi="仿宋" w:eastAsia="仿宋" w:cs="仿宋"/>
              <w:sz w:val="32"/>
              <w:szCs w:val="32"/>
              <w:highlight w:val="none"/>
              <w:lang w:eastAsia="zh-CN"/>
            </w:rPr>
            <w:t>国有资本经营预算财政拨款支出决算表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_Toc594534740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1B8F1891">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\l _Toc71683003 </w:instrText>
          </w:r>
          <w:r>
            <w:rPr>
              <w:rFonts w:hint="eastAsia" w:ascii="仿宋" w:hAnsi="仿宋" w:eastAsia="仿宋" w:cs="仿宋"/>
              <w:sz w:val="32"/>
              <w:szCs w:val="32"/>
            </w:rPr>
            <w:fldChar w:fldCharType="separate"/>
          </w:r>
          <w:r>
            <w:rPr>
              <w:rFonts w:hint="eastAsia" w:ascii="仿宋" w:hAnsi="仿宋" w:eastAsia="仿宋" w:cs="仿宋"/>
              <w:sz w:val="32"/>
              <w:szCs w:val="32"/>
              <w:highlight w:val="none"/>
            </w:rPr>
            <w:t>十三、</w:t>
          </w:r>
          <w:r>
            <w:rPr>
              <w:rFonts w:hint="eastAsia" w:ascii="仿宋" w:hAnsi="仿宋" w:eastAsia="仿宋" w:cs="仿宋"/>
              <w:sz w:val="32"/>
              <w:szCs w:val="32"/>
              <w:highlight w:val="none"/>
              <w:lang w:eastAsia="zh-CN"/>
            </w:rPr>
            <w:t>财政拨款“三公”经费支出决算表</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_Toc71683003 \h </w:instrText>
          </w:r>
          <w:r>
            <w:rPr>
              <w:rFonts w:hint="eastAsia" w:ascii="仿宋" w:hAnsi="仿宋" w:eastAsia="仿宋" w:cs="仿宋"/>
              <w:sz w:val="32"/>
              <w:szCs w:val="32"/>
            </w:rPr>
            <w:fldChar w:fldCharType="separate"/>
          </w:r>
          <w:r>
            <w:rPr>
              <w:rFonts w:hint="eastAsia" w:ascii="仿宋" w:hAnsi="仿宋" w:eastAsia="仿宋" w:cs="仿宋"/>
              <w:sz w:val="32"/>
              <w:szCs w:val="32"/>
            </w:rPr>
            <w:t>42</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2BD2FC19">
          <w:r>
            <w:rPr>
              <w:rFonts w:hint="eastAsia" w:ascii="仿宋" w:hAnsi="仿宋" w:eastAsia="仿宋" w:cs="仿宋"/>
              <w:sz w:val="32"/>
              <w:szCs w:val="32"/>
            </w:rPr>
            <w:fldChar w:fldCharType="end"/>
          </w:r>
        </w:p>
      </w:sdtContent>
    </w:sdt>
    <w:p w14:paraId="1CA2EA9A"/>
    <w:p w14:paraId="759575D0">
      <w:pPr>
        <w:pStyle w:val="2"/>
      </w:pPr>
    </w:p>
    <w:p w14:paraId="1B68C11E">
      <w:pPr>
        <w:pStyle w:val="2"/>
        <w:jc w:val="center"/>
        <w:outlineLvl w:val="9"/>
        <w:rPr>
          <w:rFonts w:hint="eastAsia" w:ascii="Times New Roman" w:hAnsi="Times New Roman" w:eastAsia="仿宋_GB2312" w:cs="Times New Roman"/>
          <w:b w:val="0"/>
          <w:color w:val="000000"/>
          <w:kern w:val="2"/>
          <w:sz w:val="32"/>
          <w:szCs w:val="32"/>
          <w:lang w:val="en-US" w:eastAsia="zh-CN" w:bidi="ar-SA"/>
        </w:rPr>
      </w:pPr>
      <w:bookmarkStart w:id="6" w:name="_Toc1173979516"/>
      <w:bookmarkStart w:id="7" w:name="_Toc1692"/>
      <w:r>
        <w:rPr>
          <w:rFonts w:hint="eastAsia" w:ascii="Times New Roman" w:hAnsi="Times New Roman" w:eastAsia="仿宋_GB2312" w:cs="Times New Roman"/>
          <w:b w:val="0"/>
          <w:color w:val="000000"/>
          <w:kern w:val="2"/>
          <w:sz w:val="32"/>
          <w:szCs w:val="32"/>
          <w:lang w:val="en-US" w:eastAsia="zh-CN" w:bidi="ar-SA"/>
        </w:rPr>
        <w:t>本报告金额单位转换时可能存在尾数误差</w:t>
      </w:r>
    </w:p>
    <w:p w14:paraId="389F710C">
      <w:pPr>
        <w:pStyle w:val="3"/>
        <w:pageBreakBefore w:val="0"/>
        <w:kinsoku/>
        <w:wordWrap/>
        <w:overflowPunct/>
        <w:topLinePunct w:val="0"/>
        <w:bidi w:val="0"/>
        <w:spacing w:before="0" w:line="576" w:lineRule="exact"/>
        <w:jc w:val="center"/>
        <w:textAlignment w:val="auto"/>
        <w:rPr>
          <w:rFonts w:hint="default" w:ascii="Times New Roman" w:hAnsi="Times New Roman" w:eastAsia="方正小标宋简体" w:cs="Times New Roman"/>
          <w:b w:val="0"/>
          <w:color w:val="auto"/>
          <w:highlight w:val="none"/>
        </w:rPr>
        <w:sectPr>
          <w:footerReference r:id="rId7" w:type="default"/>
          <w:pgSz w:w="11906" w:h="16838"/>
          <w:pgMar w:top="1440" w:right="1800" w:bottom="1440" w:left="1800" w:header="851" w:footer="992" w:gutter="0"/>
          <w:pgNumType w:fmt="decimal" w:start="1"/>
          <w:cols w:space="425" w:num="1"/>
          <w:docGrid w:type="lines" w:linePitch="312" w:charSpace="0"/>
        </w:sectPr>
      </w:pPr>
    </w:p>
    <w:p w14:paraId="68A63B06">
      <w:pPr>
        <w:pStyle w:val="3"/>
        <w:keepNext/>
        <w:keepLines/>
        <w:pageBreakBefore w:val="0"/>
        <w:widowControl w:val="0"/>
        <w:kinsoku/>
        <w:wordWrap/>
        <w:overflowPunct/>
        <w:topLinePunct w:val="0"/>
        <w:autoSpaceDE/>
        <w:autoSpaceDN/>
        <w:bidi w:val="0"/>
        <w:adjustRightInd/>
        <w:snapToGrid/>
        <w:spacing w:before="0" w:after="0" w:line="576" w:lineRule="exact"/>
        <w:jc w:val="center"/>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29"/>
          <w:rFonts w:hint="default" w:ascii="Times New Roman" w:hAnsi="Times New Roman" w:eastAsia="方正小标宋简体" w:cs="Times New Roman"/>
          <w:b w:val="0"/>
          <w:bCs w:val="0"/>
          <w:color w:val="auto"/>
          <w:highlight w:val="none"/>
        </w:rPr>
        <w:t>部门概况</w:t>
      </w:r>
      <w:bookmarkEnd w:id="6"/>
      <w:bookmarkEnd w:id="7"/>
    </w:p>
    <w:p w14:paraId="387BC65E">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黑体" w:cs="Times New Roman"/>
          <w:b w:val="0"/>
          <w:color w:val="auto"/>
          <w:highlight w:val="none"/>
        </w:rPr>
      </w:pPr>
      <w:bookmarkStart w:id="8" w:name="_Toc15377197"/>
      <w:bookmarkStart w:id="9" w:name="_Toc15396600"/>
      <w:bookmarkStart w:id="10" w:name="_Toc902788049"/>
      <w:bookmarkStart w:id="11" w:name="_Toc9165"/>
    </w:p>
    <w:p w14:paraId="236225D3">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rPr>
        <w:t>一、</w:t>
      </w:r>
      <w:bookmarkEnd w:id="8"/>
      <w:bookmarkEnd w:id="9"/>
      <w:r>
        <w:rPr>
          <w:rFonts w:hint="default" w:ascii="Times New Roman" w:hAnsi="Times New Roman" w:eastAsia="黑体" w:cs="Times New Roman"/>
          <w:b w:val="0"/>
          <w:color w:val="auto"/>
          <w:highlight w:val="none"/>
          <w:lang w:eastAsia="zh-CN"/>
        </w:rPr>
        <w:t>部门职责</w:t>
      </w:r>
      <w:bookmarkEnd w:id="10"/>
      <w:bookmarkEnd w:id="11"/>
    </w:p>
    <w:p w14:paraId="10F4B1E1">
      <w:pPr>
        <w:keepNext/>
        <w:keepLines/>
        <w:pageBreakBefore w:val="0"/>
        <w:widowControl w:val="0"/>
        <w:kinsoku/>
        <w:wordWrap/>
        <w:overflowPunct/>
        <w:topLinePunct w:val="0"/>
        <w:autoSpaceDE/>
        <w:autoSpaceDN/>
        <w:bidi w:val="0"/>
        <w:adjustRightInd/>
        <w:snapToGrid/>
        <w:spacing w:before="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bookmarkStart w:id="12" w:name="_Toc15377200"/>
      <w:bookmarkStart w:id="13" w:name="_Toc15396601"/>
      <w:bookmarkStart w:id="14" w:name="_Toc31262"/>
      <w:r>
        <w:rPr>
          <w:rFonts w:hint="default" w:ascii="Times New Roman" w:hAnsi="Times New Roman" w:eastAsia="仿宋_GB2312" w:cs="Times New Roman"/>
          <w:b w:val="0"/>
          <w:bCs w:val="0"/>
          <w:color w:val="000000"/>
          <w:sz w:val="32"/>
          <w:szCs w:val="32"/>
        </w:rPr>
        <w:t>1.贯彻执行国家和省有关教育工作的法律法规和方针政策，拟订教育工作规范性文件并组织实施。</w:t>
      </w:r>
    </w:p>
    <w:p w14:paraId="748B9935">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2.拟订教育事业发展规划，提出教育改革发展的目标和任务，并协调指导实施，指导各级各类学校的教育教学改革和中小学布局结构调整，负责全县教育事业基本信息的统计、分析和发布，指导教育信息化工作。</w:t>
      </w:r>
    </w:p>
    <w:p w14:paraId="31014241">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3.会同有关部门拟订筹措教育经费、教育拨款、教育基建投资、教育收费管理的规定，负责全县教育经费的统筹管理，监督全县教育经费的管理和使用情况，组织学校的基本建设，指导学校的财务管理,指导国（境）内外教育援助、教育贷款和教育合作项目执行。</w:t>
      </w:r>
    </w:p>
    <w:p w14:paraId="2771C4F3">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4.负责全县义务教育的宏观指导和协调，推进全县义务教育均衡发展和促进教育公平，指导普通高中教育、职业教育、学前教育、特殊教育和成人教育工作，指导学校开展教育教学改革和办学体制、学校内部管理体制改革；负责全县各类教育招生考试工作，指导、协调全县民办教育管理工作，组织实施藏区</w:t>
      </w:r>
      <w:r>
        <w:rPr>
          <w:rFonts w:hint="eastAsia"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9+3</w:t>
      </w:r>
      <w:r>
        <w:rPr>
          <w:rFonts w:hint="eastAsia"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免费中等职业教育。</w:t>
      </w:r>
    </w:p>
    <w:p w14:paraId="5C3F16DD">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5.指导民族教育工作，负责组织和协调</w:t>
      </w:r>
      <w:r>
        <w:rPr>
          <w:rFonts w:hint="eastAsia"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民族地区教育发展十年行动计划</w:t>
      </w:r>
      <w:r>
        <w:rPr>
          <w:rFonts w:hint="eastAsia"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工作。统筹规划和指导民族寄宿制标准（规范）化建设和双语教学发展规划，指导民族寄宿制和双语教学的管理以及民族团结教育工作。</w:t>
      </w:r>
    </w:p>
    <w:p w14:paraId="0C2223C3">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6.规划、指导和协调全县教育系统的科研、科普、教育教学研究工作和教科研成果的应用和推广。指导各类学校教育技术装备和实验室、图书馆建设、教育信息化工作，指导学校后勤工作，组织审定教材和教学用书及资料，负责全县教育事业单位政府采购及监管工作。</w:t>
      </w:r>
    </w:p>
    <w:p w14:paraId="132DA153">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7.综合指导全县教育督导工作，依法组织教育执法，督导、检查乡镇人民政府及各行政部门履行教育职责情况，对中等以下教育、扫除青壮年文盲工作进行督导检查和评估验收，指导基础教育发展水平和质量的监测工作。</w:t>
      </w:r>
    </w:p>
    <w:p w14:paraId="1B031A9C">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8.指导全县各级各类学校的思想政治、德育、体育卫生与艺术教育、国防教育和宣传工作，指导学校的安全、稳定、保卫和综合治理工作，指导教育系统审计工作，会同有关部门加强学校领导班子建设。</w:t>
      </w:r>
    </w:p>
    <w:p w14:paraId="0F84EFD8">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9.主管全县教师工作，组织实施教师资格制度，组织并指导中小学教师专业技术职务资格评审推荐工作，指导学校人事制度改革，指导各类学校教师和教育行政干部队伍建设工作，指导全县教育系统党建和统战工作。</w:t>
      </w:r>
    </w:p>
    <w:p w14:paraId="06972538">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10.主管全县国家通用语言推广、文字规范、普通话师资培训和本地民族语言文字教学工作。</w:t>
      </w:r>
    </w:p>
    <w:p w14:paraId="3B1459BC">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11.负责全县普通高校、普通高中、中专、成人招生和高等自学考试政策的宣传贯彻和组织实施。</w:t>
      </w:r>
    </w:p>
    <w:p w14:paraId="79C7EFF5">
      <w:pPr>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9"/>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12.承担县政府公布的有关行政审批事项。</w:t>
      </w:r>
    </w:p>
    <w:p w14:paraId="520A1030">
      <w:pPr>
        <w:pStyle w:val="4"/>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Style w:val="30"/>
          <w:rFonts w:hint="default" w:ascii="Times New Roman" w:hAnsi="Times New Roman" w:cs="Times New Roman"/>
          <w:b w:val="0"/>
          <w:bCs w:val="0"/>
          <w:color w:val="auto"/>
          <w:highlight w:val="none"/>
        </w:rPr>
      </w:pPr>
      <w:bookmarkStart w:id="15" w:name="_Toc632302017"/>
      <w:r>
        <w:rPr>
          <w:rFonts w:hint="default" w:ascii="Times New Roman" w:hAnsi="Times New Roman" w:eastAsia="黑体" w:cs="Times New Roman"/>
          <w:b w:val="0"/>
          <w:color w:val="auto"/>
          <w:highlight w:val="none"/>
        </w:rPr>
        <w:t>二、机</w:t>
      </w:r>
      <w:r>
        <w:rPr>
          <w:rStyle w:val="30"/>
          <w:rFonts w:hint="default" w:ascii="Times New Roman" w:hAnsi="Times New Roman" w:eastAsia="黑体" w:cs="Times New Roman"/>
          <w:b w:val="0"/>
          <w:bCs w:val="0"/>
          <w:color w:val="auto"/>
          <w:highlight w:val="none"/>
        </w:rPr>
        <w:t>构设置</w:t>
      </w:r>
      <w:bookmarkEnd w:id="12"/>
      <w:bookmarkEnd w:id="13"/>
      <w:bookmarkEnd w:id="14"/>
      <w:bookmarkEnd w:id="15"/>
    </w:p>
    <w:p w14:paraId="4A1C3010">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茂县教育局</w:t>
      </w:r>
      <w:r>
        <w:rPr>
          <w:rFonts w:hint="default" w:ascii="Times New Roman" w:hAnsi="Times New Roman" w:eastAsia="仿宋_GB2312" w:cs="Times New Roman"/>
          <w:color w:val="auto"/>
          <w:sz w:val="32"/>
          <w:szCs w:val="32"/>
          <w:highlight w:val="none"/>
        </w:rPr>
        <w:t>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r>
        <w:rPr>
          <w:rFonts w:hint="eastAsia"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rPr>
        <w:t>个，</w:t>
      </w:r>
      <w:r>
        <w:rPr>
          <w:rFonts w:hint="eastAsia" w:eastAsia="仿宋_GB2312" w:cs="Times New Roman"/>
          <w:color w:val="auto"/>
          <w:sz w:val="32"/>
          <w:szCs w:val="32"/>
          <w:highlight w:val="none"/>
          <w:lang w:eastAsia="zh-CN"/>
        </w:rPr>
        <w:t>其中行政单位</w:t>
      </w:r>
      <w:r>
        <w:rPr>
          <w:rFonts w:hint="eastAsia" w:eastAsia="仿宋_GB2312" w:cs="Times New Roman"/>
          <w:color w:val="auto"/>
          <w:sz w:val="32"/>
          <w:szCs w:val="32"/>
          <w:highlight w:val="none"/>
          <w:lang w:val="en-US" w:eastAsia="zh-CN"/>
        </w:rPr>
        <w:t>0个，参照公务员法管理的事业单位0个，</w:t>
      </w:r>
      <w:r>
        <w:rPr>
          <w:rFonts w:hint="default" w:ascii="Times New Roman" w:hAnsi="Times New Roman" w:eastAsia="仿宋_GB2312" w:cs="Times New Roman"/>
          <w:color w:val="auto"/>
          <w:sz w:val="32"/>
          <w:szCs w:val="32"/>
          <w:highlight w:val="none"/>
        </w:rPr>
        <w:t>其他事业单位</w:t>
      </w:r>
      <w:r>
        <w:rPr>
          <w:rFonts w:hint="eastAsia" w:eastAsia="仿宋_GB2312"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rPr>
        <w:t>个。</w:t>
      </w:r>
    </w:p>
    <w:p w14:paraId="4B31FF57">
      <w:pPr>
        <w:pStyle w:val="6"/>
        <w:keepNext w:val="0"/>
        <w:keepLines w:val="0"/>
        <w:pageBreakBefore w:val="0"/>
        <w:widowControl w:val="0"/>
        <w:kinsoku/>
        <w:wordWrap/>
        <w:overflowPunct/>
        <w:topLinePunct w:val="0"/>
        <w:autoSpaceDE/>
        <w:autoSpaceDN/>
        <w:bidi w:val="0"/>
        <w:adjustRightInd w:val="0"/>
        <w:snapToGrid w:val="0"/>
        <w:spacing w:beforeLines="0" w:line="576"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w:t>
      </w:r>
      <w:r>
        <w:rPr>
          <w:rFonts w:hint="eastAsia" w:ascii="Times New Roman" w:cs="Times New Roman"/>
          <w:color w:val="auto"/>
          <w:sz w:val="32"/>
          <w:szCs w:val="32"/>
          <w:highlight w:val="none"/>
          <w:lang w:eastAsia="zh-CN"/>
        </w:rPr>
        <w:t>茂县教育局</w:t>
      </w:r>
      <w:r>
        <w:rPr>
          <w:rFonts w:hint="default" w:ascii="Times New Roman" w:hAnsi="Times New Roman"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rPr>
        <w:t>部门决算编制范围的二级预算单位包括：</w:t>
      </w:r>
    </w:p>
    <w:p w14:paraId="7E4A4524">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茂县教师进修学校</w:t>
      </w:r>
    </w:p>
    <w:p w14:paraId="37956506">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茂县南新镇光华小学校</w:t>
      </w:r>
    </w:p>
    <w:p w14:paraId="59CB817F">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茂县七一富顺镇小学校</w:t>
      </w:r>
    </w:p>
    <w:p w14:paraId="3E6B2A33">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茂县同心幼儿园</w:t>
      </w:r>
    </w:p>
    <w:p w14:paraId="4A475563">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茂县凤仪小学校</w:t>
      </w:r>
    </w:p>
    <w:p w14:paraId="5B734D82">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茂县凤仪镇小学校</w:t>
      </w:r>
    </w:p>
    <w:p w14:paraId="089CC28E">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茂县八一中学</w:t>
      </w:r>
    </w:p>
    <w:p w14:paraId="6387B748">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茂县七一民族中学</w:t>
      </w:r>
    </w:p>
    <w:p w14:paraId="5C0046AF">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茂县中学</w:t>
      </w:r>
    </w:p>
    <w:p w14:paraId="149494AB">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茂县河西小学校</w:t>
      </w:r>
    </w:p>
    <w:p w14:paraId="18675C0B">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rPr>
        <w:t>茂县蓝天幼儿园</w:t>
      </w:r>
    </w:p>
    <w:p w14:paraId="5D503926">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12.</w:t>
      </w:r>
      <w:r>
        <w:rPr>
          <w:rFonts w:hint="default" w:ascii="Times New Roman" w:hAnsi="Times New Roman" w:eastAsia="仿宋_GB2312" w:cs="Times New Roman"/>
          <w:color w:val="auto"/>
          <w:sz w:val="32"/>
          <w:szCs w:val="32"/>
          <w:highlight w:val="none"/>
        </w:rPr>
        <w:t>茂县凤仪镇幼儿园</w:t>
      </w:r>
    </w:p>
    <w:p w14:paraId="1BB9A3B9">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_GB2312" w:cs="Times New Roman"/>
          <w:color w:val="auto"/>
          <w:sz w:val="32"/>
          <w:szCs w:val="32"/>
          <w:highlight w:val="none"/>
        </w:rPr>
      </w:pPr>
      <w:r>
        <w:rPr>
          <w:rFonts w:hint="eastAsia" w:ascii="Times New Roman" w:cs="Times New Roman"/>
          <w:color w:val="auto"/>
          <w:sz w:val="32"/>
          <w:szCs w:val="32"/>
          <w:highlight w:val="none"/>
          <w:lang w:val="en-US" w:eastAsia="zh-CN"/>
        </w:rPr>
        <w:t>13.</w:t>
      </w:r>
      <w:r>
        <w:rPr>
          <w:rFonts w:hint="default" w:ascii="Times New Roman" w:hAnsi="Times New Roman" w:eastAsia="仿宋_GB2312" w:cs="Times New Roman"/>
          <w:color w:val="auto"/>
          <w:sz w:val="32"/>
          <w:szCs w:val="32"/>
          <w:highlight w:val="none"/>
        </w:rPr>
        <w:t>茂县城南幼儿园</w:t>
      </w:r>
    </w:p>
    <w:p w14:paraId="357A3924">
      <w:pPr>
        <w:pStyle w:val="6"/>
        <w:pageBreakBefore w:val="0"/>
        <w:numPr>
          <w:ilvl w:val="0"/>
          <w:numId w:val="0"/>
        </w:numPr>
        <w:kinsoku/>
        <w:wordWrap/>
        <w:overflowPunct/>
        <w:topLinePunct w:val="0"/>
        <w:bidi w:val="0"/>
        <w:adjustRightInd w:val="0"/>
        <w:snapToGrid w:val="0"/>
        <w:spacing w:beforeLines="0" w:line="576" w:lineRule="exact"/>
        <w:ind w:left="672" w:leftChars="0"/>
        <w:textAlignment w:val="auto"/>
        <w:outlineLvl w:val="2"/>
        <w:rPr>
          <w:rFonts w:hint="default" w:ascii="Times New Roman" w:hAnsi="Times New Roman" w:eastAsia="仿宋" w:cs="Times New Roman"/>
          <w:color w:val="auto"/>
          <w:kern w:val="0"/>
          <w:sz w:val="32"/>
          <w:szCs w:val="32"/>
          <w:highlight w:val="none"/>
        </w:rPr>
      </w:pPr>
      <w:r>
        <w:rPr>
          <w:rFonts w:hint="eastAsia" w:ascii="Times New Roman" w:cs="Times New Roman"/>
          <w:color w:val="auto"/>
          <w:sz w:val="32"/>
          <w:szCs w:val="32"/>
          <w:highlight w:val="none"/>
          <w:lang w:val="en-US" w:eastAsia="zh-CN"/>
        </w:rPr>
        <w:t>14.</w:t>
      </w:r>
      <w:r>
        <w:rPr>
          <w:rFonts w:hint="default" w:ascii="Times New Roman" w:hAnsi="Times New Roman" w:eastAsia="仿宋_GB2312" w:cs="Times New Roman"/>
          <w:color w:val="auto"/>
          <w:sz w:val="32"/>
          <w:szCs w:val="32"/>
          <w:highlight w:val="none"/>
        </w:rPr>
        <w:t>茂县凤仪镇兴茂小学校</w:t>
      </w:r>
    </w:p>
    <w:p w14:paraId="2780B251">
      <w:pPr>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kern w:val="0"/>
          <w:sz w:val="32"/>
          <w:szCs w:val="32"/>
          <w:highlight w:val="none"/>
        </w:rPr>
        <w:br w:type="page"/>
      </w:r>
    </w:p>
    <w:p w14:paraId="77EAD91F">
      <w:pPr>
        <w:pStyle w:val="3"/>
        <w:pageBreakBefore w:val="0"/>
        <w:kinsoku/>
        <w:wordWrap/>
        <w:overflowPunct/>
        <w:topLinePunct w:val="0"/>
        <w:bidi w:val="0"/>
        <w:spacing w:before="0" w:line="576" w:lineRule="exact"/>
        <w:jc w:val="center"/>
        <w:textAlignment w:val="auto"/>
        <w:rPr>
          <w:rFonts w:hint="default" w:ascii="Times New Roman" w:hAnsi="Times New Roman" w:cs="Times New Roman"/>
          <w:color w:val="auto"/>
          <w:highlight w:val="none"/>
        </w:rPr>
      </w:pPr>
      <w:bookmarkStart w:id="16" w:name="_Toc15377204"/>
      <w:bookmarkStart w:id="17" w:name="_Toc1717482837"/>
      <w:bookmarkStart w:id="18" w:name="_Toc8747"/>
      <w:bookmarkStart w:id="19" w:name="_Toc15396602"/>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6"/>
      <w:bookmarkEnd w:id="17"/>
      <w:bookmarkEnd w:id="18"/>
      <w:bookmarkEnd w:id="19"/>
    </w:p>
    <w:p w14:paraId="66A2F9C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0"/>
          <w:rFonts w:hint="default" w:ascii="Times New Roman" w:hAnsi="Times New Roman" w:eastAsia="黑体" w:cs="Times New Roman"/>
          <w:b w:val="0"/>
          <w:color w:val="auto"/>
          <w:highlight w:val="none"/>
        </w:rPr>
      </w:pPr>
      <w:bookmarkStart w:id="20" w:name="_Toc15377205"/>
      <w:bookmarkStart w:id="21" w:name="_Toc15396603"/>
      <w:bookmarkStart w:id="22" w:name="_Toc19189"/>
      <w:bookmarkStart w:id="23" w:name="_Toc98756184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0"/>
          <w:rFonts w:hint="default" w:ascii="Times New Roman" w:hAnsi="Times New Roman" w:eastAsia="黑体" w:cs="Times New Roman"/>
          <w:b w:val="0"/>
          <w:color w:val="auto"/>
          <w:highlight w:val="none"/>
        </w:rPr>
        <w:t>入支出决算总体情况说明</w:t>
      </w:r>
      <w:bookmarkEnd w:id="20"/>
      <w:bookmarkEnd w:id="21"/>
      <w:bookmarkEnd w:id="22"/>
      <w:bookmarkEnd w:id="23"/>
    </w:p>
    <w:p w14:paraId="460F6752">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 w:cs="Times New Roman"/>
          <w:color w:val="auto"/>
          <w:sz w:val="32"/>
          <w:szCs w:val="32"/>
          <w:highlight w:val="none"/>
          <w:lang w:val="en-US" w:eastAsia="zh-CN"/>
        </w:rPr>
      </w:pPr>
      <w:bookmarkStart w:id="24" w:name="_Toc18422"/>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lang w:val="en-US" w:eastAsia="zh-CN"/>
        </w:rPr>
        <w:t>45692.15</w:t>
      </w:r>
      <w:r>
        <w:rPr>
          <w:rFonts w:hint="default" w:ascii="Times New Roman" w:hAnsi="Times New Roman" w:eastAsia="仿宋_GB2312" w:cs="Times New Roman"/>
          <w:color w:val="auto"/>
          <w:sz w:val="32"/>
          <w:szCs w:val="32"/>
          <w:highlight w:val="none"/>
        </w:rPr>
        <w:t>万元。与</w:t>
      </w:r>
      <w:r>
        <w:rPr>
          <w:rFonts w:hint="eastAsia" w:eastAsia="仿宋_GB2312" w:cs="Times New Roman"/>
          <w:color w:val="auto"/>
          <w:sz w:val="32"/>
          <w:szCs w:val="32"/>
          <w:highlight w:val="none"/>
          <w:lang w:eastAsia="zh-CN"/>
        </w:rPr>
        <w:t>上年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4595.16</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11.2</w:t>
      </w:r>
      <w:r>
        <w:rPr>
          <w:rFonts w:hint="default" w:ascii="Times New Roman" w:hAnsi="Times New Roman" w:eastAsia="仿宋_GB2312" w:cs="Times New Roman"/>
          <w:color w:val="auto"/>
          <w:sz w:val="32"/>
          <w:szCs w:val="32"/>
          <w:highlight w:val="none"/>
        </w:rPr>
        <w:t>%。主要变动原因是</w:t>
      </w:r>
      <w:r>
        <w:rPr>
          <w:rFonts w:hint="eastAsia" w:eastAsia="仿宋_GB2312"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lang w:val="en-US" w:eastAsia="zh-CN"/>
        </w:rPr>
        <w:t>教育支出增加</w:t>
      </w:r>
      <w:r>
        <w:rPr>
          <w:rFonts w:hint="eastAsia" w:eastAsia="仿宋" w:cs="Times New Roman"/>
          <w:color w:val="auto"/>
          <w:sz w:val="32"/>
          <w:szCs w:val="32"/>
          <w:highlight w:val="none"/>
          <w:lang w:val="en-US" w:eastAsia="zh-CN"/>
        </w:rPr>
        <w:t>、</w:t>
      </w:r>
      <w:r>
        <w:rPr>
          <w:rFonts w:hint="default" w:ascii="Times New Roman" w:hAnsi="Times New Roman" w:eastAsia="仿宋" w:cs="Times New Roman"/>
          <w:color w:val="auto"/>
          <w:sz w:val="32"/>
          <w:szCs w:val="32"/>
          <w:highlight w:val="none"/>
          <w:lang w:val="en-US" w:eastAsia="zh-CN"/>
        </w:rPr>
        <w:t>文化旅游体育与传媒支出增加</w:t>
      </w:r>
      <w:r>
        <w:rPr>
          <w:rFonts w:hint="eastAsia" w:eastAsia="仿宋" w:cs="Times New Roman"/>
          <w:color w:val="auto"/>
          <w:sz w:val="32"/>
          <w:szCs w:val="32"/>
          <w:highlight w:val="none"/>
          <w:lang w:val="en-US" w:eastAsia="zh-CN"/>
        </w:rPr>
        <w:t>、</w:t>
      </w:r>
      <w:r>
        <w:rPr>
          <w:rFonts w:hint="default" w:ascii="Times New Roman" w:hAnsi="Times New Roman" w:eastAsia="仿宋" w:cs="Times New Roman"/>
          <w:color w:val="auto"/>
          <w:sz w:val="32"/>
          <w:szCs w:val="32"/>
          <w:highlight w:val="none"/>
          <w:lang w:val="en-US" w:eastAsia="zh-CN"/>
        </w:rPr>
        <w:t>农林水支出增加。</w:t>
      </w:r>
      <w:bookmarkEnd w:id="24"/>
      <w:r>
        <w:rPr>
          <w:rFonts w:hint="default" w:ascii="Times New Roman" w:hAnsi="Times New Roman" w:eastAsia="仿宋_GB2312" w:cs="Times New Roman"/>
          <w:sz w:val="32"/>
          <w:szCs w:val="32"/>
        </w:rPr>
        <w:drawing>
          <wp:anchor distT="0" distB="0" distL="114935" distR="114935" simplePos="0" relativeHeight="251661312" behindDoc="0" locked="0" layoutInCell="1" allowOverlap="1">
            <wp:simplePos x="0" y="0"/>
            <wp:positionH relativeFrom="column">
              <wp:align>center</wp:align>
            </wp:positionH>
            <wp:positionV relativeFrom="page">
              <wp:posOffset>3826510</wp:posOffset>
            </wp:positionV>
            <wp:extent cx="3563620" cy="2020570"/>
            <wp:effectExtent l="4445" t="4445" r="13335" b="1333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0EDEA1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5" w:name="_Toc15396604"/>
      <w:bookmarkStart w:id="26" w:name="_Toc578378119"/>
      <w:bookmarkStart w:id="27" w:name="_Toc15377206"/>
      <w:bookmarkStart w:id="28" w:name="_Toc26870"/>
      <w:r>
        <w:rPr>
          <w:rFonts w:hint="default" w:ascii="Times New Roman" w:hAnsi="Times New Roman" w:eastAsia="黑体" w:cs="Times New Roman"/>
          <w:color w:val="auto"/>
          <w:sz w:val="32"/>
          <w:szCs w:val="32"/>
          <w:highlight w:val="none"/>
          <w:lang w:eastAsia="zh-CN"/>
        </w:rPr>
        <w:t>二、收入决算情况说明</w:t>
      </w:r>
      <w:bookmarkEnd w:id="25"/>
      <w:bookmarkEnd w:id="26"/>
      <w:bookmarkEnd w:id="27"/>
      <w:bookmarkEnd w:id="28"/>
    </w:p>
    <w:p w14:paraId="468E697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bookmarkStart w:id="29" w:name="_Toc25317"/>
      <w:r>
        <w:rPr>
          <w:rFonts w:hint="default" w:ascii="Times New Roman" w:hAnsi="Times New Roman" w:eastAsia="仿宋_GB2312" w:cs="Times New Roman"/>
          <w:sz w:val="32"/>
          <w:szCs w:val="32"/>
        </w:rPr>
        <w:drawing>
          <wp:anchor distT="0" distB="0" distL="114300" distR="114300" simplePos="0" relativeHeight="251662336" behindDoc="0" locked="0" layoutInCell="1" allowOverlap="1">
            <wp:simplePos x="0" y="0"/>
            <wp:positionH relativeFrom="column">
              <wp:align>center</wp:align>
            </wp:positionH>
            <wp:positionV relativeFrom="page">
              <wp:posOffset>7804785</wp:posOffset>
            </wp:positionV>
            <wp:extent cx="3564890" cy="1851660"/>
            <wp:effectExtent l="4445" t="4445" r="12065" b="1079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color w:val="auto"/>
          <w:sz w:val="32"/>
          <w:szCs w:val="32"/>
          <w:highlight w:val="none"/>
          <w:lang w:val="en-US" w:eastAsia="zh-CN"/>
        </w:rPr>
        <w:t>45692.15</w:t>
      </w:r>
      <w:r>
        <w:rPr>
          <w:rFonts w:hint="default" w:ascii="Times New Roman" w:hAnsi="Times New Roman" w:eastAsia="仿宋_GB2312" w:cs="Times New Roman"/>
          <w:color w:val="auto"/>
          <w:sz w:val="32"/>
          <w:szCs w:val="32"/>
          <w:highlight w:val="none"/>
          <w:lang w:eastAsia="zh-CN"/>
        </w:rPr>
        <w:t>万元，</w:t>
      </w:r>
      <w:bookmarkEnd w:id="29"/>
      <w:r>
        <w:rPr>
          <w:rFonts w:hint="default" w:ascii="Times New Roman" w:hAnsi="Times New Roman" w:eastAsia="仿宋_GB2312" w:cs="Times New Roman"/>
          <w:color w:val="auto"/>
          <w:sz w:val="32"/>
          <w:szCs w:val="32"/>
          <w:highlight w:val="none"/>
          <w:lang w:eastAsia="zh-CN"/>
        </w:rPr>
        <w:t>其中：一般公共预算财政拨款收入44669.07万元，占97.</w:t>
      </w:r>
      <w:r>
        <w:rPr>
          <w:rFonts w:hint="eastAsia" w:eastAsia="仿宋_GB2312" w:cs="Times New Roman"/>
          <w:color w:val="auto"/>
          <w:sz w:val="32"/>
          <w:szCs w:val="32"/>
          <w:highlight w:val="none"/>
          <w:lang w:val="en-US" w:eastAsia="zh-CN"/>
        </w:rPr>
        <w:t>76</w:t>
      </w:r>
      <w:r>
        <w:rPr>
          <w:rFonts w:hint="default" w:ascii="Times New Roman" w:hAnsi="Times New Roman" w:eastAsia="仿宋_GB2312" w:cs="Times New Roman"/>
          <w:color w:val="auto"/>
          <w:sz w:val="32"/>
          <w:szCs w:val="32"/>
          <w:highlight w:val="none"/>
          <w:lang w:eastAsia="zh-CN"/>
        </w:rPr>
        <w:t>%；政府性基金预算财政拨款收入6万元，占0</w:t>
      </w:r>
      <w:r>
        <w:rPr>
          <w:rFonts w:hint="eastAsia" w:eastAsia="仿宋_GB2312" w:cs="Times New Roman"/>
          <w:color w:val="auto"/>
          <w:sz w:val="32"/>
          <w:szCs w:val="32"/>
          <w:highlight w:val="none"/>
          <w:lang w:val="en-US" w:eastAsia="zh-CN"/>
        </w:rPr>
        <w:t>.01</w:t>
      </w:r>
      <w:r>
        <w:rPr>
          <w:rFonts w:hint="default" w:ascii="Times New Roman" w:hAnsi="Times New Roman" w:eastAsia="仿宋_GB2312" w:cs="Times New Roman"/>
          <w:color w:val="auto"/>
          <w:sz w:val="32"/>
          <w:szCs w:val="32"/>
          <w:highlight w:val="none"/>
          <w:lang w:eastAsia="zh-CN"/>
        </w:rPr>
        <w:t>%；事业收入8.52万元，占0</w:t>
      </w:r>
      <w:r>
        <w:rPr>
          <w:rFonts w:hint="eastAsia" w:eastAsia="仿宋_GB2312" w:cs="Times New Roman"/>
          <w:color w:val="auto"/>
          <w:sz w:val="32"/>
          <w:szCs w:val="32"/>
          <w:highlight w:val="none"/>
          <w:lang w:val="en-US" w:eastAsia="zh-CN"/>
        </w:rPr>
        <w:t>.02</w:t>
      </w:r>
      <w:r>
        <w:rPr>
          <w:rFonts w:hint="default" w:ascii="Times New Roman" w:hAnsi="Times New Roman" w:eastAsia="仿宋_GB2312" w:cs="Times New Roman"/>
          <w:color w:val="auto"/>
          <w:sz w:val="32"/>
          <w:szCs w:val="32"/>
          <w:highlight w:val="none"/>
          <w:lang w:eastAsia="zh-CN"/>
        </w:rPr>
        <w:t>%；其他收入1008.56万元，占2.2</w:t>
      </w: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w:t>
      </w:r>
    </w:p>
    <w:p w14:paraId="15E2002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0"/>
          <w:rFonts w:hint="default" w:ascii="Times New Roman" w:hAnsi="Times New Roman" w:eastAsia="黑体" w:cs="Times New Roman"/>
          <w:b w:val="0"/>
          <w:color w:val="auto"/>
          <w:highlight w:val="none"/>
        </w:rPr>
      </w:pPr>
      <w:bookmarkStart w:id="30" w:name="_Toc21525"/>
      <w:bookmarkStart w:id="31" w:name="_Toc652031933"/>
      <w:bookmarkStart w:id="32" w:name="_Toc15377207"/>
      <w:bookmarkStart w:id="33" w:name="_Toc15396605"/>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0"/>
          <w:rFonts w:hint="default" w:ascii="Times New Roman" w:hAnsi="Times New Roman" w:eastAsia="黑体" w:cs="Times New Roman"/>
          <w:b w:val="0"/>
          <w:color w:val="auto"/>
          <w:highlight w:val="none"/>
        </w:rPr>
        <w:t>出决算情况说明</w:t>
      </w:r>
      <w:bookmarkEnd w:id="30"/>
      <w:bookmarkEnd w:id="31"/>
      <w:bookmarkEnd w:id="32"/>
      <w:bookmarkEnd w:id="33"/>
    </w:p>
    <w:p w14:paraId="3F18CFDD">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2025年度本年支出合计45534.64万元，其中：基本支出33500.12万元，占73.6%；项目支出12034.52万元，占26.4%。</w:t>
      </w:r>
    </w:p>
    <w:p w14:paraId="54D21D8E">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0"/>
          <w:rFonts w:hint="default" w:ascii="Times New Roman" w:hAnsi="Times New Roman" w:eastAsia="黑体" w:cs="Times New Roman"/>
          <w:b w:val="0"/>
          <w:color w:val="auto"/>
          <w:highlight w:val="none"/>
        </w:rPr>
      </w:pPr>
      <w:bookmarkStart w:id="34" w:name="_Toc15377208"/>
      <w:bookmarkStart w:id="35" w:name="_Toc15396606"/>
      <w:bookmarkStart w:id="36" w:name="_Toc25564"/>
      <w:bookmarkStart w:id="37" w:name="_Toc661402197"/>
      <w:r>
        <w:rPr>
          <w:rFonts w:hint="default" w:ascii="Times New Roman" w:hAnsi="Times New Roman" w:eastAsia="仿宋_GB2312" w:cs="Times New Roman"/>
          <w:sz w:val="32"/>
          <w:szCs w:val="32"/>
        </w:rPr>
        <w:drawing>
          <wp:anchor distT="0" distB="0" distL="114300" distR="114300" simplePos="0" relativeHeight="251663360" behindDoc="0" locked="0" layoutInCell="1" allowOverlap="1">
            <wp:simplePos x="0" y="0"/>
            <wp:positionH relativeFrom="column">
              <wp:align>center</wp:align>
            </wp:positionH>
            <wp:positionV relativeFrom="page">
              <wp:posOffset>2527300</wp:posOffset>
            </wp:positionV>
            <wp:extent cx="3688080" cy="1972945"/>
            <wp:effectExtent l="4445" t="4445" r="22225" b="22860"/>
            <wp:wrapTopAndBottom/>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黑体" w:cs="Times New Roman"/>
          <w:color w:val="auto"/>
          <w:sz w:val="32"/>
          <w:szCs w:val="32"/>
          <w:highlight w:val="none"/>
        </w:rPr>
        <w:t>四、财</w:t>
      </w:r>
      <w:r>
        <w:rPr>
          <w:rStyle w:val="30"/>
          <w:rFonts w:hint="default" w:ascii="Times New Roman" w:hAnsi="Times New Roman" w:eastAsia="黑体" w:cs="Times New Roman"/>
          <w:b w:val="0"/>
          <w:color w:val="auto"/>
          <w:highlight w:val="none"/>
        </w:rPr>
        <w:t>政拨款收入支出决算总体情况说明</w:t>
      </w:r>
      <w:bookmarkEnd w:id="34"/>
      <w:bookmarkEnd w:id="35"/>
      <w:bookmarkEnd w:id="36"/>
      <w:bookmarkEnd w:id="37"/>
    </w:p>
    <w:p w14:paraId="41A8B9B5">
      <w:pPr>
        <w:pageBreakBefore w:val="0"/>
        <w:kinsoku/>
        <w:wordWrap/>
        <w:overflowPunct/>
        <w:topLinePunct w:val="0"/>
        <w:bidi w:val="0"/>
        <w:spacing w:line="576" w:lineRule="exact"/>
        <w:ind w:firstLine="640" w:firstLineChars="200"/>
        <w:textAlignment w:val="auto"/>
        <w:rPr>
          <w:rFonts w:hint="default"/>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2025年度财政拨款收入、支出总计均为44675.07万元。与上年度相比，财政拨款收入、支出总计各增加3609.99万元，增长8.8%。主要变动原因是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教育</w:t>
      </w:r>
      <w:r>
        <w:rPr>
          <w:rFonts w:hint="eastAsia" w:eastAsia="仿宋_GB2312" w:cs="Times New Roman"/>
          <w:color w:val="auto"/>
          <w:kern w:val="2"/>
          <w:sz w:val="32"/>
          <w:szCs w:val="32"/>
          <w:highlight w:val="none"/>
          <w:lang w:val="en-US" w:eastAsia="zh-CN" w:bidi="ar-SA"/>
        </w:rPr>
        <w:t>收入</w:t>
      </w:r>
      <w:r>
        <w:rPr>
          <w:rFonts w:hint="default" w:ascii="Times New Roman" w:hAnsi="Times New Roman" w:eastAsia="仿宋_GB2312" w:cs="Times New Roman"/>
          <w:color w:val="auto"/>
          <w:kern w:val="2"/>
          <w:sz w:val="32"/>
          <w:szCs w:val="32"/>
          <w:highlight w:val="none"/>
          <w:lang w:val="en-US" w:eastAsia="zh-CN" w:bidi="ar-SA"/>
        </w:rPr>
        <w:t>增加、文化旅游体育与传媒</w:t>
      </w:r>
      <w:r>
        <w:rPr>
          <w:rFonts w:hint="eastAsia" w:eastAsia="仿宋_GB2312" w:cs="Times New Roman"/>
          <w:color w:val="auto"/>
          <w:kern w:val="2"/>
          <w:sz w:val="32"/>
          <w:szCs w:val="32"/>
          <w:highlight w:val="none"/>
          <w:lang w:val="en-US" w:eastAsia="zh-CN" w:bidi="ar-SA"/>
        </w:rPr>
        <w:t>收入</w:t>
      </w:r>
      <w:r>
        <w:rPr>
          <w:rFonts w:hint="default" w:ascii="Times New Roman" w:hAnsi="Times New Roman" w:eastAsia="仿宋_GB2312" w:cs="Times New Roman"/>
          <w:color w:val="auto"/>
          <w:kern w:val="2"/>
          <w:sz w:val="32"/>
          <w:szCs w:val="32"/>
          <w:highlight w:val="none"/>
          <w:lang w:val="en-US" w:eastAsia="zh-CN" w:bidi="ar-SA"/>
        </w:rPr>
        <w:t>增加、农林水</w:t>
      </w:r>
      <w:r>
        <w:rPr>
          <w:rFonts w:hint="eastAsia" w:eastAsia="仿宋_GB2312" w:cs="Times New Roman"/>
          <w:color w:val="auto"/>
          <w:kern w:val="2"/>
          <w:sz w:val="32"/>
          <w:szCs w:val="32"/>
          <w:highlight w:val="none"/>
          <w:lang w:val="en-US" w:eastAsia="zh-CN" w:bidi="ar-SA"/>
        </w:rPr>
        <w:t>收入</w:t>
      </w:r>
      <w:r>
        <w:rPr>
          <w:rFonts w:hint="default" w:ascii="Times New Roman" w:hAnsi="Times New Roman" w:eastAsia="仿宋_GB2312" w:cs="Times New Roman"/>
          <w:color w:val="auto"/>
          <w:kern w:val="2"/>
          <w:sz w:val="32"/>
          <w:szCs w:val="32"/>
          <w:highlight w:val="none"/>
          <w:lang w:val="en-US" w:eastAsia="zh-CN" w:bidi="ar-SA"/>
        </w:rPr>
        <w:t>增加。</w:t>
      </w:r>
      <w:r>
        <w:rPr>
          <w:rFonts w:hint="default" w:ascii="Times New Roman" w:hAnsi="Times New Roman" w:eastAsia="仿宋_GB2312" w:cs="Times New Roman"/>
          <w:sz w:val="32"/>
          <w:szCs w:val="32"/>
        </w:rPr>
        <w:drawing>
          <wp:anchor distT="0" distB="0" distL="114300" distR="114300" simplePos="0" relativeHeight="251664384" behindDoc="0" locked="0" layoutInCell="1" allowOverlap="1">
            <wp:simplePos x="0" y="0"/>
            <wp:positionH relativeFrom="column">
              <wp:align>center</wp:align>
            </wp:positionH>
            <wp:positionV relativeFrom="page">
              <wp:posOffset>6490970</wp:posOffset>
            </wp:positionV>
            <wp:extent cx="3836035" cy="2098040"/>
            <wp:effectExtent l="4445" t="4445" r="7620" b="1206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D0D972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0"/>
          <w:rFonts w:hint="default" w:ascii="Times New Roman" w:hAnsi="Times New Roman" w:eastAsia="黑体" w:cs="Times New Roman"/>
          <w:b w:val="0"/>
          <w:color w:val="auto"/>
          <w:highlight w:val="none"/>
        </w:rPr>
      </w:pPr>
      <w:bookmarkStart w:id="38" w:name="_Toc28844"/>
      <w:bookmarkStart w:id="39" w:name="_Toc15396607"/>
      <w:bookmarkStart w:id="40" w:name="_Toc570442718"/>
      <w:bookmarkStart w:id="41"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0"/>
          <w:rFonts w:hint="default" w:ascii="Times New Roman" w:hAnsi="Times New Roman" w:eastAsia="黑体" w:cs="Times New Roman"/>
          <w:b w:val="0"/>
          <w:color w:val="auto"/>
          <w:highlight w:val="none"/>
        </w:rPr>
        <w:t>般公共预算财政拨款支出决算情况说明</w:t>
      </w:r>
      <w:bookmarkEnd w:id="38"/>
      <w:bookmarkEnd w:id="39"/>
      <w:bookmarkEnd w:id="40"/>
      <w:bookmarkEnd w:id="41"/>
    </w:p>
    <w:p w14:paraId="4949436F">
      <w:pPr>
        <w:pageBreakBefore w:val="0"/>
        <w:kinsoku/>
        <w:wordWrap/>
        <w:overflowPunct/>
        <w:topLinePunct w:val="0"/>
        <w:bidi w:val="0"/>
        <w:spacing w:line="576" w:lineRule="exact"/>
        <w:ind w:firstLine="643" w:firstLineChars="200"/>
        <w:textAlignment w:val="auto"/>
        <w:outlineLvl w:val="2"/>
        <w:rPr>
          <w:rFonts w:hint="default"/>
        </w:rPr>
      </w:pPr>
      <w:bookmarkStart w:id="42"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42"/>
    </w:p>
    <w:p w14:paraId="09AF68C5">
      <w:pPr>
        <w:pageBreakBefore w:val="0"/>
        <w:kinsoku/>
        <w:wordWrap/>
        <w:overflowPunct/>
        <w:topLinePunct w:val="0"/>
        <w:bidi w:val="0"/>
        <w:spacing w:line="576" w:lineRule="exact"/>
        <w:ind w:firstLine="640"/>
        <w:rPr>
          <w:rFonts w:hint="default"/>
          <w:lang w:val="en-US" w:eastAsia="zh-CN"/>
        </w:rPr>
      </w:pPr>
      <w:bookmarkStart w:id="43" w:name="_Toc15377211"/>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2025年度一般公共预算财政拨款支出44669.07万元，占本年支出合计的98.1%。与上年度相比，一般公共预算财政拨款支出增加3617.99万元，增长8.8%。主要变动原因是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一般公共服务支出增加</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教育支出增加</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农林水支出增加</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sz w:val="32"/>
          <w:szCs w:val="32"/>
          <w:lang w:val="en-US" w:eastAsia="zh-CN"/>
        </w:rPr>
        <w:t>文化旅游体育与传媒支出增加</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社会保障和就业支出增加</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rPr>
        <w:drawing>
          <wp:anchor distT="0" distB="0" distL="114300" distR="114300" simplePos="0" relativeHeight="251665408" behindDoc="0" locked="0" layoutInCell="1" allowOverlap="1">
            <wp:simplePos x="0" y="0"/>
            <wp:positionH relativeFrom="column">
              <wp:align>center</wp:align>
            </wp:positionH>
            <wp:positionV relativeFrom="page">
              <wp:posOffset>2585085</wp:posOffset>
            </wp:positionV>
            <wp:extent cx="3677285" cy="2192655"/>
            <wp:effectExtent l="5080" t="4445" r="13335" b="12700"/>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7AD78F0">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（二）一般公共预算财政拨款支出决算结构情况</w:t>
      </w:r>
      <w:bookmarkEnd w:id="43"/>
    </w:p>
    <w:p w14:paraId="5A324574">
      <w:pPr>
        <w:pageBreakBefore w:val="0"/>
        <w:kinsoku/>
        <w:wordWrap/>
        <w:overflowPunct/>
        <w:topLinePunct w:val="0"/>
        <w:bidi w:val="0"/>
        <w:spacing w:line="576" w:lineRule="exact"/>
        <w:ind w:firstLine="640"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44" w:name="_Toc15377212"/>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2025年度一般公共预算财政拨款支出44669.07万元，主要用于以下方面：</w:t>
      </w:r>
      <w:r>
        <w:rPr>
          <w:rFonts w:hint="eastAsia" w:ascii="仿宋" w:hAnsi="仿宋" w:eastAsia="仿宋" w:cs="仿宋"/>
          <w:b/>
          <w:bCs/>
          <w:color w:val="auto"/>
          <w:kern w:val="2"/>
          <w:sz w:val="32"/>
          <w:szCs w:val="32"/>
          <w:highlight w:val="none"/>
          <w:lang w:val="en-US" w:eastAsia="zh-CN" w:bidi="ar-SA"/>
        </w:rPr>
        <w:t>一般公共服务支出</w:t>
      </w:r>
      <w:r>
        <w:rPr>
          <w:rFonts w:hint="default" w:ascii="Times New Roman" w:hAnsi="Times New Roman" w:eastAsia="仿宋_GB2312" w:cs="Times New Roman"/>
          <w:b w:val="0"/>
          <w:bCs w:val="0"/>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万元，占0%；</w:t>
      </w:r>
      <w:r>
        <w:rPr>
          <w:rFonts w:hint="eastAsia" w:ascii="仿宋" w:hAnsi="仿宋" w:eastAsia="仿宋" w:cs="仿宋"/>
          <w:b/>
          <w:bCs/>
          <w:color w:val="auto"/>
          <w:kern w:val="2"/>
          <w:sz w:val="32"/>
          <w:szCs w:val="32"/>
          <w:highlight w:val="none"/>
          <w:lang w:val="en-US" w:eastAsia="zh-CN" w:bidi="ar-SA"/>
        </w:rPr>
        <w:t>教育支出</w:t>
      </w:r>
      <w:r>
        <w:rPr>
          <w:rFonts w:hint="default" w:ascii="Times New Roman" w:hAnsi="Times New Roman" w:eastAsia="仿宋_GB2312" w:cs="Times New Roman"/>
          <w:b w:val="0"/>
          <w:bCs w:val="0"/>
          <w:color w:val="auto"/>
          <w:kern w:val="2"/>
          <w:sz w:val="32"/>
          <w:szCs w:val="32"/>
          <w:highlight w:val="none"/>
          <w:lang w:val="en-US" w:eastAsia="zh-CN" w:bidi="ar-SA"/>
        </w:rPr>
        <w:t>32240.52</w:t>
      </w:r>
      <w:r>
        <w:rPr>
          <w:rFonts w:hint="default" w:ascii="Times New Roman" w:hAnsi="Times New Roman" w:eastAsia="仿宋_GB2312" w:cs="Times New Roman"/>
          <w:color w:val="auto"/>
          <w:kern w:val="2"/>
          <w:sz w:val="32"/>
          <w:szCs w:val="32"/>
          <w:highlight w:val="none"/>
          <w:lang w:val="en-US" w:eastAsia="zh-CN" w:bidi="ar-SA"/>
        </w:rPr>
        <w:t>万元，占72.2%；</w:t>
      </w:r>
      <w:r>
        <w:rPr>
          <w:rFonts w:hint="eastAsia" w:ascii="仿宋" w:hAnsi="仿宋" w:eastAsia="仿宋" w:cs="仿宋"/>
          <w:b/>
          <w:bCs/>
          <w:color w:val="auto"/>
          <w:kern w:val="2"/>
          <w:sz w:val="32"/>
          <w:szCs w:val="32"/>
          <w:highlight w:val="none"/>
          <w:lang w:val="en-US" w:eastAsia="zh-CN" w:bidi="ar-SA"/>
        </w:rPr>
        <w:t>文化旅游体育与传媒支出</w:t>
      </w:r>
      <w:r>
        <w:rPr>
          <w:rFonts w:hint="default" w:ascii="Times New Roman" w:hAnsi="Times New Roman" w:eastAsia="仿宋_GB2312" w:cs="Times New Roman"/>
          <w:color w:val="auto"/>
          <w:kern w:val="2"/>
          <w:sz w:val="32"/>
          <w:szCs w:val="32"/>
          <w:highlight w:val="none"/>
          <w:lang w:val="en-US" w:eastAsia="zh-CN" w:bidi="ar-SA"/>
        </w:rPr>
        <w:t>504.33万元，占1.1%；</w:t>
      </w:r>
      <w:r>
        <w:rPr>
          <w:rFonts w:hint="eastAsia" w:ascii="仿宋" w:hAnsi="仿宋" w:eastAsia="仿宋" w:cs="仿宋"/>
          <w:b/>
          <w:bCs/>
          <w:color w:val="auto"/>
          <w:kern w:val="2"/>
          <w:sz w:val="32"/>
          <w:szCs w:val="32"/>
          <w:highlight w:val="none"/>
          <w:lang w:val="en-US" w:eastAsia="zh-CN" w:bidi="ar-SA"/>
        </w:rPr>
        <w:t>社会保障和就业支出</w:t>
      </w:r>
      <w:r>
        <w:rPr>
          <w:rFonts w:hint="default" w:ascii="Times New Roman" w:hAnsi="Times New Roman" w:eastAsia="仿宋_GB2312" w:cs="Times New Roman"/>
          <w:color w:val="auto"/>
          <w:kern w:val="2"/>
          <w:sz w:val="32"/>
          <w:szCs w:val="32"/>
          <w:highlight w:val="none"/>
          <w:lang w:val="en-US" w:eastAsia="zh-CN" w:bidi="ar-SA"/>
        </w:rPr>
        <w:t>4239.17万元，占9.5%；</w:t>
      </w:r>
      <w:r>
        <w:rPr>
          <w:rFonts w:hint="eastAsia" w:ascii="仿宋" w:hAnsi="仿宋" w:eastAsia="仿宋" w:cs="仿宋"/>
          <w:b/>
          <w:bCs/>
          <w:color w:val="auto"/>
          <w:kern w:val="2"/>
          <w:sz w:val="32"/>
          <w:szCs w:val="32"/>
          <w:highlight w:val="none"/>
          <w:lang w:val="en-US" w:eastAsia="zh-CN" w:bidi="ar-SA"/>
        </w:rPr>
        <w:t>卫生健康支出</w:t>
      </w:r>
      <w:r>
        <w:rPr>
          <w:rFonts w:hint="default" w:ascii="Times New Roman" w:hAnsi="Times New Roman" w:eastAsia="仿宋_GB2312" w:cs="Times New Roman"/>
          <w:color w:val="auto"/>
          <w:kern w:val="2"/>
          <w:sz w:val="32"/>
          <w:szCs w:val="32"/>
          <w:highlight w:val="none"/>
          <w:lang w:val="en-US" w:eastAsia="zh-CN" w:bidi="ar-SA"/>
        </w:rPr>
        <w:t>1674.11万元，占3.7%；</w:t>
      </w:r>
      <w:r>
        <w:rPr>
          <w:rFonts w:hint="eastAsia" w:ascii="仿宋" w:hAnsi="仿宋" w:eastAsia="仿宋" w:cs="仿宋"/>
          <w:b/>
          <w:bCs/>
          <w:color w:val="auto"/>
          <w:kern w:val="2"/>
          <w:sz w:val="32"/>
          <w:szCs w:val="32"/>
          <w:highlight w:val="none"/>
          <w:lang w:val="en-US" w:eastAsia="zh-CN" w:bidi="ar-SA"/>
        </w:rPr>
        <w:t>农林水支出</w:t>
      </w:r>
      <w:r>
        <w:rPr>
          <w:rFonts w:hint="default" w:ascii="Times New Roman" w:hAnsi="Times New Roman" w:eastAsia="仿宋_GB2312" w:cs="Times New Roman"/>
          <w:color w:val="auto"/>
          <w:kern w:val="2"/>
          <w:sz w:val="32"/>
          <w:szCs w:val="32"/>
          <w:highlight w:val="none"/>
          <w:lang w:val="en-US" w:eastAsia="zh-CN" w:bidi="ar-SA"/>
        </w:rPr>
        <w:t>3711.28万元，占支出8.3%；</w:t>
      </w:r>
      <w:r>
        <w:rPr>
          <w:rFonts w:hint="eastAsia" w:ascii="仿宋" w:hAnsi="仿宋" w:eastAsia="仿宋" w:cs="仿宋"/>
          <w:b/>
          <w:bCs/>
          <w:color w:val="auto"/>
          <w:kern w:val="2"/>
          <w:sz w:val="32"/>
          <w:szCs w:val="32"/>
          <w:highlight w:val="none"/>
          <w:lang w:val="en-US" w:eastAsia="zh-CN" w:bidi="ar-SA"/>
        </w:rPr>
        <w:t>住房保障支出</w:t>
      </w:r>
      <w:r>
        <w:rPr>
          <w:rFonts w:hint="default" w:ascii="Times New Roman" w:hAnsi="Times New Roman" w:eastAsia="仿宋_GB2312" w:cs="Times New Roman"/>
          <w:color w:val="auto"/>
          <w:kern w:val="2"/>
          <w:sz w:val="32"/>
          <w:szCs w:val="32"/>
          <w:highlight w:val="none"/>
          <w:lang w:val="en-US" w:eastAsia="zh-CN" w:bidi="ar-SA"/>
        </w:rPr>
        <w:t>2295.66万元，占5.1%。</w:t>
      </w:r>
    </w:p>
    <w:p w14:paraId="2AB10479">
      <w:pPr>
        <w:pStyle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val="0"/>
          <w:bCs/>
          <w:sz w:val="32"/>
          <w:szCs w:val="32"/>
        </w:rPr>
        <w:drawing>
          <wp:anchor distT="0" distB="0" distL="114300" distR="114300" simplePos="0" relativeHeight="251666432" behindDoc="1" locked="0" layoutInCell="1" allowOverlap="1">
            <wp:simplePos x="0" y="0"/>
            <wp:positionH relativeFrom="column">
              <wp:align>center</wp:align>
            </wp:positionH>
            <wp:positionV relativeFrom="page">
              <wp:posOffset>7470140</wp:posOffset>
            </wp:positionV>
            <wp:extent cx="3744595" cy="2551430"/>
            <wp:effectExtent l="4445" t="4445" r="22860" b="15875"/>
            <wp:wrapTight wrapText="bothSides">
              <wp:wrapPolygon>
                <wp:start x="-26" y="-38"/>
                <wp:lineTo x="-26" y="21412"/>
                <wp:lineTo x="21512" y="21412"/>
                <wp:lineTo x="21512" y="-38"/>
                <wp:lineTo x="-26" y="-38"/>
              </wp:wrapPolygon>
            </wp:wrapTight>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4A2D544">
      <w:pPr>
        <w:rPr>
          <w:rFonts w:hint="default" w:ascii="Times New Roman" w:hAnsi="Times New Roman" w:eastAsia="仿宋_GB2312" w:cs="Times New Roman"/>
          <w:color w:val="auto"/>
          <w:kern w:val="2"/>
          <w:sz w:val="32"/>
          <w:szCs w:val="32"/>
          <w:highlight w:val="none"/>
          <w:lang w:val="en-US" w:eastAsia="zh-CN" w:bidi="ar-SA"/>
        </w:rPr>
      </w:pPr>
    </w:p>
    <w:p w14:paraId="3763F314">
      <w:pPr>
        <w:pStyle w:val="2"/>
        <w:rPr>
          <w:rFonts w:hint="default" w:ascii="Times New Roman" w:hAnsi="Times New Roman" w:eastAsia="仿宋_GB2312" w:cs="Times New Roman"/>
          <w:color w:val="auto"/>
          <w:kern w:val="2"/>
          <w:sz w:val="32"/>
          <w:szCs w:val="32"/>
          <w:highlight w:val="none"/>
          <w:lang w:val="en-US" w:eastAsia="zh-CN" w:bidi="ar-SA"/>
        </w:rPr>
      </w:pPr>
    </w:p>
    <w:p w14:paraId="279A0582">
      <w:pPr>
        <w:rPr>
          <w:rFonts w:hint="default"/>
          <w:lang w:val="en-US" w:eastAsia="zh-CN"/>
        </w:rPr>
      </w:pPr>
    </w:p>
    <w:p w14:paraId="78434805">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（三）一般公共预算财政拨款支出决算具体情况</w:t>
      </w:r>
      <w:bookmarkEnd w:id="44"/>
    </w:p>
    <w:p w14:paraId="00025A32">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45" w:name="_Toc15378460"/>
      <w:bookmarkStart w:id="46" w:name="_Toc15377444"/>
      <w:bookmarkStart w:id="47"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2025年度一般公共预算支出决算数为601.37</w:t>
      </w:r>
      <w:r>
        <w:rPr>
          <w:rFonts w:hint="eastAsia"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45"/>
      <w:bookmarkEnd w:id="46"/>
      <w:bookmarkEnd w:id="47"/>
    </w:p>
    <w:p w14:paraId="505BB85D">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48" w:name="_Toc296162971"/>
      <w:r>
        <w:rPr>
          <w:rFonts w:hint="eastAsia" w:eastAsia="仿宋_GB2312" w:cs="Times New Roman"/>
          <w:b/>
          <w:bCs/>
          <w:color w:val="auto"/>
          <w:kern w:val="2"/>
          <w:sz w:val="32"/>
          <w:szCs w:val="32"/>
          <w:highlight w:val="none"/>
          <w:lang w:val="en-US" w:eastAsia="zh-CN" w:bidi="ar-SA"/>
        </w:rPr>
        <w:t>1.</w:t>
      </w:r>
      <w:r>
        <w:rPr>
          <w:rFonts w:hint="default" w:ascii="Times New Roman" w:hAnsi="Times New Roman" w:eastAsia="仿宋_GB2312" w:cs="Times New Roman"/>
          <w:b/>
          <w:bCs/>
          <w:color w:val="auto"/>
          <w:kern w:val="2"/>
          <w:sz w:val="32"/>
          <w:szCs w:val="32"/>
          <w:highlight w:val="none"/>
          <w:lang w:val="en-US" w:eastAsia="zh-CN" w:bidi="ar-SA"/>
        </w:rPr>
        <w:t>一般公共服务支出（类）组织事务（款）其他组织事</w:t>
      </w:r>
      <w:bookmarkEnd w:id="48"/>
    </w:p>
    <w:p w14:paraId="6D3D4103">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务支出（项）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支出决算为4万元，完成预算100%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7F646CB2">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color w:val="auto"/>
          <w:kern w:val="2"/>
          <w:sz w:val="32"/>
          <w:szCs w:val="32"/>
          <w:highlight w:val="none"/>
          <w:lang w:val="en-US" w:eastAsia="zh-CN" w:bidi="ar-SA"/>
        </w:rPr>
      </w:pPr>
      <w:bookmarkStart w:id="49" w:name="_Toc2095540083"/>
      <w:r>
        <w:rPr>
          <w:rFonts w:hint="eastAsia" w:eastAsia="仿宋_GB2312" w:cs="Times New Roman"/>
          <w:b/>
          <w:bCs/>
          <w:color w:val="auto"/>
          <w:kern w:val="2"/>
          <w:sz w:val="32"/>
          <w:szCs w:val="32"/>
          <w:highlight w:val="none"/>
          <w:lang w:val="en-US" w:eastAsia="zh-CN" w:bidi="ar-SA"/>
        </w:rPr>
        <w:t>2.</w:t>
      </w:r>
      <w:r>
        <w:rPr>
          <w:rFonts w:hint="default" w:ascii="Times New Roman" w:hAnsi="Times New Roman" w:eastAsia="仿宋_GB2312" w:cs="Times New Roman"/>
          <w:b/>
          <w:bCs/>
          <w:color w:val="auto"/>
          <w:kern w:val="2"/>
          <w:sz w:val="32"/>
          <w:szCs w:val="32"/>
          <w:highlight w:val="none"/>
          <w:lang w:val="en-US" w:eastAsia="zh-CN" w:bidi="ar-SA"/>
        </w:rPr>
        <w:t>教育支出（类）教育管理事务（款）行政运行（项）</w:t>
      </w:r>
      <w:bookmarkEnd w:id="49"/>
      <w:r>
        <w:rPr>
          <w:rFonts w:hint="eastAsia" w:eastAsia="仿宋_GB2312" w:cs="Times New Roman"/>
          <w:b/>
          <w:bCs/>
          <w:color w:val="auto"/>
          <w:kern w:val="2"/>
          <w:sz w:val="32"/>
          <w:szCs w:val="32"/>
          <w:highlight w:val="none"/>
          <w:lang w:val="en-US" w:eastAsia="zh-CN" w:bidi="ar-SA"/>
        </w:rPr>
        <w:t>：</w:t>
      </w:r>
    </w:p>
    <w:p w14:paraId="078FA09F">
      <w:pPr>
        <w:pageBreakBefore w:val="0"/>
        <w:numPr>
          <w:ilvl w:val="0"/>
          <w:numId w:val="0"/>
        </w:numPr>
        <w:kinsoku/>
        <w:wordWrap/>
        <w:overflowPunct/>
        <w:topLinePunct w:val="0"/>
        <w:bidi w:val="0"/>
        <w:spacing w:line="576" w:lineRule="exact"/>
        <w:rPr>
          <w:rFonts w:hint="eastAsia"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支出决算为190.36万元，完成预算100%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3A16AEA1">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50" w:name="_Toc533776098"/>
      <w:r>
        <w:rPr>
          <w:rFonts w:hint="eastAsia"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b/>
          <w:bCs/>
          <w:color w:val="auto"/>
          <w:kern w:val="2"/>
          <w:sz w:val="32"/>
          <w:szCs w:val="32"/>
          <w:highlight w:val="none"/>
          <w:lang w:val="en-US" w:eastAsia="zh-CN" w:bidi="ar-SA"/>
        </w:rPr>
        <w:t>教育支出（类）教育管理事务（款）其他教育管理事</w:t>
      </w:r>
      <w:bookmarkEnd w:id="50"/>
    </w:p>
    <w:p w14:paraId="0912054E">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务支出（项）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支出决算为6万元，完成预算100%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76715EB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eastAsia" w:eastAsia="仿宋_GB2312" w:cs="Times New Roman"/>
          <w:color w:val="auto"/>
          <w:kern w:val="2"/>
          <w:sz w:val="32"/>
          <w:szCs w:val="32"/>
          <w:highlight w:val="none"/>
          <w:lang w:val="en-US" w:eastAsia="zh-CN" w:bidi="ar-SA"/>
        </w:rPr>
      </w:pPr>
      <w:bookmarkStart w:id="51" w:name="_Toc1474852795"/>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b/>
          <w:bCs/>
          <w:color w:val="auto"/>
          <w:kern w:val="2"/>
          <w:sz w:val="32"/>
          <w:szCs w:val="32"/>
          <w:highlight w:val="none"/>
          <w:lang w:val="en-US" w:eastAsia="zh-CN" w:bidi="ar-SA"/>
        </w:rPr>
        <w:t>教育支出（类）普通教育（款）学前教育（项）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w:t>
      </w:r>
      <w:bookmarkEnd w:id="51"/>
      <w:r>
        <w:rPr>
          <w:rFonts w:hint="default" w:ascii="Times New Roman" w:hAnsi="Times New Roman" w:eastAsia="仿宋_GB2312" w:cs="Times New Roman"/>
          <w:color w:val="auto"/>
          <w:kern w:val="2"/>
          <w:sz w:val="32"/>
          <w:szCs w:val="32"/>
          <w:highlight w:val="none"/>
          <w:lang w:val="en-US" w:eastAsia="zh-CN" w:bidi="ar-SA"/>
        </w:rPr>
        <w:t>出决算为3181.73万元，完成预算100%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5DF93345">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color w:val="auto"/>
          <w:kern w:val="2"/>
          <w:sz w:val="32"/>
          <w:szCs w:val="32"/>
          <w:highlight w:val="none"/>
          <w:lang w:val="en-US" w:eastAsia="zh-CN" w:bidi="ar-SA"/>
        </w:rPr>
      </w:pPr>
      <w:bookmarkStart w:id="52" w:name="_Toc646222181"/>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b/>
          <w:bCs/>
          <w:color w:val="auto"/>
          <w:kern w:val="2"/>
          <w:sz w:val="32"/>
          <w:szCs w:val="32"/>
          <w:highlight w:val="none"/>
          <w:lang w:val="en-US" w:eastAsia="zh-CN" w:bidi="ar-SA"/>
        </w:rPr>
        <w:t>教育支出（类）普通教育（款）小学教育（项）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w:t>
      </w:r>
    </w:p>
    <w:p w14:paraId="46A20B2F">
      <w:pPr>
        <w:pageBreakBefore w:val="0"/>
        <w:numPr>
          <w:ilvl w:val="0"/>
          <w:numId w:val="0"/>
        </w:numPr>
        <w:kinsoku/>
        <w:wordWrap/>
        <w:overflowPunct/>
        <w:topLinePunct w:val="0"/>
        <w:bidi w:val="0"/>
        <w:spacing w:line="576" w:lineRule="exact"/>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出</w:t>
      </w:r>
      <w:bookmarkEnd w:id="52"/>
      <w:r>
        <w:rPr>
          <w:rFonts w:hint="default" w:ascii="Times New Roman" w:hAnsi="Times New Roman" w:eastAsia="仿宋_GB2312" w:cs="Times New Roman"/>
          <w:color w:val="auto"/>
          <w:kern w:val="2"/>
          <w:sz w:val="32"/>
          <w:szCs w:val="32"/>
          <w:highlight w:val="none"/>
          <w:lang w:val="en-US" w:eastAsia="zh-CN" w:bidi="ar-SA"/>
        </w:rPr>
        <w:t>决算为15376.65万元，完成预算100%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182623E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53" w:name="_Toc571934638"/>
      <w:r>
        <w:rPr>
          <w:rFonts w:hint="eastAsia"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b/>
          <w:bCs/>
          <w:color w:val="auto"/>
          <w:kern w:val="2"/>
          <w:sz w:val="32"/>
          <w:szCs w:val="32"/>
          <w:highlight w:val="none"/>
          <w:lang w:val="en-US" w:eastAsia="zh-CN" w:bidi="ar-SA"/>
        </w:rPr>
        <w:t>教育支出（类）普通教育（款）初中教育（项）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w:t>
      </w:r>
      <w:bookmarkEnd w:id="53"/>
      <w:r>
        <w:rPr>
          <w:rFonts w:hint="default" w:ascii="Times New Roman" w:hAnsi="Times New Roman" w:eastAsia="仿宋_GB2312" w:cs="Times New Roman"/>
          <w:color w:val="auto"/>
          <w:kern w:val="2"/>
          <w:sz w:val="32"/>
          <w:szCs w:val="32"/>
          <w:highlight w:val="none"/>
          <w:lang w:val="en-US" w:eastAsia="zh-CN" w:bidi="ar-SA"/>
        </w:rPr>
        <w:t>出决算为7266.39万元，完成预算100%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66F84DB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54" w:name="_Toc237890451"/>
      <w:r>
        <w:rPr>
          <w:rFonts w:hint="eastAsia" w:eastAsia="仿宋_GB2312" w:cs="Times New Roman"/>
          <w:color w:val="auto"/>
          <w:kern w:val="2"/>
          <w:sz w:val="32"/>
          <w:szCs w:val="32"/>
          <w:highlight w:val="none"/>
          <w:lang w:val="en-US" w:eastAsia="zh-CN" w:bidi="ar-SA"/>
        </w:rPr>
        <w:t>7.</w:t>
      </w:r>
      <w:r>
        <w:rPr>
          <w:rFonts w:hint="default" w:ascii="Times New Roman" w:hAnsi="Times New Roman" w:eastAsia="仿宋_GB2312" w:cs="Times New Roman"/>
          <w:b/>
          <w:bCs/>
          <w:color w:val="auto"/>
          <w:kern w:val="2"/>
          <w:sz w:val="32"/>
          <w:szCs w:val="32"/>
          <w:highlight w:val="none"/>
          <w:lang w:val="en-US" w:eastAsia="zh-CN" w:bidi="ar-SA"/>
        </w:rPr>
        <w:t>教育支出（类）普通教育（款）高中教育（项）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w:t>
      </w:r>
      <w:bookmarkEnd w:id="54"/>
      <w:r>
        <w:rPr>
          <w:rFonts w:hint="default" w:ascii="Times New Roman" w:hAnsi="Times New Roman" w:eastAsia="仿宋_GB2312" w:cs="Times New Roman"/>
          <w:color w:val="auto"/>
          <w:kern w:val="2"/>
          <w:sz w:val="32"/>
          <w:szCs w:val="32"/>
          <w:highlight w:val="none"/>
          <w:lang w:val="en-US" w:eastAsia="zh-CN" w:bidi="ar-SA"/>
        </w:rPr>
        <w:t>出决算为3543.65万元，完成预算100%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28A88A8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bookmarkStart w:id="55" w:name="_Toc1811281347"/>
      <w:r>
        <w:rPr>
          <w:rFonts w:hint="eastAsia" w:eastAsia="仿宋_GB2312" w:cs="Times New Roman"/>
          <w:color w:val="auto"/>
          <w:kern w:val="2"/>
          <w:sz w:val="32"/>
          <w:szCs w:val="32"/>
          <w:highlight w:val="none"/>
          <w:lang w:val="en-US" w:eastAsia="zh-CN" w:bidi="ar-SA"/>
        </w:rPr>
        <w:t>8.</w:t>
      </w:r>
      <w:r>
        <w:rPr>
          <w:rFonts w:hint="default" w:ascii="Times New Roman" w:hAnsi="Times New Roman" w:eastAsia="仿宋_GB2312" w:cs="Times New Roman"/>
          <w:b/>
          <w:bCs/>
          <w:color w:val="auto"/>
          <w:kern w:val="2"/>
          <w:sz w:val="32"/>
          <w:szCs w:val="32"/>
          <w:highlight w:val="none"/>
          <w:lang w:val="en-US" w:eastAsia="zh-CN" w:bidi="ar-SA"/>
        </w:rPr>
        <w:t>教育支出（类）普通教育（款）高等教育（项）</w:t>
      </w:r>
      <w:r>
        <w:rPr>
          <w:rFonts w:hint="eastAsia" w:eastAsia="仿宋_GB2312" w:cs="Times New Roman"/>
          <w:b/>
          <w:bCs/>
          <w:color w:val="auto"/>
          <w:kern w:val="2"/>
          <w:sz w:val="32"/>
          <w:szCs w:val="32"/>
          <w:highlight w:val="none"/>
          <w:lang w:val="en-US" w:eastAsia="zh-CN" w:bidi="ar-SA"/>
        </w:rPr>
        <w:t>：</w:t>
      </w:r>
      <w:r>
        <w:rPr>
          <w:rFonts w:hint="default" w:ascii="仿宋_GB2312" w:hAnsi="仿宋_GB2312" w:eastAsia="仿宋_GB2312" w:cs="仿宋_GB2312"/>
          <w:color w:val="auto"/>
          <w:kern w:val="2"/>
          <w:sz w:val="32"/>
          <w:szCs w:val="32"/>
          <w:highlight w:val="none"/>
          <w:lang w:val="en-US" w:eastAsia="zh-CN" w:bidi="ar-SA"/>
        </w:rPr>
        <w:t>支</w:t>
      </w:r>
      <w:bookmarkEnd w:id="55"/>
      <w:r>
        <w:rPr>
          <w:rFonts w:hint="default" w:ascii="Times New Roman" w:hAnsi="Times New Roman" w:eastAsia="仿宋_GB2312" w:cs="Times New Roman"/>
          <w:color w:val="auto"/>
          <w:kern w:val="2"/>
          <w:sz w:val="32"/>
          <w:szCs w:val="32"/>
          <w:highlight w:val="none"/>
          <w:lang w:val="en-US" w:eastAsia="zh-CN" w:bidi="ar-SA"/>
        </w:rPr>
        <w:t>出决算为0.4万元，完成预算100%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4B50D52F">
      <w:pPr>
        <w:pageBreakBefore w:val="0"/>
        <w:numPr>
          <w:ilvl w:val="0"/>
          <w:numId w:val="0"/>
        </w:numPr>
        <w:kinsoku/>
        <w:wordWrap/>
        <w:overflowPunct/>
        <w:topLinePunct w:val="0"/>
        <w:bidi w:val="0"/>
        <w:spacing w:line="576" w:lineRule="exact"/>
        <w:ind w:left="630" w:leftChars="0" w:firstLine="0" w:firstLineChars="0"/>
        <w:outlineLvl w:val="2"/>
        <w:rPr>
          <w:rFonts w:hint="eastAsia" w:eastAsia="仿宋_GB2312" w:cs="Times New Roman"/>
          <w:b/>
          <w:bCs/>
          <w:color w:val="auto"/>
          <w:kern w:val="2"/>
          <w:sz w:val="32"/>
          <w:szCs w:val="32"/>
          <w:highlight w:val="none"/>
          <w:lang w:val="en-US" w:eastAsia="zh-CN" w:bidi="ar-SA"/>
        </w:rPr>
      </w:pPr>
      <w:bookmarkStart w:id="56" w:name="_Toc277225585"/>
      <w:r>
        <w:rPr>
          <w:rFonts w:hint="eastAsia"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b/>
          <w:bCs/>
          <w:color w:val="auto"/>
          <w:kern w:val="2"/>
          <w:sz w:val="32"/>
          <w:szCs w:val="32"/>
          <w:highlight w:val="none"/>
          <w:lang w:val="en-US" w:eastAsia="zh-CN" w:bidi="ar-SA"/>
        </w:rPr>
        <w:t>教育支出（类）进修及培训（款）教师进修（项）</w:t>
      </w:r>
      <w:r>
        <w:rPr>
          <w:rFonts w:hint="eastAsia" w:eastAsia="仿宋_GB2312" w:cs="Times New Roman"/>
          <w:b/>
          <w:bCs/>
          <w:color w:val="auto"/>
          <w:kern w:val="2"/>
          <w:sz w:val="32"/>
          <w:szCs w:val="32"/>
          <w:highlight w:val="none"/>
          <w:lang w:val="en-US" w:eastAsia="zh-CN" w:bidi="ar-SA"/>
        </w:rPr>
        <w:t>：</w:t>
      </w:r>
    </w:p>
    <w:p w14:paraId="2BD5899A">
      <w:pPr>
        <w:pageBreakBefore w:val="0"/>
        <w:numPr>
          <w:ilvl w:val="0"/>
          <w:numId w:val="0"/>
        </w:numPr>
        <w:kinsoku/>
        <w:wordWrap/>
        <w:overflowPunct/>
        <w:topLinePunct w:val="0"/>
        <w:bidi w:val="0"/>
        <w:spacing w:line="576" w:lineRule="exact"/>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支</w:t>
      </w:r>
      <w:bookmarkEnd w:id="56"/>
      <w:r>
        <w:rPr>
          <w:rFonts w:hint="default" w:ascii="Times New Roman" w:hAnsi="Times New Roman" w:eastAsia="仿宋_GB2312" w:cs="Times New Roman"/>
          <w:color w:val="auto"/>
          <w:kern w:val="2"/>
          <w:sz w:val="32"/>
          <w:szCs w:val="32"/>
          <w:highlight w:val="none"/>
          <w:lang w:val="en-US" w:eastAsia="zh-CN" w:bidi="ar-SA"/>
        </w:rPr>
        <w:t>出决算为576.76万元，完成预算100%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4A1A3A76">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57" w:name="_Toc1837669681"/>
      <w:r>
        <w:rPr>
          <w:rFonts w:hint="eastAsia" w:eastAsia="仿宋_GB2312" w:cs="Times New Roman"/>
          <w:color w:val="auto"/>
          <w:kern w:val="2"/>
          <w:sz w:val="32"/>
          <w:szCs w:val="32"/>
          <w:highlight w:val="none"/>
          <w:lang w:val="en-US" w:eastAsia="zh-CN" w:bidi="ar-SA"/>
        </w:rPr>
        <w:t>10.</w:t>
      </w:r>
      <w:r>
        <w:rPr>
          <w:rFonts w:hint="default" w:ascii="Times New Roman" w:hAnsi="Times New Roman" w:eastAsia="仿宋_GB2312" w:cs="Times New Roman"/>
          <w:b/>
          <w:bCs/>
          <w:color w:val="auto"/>
          <w:kern w:val="2"/>
          <w:sz w:val="32"/>
          <w:szCs w:val="32"/>
          <w:highlight w:val="none"/>
          <w:lang w:val="en-US" w:eastAsia="zh-CN" w:bidi="ar-SA"/>
        </w:rPr>
        <w:t>教育支出（类）教育费附加安排的支出（款）其他教</w:t>
      </w:r>
      <w:bookmarkEnd w:id="57"/>
    </w:p>
    <w:p w14:paraId="0D5E61BB">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育费附加安排的支出（项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支出决算为1411.56万元，完成预算100%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137ECBED">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color w:val="auto"/>
          <w:kern w:val="2"/>
          <w:sz w:val="32"/>
          <w:szCs w:val="32"/>
          <w:highlight w:val="none"/>
          <w:lang w:val="en-US" w:eastAsia="zh-CN" w:bidi="ar-SA"/>
        </w:rPr>
      </w:pPr>
      <w:bookmarkStart w:id="58" w:name="_Toc1415942271"/>
      <w:r>
        <w:rPr>
          <w:rFonts w:hint="eastAsia" w:eastAsia="仿宋_GB2312" w:cs="Times New Roman"/>
          <w:color w:val="auto"/>
          <w:kern w:val="2"/>
          <w:sz w:val="32"/>
          <w:szCs w:val="32"/>
          <w:highlight w:val="none"/>
          <w:lang w:val="en-US" w:eastAsia="zh-CN" w:bidi="ar-SA"/>
        </w:rPr>
        <w:t>11.</w:t>
      </w:r>
      <w:r>
        <w:rPr>
          <w:rFonts w:hint="default" w:ascii="Times New Roman" w:hAnsi="Times New Roman" w:eastAsia="仿宋_GB2312" w:cs="Times New Roman"/>
          <w:b/>
          <w:bCs/>
          <w:color w:val="auto"/>
          <w:kern w:val="2"/>
          <w:sz w:val="32"/>
          <w:szCs w:val="32"/>
          <w:highlight w:val="none"/>
          <w:lang w:val="en-US" w:eastAsia="zh-CN" w:bidi="ar-SA"/>
        </w:rPr>
        <w:t>教育支出（类）其他教育支出（款）其他教育支出（项）</w:t>
      </w:r>
      <w:bookmarkEnd w:id="58"/>
      <w:r>
        <w:rPr>
          <w:rFonts w:hint="eastAsia" w:eastAsia="仿宋_GB2312" w:cs="Times New Roman"/>
          <w:b/>
          <w:bCs/>
          <w:color w:val="auto"/>
          <w:kern w:val="2"/>
          <w:sz w:val="32"/>
          <w:szCs w:val="32"/>
          <w:highlight w:val="none"/>
          <w:lang w:val="en-US" w:eastAsia="zh-CN" w:bidi="ar-SA"/>
        </w:rPr>
        <w:t>：</w:t>
      </w:r>
    </w:p>
    <w:p w14:paraId="2DCC6CFE">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支出决算为687.03万元，完成预算100%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181FF36B">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59" w:name="_Toc2122663718"/>
      <w:r>
        <w:rPr>
          <w:rFonts w:hint="eastAsia"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b/>
          <w:bCs/>
          <w:color w:val="auto"/>
          <w:kern w:val="2"/>
          <w:sz w:val="32"/>
          <w:szCs w:val="32"/>
          <w:highlight w:val="none"/>
          <w:lang w:val="en-US" w:eastAsia="zh-CN" w:bidi="ar-SA"/>
        </w:rPr>
        <w:t>文化旅游体育与传媒支出（类）文化和旅游（款）其</w:t>
      </w:r>
      <w:bookmarkEnd w:id="59"/>
    </w:p>
    <w:p w14:paraId="5B986FC5">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他文化和旅游支出（项）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支出决算为496.33万元，完成预算100%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0C814263">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0" w:name="_Toc1377527713"/>
      <w:r>
        <w:rPr>
          <w:rFonts w:hint="eastAsia" w:eastAsia="仿宋_GB2312" w:cs="Times New Roman"/>
          <w:color w:val="auto"/>
          <w:kern w:val="2"/>
          <w:sz w:val="32"/>
          <w:szCs w:val="32"/>
          <w:highlight w:val="none"/>
          <w:lang w:val="en-US" w:eastAsia="zh-CN" w:bidi="ar-SA"/>
        </w:rPr>
        <w:t>13.</w:t>
      </w:r>
      <w:r>
        <w:rPr>
          <w:rFonts w:hint="default" w:ascii="Times New Roman" w:hAnsi="Times New Roman" w:eastAsia="仿宋_GB2312" w:cs="Times New Roman"/>
          <w:b/>
          <w:bCs/>
          <w:color w:val="auto"/>
          <w:kern w:val="2"/>
          <w:sz w:val="32"/>
          <w:szCs w:val="32"/>
          <w:highlight w:val="none"/>
          <w:lang w:val="en-US" w:eastAsia="zh-CN" w:bidi="ar-SA"/>
        </w:rPr>
        <w:t>文化旅游体育与传媒支出（类）体育（款）体育竞赛</w:t>
      </w:r>
      <w:bookmarkEnd w:id="60"/>
    </w:p>
    <w:p w14:paraId="17B13826">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支出决算为8万元，完成预算100%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6EA504BD">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1" w:name="_Toc925586725"/>
      <w:r>
        <w:rPr>
          <w:rFonts w:hint="eastAsia" w:eastAsia="仿宋_GB2312" w:cs="Times New Roman"/>
          <w:color w:val="auto"/>
          <w:kern w:val="2"/>
          <w:sz w:val="32"/>
          <w:szCs w:val="32"/>
          <w:highlight w:val="none"/>
          <w:lang w:val="en-US" w:eastAsia="zh-CN" w:bidi="ar-SA"/>
        </w:rPr>
        <w:t>14.</w:t>
      </w:r>
      <w:r>
        <w:rPr>
          <w:rFonts w:hint="default" w:ascii="Times New Roman" w:hAnsi="Times New Roman" w:eastAsia="仿宋_GB2312" w:cs="Times New Roman"/>
          <w:b/>
          <w:bCs/>
          <w:color w:val="auto"/>
          <w:kern w:val="2"/>
          <w:sz w:val="32"/>
          <w:szCs w:val="32"/>
          <w:highlight w:val="none"/>
          <w:lang w:val="en-US" w:eastAsia="zh-CN" w:bidi="ar-SA"/>
        </w:rPr>
        <w:t>社会保障和就业支出（类）行政事业单位养老支出（款）</w:t>
      </w:r>
      <w:bookmarkEnd w:id="61"/>
    </w:p>
    <w:p w14:paraId="43C2BDC2">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机关事业单位基本养老保险缴费支出（项）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支出决算为2830.81万元，完成预算100%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615A0533">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2" w:name="_Toc385123535"/>
      <w:r>
        <w:rPr>
          <w:rFonts w:hint="eastAsia" w:eastAsia="仿宋_GB2312" w:cs="Times New Roman"/>
          <w:color w:val="auto"/>
          <w:kern w:val="2"/>
          <w:sz w:val="32"/>
          <w:szCs w:val="32"/>
          <w:highlight w:val="none"/>
          <w:lang w:val="en-US" w:eastAsia="zh-CN" w:bidi="ar-SA"/>
        </w:rPr>
        <w:t>15.</w:t>
      </w:r>
      <w:r>
        <w:rPr>
          <w:rFonts w:hint="default" w:ascii="Times New Roman" w:hAnsi="Times New Roman" w:eastAsia="仿宋_GB2312" w:cs="Times New Roman"/>
          <w:b/>
          <w:bCs/>
          <w:color w:val="auto"/>
          <w:kern w:val="2"/>
          <w:sz w:val="32"/>
          <w:szCs w:val="32"/>
          <w:highlight w:val="none"/>
          <w:lang w:val="en-US" w:eastAsia="zh-CN" w:bidi="ar-SA"/>
        </w:rPr>
        <w:t>社会保障和就业支出（类）行政事业单位养老支出（款）</w:t>
      </w:r>
      <w:bookmarkEnd w:id="62"/>
    </w:p>
    <w:p w14:paraId="5025FBE0">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机关事业单位职业年金缴费支出（项）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支出决算为1408.36万元，完成预算100%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3EEDCB0D">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3" w:name="_Toc1796044045"/>
      <w:r>
        <w:rPr>
          <w:rFonts w:hint="eastAsia" w:eastAsia="仿宋_GB2312" w:cs="Times New Roman"/>
          <w:color w:val="auto"/>
          <w:kern w:val="2"/>
          <w:sz w:val="32"/>
          <w:szCs w:val="32"/>
          <w:highlight w:val="none"/>
          <w:lang w:val="en-US" w:eastAsia="zh-CN" w:bidi="ar-SA"/>
        </w:rPr>
        <w:t>16.</w:t>
      </w:r>
      <w:r>
        <w:rPr>
          <w:rFonts w:hint="default" w:ascii="Times New Roman" w:hAnsi="Times New Roman" w:eastAsia="仿宋_GB2312" w:cs="Times New Roman"/>
          <w:b/>
          <w:bCs/>
          <w:color w:val="auto"/>
          <w:kern w:val="2"/>
          <w:sz w:val="32"/>
          <w:szCs w:val="32"/>
          <w:highlight w:val="none"/>
          <w:lang w:val="en-US" w:eastAsia="zh-CN" w:bidi="ar-SA"/>
        </w:rPr>
        <w:t>卫生健康支出（类）公共卫生（款）重大公共卫生服</w:t>
      </w:r>
      <w:bookmarkEnd w:id="63"/>
    </w:p>
    <w:p w14:paraId="2AB3ED39">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务（项）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支出决算为2万元，完成预算100%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5B16EEB3">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4" w:name="_Toc893495220"/>
      <w:r>
        <w:rPr>
          <w:rFonts w:hint="eastAsia" w:eastAsia="仿宋_GB2312" w:cs="Times New Roman"/>
          <w:color w:val="auto"/>
          <w:kern w:val="2"/>
          <w:sz w:val="32"/>
          <w:szCs w:val="32"/>
          <w:highlight w:val="none"/>
          <w:lang w:val="en-US" w:eastAsia="zh-CN" w:bidi="ar-SA"/>
        </w:rPr>
        <w:t>17.</w:t>
      </w:r>
      <w:r>
        <w:rPr>
          <w:rFonts w:hint="default" w:ascii="Times New Roman" w:hAnsi="Times New Roman" w:eastAsia="仿宋_GB2312" w:cs="Times New Roman"/>
          <w:b/>
          <w:bCs/>
          <w:color w:val="auto"/>
          <w:kern w:val="2"/>
          <w:sz w:val="32"/>
          <w:szCs w:val="32"/>
          <w:highlight w:val="none"/>
          <w:lang w:val="en-US" w:eastAsia="zh-CN" w:bidi="ar-SA"/>
        </w:rPr>
        <w:t>卫生健康支出（类）行政事业单位医疗（款）行政单</w:t>
      </w:r>
      <w:bookmarkEnd w:id="64"/>
    </w:p>
    <w:p w14:paraId="0C9AE86F">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位医疗（项）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支出决算为14.48万元，完成预算100%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75226CB3">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5" w:name="_Toc738732268"/>
      <w:r>
        <w:rPr>
          <w:rFonts w:hint="eastAsia" w:eastAsia="仿宋_GB2312" w:cs="Times New Roman"/>
          <w:color w:val="auto"/>
          <w:kern w:val="2"/>
          <w:sz w:val="32"/>
          <w:szCs w:val="32"/>
          <w:highlight w:val="none"/>
          <w:lang w:val="en-US" w:eastAsia="zh-CN" w:bidi="ar-SA"/>
        </w:rPr>
        <w:t>18.</w:t>
      </w:r>
      <w:r>
        <w:rPr>
          <w:rFonts w:hint="default" w:ascii="Times New Roman" w:hAnsi="Times New Roman" w:eastAsia="仿宋_GB2312" w:cs="Times New Roman"/>
          <w:b/>
          <w:bCs/>
          <w:color w:val="auto"/>
          <w:kern w:val="2"/>
          <w:sz w:val="32"/>
          <w:szCs w:val="32"/>
          <w:highlight w:val="none"/>
          <w:lang w:val="en-US" w:eastAsia="zh-CN" w:bidi="ar-SA"/>
        </w:rPr>
        <w:t>卫生健康支出（类）行政事业单位医疗（款）事业单</w:t>
      </w:r>
      <w:bookmarkEnd w:id="65"/>
    </w:p>
    <w:p w14:paraId="1F4634B7">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位医疗（项）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支出决算为1652.11万元，完成预算100%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19509CB8">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6" w:name="_Toc808128009"/>
      <w:r>
        <w:rPr>
          <w:rFonts w:hint="eastAsia" w:eastAsia="仿宋_GB2312" w:cs="Times New Roman"/>
          <w:color w:val="auto"/>
          <w:kern w:val="2"/>
          <w:sz w:val="32"/>
          <w:szCs w:val="32"/>
          <w:highlight w:val="none"/>
          <w:lang w:val="en-US" w:eastAsia="zh-CN" w:bidi="ar-SA"/>
        </w:rPr>
        <w:t>19.</w:t>
      </w:r>
      <w:r>
        <w:rPr>
          <w:rFonts w:hint="default" w:ascii="Times New Roman" w:hAnsi="Times New Roman" w:eastAsia="仿宋_GB2312" w:cs="Times New Roman"/>
          <w:b/>
          <w:bCs/>
          <w:color w:val="auto"/>
          <w:kern w:val="2"/>
          <w:sz w:val="32"/>
          <w:szCs w:val="32"/>
          <w:highlight w:val="none"/>
          <w:lang w:val="en-US" w:eastAsia="zh-CN" w:bidi="ar-SA"/>
        </w:rPr>
        <w:t>卫生健康支出（类）其他卫生健康支出（款）其他卫</w:t>
      </w:r>
      <w:bookmarkEnd w:id="66"/>
    </w:p>
    <w:p w14:paraId="2CB810C4">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生健康支出（项）</w:t>
      </w:r>
      <w:r>
        <w:rPr>
          <w:rFonts w:hint="default" w:ascii="Times New Roman" w:hAnsi="Times New Roman" w:eastAsia="仿宋_GB2312" w:cs="Times New Roman"/>
          <w:color w:val="auto"/>
          <w:kern w:val="2"/>
          <w:sz w:val="32"/>
          <w:szCs w:val="32"/>
          <w:highlight w:val="none"/>
          <w:lang w:val="en-US" w:eastAsia="zh-CN" w:bidi="ar-SA"/>
        </w:rPr>
        <w:t>：支出决算为5.52万元，完成预算100%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78017373">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7" w:name="_Toc335592276"/>
      <w:r>
        <w:rPr>
          <w:rFonts w:hint="eastAsia" w:eastAsia="仿宋_GB2312" w:cs="Times New Roman"/>
          <w:color w:val="auto"/>
          <w:kern w:val="2"/>
          <w:sz w:val="32"/>
          <w:szCs w:val="32"/>
          <w:highlight w:val="none"/>
          <w:lang w:val="en-US" w:eastAsia="zh-CN" w:bidi="ar-SA"/>
        </w:rPr>
        <w:t>20.</w:t>
      </w:r>
      <w:r>
        <w:rPr>
          <w:rFonts w:hint="default" w:ascii="Times New Roman" w:hAnsi="Times New Roman" w:eastAsia="仿宋_GB2312" w:cs="Times New Roman"/>
          <w:b/>
          <w:bCs/>
          <w:color w:val="auto"/>
          <w:kern w:val="2"/>
          <w:sz w:val="32"/>
          <w:szCs w:val="32"/>
          <w:highlight w:val="none"/>
          <w:lang w:val="en-US" w:eastAsia="zh-CN" w:bidi="ar-SA"/>
        </w:rPr>
        <w:t>农林水支出（类）巩固脱贫攻坚成果衔接乡村振兴（款）</w:t>
      </w:r>
      <w:bookmarkEnd w:id="67"/>
    </w:p>
    <w:p w14:paraId="1B8D6D1F">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社会发展（项）</w:t>
      </w:r>
      <w:r>
        <w:rPr>
          <w:rFonts w:hint="default" w:ascii="Times New Roman" w:hAnsi="Times New Roman" w:eastAsia="仿宋_GB2312" w:cs="Times New Roman"/>
          <w:color w:val="auto"/>
          <w:kern w:val="2"/>
          <w:sz w:val="32"/>
          <w:szCs w:val="32"/>
          <w:highlight w:val="none"/>
          <w:lang w:val="en-US" w:eastAsia="zh-CN" w:bidi="ar-SA"/>
        </w:rPr>
        <w:t>：支出决算为3132.15万元，完成预算100%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633E527F">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8" w:name="_Toc186235020"/>
      <w:r>
        <w:rPr>
          <w:rFonts w:hint="eastAsia" w:eastAsia="仿宋_GB2312" w:cs="Times New Roman"/>
          <w:color w:val="auto"/>
          <w:kern w:val="2"/>
          <w:sz w:val="32"/>
          <w:szCs w:val="32"/>
          <w:highlight w:val="none"/>
          <w:lang w:val="en-US" w:eastAsia="zh-CN" w:bidi="ar-SA"/>
        </w:rPr>
        <w:t>21.</w:t>
      </w:r>
      <w:r>
        <w:rPr>
          <w:rFonts w:hint="default" w:ascii="Times New Roman" w:hAnsi="Times New Roman" w:eastAsia="仿宋_GB2312" w:cs="Times New Roman"/>
          <w:b/>
          <w:bCs/>
          <w:color w:val="auto"/>
          <w:kern w:val="2"/>
          <w:sz w:val="32"/>
          <w:szCs w:val="32"/>
          <w:highlight w:val="none"/>
          <w:lang w:val="en-US" w:eastAsia="zh-CN" w:bidi="ar-SA"/>
        </w:rPr>
        <w:t>农林水支出（类）巩固脱贫攻坚成果衔接乡村振兴（款）</w:t>
      </w:r>
      <w:bookmarkEnd w:id="68"/>
    </w:p>
    <w:p w14:paraId="146D40B8">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其他巩固脱贫攻坚成果衔接乡村振兴（项）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支出决算为579.13万元，完成预算100%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1D9C59BD">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b/>
          <w:bCs/>
          <w:color w:val="auto"/>
          <w:kern w:val="2"/>
          <w:sz w:val="32"/>
          <w:szCs w:val="32"/>
          <w:highlight w:val="none"/>
          <w:lang w:val="en-US" w:eastAsia="zh-CN" w:bidi="ar-SA"/>
        </w:rPr>
      </w:pPr>
      <w:bookmarkStart w:id="69" w:name="_Toc724422225"/>
      <w:r>
        <w:rPr>
          <w:rFonts w:hint="eastAsia" w:eastAsia="仿宋_GB2312" w:cs="Times New Roman"/>
          <w:color w:val="auto"/>
          <w:kern w:val="2"/>
          <w:sz w:val="32"/>
          <w:szCs w:val="32"/>
          <w:highlight w:val="none"/>
          <w:lang w:val="en-US" w:eastAsia="zh-CN" w:bidi="ar-SA"/>
        </w:rPr>
        <w:t>22.</w:t>
      </w:r>
      <w:r>
        <w:rPr>
          <w:rFonts w:hint="default" w:ascii="Times New Roman" w:hAnsi="Times New Roman" w:eastAsia="仿宋_GB2312" w:cs="Times New Roman"/>
          <w:b/>
          <w:bCs/>
          <w:color w:val="auto"/>
          <w:kern w:val="2"/>
          <w:sz w:val="32"/>
          <w:szCs w:val="32"/>
          <w:highlight w:val="none"/>
          <w:lang w:val="en-US" w:eastAsia="zh-CN" w:bidi="ar-SA"/>
        </w:rPr>
        <w:t>住房保障支出（类）住房改革支出（款）住房公积金</w:t>
      </w:r>
      <w:bookmarkEnd w:id="69"/>
    </w:p>
    <w:p w14:paraId="2A9641FA">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（项）</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支出决算为2287.86万元，完成预算100%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0D10AC12">
      <w:pPr>
        <w:pageBreakBefore w:val="0"/>
        <w:numPr>
          <w:ilvl w:val="0"/>
          <w:numId w:val="0"/>
        </w:numPr>
        <w:kinsoku/>
        <w:wordWrap/>
        <w:overflowPunct/>
        <w:topLinePunct w:val="0"/>
        <w:bidi w:val="0"/>
        <w:spacing w:line="576" w:lineRule="exact"/>
        <w:ind w:left="630" w:leftChars="0" w:firstLine="0" w:firstLineChars="0"/>
        <w:outlineLvl w:val="2"/>
        <w:rPr>
          <w:rFonts w:hint="default" w:ascii="Times New Roman" w:hAnsi="Times New Roman" w:eastAsia="仿宋_GB2312" w:cs="Times New Roman"/>
          <w:color w:val="auto"/>
          <w:kern w:val="2"/>
          <w:sz w:val="32"/>
          <w:szCs w:val="32"/>
          <w:highlight w:val="none"/>
          <w:lang w:val="en-US" w:eastAsia="zh-CN" w:bidi="ar-SA"/>
        </w:rPr>
      </w:pPr>
      <w:bookmarkStart w:id="70" w:name="_Toc193256513"/>
      <w:r>
        <w:rPr>
          <w:rFonts w:hint="eastAsia" w:eastAsia="仿宋_GB2312" w:cs="Times New Roman"/>
          <w:color w:val="auto"/>
          <w:kern w:val="2"/>
          <w:sz w:val="32"/>
          <w:szCs w:val="32"/>
          <w:highlight w:val="none"/>
          <w:lang w:val="en-US" w:eastAsia="zh-CN" w:bidi="ar-SA"/>
        </w:rPr>
        <w:t>23.</w:t>
      </w:r>
      <w:r>
        <w:rPr>
          <w:rFonts w:hint="default" w:ascii="Times New Roman" w:hAnsi="Times New Roman" w:eastAsia="仿宋_GB2312" w:cs="Times New Roman"/>
          <w:b/>
          <w:bCs/>
          <w:color w:val="auto"/>
          <w:kern w:val="2"/>
          <w:sz w:val="32"/>
          <w:szCs w:val="32"/>
          <w:highlight w:val="none"/>
          <w:lang w:val="en-US" w:eastAsia="zh-CN" w:bidi="ar-SA"/>
        </w:rPr>
        <w:t>住房保障支出（类）住房改革支出（款）购房补贴（项）</w:t>
      </w:r>
      <w:bookmarkEnd w:id="70"/>
      <w:r>
        <w:rPr>
          <w:rFonts w:hint="eastAsia" w:eastAsia="仿宋_GB2312" w:cs="Times New Roman"/>
          <w:b/>
          <w:bCs/>
          <w:color w:val="auto"/>
          <w:kern w:val="2"/>
          <w:sz w:val="32"/>
          <w:szCs w:val="32"/>
          <w:highlight w:val="none"/>
          <w:lang w:val="en-US" w:eastAsia="zh-CN" w:bidi="ar-SA"/>
        </w:rPr>
        <w:t>：</w:t>
      </w:r>
    </w:p>
    <w:p w14:paraId="515E7AF5">
      <w:pPr>
        <w:pageBreakBefore w:val="0"/>
        <w:numPr>
          <w:ilvl w:val="0"/>
          <w:numId w:val="0"/>
        </w:numPr>
        <w:kinsoku/>
        <w:wordWrap/>
        <w:overflowPunct/>
        <w:topLinePunct w:val="0"/>
        <w:bidi w:val="0"/>
        <w:spacing w:line="576" w:lineRule="exact"/>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支出决算为7.8万元，完成预算100%</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000000"/>
          <w:sz w:val="32"/>
          <w:szCs w:val="32"/>
          <w:lang w:val="en-US" w:eastAsia="zh-CN"/>
        </w:rPr>
        <w:t>决算数与预算数持平</w:t>
      </w:r>
      <w:r>
        <w:rPr>
          <w:rFonts w:hint="eastAsia" w:eastAsia="仿宋_GB2312" w:cs="Times New Roman"/>
          <w:color w:val="auto"/>
          <w:kern w:val="2"/>
          <w:sz w:val="32"/>
          <w:szCs w:val="32"/>
          <w:highlight w:val="none"/>
          <w:lang w:val="en-US" w:eastAsia="zh-CN" w:bidi="ar-SA"/>
        </w:rPr>
        <w:t>。</w:t>
      </w:r>
    </w:p>
    <w:p w14:paraId="3C55D56A">
      <w:pPr>
        <w:pageBreakBefore w:val="0"/>
        <w:tabs>
          <w:tab w:val="right" w:pos="8306"/>
        </w:tabs>
        <w:kinsoku/>
        <w:wordWrap/>
        <w:overflowPunct/>
        <w:topLinePunct w:val="0"/>
        <w:bidi w:val="0"/>
        <w:spacing w:line="576" w:lineRule="exact"/>
        <w:ind w:firstLine="640"/>
        <w:textAlignment w:val="auto"/>
        <w:outlineLvl w:val="1"/>
        <w:rPr>
          <w:rStyle w:val="30"/>
          <w:rFonts w:hint="default" w:ascii="Times New Roman" w:hAnsi="Times New Roman" w:cs="Times New Roman"/>
          <w:color w:val="auto"/>
          <w:highlight w:val="none"/>
        </w:rPr>
      </w:pPr>
      <w:bookmarkStart w:id="71" w:name="_Toc4625"/>
      <w:bookmarkStart w:id="72" w:name="_Toc15396608"/>
      <w:bookmarkStart w:id="73" w:name="_Toc15377214"/>
      <w:bookmarkStart w:id="74" w:name="_Toc1917099999"/>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0"/>
          <w:rFonts w:hint="default" w:ascii="Times New Roman" w:hAnsi="Times New Roman" w:eastAsia="黑体" w:cs="Times New Roman"/>
          <w:b w:val="0"/>
          <w:color w:val="auto"/>
          <w:highlight w:val="none"/>
        </w:rPr>
        <w:t>般公共预算财政拨款基本支出决算情况说明</w:t>
      </w:r>
      <w:bookmarkEnd w:id="71"/>
      <w:bookmarkEnd w:id="72"/>
      <w:bookmarkEnd w:id="73"/>
      <w:bookmarkEnd w:id="74"/>
      <w:r>
        <w:rPr>
          <w:rStyle w:val="30"/>
          <w:rFonts w:hint="default" w:ascii="Times New Roman" w:hAnsi="Times New Roman" w:eastAsia="黑体" w:cs="Times New Roman"/>
          <w:b w:val="0"/>
          <w:color w:val="auto"/>
          <w:highlight w:val="none"/>
        </w:rPr>
        <w:tab/>
      </w:r>
    </w:p>
    <w:p w14:paraId="6B663831">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75" w:name="_Toc15377215"/>
      <w:bookmarkStart w:id="76" w:name="_Toc15396609"/>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2025年度一般公共预算财政拨款基本支出33139.09万元，其中：</w:t>
      </w:r>
    </w:p>
    <w:p w14:paraId="4BCAD10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人员经费31040.71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eastAsia" w:eastAsia="仿宋_GB2312" w:cs="Times New Roman"/>
          <w:color w:val="auto"/>
          <w:kern w:val="2"/>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highlight w:val="none"/>
          <w:lang w:val="en-US" w:eastAsia="zh-CN" w:bidi="ar-SA"/>
        </w:rPr>
        <w:t>公用经费2098.38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CE5A4F0">
      <w:pPr>
        <w:pageBreakBefore w:val="0"/>
        <w:kinsoku/>
        <w:wordWrap/>
        <w:overflowPunct/>
        <w:topLinePunct w:val="0"/>
        <w:bidi w:val="0"/>
        <w:spacing w:line="576" w:lineRule="exact"/>
        <w:ind w:firstLine="640"/>
        <w:textAlignment w:val="auto"/>
        <w:outlineLvl w:val="1"/>
        <w:rPr>
          <w:rStyle w:val="30"/>
          <w:rFonts w:hint="default" w:ascii="Times New Roman" w:hAnsi="Times New Roman" w:eastAsia="黑体" w:cs="Times New Roman"/>
          <w:b w:val="0"/>
          <w:color w:val="auto"/>
          <w:highlight w:val="none"/>
        </w:rPr>
      </w:pPr>
      <w:bookmarkStart w:id="77" w:name="_Toc14429"/>
      <w:bookmarkStart w:id="78" w:name="_Toc530216724"/>
      <w:r>
        <w:rPr>
          <w:rFonts w:hint="default" w:ascii="Times New Roman" w:hAnsi="Times New Roman" w:eastAsia="黑体" w:cs="Times New Roman"/>
          <w:color w:val="auto"/>
          <w:sz w:val="32"/>
          <w:szCs w:val="32"/>
          <w:highlight w:val="none"/>
        </w:rPr>
        <w:t>七、</w:t>
      </w:r>
      <w:r>
        <w:rPr>
          <w:rStyle w:val="30"/>
          <w:rFonts w:hint="default" w:ascii="Times New Roman" w:hAnsi="Times New Roman" w:eastAsia="黑体" w:cs="Times New Roman"/>
          <w:b w:val="0"/>
          <w:color w:val="auto"/>
          <w:highlight w:val="none"/>
        </w:rPr>
        <w:t>财政拨款</w:t>
      </w:r>
      <w:r>
        <w:rPr>
          <w:rStyle w:val="30"/>
          <w:rFonts w:hint="eastAsia" w:eastAsia="黑体" w:cs="Times New Roman"/>
          <w:color w:val="auto"/>
          <w:highlight w:val="none"/>
          <w:lang w:eastAsia="zh-CN"/>
        </w:rPr>
        <w:t>“</w:t>
      </w:r>
      <w:r>
        <w:rPr>
          <w:rStyle w:val="30"/>
          <w:rFonts w:hint="default" w:ascii="Times New Roman" w:hAnsi="Times New Roman" w:eastAsia="黑体" w:cs="Times New Roman"/>
          <w:b w:val="0"/>
          <w:color w:val="auto"/>
          <w:highlight w:val="none"/>
        </w:rPr>
        <w:t>三公</w:t>
      </w:r>
      <w:r>
        <w:rPr>
          <w:rStyle w:val="30"/>
          <w:rFonts w:hint="eastAsia" w:eastAsia="黑体" w:cs="Times New Roman"/>
          <w:color w:val="auto"/>
          <w:highlight w:val="none"/>
          <w:lang w:eastAsia="zh-CN"/>
        </w:rPr>
        <w:t>”</w:t>
      </w:r>
      <w:r>
        <w:rPr>
          <w:rStyle w:val="30"/>
          <w:rFonts w:hint="default" w:ascii="Times New Roman" w:hAnsi="Times New Roman" w:eastAsia="黑体" w:cs="Times New Roman"/>
          <w:b w:val="0"/>
          <w:color w:val="auto"/>
          <w:highlight w:val="none"/>
        </w:rPr>
        <w:t>经费支出决算情况说明</w:t>
      </w:r>
      <w:bookmarkEnd w:id="75"/>
      <w:bookmarkEnd w:id="76"/>
      <w:bookmarkEnd w:id="77"/>
      <w:bookmarkEnd w:id="78"/>
    </w:p>
    <w:p w14:paraId="1713C88D">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79" w:name="_Toc15377216"/>
      <w:r>
        <w:rPr>
          <w:rFonts w:hint="default" w:ascii="Times New Roman" w:hAnsi="Times New Roman" w:eastAsia="楷体_GB2312" w:cs="Times New Roman"/>
          <w:b/>
          <w:color w:val="auto"/>
          <w:sz w:val="32"/>
          <w:szCs w:val="32"/>
          <w:highlight w:val="none"/>
        </w:rPr>
        <w:t>（一）财政拨款</w:t>
      </w:r>
      <w:r>
        <w:rPr>
          <w:rFonts w:hint="eastAsia"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三公</w:t>
      </w:r>
      <w:r>
        <w:rPr>
          <w:rFonts w:hint="eastAsia"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经费支出决算总体情况说明</w:t>
      </w:r>
      <w:bookmarkEnd w:id="79"/>
    </w:p>
    <w:p w14:paraId="14D289E5">
      <w:pPr>
        <w:pageBreakBefore w:val="0"/>
        <w:kinsoku/>
        <w:wordWrap/>
        <w:overflowPunct/>
        <w:topLinePunct w:val="0"/>
        <w:bidi w:val="0"/>
        <w:spacing w:line="576" w:lineRule="exact"/>
        <w:ind w:firstLine="64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2025年度财政拨款</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三公</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经费支出决算为4.18万元，完成预算100%，</w:t>
      </w:r>
      <w:r>
        <w:rPr>
          <w:rFonts w:hint="eastAsia" w:eastAsia="仿宋" w:cs="Times New Roman"/>
          <w:color w:val="auto"/>
          <w:sz w:val="32"/>
          <w:szCs w:val="32"/>
          <w:highlight w:val="none"/>
          <w:lang w:val="en-US" w:eastAsia="zh-CN"/>
        </w:rPr>
        <w:t>与上年度相比</w:t>
      </w:r>
      <w:r>
        <w:rPr>
          <w:rFonts w:hint="default" w:ascii="Times New Roman" w:hAnsi="Times New Roman" w:eastAsia="仿宋" w:cs="Times New Roman"/>
          <w:color w:val="auto"/>
          <w:sz w:val="32"/>
          <w:szCs w:val="32"/>
          <w:highlight w:val="none"/>
          <w:lang w:val="en-US" w:eastAsia="zh-CN"/>
        </w:rPr>
        <w:t>减少</w:t>
      </w:r>
      <w:r>
        <w:rPr>
          <w:rFonts w:hint="default" w:ascii="Times New Roman" w:hAnsi="Times New Roman" w:eastAsia="仿宋_GB2312" w:cs="Times New Roman"/>
          <w:sz w:val="32"/>
          <w:szCs w:val="32"/>
          <w:lang w:val="en-US" w:eastAsia="zh-CN"/>
        </w:rPr>
        <w:t>19.64</w:t>
      </w:r>
      <w:r>
        <w:rPr>
          <w:rFonts w:hint="default" w:ascii="Times New Roman" w:hAnsi="Times New Roman" w:eastAsia="仿宋" w:cs="Times New Roman"/>
          <w:color w:val="auto"/>
          <w:sz w:val="32"/>
          <w:szCs w:val="32"/>
          <w:highlight w:val="none"/>
          <w:lang w:val="en-US" w:eastAsia="zh-CN"/>
        </w:rPr>
        <w:t>万元，下降</w:t>
      </w:r>
      <w:r>
        <w:rPr>
          <w:rFonts w:hint="default" w:ascii="Times New Roman" w:hAnsi="Times New Roman" w:eastAsia="仿宋_GB2312" w:cs="Times New Roman"/>
          <w:sz w:val="32"/>
          <w:szCs w:val="32"/>
          <w:lang w:val="en-US" w:eastAsia="zh-CN"/>
        </w:rPr>
        <w:t>82.5</w:t>
      </w:r>
      <w:r>
        <w:rPr>
          <w:rFonts w:hint="default" w:ascii="Times New Roman" w:hAnsi="Times New Roman" w:eastAsia="仿宋_GB2312" w:cs="Times New Roman"/>
          <w:sz w:val="32"/>
          <w:szCs w:val="32"/>
        </w:rPr>
        <w:t>%</w:t>
      </w:r>
      <w:r>
        <w:rPr>
          <w:rFonts w:hint="eastAsia" w:eastAsia="仿宋_GB2312" w:cs="Times New Roman"/>
          <w:sz w:val="32"/>
          <w:szCs w:val="32"/>
          <w:lang w:eastAsia="zh-CN"/>
        </w:rPr>
        <w:t>，</w:t>
      </w:r>
      <w:r>
        <w:rPr>
          <w:rFonts w:hint="eastAsia" w:eastAsia="仿宋" w:cs="Times New Roman"/>
          <w:color w:val="auto"/>
          <w:sz w:val="32"/>
          <w:szCs w:val="32"/>
          <w:highlight w:val="none"/>
          <w:lang w:eastAsia="zh-CN"/>
        </w:rPr>
        <w:t>主要原因是：撤并区乡学校，</w:t>
      </w:r>
      <w:r>
        <w:rPr>
          <w:rFonts w:hint="default" w:ascii="Times New Roman" w:hAnsi="Times New Roman" w:eastAsia="仿宋_GB2312" w:cs="Times New Roman"/>
          <w:sz w:val="32"/>
          <w:szCs w:val="32"/>
          <w:lang w:val="en-US" w:eastAsia="zh-CN"/>
        </w:rPr>
        <w:t>实地下乡入校频次减少，相应公车出行费用降低</w:t>
      </w:r>
      <w:r>
        <w:rPr>
          <w:rFonts w:hint="default" w:ascii="Times New Roman" w:hAnsi="Times New Roman" w:eastAsia="仿宋_GB2312" w:cs="Times New Roman"/>
          <w:sz w:val="32"/>
          <w:szCs w:val="32"/>
        </w:rPr>
        <w:t>。</w:t>
      </w:r>
    </w:p>
    <w:p w14:paraId="04CA6241">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80" w:name="_Toc15377217"/>
      <w:r>
        <w:rPr>
          <w:rFonts w:hint="default" w:ascii="Times New Roman" w:hAnsi="Times New Roman" w:eastAsia="楷体_GB2312" w:cs="Times New Roman"/>
          <w:b/>
          <w:color w:val="auto"/>
          <w:sz w:val="32"/>
          <w:szCs w:val="32"/>
          <w:highlight w:val="none"/>
        </w:rPr>
        <w:t>（二）财政拨款</w:t>
      </w:r>
      <w:r>
        <w:rPr>
          <w:rFonts w:hint="eastAsia"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三公</w:t>
      </w:r>
      <w:r>
        <w:rPr>
          <w:rFonts w:hint="eastAsia" w:eastAsia="楷体_GB2312" w:cs="Times New Roman"/>
          <w:b/>
          <w:color w:val="auto"/>
          <w:sz w:val="32"/>
          <w:szCs w:val="32"/>
          <w:highlight w:val="none"/>
          <w:lang w:eastAsia="zh-CN"/>
        </w:rPr>
        <w:t>”</w:t>
      </w:r>
      <w:r>
        <w:rPr>
          <w:rFonts w:hint="default" w:ascii="Times New Roman" w:hAnsi="Times New Roman" w:eastAsia="楷体_GB2312" w:cs="Times New Roman"/>
          <w:b/>
          <w:color w:val="auto"/>
          <w:sz w:val="32"/>
          <w:szCs w:val="32"/>
          <w:highlight w:val="none"/>
        </w:rPr>
        <w:t>经费支出决算具体情况说明</w:t>
      </w:r>
      <w:bookmarkEnd w:id="80"/>
    </w:p>
    <w:p w14:paraId="54AE11CD">
      <w:pPr>
        <w:pageBreakBefore w:val="0"/>
        <w:kinsoku/>
        <w:wordWrap/>
        <w:overflowPunct/>
        <w:topLinePunct w:val="0"/>
        <w:bidi w:val="0"/>
        <w:spacing w:line="576" w:lineRule="exact"/>
        <w:ind w:firstLine="64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eastAsia="zh-CN"/>
        </w:rPr>
        <w:t>202</w:t>
      </w:r>
      <w:r>
        <w:rPr>
          <w:rFonts w:hint="default" w:ascii="Times New Roman" w:hAnsi="Times New Roman"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lang w:eastAsia="zh-CN"/>
        </w:rPr>
        <w:t>年度</w:t>
      </w:r>
      <w:r>
        <w:rPr>
          <w:rFonts w:hint="eastAsia"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三公</w:t>
      </w:r>
      <w:r>
        <w:rPr>
          <w:rFonts w:hint="eastAsia"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经费财政拨款支出决算中，因公出国</w:t>
      </w:r>
      <w:r>
        <w:rPr>
          <w:rFonts w:hint="eastAsia"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境</w:t>
      </w:r>
      <w:r>
        <w:rPr>
          <w:rFonts w:hint="eastAsia"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费支出决算</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万元；公务用车购置及运行维护费支出决算</w:t>
      </w:r>
      <w:r>
        <w:rPr>
          <w:rFonts w:hint="eastAsia" w:eastAsia="仿宋" w:cs="Times New Roman"/>
          <w:color w:val="auto"/>
          <w:sz w:val="32"/>
          <w:szCs w:val="32"/>
          <w:highlight w:val="none"/>
          <w:lang w:val="en-US" w:eastAsia="zh-CN"/>
        </w:rPr>
        <w:t>4</w:t>
      </w:r>
      <w:r>
        <w:rPr>
          <w:rFonts w:hint="default" w:ascii="Times New Roman" w:hAnsi="Times New Roman" w:eastAsia="仿宋" w:cs="Times New Roman"/>
          <w:color w:val="auto"/>
          <w:sz w:val="32"/>
          <w:szCs w:val="32"/>
          <w:highlight w:val="none"/>
        </w:rPr>
        <w:t>万元，占</w:t>
      </w:r>
      <w:r>
        <w:rPr>
          <w:rFonts w:hint="eastAsia" w:eastAsia="仿宋" w:cs="Times New Roman"/>
          <w:color w:val="auto"/>
          <w:sz w:val="32"/>
          <w:szCs w:val="32"/>
          <w:highlight w:val="none"/>
          <w:lang w:val="en-US" w:eastAsia="zh-CN"/>
        </w:rPr>
        <w:t>95.7</w:t>
      </w:r>
      <w:r>
        <w:rPr>
          <w:rFonts w:hint="default" w:ascii="Times New Roman" w:hAnsi="Times New Roman" w:eastAsia="仿宋" w:cs="Times New Roman"/>
          <w:color w:val="auto"/>
          <w:sz w:val="32"/>
          <w:szCs w:val="32"/>
          <w:highlight w:val="none"/>
        </w:rPr>
        <w:t>%；公务接待费支出决算</w:t>
      </w:r>
      <w:r>
        <w:rPr>
          <w:rFonts w:hint="default" w:ascii="Times New Roman" w:hAnsi="Times New Roman" w:eastAsia="仿宋" w:cs="Times New Roman"/>
          <w:color w:val="auto"/>
          <w:sz w:val="32"/>
          <w:szCs w:val="32"/>
          <w:highlight w:val="none"/>
          <w:lang w:val="en-US" w:eastAsia="zh-CN"/>
        </w:rPr>
        <w:t>0</w:t>
      </w:r>
      <w:r>
        <w:rPr>
          <w:rFonts w:hint="eastAsia" w:eastAsia="仿宋" w:cs="Times New Roman"/>
          <w:color w:val="auto"/>
          <w:sz w:val="32"/>
          <w:szCs w:val="32"/>
          <w:highlight w:val="none"/>
          <w:lang w:val="en-US" w:eastAsia="zh-CN"/>
        </w:rPr>
        <w:t>.18</w:t>
      </w:r>
      <w:r>
        <w:rPr>
          <w:rFonts w:hint="default" w:ascii="Times New Roman" w:hAnsi="Times New Roman" w:eastAsia="仿宋" w:cs="Times New Roman"/>
          <w:color w:val="auto"/>
          <w:sz w:val="32"/>
          <w:szCs w:val="32"/>
          <w:highlight w:val="none"/>
        </w:rPr>
        <w:t>万元，占</w:t>
      </w:r>
      <w:r>
        <w:rPr>
          <w:rFonts w:hint="eastAsia" w:eastAsia="仿宋" w:cs="Times New Roman"/>
          <w:color w:val="auto"/>
          <w:sz w:val="32"/>
          <w:szCs w:val="32"/>
          <w:highlight w:val="none"/>
          <w:lang w:val="en-US" w:eastAsia="zh-CN"/>
        </w:rPr>
        <w:t>4.3</w:t>
      </w:r>
      <w:r>
        <w:rPr>
          <w:rFonts w:hint="default" w:ascii="Times New Roman" w:hAnsi="Times New Roman" w:eastAsia="仿宋" w:cs="Times New Roman"/>
          <w:color w:val="auto"/>
          <w:sz w:val="32"/>
          <w:szCs w:val="32"/>
          <w:highlight w:val="none"/>
        </w:rPr>
        <w:t>%。具体情况如下：</w:t>
      </w:r>
    </w:p>
    <w:p w14:paraId="62B775F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sz w:val="32"/>
          <w:szCs w:val="32"/>
        </w:rPr>
        <w:drawing>
          <wp:anchor distT="0" distB="0" distL="0" distR="0" simplePos="0" relativeHeight="251667456" behindDoc="0" locked="0" layoutInCell="1" allowOverlap="1">
            <wp:simplePos x="0" y="0"/>
            <wp:positionH relativeFrom="column">
              <wp:align>center</wp:align>
            </wp:positionH>
            <wp:positionV relativeFrom="page">
              <wp:posOffset>982980</wp:posOffset>
            </wp:positionV>
            <wp:extent cx="3938270" cy="2150745"/>
            <wp:effectExtent l="5080" t="4445" r="57150" b="5461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default" w:ascii="Times New Roman" w:hAnsi="Times New Roman" w:eastAsia="仿宋_GB2312" w:cs="Times New Roman"/>
          <w:b/>
          <w:bCs/>
          <w:color w:val="auto"/>
          <w:kern w:val="2"/>
          <w:sz w:val="32"/>
          <w:szCs w:val="32"/>
          <w:highlight w:val="none"/>
          <w:lang w:val="en-US" w:eastAsia="zh-CN" w:bidi="ar-SA"/>
        </w:rPr>
        <w:t>1.因公出国（境）经费支出0万元。</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p>
    <w:p w14:paraId="6908DD5B">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w:t>
      </w:r>
      <w:r>
        <w:rPr>
          <w:rFonts w:hint="eastAsia" w:eastAsia="仿宋_GB2312" w:cs="Times New Roman"/>
          <w:b/>
          <w:bCs/>
          <w:color w:val="auto"/>
          <w:kern w:val="2"/>
          <w:sz w:val="32"/>
          <w:szCs w:val="32"/>
          <w:highlight w:val="none"/>
          <w:lang w:val="en-US" w:eastAsia="zh-CN" w:bidi="ar-SA"/>
        </w:rPr>
        <w:t>4</w:t>
      </w:r>
      <w:r>
        <w:rPr>
          <w:rFonts w:hint="default" w:ascii="Times New Roman" w:hAnsi="Times New Roman" w:eastAsia="仿宋_GB2312" w:cs="Times New Roman"/>
          <w:b/>
          <w:bCs/>
          <w:color w:val="auto"/>
          <w:kern w:val="2"/>
          <w:sz w:val="32"/>
          <w:szCs w:val="32"/>
          <w:highlight w:val="none"/>
          <w:lang w:val="en-US" w:eastAsia="zh-CN" w:bidi="ar-SA"/>
        </w:rPr>
        <w:t>万元，完成预算</w:t>
      </w:r>
      <w:r>
        <w:rPr>
          <w:rFonts w:hint="eastAsia" w:eastAsia="仿宋_GB2312" w:cs="Times New Roman"/>
          <w:b/>
          <w:bCs/>
          <w:color w:val="auto"/>
          <w:kern w:val="2"/>
          <w:sz w:val="32"/>
          <w:szCs w:val="32"/>
          <w:highlight w:val="none"/>
          <w:lang w:val="en-US" w:eastAsia="zh-CN" w:bidi="ar-SA"/>
        </w:rPr>
        <w:t>100</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截至2025年12月31日，单位共有公务用车</w:t>
      </w:r>
      <w:r>
        <w:rPr>
          <w:rFonts w:hint="eastAsia"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辆，其中：轿车</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辆、越野车1辆、载客汽车0辆。</w:t>
      </w:r>
    </w:p>
    <w:p w14:paraId="673DC74B">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eastAsia="仿宋_GB2312" w:cs="Times New Roman"/>
          <w:color w:val="auto"/>
          <w:sz w:val="32"/>
          <w:szCs w:val="32"/>
          <w:highlight w:val="none"/>
          <w:lang w:val="en-US" w:eastAsia="zh-CN"/>
        </w:rPr>
        <w:t>主要用于</w:t>
      </w:r>
      <w:r>
        <w:rPr>
          <w:rFonts w:hint="default" w:ascii="Times New Roman" w:hAnsi="Times New Roman" w:eastAsia="仿宋_GB2312" w:cs="Times New Roman"/>
          <w:bCs/>
          <w:sz w:val="32"/>
          <w:szCs w:val="32"/>
        </w:rPr>
        <w:t>202</w:t>
      </w:r>
      <w:r>
        <w:rPr>
          <w:rFonts w:hint="default" w:ascii="Times New Roman" w:hAnsi="Times New Roman" w:eastAsia="仿宋_GB2312" w:cs="Times New Roman"/>
          <w:bCs/>
          <w:sz w:val="32"/>
          <w:szCs w:val="32"/>
          <w:lang w:val="en-US" w:eastAsia="zh-CN"/>
        </w:rPr>
        <w:t>5</w:t>
      </w:r>
      <w:r>
        <w:rPr>
          <w:rFonts w:hint="default" w:ascii="Times New Roman" w:hAnsi="Times New Roman" w:eastAsia="仿宋_GB2312" w:cs="Times New Roman"/>
          <w:bCs/>
          <w:sz w:val="32"/>
          <w:szCs w:val="32"/>
        </w:rPr>
        <w:t>年开展各项教育工作等所需的公务用车燃料费、维修费、过路过桥费、保险费等</w:t>
      </w:r>
      <w:r>
        <w:rPr>
          <w:rFonts w:hint="eastAsia" w:eastAsia="仿宋_GB2312" w:cs="Times New Roman"/>
          <w:bCs/>
          <w:sz w:val="32"/>
          <w:szCs w:val="32"/>
          <w:lang w:eastAsia="zh-CN"/>
        </w:rPr>
        <w:t>支出</w:t>
      </w:r>
      <w:r>
        <w:rPr>
          <w:rFonts w:hint="default" w:ascii="Times New Roman" w:hAnsi="Times New Roman" w:eastAsia="仿宋_GB2312" w:cs="Times New Roman"/>
          <w:bCs/>
          <w:sz w:val="32"/>
          <w:szCs w:val="32"/>
        </w:rPr>
        <w:t>。</w:t>
      </w:r>
    </w:p>
    <w:p w14:paraId="2FF3053A">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3.</w:t>
      </w:r>
      <w:r>
        <w:rPr>
          <w:rFonts w:hint="default" w:ascii="Times New Roman" w:hAnsi="Times New Roman" w:eastAsia="仿宋_GB2312" w:cs="Times New Roman"/>
          <w:b/>
          <w:color w:val="auto"/>
          <w:sz w:val="32"/>
          <w:szCs w:val="32"/>
          <w:highlight w:val="none"/>
        </w:rPr>
        <w:t>公务接待费支出</w:t>
      </w:r>
      <w:r>
        <w:rPr>
          <w:rFonts w:hint="eastAsia" w:eastAsia="仿宋_GB2312" w:cs="Times New Roman"/>
          <w:b/>
          <w:color w:val="auto"/>
          <w:sz w:val="32"/>
          <w:szCs w:val="32"/>
          <w:highlight w:val="none"/>
          <w:lang w:val="en-US" w:eastAsia="zh-CN"/>
        </w:rPr>
        <w:t>0.18</w:t>
      </w:r>
      <w:r>
        <w:rPr>
          <w:rFonts w:hint="default" w:ascii="Times New Roman" w:hAnsi="Times New Roman" w:eastAsia="仿宋_GB2312" w:cs="Times New Roman"/>
          <w:color w:val="auto"/>
          <w:sz w:val="32"/>
          <w:szCs w:val="32"/>
          <w:highlight w:val="none"/>
        </w:rPr>
        <w:t>万元，</w:t>
      </w:r>
      <w:r>
        <w:rPr>
          <w:rStyle w:val="19"/>
          <w:rFonts w:hint="default" w:ascii="Times New Roman" w:hAnsi="Times New Roman" w:eastAsia="仿宋" w:cs="Times New Roman"/>
          <w:b w:val="0"/>
          <w:bCs/>
          <w:color w:val="auto"/>
          <w:sz w:val="32"/>
          <w:szCs w:val="32"/>
          <w:highlight w:val="none"/>
        </w:rPr>
        <w:t>完成预算</w:t>
      </w:r>
      <w:r>
        <w:rPr>
          <w:rStyle w:val="19"/>
          <w:rFonts w:hint="default" w:ascii="Times New Roman" w:hAnsi="Times New Roman" w:eastAsia="仿宋" w:cs="Times New Roman"/>
          <w:b w:val="0"/>
          <w:bCs/>
          <w:color w:val="auto"/>
          <w:sz w:val="32"/>
          <w:szCs w:val="32"/>
          <w:highlight w:val="none"/>
          <w:lang w:val="en-US" w:eastAsia="zh-CN"/>
        </w:rPr>
        <w:t>100</w:t>
      </w:r>
      <w:r>
        <w:rPr>
          <w:rStyle w:val="19"/>
          <w:rFonts w:hint="default" w:ascii="Times New Roman" w:hAnsi="Times New Roman" w:eastAsia="仿宋" w:cs="Times New Roman"/>
          <w:b w:val="0"/>
          <w:bCs/>
          <w:color w:val="auto"/>
          <w:sz w:val="32"/>
          <w:szCs w:val="32"/>
          <w:highlight w:val="none"/>
        </w:rPr>
        <w:t>%。</w:t>
      </w:r>
      <w:r>
        <w:rPr>
          <w:rFonts w:hint="default" w:ascii="Times New Roman" w:hAnsi="Times New Roman" w:eastAsia="仿宋_GB2312" w:cs="Times New Roman"/>
          <w:color w:val="auto"/>
          <w:sz w:val="32"/>
          <w:szCs w:val="32"/>
          <w:highlight w:val="none"/>
        </w:rPr>
        <w:t>公务接待费支出决算</w:t>
      </w:r>
      <w:r>
        <w:rPr>
          <w:rFonts w:hint="eastAsia" w:eastAsia="仿宋" w:cs="Times New Roman"/>
          <w:color w:val="auto"/>
          <w:sz w:val="32"/>
          <w:szCs w:val="32"/>
          <w:highlight w:val="none"/>
          <w:lang w:val="en-US" w:eastAsia="zh-CN"/>
        </w:rPr>
        <w:t>与2024年度相比增加0.18</w:t>
      </w:r>
      <w:r>
        <w:rPr>
          <w:rFonts w:hint="default" w:ascii="Times New Roman" w:hAnsi="Times New Roman" w:eastAsia="仿宋_GB2312" w:cs="Times New Roman"/>
          <w:color w:val="auto"/>
          <w:sz w:val="32"/>
          <w:szCs w:val="32"/>
          <w:highlight w:val="none"/>
        </w:rPr>
        <w:t>万元，</w:t>
      </w:r>
      <w:r>
        <w:rPr>
          <w:rFonts w:hint="eastAsia" w:eastAsia="仿宋_GB2312" w:cs="Times New Roman"/>
          <w:color w:val="auto"/>
          <w:sz w:val="32"/>
          <w:szCs w:val="32"/>
          <w:highlight w:val="none"/>
          <w:lang w:eastAsia="zh-CN"/>
        </w:rPr>
        <w:t>增长</w:t>
      </w:r>
      <w:r>
        <w:rPr>
          <w:rFonts w:hint="eastAsia" w:eastAsia="仿宋_GB2312" w:cs="Times New Roman"/>
          <w:color w:val="auto"/>
          <w:sz w:val="32"/>
          <w:szCs w:val="32"/>
          <w:highlight w:val="none"/>
          <w:lang w:val="en-US" w:eastAsia="zh-CN"/>
        </w:rPr>
        <w:t>100</w:t>
      </w:r>
      <w:r>
        <w:rPr>
          <w:rFonts w:hint="default" w:ascii="Times New Roman" w:hAnsi="Times New Roman" w:eastAsia="仿宋_GB2312" w:cs="Times New Roman"/>
          <w:color w:val="auto"/>
          <w:sz w:val="32"/>
          <w:szCs w:val="32"/>
          <w:highlight w:val="none"/>
        </w:rPr>
        <w:t>%。主要原因是</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2025年交流学习增多</w:t>
      </w:r>
      <w:r>
        <w:rPr>
          <w:rFonts w:hint="default" w:ascii="Times New Roman" w:hAnsi="Times New Roman" w:eastAsia="仿宋_GB2312" w:cs="Times New Roman"/>
          <w:color w:val="auto"/>
          <w:sz w:val="32"/>
          <w:szCs w:val="32"/>
          <w:highlight w:val="none"/>
        </w:rPr>
        <w:t>。其中：</w:t>
      </w:r>
    </w:p>
    <w:p w14:paraId="2CDAAE64">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val="0"/>
          <w:bCs/>
          <w:color w:val="auto"/>
          <w:sz w:val="32"/>
          <w:szCs w:val="32"/>
          <w:highlight w:val="none"/>
        </w:rPr>
        <w:t>国内公务接待支出</w:t>
      </w:r>
      <w:r>
        <w:rPr>
          <w:rFonts w:hint="eastAsia" w:eastAsia="仿宋" w:cs="Times New Roman"/>
          <w:b w:val="0"/>
          <w:bCs/>
          <w:color w:val="auto"/>
          <w:sz w:val="32"/>
          <w:szCs w:val="32"/>
          <w:highlight w:val="none"/>
          <w:lang w:val="en-US" w:eastAsia="zh-CN"/>
        </w:rPr>
        <w:t>0.18</w:t>
      </w:r>
      <w:r>
        <w:rPr>
          <w:rFonts w:hint="default" w:ascii="Times New Roman" w:hAnsi="Times New Roman" w:eastAsia="仿宋_GB2312" w:cs="Times New Roman"/>
          <w:b w:val="0"/>
          <w:bCs/>
          <w:color w:val="auto"/>
          <w:sz w:val="32"/>
          <w:szCs w:val="32"/>
          <w:highlight w:val="none"/>
        </w:rPr>
        <w:t>万元</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Cs/>
          <w:sz w:val="32"/>
          <w:szCs w:val="32"/>
        </w:rPr>
        <w:t>主要用于开展业务活动开支的用餐费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highlight w:val="none"/>
        </w:rPr>
        <w:t>国内公务接待</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批次，</w:t>
      </w:r>
      <w:r>
        <w:rPr>
          <w:rFonts w:hint="default" w:ascii="Times New Roman" w:hAnsi="Times New Roman" w:eastAsia="仿宋_GB2312" w:cs="Times New Roman"/>
          <w:sz w:val="32"/>
          <w:szCs w:val="32"/>
          <w:highlight w:val="none"/>
          <w:lang w:val="en-US" w:eastAsia="zh-CN"/>
        </w:rPr>
        <w:t>28</w:t>
      </w:r>
      <w:r>
        <w:rPr>
          <w:rFonts w:hint="default" w:ascii="Times New Roman" w:hAnsi="Times New Roman" w:eastAsia="仿宋_GB2312" w:cs="Times New Roman"/>
          <w:sz w:val="32"/>
          <w:szCs w:val="32"/>
          <w:highlight w:val="none"/>
        </w:rPr>
        <w:t>人次（不包括陪同人员），共计支出</w:t>
      </w:r>
      <w:r>
        <w:rPr>
          <w:rFonts w:hint="default" w:ascii="Times New Roman" w:hAnsi="Times New Roman" w:eastAsia="仿宋_GB2312" w:cs="Times New Roman"/>
          <w:sz w:val="32"/>
          <w:szCs w:val="32"/>
          <w:highlight w:val="none"/>
          <w:lang w:val="en-US" w:eastAsia="zh-CN"/>
        </w:rPr>
        <w:t>0.18</w:t>
      </w:r>
      <w:r>
        <w:rPr>
          <w:rFonts w:hint="default" w:ascii="Times New Roman" w:hAnsi="Times New Roman" w:eastAsia="仿宋_GB2312" w:cs="Times New Roman"/>
          <w:sz w:val="32"/>
          <w:szCs w:val="32"/>
          <w:highlight w:val="none"/>
        </w:rPr>
        <w:t>万元，具体内容包括</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全州教育系统项目及资金交叉检查，金额0.0</w:t>
      </w:r>
      <w:r>
        <w:rPr>
          <w:rFonts w:hint="eastAsia"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中共阿坝州委教育工作委员会关于对茂县义务教育优质均衡发展开展州级复核，金额0.05万元。嘉祥教育科技集团有限公司、四川省优质教育促进会关于赴茂县进行走访调研，金额0.0</w:t>
      </w:r>
      <w:r>
        <w:rPr>
          <w:rFonts w:hint="eastAsia"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lang w:val="en-US" w:eastAsia="zh-CN"/>
        </w:rPr>
        <w:t>万元</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中共阿坝州委教育工作委员会关于对茂县义务教育优质均衡发展开展州级复核反馈意见整改落实情况开展督导，金额0.0</w:t>
      </w:r>
      <w:r>
        <w:rPr>
          <w:rFonts w:hint="eastAsia"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rPr>
        <w:t>。</w:t>
      </w:r>
    </w:p>
    <w:p w14:paraId="2D55A036">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外事接待支出0万元。</w:t>
      </w:r>
      <w:bookmarkStart w:id="81" w:name="_Toc15377218"/>
      <w:bookmarkStart w:id="82" w:name="_Toc15396610"/>
    </w:p>
    <w:p w14:paraId="0EFFDE26">
      <w:pPr>
        <w:pageBreakBefore w:val="0"/>
        <w:kinsoku/>
        <w:wordWrap/>
        <w:overflowPunct/>
        <w:topLinePunct w:val="0"/>
        <w:bidi w:val="0"/>
        <w:spacing w:line="576" w:lineRule="exact"/>
        <w:ind w:firstLine="640"/>
        <w:textAlignment w:val="auto"/>
        <w:outlineLvl w:val="1"/>
        <w:rPr>
          <w:rStyle w:val="30"/>
          <w:rFonts w:hint="default" w:ascii="Times New Roman" w:hAnsi="Times New Roman" w:eastAsia="黑体" w:cs="Times New Roman"/>
          <w:color w:val="auto"/>
          <w:highlight w:val="none"/>
        </w:rPr>
      </w:pPr>
      <w:bookmarkStart w:id="83" w:name="_Toc5946"/>
      <w:bookmarkStart w:id="84" w:name="_Toc489416279"/>
      <w:r>
        <w:rPr>
          <w:rFonts w:hint="default" w:ascii="Times New Roman" w:hAnsi="Times New Roman" w:eastAsia="黑体" w:cs="Times New Roman"/>
          <w:color w:val="auto"/>
          <w:sz w:val="32"/>
          <w:szCs w:val="32"/>
          <w:highlight w:val="none"/>
        </w:rPr>
        <w:t>八、</w:t>
      </w:r>
      <w:r>
        <w:rPr>
          <w:rStyle w:val="30"/>
          <w:rFonts w:hint="default" w:ascii="Times New Roman" w:hAnsi="Times New Roman" w:eastAsia="黑体" w:cs="Times New Roman"/>
          <w:b w:val="0"/>
          <w:color w:val="auto"/>
          <w:highlight w:val="none"/>
        </w:rPr>
        <w:t>政府性基金预算支出决算情况说明</w:t>
      </w:r>
      <w:bookmarkEnd w:id="81"/>
      <w:bookmarkEnd w:id="82"/>
      <w:bookmarkEnd w:id="83"/>
      <w:bookmarkEnd w:id="84"/>
    </w:p>
    <w:p w14:paraId="12B990A5">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85" w:name="_Toc15396611"/>
      <w:bookmarkStart w:id="86" w:name="_Toc3644"/>
      <w:bookmarkStart w:id="87" w:name="_Toc15377219"/>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2025年度政府性基金预算财政拨款支出6万元，占本年支出合计的0</w:t>
      </w:r>
      <w:r>
        <w:rPr>
          <w:rFonts w:hint="eastAsia" w:eastAsia="仿宋_GB2312" w:cs="Times New Roman"/>
          <w:color w:val="auto"/>
          <w:kern w:val="2"/>
          <w:sz w:val="32"/>
          <w:szCs w:val="32"/>
          <w:highlight w:val="none"/>
          <w:lang w:val="en-US" w:eastAsia="zh-CN" w:bidi="ar-SA"/>
        </w:rPr>
        <w:t>.01</w:t>
      </w:r>
      <w:r>
        <w:rPr>
          <w:rFonts w:hint="default" w:ascii="Times New Roman" w:hAnsi="Times New Roman" w:eastAsia="仿宋_GB2312" w:cs="Times New Roman"/>
          <w:color w:val="auto"/>
          <w:kern w:val="2"/>
          <w:sz w:val="32"/>
          <w:szCs w:val="32"/>
          <w:highlight w:val="none"/>
          <w:lang w:val="en-US" w:eastAsia="zh-CN" w:bidi="ar-SA"/>
        </w:rPr>
        <w:t>%。与上年度相比，政府性基金预算财政拨款支出减少8万元，下降57.1%。主要变动原因是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2025年度学生人数减少，经费减少。</w:t>
      </w:r>
    </w:p>
    <w:p w14:paraId="7EFACBD4">
      <w:pPr>
        <w:pageBreakBefore w:val="0"/>
        <w:numPr>
          <w:ilvl w:val="0"/>
          <w:numId w:val="0"/>
        </w:numPr>
        <w:kinsoku/>
        <w:wordWrap/>
        <w:overflowPunct/>
        <w:topLinePunct w:val="0"/>
        <w:bidi w:val="0"/>
        <w:spacing w:line="576" w:lineRule="exact"/>
        <w:ind w:left="630" w:leftChars="0"/>
        <w:textAlignment w:val="auto"/>
        <w:outlineLvl w:val="1"/>
        <w:rPr>
          <w:rStyle w:val="30"/>
          <w:rFonts w:hint="default" w:ascii="Times New Roman" w:hAnsi="Times New Roman" w:eastAsia="黑体" w:cs="Times New Roman"/>
          <w:b w:val="0"/>
          <w:color w:val="auto"/>
          <w:highlight w:val="none"/>
        </w:rPr>
      </w:pPr>
      <w:bookmarkStart w:id="88" w:name="_Toc980273211"/>
      <w:r>
        <w:rPr>
          <w:rStyle w:val="30"/>
          <w:rFonts w:hint="default" w:ascii="Times New Roman" w:hAnsi="Times New Roman" w:eastAsia="黑体" w:cs="Times New Roman"/>
          <w:b w:val="0"/>
          <w:color w:val="auto"/>
          <w:highlight w:val="none"/>
          <w:lang w:eastAsia="zh-CN"/>
        </w:rPr>
        <w:t>九、</w:t>
      </w:r>
      <w:r>
        <w:rPr>
          <w:rStyle w:val="30"/>
          <w:rFonts w:hint="default" w:ascii="Times New Roman" w:hAnsi="Times New Roman" w:eastAsia="黑体" w:cs="Times New Roman"/>
          <w:b w:val="0"/>
          <w:color w:val="auto"/>
          <w:highlight w:val="none"/>
        </w:rPr>
        <w:t>国有资本经营预算支出决算情况说明</w:t>
      </w:r>
      <w:bookmarkEnd w:id="85"/>
      <w:bookmarkEnd w:id="86"/>
      <w:bookmarkEnd w:id="87"/>
      <w:bookmarkEnd w:id="88"/>
    </w:p>
    <w:p w14:paraId="0B6B4535">
      <w:pPr>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557E1786">
      <w:pPr>
        <w:pageBreakBefore w:val="0"/>
        <w:numPr>
          <w:ilvl w:val="0"/>
          <w:numId w:val="0"/>
        </w:numPr>
        <w:kinsoku/>
        <w:wordWrap/>
        <w:overflowPunct/>
        <w:topLinePunct w:val="0"/>
        <w:bidi w:val="0"/>
        <w:spacing w:line="576" w:lineRule="exact"/>
        <w:ind w:left="630" w:leftChars="0"/>
        <w:textAlignment w:val="auto"/>
        <w:outlineLvl w:val="1"/>
        <w:rPr>
          <w:rStyle w:val="30"/>
          <w:rFonts w:hint="default" w:ascii="Times New Roman" w:hAnsi="Times New Roman" w:eastAsia="黑体" w:cs="Times New Roman"/>
          <w:b w:val="0"/>
          <w:color w:val="auto"/>
          <w:highlight w:val="none"/>
        </w:rPr>
      </w:pPr>
      <w:bookmarkStart w:id="89" w:name="_Toc22960"/>
      <w:bookmarkStart w:id="90" w:name="_Toc15396612"/>
      <w:bookmarkStart w:id="91" w:name="_Toc1591837624"/>
      <w:bookmarkStart w:id="92" w:name="_Toc15377221"/>
      <w:r>
        <w:rPr>
          <w:rStyle w:val="30"/>
          <w:rFonts w:hint="default" w:ascii="Times New Roman" w:hAnsi="Times New Roman" w:eastAsia="黑体" w:cs="Times New Roman"/>
          <w:b w:val="0"/>
          <w:color w:val="auto"/>
          <w:highlight w:val="none"/>
          <w:lang w:eastAsia="zh-CN"/>
        </w:rPr>
        <w:t>十、</w:t>
      </w:r>
      <w:r>
        <w:rPr>
          <w:rStyle w:val="30"/>
          <w:rFonts w:hint="default" w:ascii="Times New Roman" w:hAnsi="Times New Roman" w:eastAsia="黑体" w:cs="Times New Roman"/>
          <w:b w:val="0"/>
          <w:color w:val="auto"/>
          <w:highlight w:val="none"/>
        </w:rPr>
        <w:t>其他重要事项的情况说明</w:t>
      </w:r>
      <w:bookmarkEnd w:id="89"/>
      <w:bookmarkEnd w:id="90"/>
      <w:bookmarkEnd w:id="91"/>
      <w:bookmarkEnd w:id="92"/>
    </w:p>
    <w:p w14:paraId="41EF2CF8">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93" w:name="_Toc15377222"/>
      <w:r>
        <w:rPr>
          <w:rFonts w:hint="default" w:ascii="Times New Roman" w:hAnsi="Times New Roman" w:eastAsia="楷体_GB2312" w:cs="Times New Roman"/>
          <w:b/>
          <w:color w:val="auto"/>
          <w:sz w:val="32"/>
          <w:szCs w:val="32"/>
          <w:highlight w:val="none"/>
        </w:rPr>
        <w:t>（一）机关运行经费支出情况</w:t>
      </w:r>
      <w:bookmarkEnd w:id="93"/>
    </w:p>
    <w:p w14:paraId="629EFF35">
      <w:pPr>
        <w:pageBreakBefore w:val="0"/>
        <w:kinsoku/>
        <w:wordWrap/>
        <w:overflowPunct/>
        <w:topLinePunct w:val="0"/>
        <w:bidi w:val="0"/>
        <w:spacing w:line="576"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bookmarkStart w:id="94" w:name="_Toc15377223"/>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茂县教育局行政</w:t>
      </w:r>
      <w:r>
        <w:rPr>
          <w:rFonts w:hint="default" w:ascii="Times New Roman" w:hAnsi="Times New Roman" w:eastAsia="仿宋_GB2312" w:cs="Times New Roman"/>
          <w:color w:val="auto"/>
          <w:kern w:val="2"/>
          <w:sz w:val="32"/>
          <w:szCs w:val="32"/>
          <w:highlight w:val="none"/>
          <w:lang w:val="en-US" w:eastAsia="zh-CN" w:bidi="ar-SA"/>
        </w:rPr>
        <w:t>机关运行经费支出16.06万元，</w:t>
      </w:r>
      <w:r>
        <w:rPr>
          <w:rFonts w:hint="eastAsia" w:eastAsia="仿宋_GB2312" w:cs="Times New Roman"/>
          <w:color w:val="auto"/>
          <w:kern w:val="2"/>
          <w:sz w:val="32"/>
          <w:szCs w:val="32"/>
          <w:highlight w:val="none"/>
          <w:lang w:val="en-US" w:eastAsia="zh-CN" w:bidi="ar-SA"/>
        </w:rPr>
        <w:t>与上</w:t>
      </w:r>
      <w:r>
        <w:rPr>
          <w:rFonts w:hint="default" w:ascii="Times New Roman" w:hAnsi="Times New Roman" w:eastAsia="仿宋_GB2312" w:cs="Times New Roman"/>
          <w:color w:val="auto"/>
          <w:kern w:val="2"/>
          <w:sz w:val="32"/>
          <w:szCs w:val="32"/>
          <w:highlight w:val="none"/>
          <w:lang w:val="en-US" w:eastAsia="zh-CN" w:bidi="ar-SA"/>
        </w:rPr>
        <w:t>年度</w:t>
      </w:r>
      <w:r>
        <w:rPr>
          <w:rFonts w:hint="eastAsia" w:eastAsia="仿宋_GB2312" w:cs="Times New Roman"/>
          <w:color w:val="auto"/>
          <w:kern w:val="2"/>
          <w:sz w:val="32"/>
          <w:szCs w:val="32"/>
          <w:highlight w:val="none"/>
          <w:lang w:val="en-US" w:eastAsia="zh-CN" w:bidi="ar-SA"/>
        </w:rPr>
        <w:t>相比</w:t>
      </w:r>
      <w:r>
        <w:rPr>
          <w:rFonts w:hint="default" w:ascii="Times New Roman" w:hAnsi="Times New Roman" w:eastAsia="仿宋_GB2312" w:cs="Times New Roman"/>
          <w:color w:val="auto"/>
          <w:kern w:val="2"/>
          <w:sz w:val="32"/>
          <w:szCs w:val="32"/>
          <w:highlight w:val="none"/>
          <w:lang w:val="en-US" w:eastAsia="zh-CN" w:bidi="ar-SA"/>
        </w:rPr>
        <w:t>增加4.24万元，增长35.9%。</w:t>
      </w:r>
      <w:r>
        <w:rPr>
          <w:rFonts w:hint="default" w:ascii="Times New Roman" w:hAnsi="Times New Roman" w:eastAsia="仿宋_GB2312" w:cs="Times New Roman"/>
          <w:sz w:val="32"/>
          <w:szCs w:val="32"/>
        </w:rPr>
        <w:t>主要原因是</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en-US" w:eastAsia="zh-CN"/>
        </w:rPr>
        <w:t>办公费增加。</w:t>
      </w:r>
    </w:p>
    <w:p w14:paraId="0B3FC84A">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（二）政府采购支出情况</w:t>
      </w:r>
      <w:bookmarkEnd w:id="94"/>
    </w:p>
    <w:p w14:paraId="0A41D0BE">
      <w:pPr>
        <w:pageBreakBefore w:val="0"/>
        <w:kinsoku/>
        <w:wordWrap/>
        <w:overflowPunct/>
        <w:topLinePunct w:val="0"/>
        <w:bidi w:val="0"/>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2025年度，茂县教育部门政府采购支出总额3913.72万元，其中：政府采购货物支出1382.59万元、政府采购工程支出72万元、政府采购服务支出2459.13万元。</w:t>
      </w:r>
      <w:r>
        <w:rPr>
          <w:rFonts w:hint="default" w:ascii="Times New Roman" w:hAnsi="Times New Roman" w:eastAsia="仿宋_GB2312" w:cs="Times New Roman"/>
          <w:sz w:val="32"/>
          <w:szCs w:val="32"/>
        </w:rPr>
        <w:t>主要用于</w:t>
      </w:r>
      <w:r>
        <w:rPr>
          <w:rFonts w:hint="default" w:ascii="Times New Roman" w:hAnsi="Times New Roman" w:eastAsia="仿宋_GB2312" w:cs="Times New Roman"/>
          <w:bCs/>
          <w:sz w:val="32"/>
          <w:szCs w:val="32"/>
        </w:rPr>
        <w:t>学校校舍维修维护</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设备采购</w:t>
      </w:r>
      <w:r>
        <w:rPr>
          <w:rFonts w:hint="default" w:ascii="Times New Roman" w:hAnsi="Times New Roman" w:eastAsia="仿宋_GB2312" w:cs="Times New Roman"/>
          <w:bCs/>
          <w:sz w:val="32"/>
          <w:szCs w:val="32"/>
          <w:lang w:val="en-US" w:eastAsia="zh-CN"/>
        </w:rPr>
        <w:t>和各学校校园餐采购</w:t>
      </w:r>
      <w:r>
        <w:rPr>
          <w:rFonts w:hint="default" w:ascii="Times New Roman" w:hAnsi="Times New Roman" w:eastAsia="仿宋_GB2312" w:cs="Times New Roman"/>
          <w:color w:val="auto"/>
          <w:kern w:val="2"/>
          <w:sz w:val="32"/>
          <w:szCs w:val="32"/>
          <w:highlight w:val="none"/>
          <w:lang w:val="en-US" w:eastAsia="zh-CN" w:bidi="ar-SA"/>
        </w:rPr>
        <w:t>。</w:t>
      </w:r>
    </w:p>
    <w:p w14:paraId="7A1484E8">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95" w:name="_Toc15377224"/>
      <w:r>
        <w:rPr>
          <w:rFonts w:hint="default" w:ascii="Times New Roman" w:hAnsi="Times New Roman" w:eastAsia="楷体_GB2312" w:cs="Times New Roman"/>
          <w:b/>
          <w:color w:val="auto"/>
          <w:sz w:val="32"/>
          <w:szCs w:val="32"/>
          <w:highlight w:val="none"/>
        </w:rPr>
        <w:t>（三）国有资产占有使用情况</w:t>
      </w:r>
      <w:bookmarkEnd w:id="95"/>
    </w:p>
    <w:p w14:paraId="21D1EFCA">
      <w:pPr>
        <w:pageBreakBefore w:val="0"/>
        <w:kinsoku/>
        <w:wordWrap/>
        <w:overflowPunct/>
        <w:topLinePunct w:val="0"/>
        <w:autoSpaceDE w:val="0"/>
        <w:autoSpaceDN w:val="0"/>
        <w:bidi w:val="0"/>
        <w:adjustRightInd w:val="0"/>
        <w:spacing w:line="576"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截至</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w:t>
      </w:r>
      <w:r>
        <w:rPr>
          <w:rFonts w:hint="default" w:ascii="Times New Roman" w:hAnsi="Times New Roman" w:eastAsia="仿宋_GB2312" w:cs="Times New Roman"/>
          <w:color w:val="auto"/>
          <w:sz w:val="32"/>
          <w:szCs w:val="32"/>
          <w:highlight w:val="none"/>
        </w:rPr>
        <w:t>12月31日，</w:t>
      </w:r>
      <w:r>
        <w:rPr>
          <w:rFonts w:hint="default" w:ascii="Times New Roman" w:hAnsi="Times New Roman" w:eastAsia="仿宋_GB2312" w:cs="Times New Roman"/>
          <w:color w:val="auto"/>
          <w:kern w:val="2"/>
          <w:sz w:val="32"/>
          <w:szCs w:val="32"/>
          <w:highlight w:val="none"/>
          <w:lang w:val="en-US" w:eastAsia="zh-CN" w:bidi="ar-SA"/>
        </w:rPr>
        <w:t>茂县教育部门</w:t>
      </w:r>
      <w:r>
        <w:rPr>
          <w:rFonts w:hint="default" w:ascii="Times New Roman" w:hAnsi="Times New Roman" w:eastAsia="仿宋_GB2312" w:cs="Times New Roman"/>
          <w:color w:val="auto"/>
          <w:sz w:val="32"/>
          <w:szCs w:val="32"/>
          <w:highlight w:val="none"/>
        </w:rPr>
        <w:t>共有车辆</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辆，其中：主要领导干部用车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辆、机要通信用车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辆、应急保障用车</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辆、其他用车</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其他用车主要是用于</w:t>
      </w:r>
      <w:r>
        <w:rPr>
          <w:rFonts w:hint="default" w:ascii="Times New Roman" w:hAnsi="Times New Roman" w:eastAsia="仿宋_GB2312" w:cs="Times New Roman"/>
          <w:color w:val="auto"/>
          <w:sz w:val="32"/>
          <w:szCs w:val="32"/>
          <w:highlight w:val="none"/>
          <w:lang w:eastAsia="zh-CN"/>
        </w:rPr>
        <w:t>后勤与内务保障。</w:t>
      </w:r>
      <w:r>
        <w:rPr>
          <w:rFonts w:hint="default" w:ascii="Times New Roman" w:hAnsi="Times New Roman" w:eastAsia="仿宋_GB2312" w:cs="Times New Roman"/>
          <w:color w:val="auto"/>
          <w:sz w:val="32"/>
          <w:szCs w:val="32"/>
          <w:highlight w:val="none"/>
        </w:rPr>
        <w:t>单价50万元以上通用设备</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台（套），单价100万元以上专用设备</w:t>
      </w:r>
      <w:r>
        <w:rPr>
          <w:rFonts w:hint="default" w:ascii="Times New Roman" w:hAnsi="Times New Roman" w:eastAsia="仿宋_GB2312" w:cs="Times New Roman"/>
          <w:color w:val="auto"/>
          <w:sz w:val="32"/>
          <w:szCs w:val="32"/>
          <w:highlight w:val="none"/>
          <w:lang w:eastAsia="zh-CN"/>
        </w:rPr>
        <w:t>（不含车辆）</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台（套）。</w:t>
      </w:r>
    </w:p>
    <w:p w14:paraId="53E098A4">
      <w:pPr>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12143FAB">
      <w:pPr>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96" w:name="_Toc15377225"/>
      <w:bookmarkStart w:id="97" w:name="_Toc15396613"/>
      <w:r>
        <w:rPr>
          <w:rFonts w:hint="default" w:ascii="Times New Roman" w:hAnsi="Times New Roman" w:eastAsia="仿宋_GB2312" w:cs="Times New Roman"/>
          <w:color w:val="auto"/>
          <w:kern w:val="2"/>
          <w:sz w:val="32"/>
          <w:szCs w:val="32"/>
          <w:highlight w:val="none"/>
          <w:lang w:val="en-US" w:eastAsia="zh-CN" w:bidi="ar-SA"/>
        </w:rPr>
        <w:t>根据预算绩效管理要求，茂县教育部门在2025年度，组织对</w:t>
      </w:r>
      <w:r>
        <w:rPr>
          <w:rFonts w:hint="default" w:ascii="Times New Roman" w:hAnsi="Times New Roman" w:eastAsia="仿宋_GB2312" w:cs="Times New Roman"/>
          <w:sz w:val="32"/>
          <w:szCs w:val="32"/>
          <w:lang w:val="en-US" w:eastAsia="zh-CN"/>
        </w:rPr>
        <w:t>茂县中学4号学生宿舍楼建设项目</w:t>
      </w:r>
      <w:r>
        <w:rPr>
          <w:rFonts w:hint="default" w:ascii="Times New Roman" w:hAnsi="Times New Roman" w:eastAsia="仿宋_GB2312" w:cs="Times New Roman"/>
          <w:color w:val="auto"/>
          <w:kern w:val="2"/>
          <w:sz w:val="32"/>
          <w:szCs w:val="32"/>
          <w:highlight w:val="none"/>
          <w:lang w:val="en-US" w:eastAsia="zh-CN" w:bidi="ar-SA"/>
        </w:rPr>
        <w:t>等5个项目涉及金额2561.11万元开展了事前绩效评估，对5个项目编制了绩效目标，预算执行过程中，选取5个项目开展绩效监控。</w:t>
      </w:r>
      <w:r>
        <w:rPr>
          <w:rFonts w:hint="default" w:ascii="Times New Roman" w:hAnsi="Times New Roman" w:eastAsia="仿宋_GB2312" w:cs="Times New Roman"/>
          <w:color w:val="auto"/>
          <w:sz w:val="32"/>
          <w:szCs w:val="32"/>
          <w:highlight w:val="none"/>
          <w:lang w:eastAsia="zh-CN"/>
        </w:rPr>
        <w:t>组织对</w:t>
      </w:r>
      <w:r>
        <w:rPr>
          <w:rFonts w:hint="default" w:ascii="Times New Roman" w:hAnsi="Times New Roman" w:eastAsia="仿宋_GB2312" w:cs="Times New Roman"/>
          <w:color w:val="auto"/>
          <w:sz w:val="32"/>
          <w:szCs w:val="32"/>
          <w:highlight w:val="none"/>
          <w:lang w:val="en-US" w:eastAsia="zh-CN"/>
        </w:rPr>
        <w:t>5个项目开展绩效自评，绩效自评表详见第四部分附件。</w:t>
      </w:r>
    </w:p>
    <w:p w14:paraId="20A6214A">
      <w:pPr>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p>
    <w:p w14:paraId="3C6C261E">
      <w:pPr>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p>
    <w:p w14:paraId="0488DA31">
      <w:pPr>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p>
    <w:p w14:paraId="2007125B">
      <w:pPr>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p>
    <w:p w14:paraId="0F155100">
      <w:pPr>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p>
    <w:p w14:paraId="438FC5A3">
      <w:pPr>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p>
    <w:p w14:paraId="6786CAC5">
      <w:pPr>
        <w:rPr>
          <w:rFonts w:hint="default"/>
        </w:rPr>
      </w:pPr>
      <w:r>
        <w:rPr>
          <w:rFonts w:hint="default" w:ascii="Times New Roman" w:hAnsi="Times New Roman" w:eastAsia="黑体" w:cs="Times New Roman"/>
          <w:color w:val="auto"/>
          <w:sz w:val="44"/>
          <w:szCs w:val="44"/>
          <w:highlight w:val="none"/>
        </w:rPr>
        <w:br w:type="page"/>
      </w:r>
    </w:p>
    <w:p w14:paraId="268B0C04">
      <w:pPr>
        <w:keepNext w:val="0"/>
        <w:keepLines w:val="0"/>
        <w:pageBreakBefore w:val="0"/>
        <w:widowControl w:val="0"/>
        <w:numPr>
          <w:ilvl w:val="0"/>
          <w:numId w:val="0"/>
        </w:numPr>
        <w:kinsoku/>
        <w:wordWrap/>
        <w:overflowPunct/>
        <w:topLinePunct w:val="0"/>
        <w:bidi w:val="0"/>
        <w:snapToGrid/>
        <w:spacing w:line="576" w:lineRule="exact"/>
        <w:jc w:val="center"/>
        <w:textAlignment w:val="auto"/>
        <w:outlineLvl w:val="0"/>
        <w:rPr>
          <w:rFonts w:hint="default" w:ascii="Times New Roman" w:hAnsi="Times New Roman" w:eastAsia="黑体" w:cs="Times New Roman"/>
          <w:color w:val="auto"/>
          <w:sz w:val="44"/>
          <w:szCs w:val="44"/>
          <w:highlight w:val="none"/>
        </w:rPr>
      </w:pPr>
      <w:bookmarkStart w:id="98" w:name="_Toc25961"/>
      <w:bookmarkStart w:id="99" w:name="_Toc1757897354"/>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96"/>
      <w:bookmarkEnd w:id="97"/>
      <w:bookmarkEnd w:id="98"/>
      <w:bookmarkEnd w:id="99"/>
    </w:p>
    <w:p w14:paraId="7D3594F3">
      <w:pPr>
        <w:keepNext w:val="0"/>
        <w:keepLines w:val="0"/>
        <w:pageBreakBefore w:val="0"/>
        <w:widowControl w:val="0"/>
        <w:kinsoku/>
        <w:wordWrap/>
        <w:overflowPunct/>
        <w:topLinePunct w:val="0"/>
        <w:bidi w:val="0"/>
        <w:snapToGrid/>
        <w:spacing w:line="576" w:lineRule="exact"/>
        <w:jc w:val="left"/>
        <w:textAlignment w:val="auto"/>
        <w:rPr>
          <w:rFonts w:hint="default" w:ascii="Times New Roman" w:hAnsi="Times New Roman" w:cs="Times New Roman"/>
          <w:b/>
          <w:color w:val="auto"/>
          <w:sz w:val="44"/>
          <w:szCs w:val="44"/>
          <w:highlight w:val="none"/>
        </w:rPr>
      </w:pPr>
    </w:p>
    <w:p w14:paraId="05C08B24">
      <w:pPr>
        <w:pStyle w:val="27"/>
        <w:keepNext w:val="0"/>
        <w:keepLines w:val="0"/>
        <w:pageBreakBefore w:val="0"/>
        <w:widowControl w:val="0"/>
        <w:kinsoku/>
        <w:wordWrap/>
        <w:overflowPunct/>
        <w:topLinePunct w:val="0"/>
        <w:bidi w:val="0"/>
        <w:snapToGrid/>
        <w:spacing w:line="576" w:lineRule="exact"/>
        <w:ind w:firstLine="640" w:firstLineChars="200"/>
        <w:textAlignment w:val="auto"/>
        <w:outlineLvl w:val="9"/>
        <w:rPr>
          <w:rFonts w:hint="default" w:ascii="Times New Roman" w:hAnsi="Times New Roman" w:eastAsia="仿宋_GB2312" w:cs="Times New Roman"/>
          <w:b w:val="0"/>
          <w:bCs w:val="0"/>
          <w:color w:val="auto"/>
          <w:sz w:val="32"/>
          <w:szCs w:val="32"/>
        </w:rPr>
      </w:pPr>
      <w:bookmarkStart w:id="100" w:name="_Toc32027"/>
      <w:bookmarkStart w:id="101" w:name="_Toc1497300593"/>
      <w:bookmarkStart w:id="102" w:name="_Toc15377226"/>
      <w:r>
        <w:rPr>
          <w:rFonts w:hint="default" w:ascii="Times New Roman" w:hAnsi="Times New Roman" w:eastAsia="仿宋_GB2312" w:cs="Times New Roman"/>
          <w:b w:val="0"/>
          <w:bCs w:val="0"/>
          <w:color w:val="auto"/>
          <w:kern w:val="2"/>
          <w:sz w:val="32"/>
          <w:szCs w:val="32"/>
          <w:highlight w:val="none"/>
          <w:lang w:val="en-US" w:eastAsia="zh-CN" w:bidi="ar-SA"/>
        </w:rPr>
        <w:t>1</w:t>
      </w:r>
      <w:r>
        <w:rPr>
          <w:rFonts w:hint="eastAsia" w:ascii="Times New Roman" w:hAnsi="Times New Roman" w:eastAsia="仿宋_GB2312"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财政拨款收入：</w:t>
      </w:r>
      <w:r>
        <w:rPr>
          <w:rFonts w:hint="default" w:ascii="Times New Roman" w:hAnsi="Times New Roman" w:eastAsia="仿宋_GB2312" w:cs="Times New Roman"/>
          <w:b w:val="0"/>
          <w:bCs w:val="0"/>
          <w:color w:val="auto"/>
          <w:sz w:val="32"/>
          <w:szCs w:val="32"/>
        </w:rPr>
        <w:t>指单位从同级财政部门取得的财政预算资金。</w:t>
      </w:r>
      <w:bookmarkEnd w:id="100"/>
      <w:bookmarkEnd w:id="101"/>
    </w:p>
    <w:p w14:paraId="0CE2816A">
      <w:pPr>
        <w:pStyle w:val="27"/>
        <w:keepNext w:val="0"/>
        <w:keepLines w:val="0"/>
        <w:pageBreakBefore w:val="0"/>
        <w:widowControl w:val="0"/>
        <w:kinsoku/>
        <w:wordWrap/>
        <w:overflowPunct/>
        <w:topLinePunct w:val="0"/>
        <w:bidi w:val="0"/>
        <w:snapToGrid/>
        <w:spacing w:line="576"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kern w:val="2"/>
          <w:sz w:val="32"/>
          <w:szCs w:val="32"/>
          <w:highlight w:val="none"/>
          <w:lang w:val="en-US" w:eastAsia="zh-CN" w:bidi="ar-SA"/>
        </w:rPr>
        <w:t>2.事业收入：</w:t>
      </w:r>
      <w:r>
        <w:rPr>
          <w:rFonts w:hint="default" w:ascii="Times New Roman" w:hAnsi="Times New Roman" w:eastAsia="仿宋_GB2312" w:cs="Times New Roman"/>
          <w:b w:val="0"/>
          <w:bCs w:val="0"/>
          <w:color w:val="auto"/>
          <w:sz w:val="32"/>
          <w:szCs w:val="32"/>
        </w:rPr>
        <w:t>指事业单位开展专业业务活动及辅助活动取得的收入。</w:t>
      </w:r>
    </w:p>
    <w:p w14:paraId="19E7F330">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3.经营收入：指事业单位在专业业务活动及其辅助活动之外开展非独立核算经营活动取得的收入。</w:t>
      </w:r>
    </w:p>
    <w:p w14:paraId="01BCC286">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 xml:space="preserve">4.其他收入：指单位取得的除上述收入以外的各项收入。      </w:t>
      </w:r>
    </w:p>
    <w:p w14:paraId="5EE39D7C">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5.使用非财政拨款结余：指事业单位使用以前年度积累的非财政拨款结余弥补当年收支差额的金额。</w:t>
      </w:r>
    </w:p>
    <w:p w14:paraId="11F2A2CC">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6.年初结转和结余：指以前年度尚未完成、结转到本年按有关规定继续使用的资金。</w:t>
      </w:r>
    </w:p>
    <w:p w14:paraId="2AE39C16">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7.结余分配：指事业单位按照会计制度规定缴纳的所得税、提取的专用结余以及转入非财政拨款结余的金额等。</w:t>
      </w:r>
    </w:p>
    <w:p w14:paraId="47B3E06F">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8.年末结转和结余：指单位按有关规定结转到下年或以后年度继续使用的资金。</w:t>
      </w:r>
    </w:p>
    <w:p w14:paraId="7A68F7B3">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9.教育（类）教育管理事务（款）行政运行（项）：指反映行政单位（包括实行公务员管理的事业单位）的基本支出。</w:t>
      </w:r>
    </w:p>
    <w:p w14:paraId="4C897C23">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10.教育（类）普通教育（款）学前教育（项）：反映各部门举办的学前教育支出。政府各部门对社会组织等举办的幼儿园的资助，如捐赠，补贴等，也在本科目反映。</w:t>
      </w:r>
    </w:p>
    <w:p w14:paraId="2A3711C4">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11.教育（类）普通教育（款）小学教育（项）：反映各部门举办的小学教育支出。政府各部门对社会组织等举办的幼儿园的资助，如捐赠，补贴等，也在本科目反映。</w:t>
      </w:r>
    </w:p>
    <w:p w14:paraId="734FADD8">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12.教育（类）普通教育（款）初中教育（项）：反映各部门举办的初中教育支出。政府各部门对社会组织等举办的幼儿园的资助，如捐赠，补贴等，也在本科目反映。</w:t>
      </w:r>
    </w:p>
    <w:p w14:paraId="54C5CE25">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13.教育（类）普通教育（款）高中教育（项）：反映各部门举办的高中教育支出。政府各部门对社会组织等举办的幼儿园的资助，如捐赠，补贴等，也在本科目反映。</w:t>
      </w:r>
    </w:p>
    <w:p w14:paraId="6222E12F">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14.教育（类）普通教育（款）高等教育（项）：反映各部门举办的普通本科（包括研究生）教育支出。政府各部门对社会组织等举办的普通本科高等院校（包括研究生）的资助，如捐赠，补贴等，也在本科目反映。</w:t>
      </w:r>
    </w:p>
    <w:p w14:paraId="3844FB5C">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15.教育（类）普通教育（款）其他普通教育支出（项）：反映除上述项目以外其他用于普通教育方面的支出。</w:t>
      </w:r>
    </w:p>
    <w:p w14:paraId="78B1005C">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16.教育（类）职业教育（款）中等职业教育（项）：反映各部门（不含人力资源社会保障部门）举办的中等职业教育支出。政府各部门对社会组织等举办的幼儿园的资助，如捐赠，补贴等，也在本科目反映。</w:t>
      </w:r>
    </w:p>
    <w:p w14:paraId="142667E2">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17.教育（类）进修及培训（款）教师进修（项）：反映教师进修、师资培训支出。</w:t>
      </w:r>
    </w:p>
    <w:p w14:paraId="4997359E">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18.教育（类）教育费附加安排的支出（款）其他教育费附加安排的支出（项）：反映除上述项目以外教育费附加支出。</w:t>
      </w:r>
    </w:p>
    <w:p w14:paraId="48E27FF5">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19.教育（类）其他教育支出（款）其他教育支出（项）：反映除上述项目以外教育方面支出。</w:t>
      </w:r>
    </w:p>
    <w:p w14:paraId="3629C002">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20.教育（类）教育管理事务（款）其他教育管理事务支出（项）：反映除上述项目以外其他用于教育管理事务方面的支出。</w:t>
      </w:r>
    </w:p>
    <w:p w14:paraId="06C532C4">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21.社会保障和就业（类）行政单位离退休（款）机关事业单位基本养老保险缴费支出（项）：反映机关事业单位实施养老保险制度由单位缴纳的基本养老保险费支出。</w:t>
      </w:r>
    </w:p>
    <w:p w14:paraId="59EC0627">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22.社会保障和就业（类）行政单位离退休（款）机关事业单位职业年金缴费支出（项）：反映机关事业单位实施养老保险制度由单位缴纳的职业年金费支出。</w:t>
      </w:r>
    </w:p>
    <w:p w14:paraId="6F76AE86">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23.医疗卫生与计划生育（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6DB76CBC">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24.医疗卫生与计划生育（类）行政事业单位医疗（款）事业单位医疗（项）：反映财政部门安排的事业单位基本医疗保险缴费经费，未参加医疗保险的行政单位的公费医疗经费，按国家规定享受离休人员待遇人员的医疗经费。</w:t>
      </w:r>
    </w:p>
    <w:p w14:paraId="62886DB2">
      <w:pPr>
        <w:pStyle w:val="27"/>
        <w:pageBreakBefore w:val="0"/>
        <w:kinsoku/>
        <w:wordWrap/>
        <w:overflowPunct/>
        <w:topLinePunct w:val="0"/>
        <w:bidi w:val="0"/>
        <w:spacing w:line="576" w:lineRule="exact"/>
        <w:ind w:firstLine="640" w:firstLineChars="200"/>
        <w:rPr>
          <w:rStyle w:val="19"/>
          <w:rFonts w:hint="default" w:ascii="Times New Roman" w:hAnsi="Times New Roman" w:eastAsia="仿宋_GB2312" w:cs="Times New Roman"/>
          <w:b w:val="0"/>
          <w:bCs w:val="0"/>
          <w:color w:val="auto"/>
          <w:sz w:val="32"/>
          <w:szCs w:val="32"/>
        </w:rPr>
      </w:pPr>
      <w:r>
        <w:rPr>
          <w:rStyle w:val="19"/>
          <w:rFonts w:hint="default" w:ascii="Times New Roman" w:hAnsi="Times New Roman" w:eastAsia="仿宋_GB2312" w:cs="Times New Roman"/>
          <w:b w:val="0"/>
          <w:bCs w:val="0"/>
          <w:color w:val="auto"/>
          <w:kern w:val="2"/>
          <w:sz w:val="32"/>
          <w:szCs w:val="32"/>
        </w:rPr>
        <w:t>25.</w:t>
      </w:r>
      <w:r>
        <w:rPr>
          <w:rFonts w:hint="default" w:ascii="Times New Roman" w:hAnsi="Times New Roman" w:eastAsia="仿宋_GB2312" w:cs="Times New Roman"/>
          <w:b w:val="0"/>
          <w:bCs w:val="0"/>
          <w:color w:val="auto"/>
          <w:sz w:val="32"/>
          <w:szCs w:val="32"/>
        </w:rPr>
        <w:t>卫生健康支出（类）公共卫生（款）重大公共服务（项）：反映重大疾病、重大传染病预防控制重大公共卫生服务项目支出。</w:t>
      </w:r>
    </w:p>
    <w:p w14:paraId="4BF2110B">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26.农林水支出（类）扶贫（款）社会发展（项）：反映用于农村贫困地区中小学教育教育、文化、广播、电视、医疗，卫生等方面的项目支出。</w:t>
      </w:r>
    </w:p>
    <w:p w14:paraId="5A4C6F54">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 xml:space="preserve">27.农林水支出（类）扶贫（款）其他扶贫支出（项）：反映除上述项目以外其他用于扶贫方面的支出。 </w:t>
      </w:r>
    </w:p>
    <w:p w14:paraId="05025C5E">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28.住房保障支出（类）住房改革支出（款）住房公积金（项）：反映行政事业单位按人力资源和社会保障部、财政部规定的基本工资和津贴补贴以及规定比例为职工缴纳的住房公积金。</w:t>
      </w:r>
    </w:p>
    <w:p w14:paraId="13F4B044">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29.住房保障支出（类）住房改革支出（款）购房补贴（项）：反映按房改政策规定，行政事业单位向符合条件职工（含离退休人员）、军队（含武警）向转役复原离退休人员发放孙伟用于购买住房的补贴。</w:t>
      </w:r>
    </w:p>
    <w:p w14:paraId="6ABE9999">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30.基本支出：指为保障机构正常运转、完成日常工作任务而发生的人员支出和公用支出。</w:t>
      </w:r>
    </w:p>
    <w:p w14:paraId="462D9F4C">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31.项目支出：指在基本支出之外为完成特定行政任务和事业发展目标所发生的支出。</w:t>
      </w:r>
    </w:p>
    <w:p w14:paraId="445E1F9A">
      <w:pPr>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32.经营支出：指事业单位在专业业务活动及其辅助活动之外开展非独立核算经营活动发生的支出。</w:t>
      </w:r>
    </w:p>
    <w:p w14:paraId="164F4249">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33.</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三公</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经费</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C49770A">
      <w:pPr>
        <w:pStyle w:val="27"/>
        <w:pageBreakBefore w:val="0"/>
        <w:kinsoku/>
        <w:wordWrap/>
        <w:overflowPunct/>
        <w:topLinePunct w:val="0"/>
        <w:bidi w:val="0"/>
        <w:spacing w:line="576"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34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7B555F4">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0"/>
        <w:rPr>
          <w:rStyle w:val="29"/>
          <w:rFonts w:hint="default" w:ascii="Times New Roman" w:hAnsi="Times New Roman" w:eastAsia="黑体" w:cs="Times New Roman"/>
          <w:b w:val="0"/>
          <w:color w:val="auto"/>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br w:type="page"/>
      </w:r>
      <w:bookmarkStart w:id="103" w:name="_Toc166137752"/>
      <w:bookmarkStart w:id="104" w:name="_Toc15396614"/>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103"/>
      <w:bookmarkEnd w:id="104"/>
    </w:p>
    <w:p w14:paraId="428BB872">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FF0000"/>
          <w:sz w:val="32"/>
          <w:szCs w:val="32"/>
          <w:highlight w:val="none"/>
        </w:rPr>
      </w:pPr>
    </w:p>
    <w:p w14:paraId="0741C984">
      <w:pPr>
        <w:keepNext w:val="0"/>
        <w:keepLines w:val="0"/>
        <w:pageBreakBefore w:val="0"/>
        <w:widowControl w:val="0"/>
        <w:kinsoku/>
        <w:wordWrap/>
        <w:overflowPunct/>
        <w:topLinePunct w:val="0"/>
        <w:autoSpaceDE/>
        <w:autoSpaceDN/>
        <w:bidi w:val="0"/>
        <w:adjustRightInd/>
        <w:snapToGrid/>
        <w:spacing w:line="576" w:lineRule="exact"/>
        <w:jc w:val="left"/>
        <w:textAlignment w:val="auto"/>
        <w:outlineLvl w:val="9"/>
        <w:rPr>
          <w:rFonts w:hint="default" w:ascii="Times New Roman" w:hAnsi="Times New Roman" w:eastAsia="黑体" w:cs="Times New Roman"/>
          <w:color w:val="auto"/>
          <w:sz w:val="44"/>
          <w:szCs w:val="44"/>
          <w:highlight w:val="none"/>
          <w:lang w:val="en-US" w:eastAsia="zh-CN"/>
        </w:rPr>
      </w:pPr>
      <w:bookmarkStart w:id="105" w:name="_Toc24492"/>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105"/>
    </w:p>
    <w:p w14:paraId="6F28869E">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910C29C">
      <w:pPr>
        <w:keepNext w:val="0"/>
        <w:keepLines w:val="0"/>
        <w:pageBreakBefore w:val="0"/>
        <w:widowControl/>
        <w:kinsoku/>
        <w:wordWrap/>
        <w:overflowPunct/>
        <w:topLinePunct w:val="0"/>
        <w:autoSpaceDE/>
        <w:autoSpaceDN/>
        <w:bidi w:val="0"/>
        <w:spacing w:line="576"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A30FDE4">
      <w:pPr>
        <w:keepNext w:val="0"/>
        <w:keepLines w:val="0"/>
        <w:pageBreakBefore w:val="0"/>
        <w:widowControl/>
        <w:kinsoku/>
        <w:wordWrap/>
        <w:overflowPunct/>
        <w:topLinePunct w:val="0"/>
        <w:autoSpaceDE/>
        <w:autoSpaceDN/>
        <w:bidi w:val="0"/>
        <w:adjustRightInd w:val="0"/>
        <w:snapToGrid w:val="0"/>
        <w:spacing w:line="576"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796168C2">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7FB13C7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val="0"/>
          <w:color w:val="auto"/>
          <w:sz w:val="32"/>
          <w:szCs w:val="32"/>
          <w:highlight w:val="none"/>
          <w:lang w:val="zh-CN"/>
        </w:rPr>
      </w:pPr>
      <w:r>
        <w:rPr>
          <w:rFonts w:hint="default" w:ascii="Times New Roman" w:hAnsi="Times New Roman" w:eastAsia="楷体_GB2312" w:cs="Times New Roman"/>
          <w:b/>
          <w:bCs w:val="0"/>
          <w:color w:val="auto"/>
          <w:sz w:val="32"/>
          <w:szCs w:val="32"/>
          <w:highlight w:val="none"/>
          <w:lang w:val="zh-CN"/>
        </w:rPr>
        <w:t>（一）机构组成</w:t>
      </w:r>
    </w:p>
    <w:p w14:paraId="4524243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 xml:space="preserve">茂县教育局内设15个股室及下属单位14个，其中下属单位： </w:t>
      </w:r>
    </w:p>
    <w:p w14:paraId="5D731C4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1.茂县教师进修</w:t>
      </w:r>
      <w:r>
        <w:rPr>
          <w:rFonts w:hint="eastAsia" w:eastAsia="仿宋_GB2312" w:cs="Times New Roman"/>
          <w:color w:val="auto"/>
          <w:kern w:val="2"/>
          <w:sz w:val="32"/>
          <w:szCs w:val="32"/>
          <w:highlight w:val="none"/>
          <w:lang w:val="zh-CN" w:eastAsia="zh-CN" w:bidi="ar-SA"/>
        </w:rPr>
        <w:t>学</w:t>
      </w:r>
      <w:r>
        <w:rPr>
          <w:rFonts w:hint="default" w:ascii="Times New Roman" w:hAnsi="Times New Roman" w:eastAsia="仿宋_GB2312" w:cs="Times New Roman"/>
          <w:color w:val="auto"/>
          <w:kern w:val="2"/>
          <w:sz w:val="32"/>
          <w:szCs w:val="32"/>
          <w:highlight w:val="none"/>
          <w:lang w:val="zh-CN" w:eastAsia="zh-CN" w:bidi="ar-SA"/>
        </w:rPr>
        <w:t>校</w:t>
      </w:r>
    </w:p>
    <w:p w14:paraId="01C924A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2.茂县南新镇光华小学校</w:t>
      </w:r>
    </w:p>
    <w:p w14:paraId="2D2D2C5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3.茂县七一富顺镇小学校</w:t>
      </w:r>
    </w:p>
    <w:p w14:paraId="45E0EE2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4.茂县同心幼儿园</w:t>
      </w:r>
    </w:p>
    <w:p w14:paraId="64CB6B5A">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5.茂县凤仪小学校</w:t>
      </w:r>
    </w:p>
    <w:p w14:paraId="6044C1F4">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6.茂县凤仪镇小学校</w:t>
      </w:r>
    </w:p>
    <w:p w14:paraId="5415F91F">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7.茂县八一中学</w:t>
      </w:r>
    </w:p>
    <w:p w14:paraId="0605D602">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8.茂县七一民族中学</w:t>
      </w:r>
    </w:p>
    <w:p w14:paraId="1C525EC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9.茂县中学</w:t>
      </w:r>
    </w:p>
    <w:p w14:paraId="32D3EA3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10.茂县河西小学</w:t>
      </w:r>
      <w:r>
        <w:rPr>
          <w:rFonts w:hint="eastAsia" w:eastAsia="仿宋_GB2312" w:cs="Times New Roman"/>
          <w:color w:val="auto"/>
          <w:kern w:val="2"/>
          <w:sz w:val="32"/>
          <w:szCs w:val="32"/>
          <w:highlight w:val="none"/>
          <w:lang w:val="zh-CN" w:eastAsia="zh-CN" w:bidi="ar-SA"/>
        </w:rPr>
        <w:t>校</w:t>
      </w:r>
    </w:p>
    <w:p w14:paraId="52C90DC7">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11.茂县蓝天幼儿园</w:t>
      </w:r>
    </w:p>
    <w:p w14:paraId="0A59628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12.茂县凤仪镇幼儿园</w:t>
      </w:r>
    </w:p>
    <w:p w14:paraId="22C36A7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13.茂县城南幼儿园</w:t>
      </w:r>
    </w:p>
    <w:p w14:paraId="43D4DCC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14.茂县凤仪镇兴茂小学</w:t>
      </w:r>
      <w:r>
        <w:rPr>
          <w:rFonts w:hint="eastAsia" w:eastAsia="仿宋_GB2312" w:cs="Times New Roman"/>
          <w:color w:val="auto"/>
          <w:kern w:val="2"/>
          <w:sz w:val="32"/>
          <w:szCs w:val="32"/>
          <w:highlight w:val="none"/>
          <w:lang w:val="zh-CN" w:eastAsia="zh-CN" w:bidi="ar-SA"/>
        </w:rPr>
        <w:t>校</w:t>
      </w:r>
    </w:p>
    <w:p w14:paraId="46798BAF">
      <w:pPr>
        <w:pStyle w:val="36"/>
        <w:pageBreakBefore w:val="0"/>
        <w:kinsoku/>
        <w:wordWrap/>
        <w:overflowPunct/>
        <w:topLinePunct w:val="0"/>
        <w:bidi w:val="0"/>
        <w:spacing w:line="576" w:lineRule="exact"/>
        <w:ind w:firstLine="560"/>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（二）机构职能</w:t>
      </w:r>
    </w:p>
    <w:p w14:paraId="61849F10">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1.贯彻执行国家和省有关教育工作的法律法规和方针政策，拟订教育工作规范性文件并组织实施。</w:t>
      </w:r>
    </w:p>
    <w:p w14:paraId="74D87726">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2.拟订教育事业发展规划，提出教育改革发展的目标和任务，并协调指导实施，指导各级各类学校的教育教学改革和中小学布局结构调整，负责全县教育事业基本信息的统计、分析和发布，指导教育信息化工作。</w:t>
      </w:r>
    </w:p>
    <w:p w14:paraId="1D656CF8">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会同有关部门拟订筹措教育经费、教育拨款、教育基建投资、教育收费管理的规定，负责全县教育经费的统筹管理，监督全县教育经费的管理和使用情况，组织学校的基本建设，指导学校的财务管理,指导国（境）内外教育援助、教育贷款和教育合作项目执行。</w:t>
      </w:r>
    </w:p>
    <w:p w14:paraId="20171404">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负责全县义务教育的宏观指导和协调，推进全县义务教育均衡发展和促进教育公平，指导普通高中教育、职业教育、学前教育、特殊教育和成人教育工作，指导学校开展教育教学改革和办学体制、学校内部管理体制改革；负责全县各类教育招生考试工作，指导、协调全县民办教育管理工作，组织实施藏区</w:t>
      </w:r>
      <w:r>
        <w:rPr>
          <w:rFonts w:hint="eastAsia" w:ascii="Times New Roman" w:hAnsi="Times New Roman"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9+3</w:t>
      </w:r>
      <w:r>
        <w:rPr>
          <w:rFonts w:hint="eastAsia" w:ascii="Times New Roman" w:hAnsi="Times New Roman"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免费中等职业教育。</w:t>
      </w:r>
    </w:p>
    <w:p w14:paraId="0B192ECC">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5.指导民族教育工作，负责组织和协调</w:t>
      </w:r>
      <w:r>
        <w:rPr>
          <w:rFonts w:hint="eastAsia" w:ascii="Times New Roman" w:hAnsi="Times New Roman"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民族地区教育发展十年行动计划</w:t>
      </w:r>
      <w:r>
        <w:rPr>
          <w:rFonts w:hint="eastAsia" w:ascii="Times New Roman" w:hAnsi="Times New Roman"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工作。统筹规划和指导民族寄宿制标准（规范）化建设和双语教学发展规划，指导民族寄宿制和双语教学的管理以及民族团结教育工作。</w:t>
      </w:r>
    </w:p>
    <w:p w14:paraId="4520623F">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6.规划、指导和协调全县教育系统的科研、科普、教育教学研究工作和教科研成果的应用和推广。指导各类学校教育技术装备和实验室、图书馆建设、教育信息化工作，指导学校后勤工作，组织审定教材和教学用书及资料，负责全县教育事业单位政府采购及监管工作。</w:t>
      </w:r>
    </w:p>
    <w:p w14:paraId="2DA91E98">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7.综合指导全县教育督导工作，依法组织教育执法，督导、检查乡镇人民政府及各行政部门履行教育职责情况，对中等以下教育、扫除青壮年文盲工作进行督导检查和评估验收，指导基础教育发展水平和质量的监测工作。</w:t>
      </w:r>
    </w:p>
    <w:p w14:paraId="061D3207">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8.指导全县各级各类学校的思想政治、德育、体育卫生与艺术教育、国防教育和宣传工作，指导学校的安全、稳定、保卫和综合治理工作，指导教育系统审计工作，会同有关部门加强学校领导班子建设。</w:t>
      </w:r>
    </w:p>
    <w:p w14:paraId="63EB7580">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9.主管全县教师工作，组织实施教师资格制度，组织并指导中小学教师专业技术职务资格评审推荐工作，指导学校人事制度改革，指导各类学校教师和教育行政干部队伍建设工作，指导全县教育系统党建和统战工作。</w:t>
      </w:r>
    </w:p>
    <w:p w14:paraId="6C02A1F8">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10.主管全县国家通用语言推广、文字规范、普通话师资培训和本地民族语言文字教学工作。</w:t>
      </w:r>
    </w:p>
    <w:p w14:paraId="70D4546A">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11.负责全县普通高校、普通高中、中专、成人招生和高等自学考试政策的宣传贯彻和组织实施。</w:t>
      </w:r>
    </w:p>
    <w:p w14:paraId="45A6CCEA">
      <w:pPr>
        <w:pStyle w:val="36"/>
        <w:pageBreakBefore w:val="0"/>
        <w:kinsoku/>
        <w:wordWrap/>
        <w:overflowPunct/>
        <w:topLinePunct w:val="0"/>
        <w:bidi w:val="0"/>
        <w:spacing w:line="576" w:lineRule="exact"/>
        <w:ind w:firstLine="560"/>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12.承担县政府公布的有关行政审批事项。</w:t>
      </w:r>
    </w:p>
    <w:p w14:paraId="69EC000E">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13.承办县政府交办的其他事项。</w:t>
      </w:r>
    </w:p>
    <w:p w14:paraId="3FA45B9C">
      <w:pPr>
        <w:pStyle w:val="36"/>
        <w:pageBreakBefore w:val="0"/>
        <w:kinsoku/>
        <w:wordWrap/>
        <w:overflowPunct/>
        <w:topLinePunct w:val="0"/>
        <w:bidi w:val="0"/>
        <w:spacing w:line="576" w:lineRule="exact"/>
        <w:ind w:firstLine="560"/>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（三）人员概况</w:t>
      </w:r>
    </w:p>
    <w:p w14:paraId="30EA3CFA">
      <w:pPr>
        <w:pStyle w:val="36"/>
        <w:keepNext w:val="0"/>
        <w:keepLines w:val="0"/>
        <w:pageBreakBefore w:val="0"/>
        <w:widowControl/>
        <w:kinsoku/>
        <w:wordWrap/>
        <w:overflowPunct/>
        <w:topLinePunct w:val="0"/>
        <w:autoSpaceDE/>
        <w:autoSpaceDN/>
        <w:bidi w:val="0"/>
        <w:adjustRightInd/>
        <w:snapToGrid/>
        <w:spacing w:line="576" w:lineRule="exact"/>
        <w:ind w:firstLine="56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zh-CN" w:eastAsia="zh-CN" w:bidi="ar-SA"/>
        </w:rPr>
        <w:t>截至2025年末，茂县教育局及下属单位编制</w:t>
      </w:r>
      <w:r>
        <w:rPr>
          <w:rFonts w:hint="default" w:ascii="Times New Roman" w:hAnsi="Times New Roman" w:eastAsia="仿宋_GB2312" w:cs="Times New Roman"/>
          <w:color w:val="auto"/>
          <w:kern w:val="2"/>
          <w:sz w:val="32"/>
          <w:szCs w:val="32"/>
          <w:highlight w:val="none"/>
          <w:lang w:val="en-US" w:eastAsia="zh-CN" w:bidi="ar-SA"/>
        </w:rPr>
        <w:t>数</w:t>
      </w:r>
      <w:r>
        <w:rPr>
          <w:rFonts w:hint="default" w:ascii="Times New Roman" w:hAnsi="Times New Roman" w:eastAsia="仿宋_GB2312" w:cs="Times New Roman"/>
          <w:color w:val="auto"/>
          <w:kern w:val="2"/>
          <w:sz w:val="32"/>
          <w:szCs w:val="32"/>
          <w:highlight w:val="none"/>
          <w:lang w:val="zh-CN" w:eastAsia="zh-CN" w:bidi="ar-SA"/>
        </w:rPr>
        <w:t>1325人及年末实有人数13</w:t>
      </w:r>
      <w:r>
        <w:rPr>
          <w:rFonts w:hint="eastAsia" w:eastAsia="仿宋_GB2312" w:cs="Times New Roman"/>
          <w:color w:val="auto"/>
          <w:kern w:val="2"/>
          <w:sz w:val="32"/>
          <w:szCs w:val="32"/>
          <w:highlight w:val="none"/>
          <w:lang w:val="en-US" w:eastAsia="zh-CN" w:bidi="ar-SA"/>
        </w:rPr>
        <w:t>14</w:t>
      </w:r>
      <w:r>
        <w:rPr>
          <w:rFonts w:hint="default" w:ascii="Times New Roman" w:hAnsi="Times New Roman" w:eastAsia="仿宋_GB2312" w:cs="Times New Roman"/>
          <w:color w:val="auto"/>
          <w:kern w:val="2"/>
          <w:sz w:val="32"/>
          <w:szCs w:val="32"/>
          <w:highlight w:val="none"/>
          <w:lang w:val="zh-CN" w:eastAsia="zh-CN" w:bidi="ar-SA"/>
        </w:rPr>
        <w:t>人。</w:t>
      </w:r>
    </w:p>
    <w:p w14:paraId="6686F39E">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053697FA">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bookmarkStart w:id="106" w:name="_Toc8589"/>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14:paraId="538C46FC">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仿宋_GB2312" w:hAnsi="仿宋_GB2312" w:eastAsia="仿宋_GB2312" w:cs="仿宋_GB2312"/>
          <w:b w:val="0"/>
          <w:bCs/>
          <w:sz w:val="32"/>
          <w:szCs w:val="32"/>
          <w:lang w:val="en-US" w:eastAsia="zh-CN"/>
        </w:rPr>
      </w:pPr>
      <w:r>
        <w:rPr>
          <w:rFonts w:hint="default" w:ascii="Times New Roman" w:hAnsi="Times New Roman" w:eastAsia="仿宋_GB2312" w:cs="Times New Roman"/>
          <w:bCs/>
          <w:sz w:val="32"/>
          <w:szCs w:val="32"/>
          <w:lang w:eastAsia="zh-CN"/>
        </w:rPr>
        <w:t>2025年年初预算收入本年收入合计</w:t>
      </w:r>
      <w:r>
        <w:rPr>
          <w:rFonts w:hint="eastAsia" w:eastAsia="仿宋_GB2312" w:cs="Times New Roman"/>
          <w:bCs/>
          <w:sz w:val="32"/>
          <w:szCs w:val="32"/>
          <w:lang w:val="en-US" w:eastAsia="zh-CN"/>
        </w:rPr>
        <w:t>22141.1</w:t>
      </w:r>
      <w:r>
        <w:rPr>
          <w:rFonts w:hint="default" w:ascii="Times New Roman" w:hAnsi="Times New Roman" w:eastAsia="仿宋_GB2312" w:cs="Times New Roman"/>
          <w:bCs/>
          <w:sz w:val="32"/>
          <w:szCs w:val="32"/>
          <w:lang w:eastAsia="zh-CN"/>
        </w:rPr>
        <w:t>万元，其中：一般公共预算财政拨款收入</w:t>
      </w:r>
      <w:r>
        <w:rPr>
          <w:rFonts w:hint="eastAsia" w:eastAsia="仿宋_GB2312" w:cs="Times New Roman"/>
          <w:bCs/>
          <w:sz w:val="32"/>
          <w:szCs w:val="32"/>
          <w:lang w:val="en-US" w:eastAsia="zh-CN"/>
        </w:rPr>
        <w:t>22141.1</w:t>
      </w:r>
      <w:r>
        <w:rPr>
          <w:rFonts w:hint="default" w:ascii="Times New Roman" w:hAnsi="Times New Roman" w:eastAsia="仿宋_GB2312" w:cs="Times New Roman"/>
          <w:bCs/>
          <w:sz w:val="32"/>
          <w:szCs w:val="32"/>
          <w:lang w:eastAsia="zh-CN"/>
        </w:rPr>
        <w:t>万元，占</w:t>
      </w:r>
      <w:r>
        <w:rPr>
          <w:rFonts w:hint="default" w:ascii="Times New Roman" w:hAnsi="Times New Roman" w:eastAsia="仿宋_GB2312" w:cs="Times New Roman"/>
          <w:bCs/>
          <w:sz w:val="32"/>
          <w:szCs w:val="32"/>
          <w:lang w:val="en-US" w:eastAsia="zh-CN"/>
        </w:rPr>
        <w:t>100</w:t>
      </w:r>
      <w:r>
        <w:rPr>
          <w:rFonts w:hint="default" w:ascii="Times New Roman" w:hAnsi="Times New Roman" w:eastAsia="仿宋_GB2312" w:cs="Times New Roman"/>
          <w:bCs/>
          <w:sz w:val="32"/>
          <w:szCs w:val="32"/>
          <w:lang w:eastAsia="zh-CN"/>
        </w:rPr>
        <w:t>%</w:t>
      </w:r>
      <w:r>
        <w:rPr>
          <w:rFonts w:hint="eastAsia" w:eastAsia="仿宋_GB2312" w:cs="Times New Roman"/>
          <w:bCs/>
          <w:sz w:val="32"/>
          <w:szCs w:val="32"/>
          <w:lang w:eastAsia="zh-CN"/>
        </w:rPr>
        <w:t>。</w:t>
      </w:r>
      <w:r>
        <w:rPr>
          <w:rFonts w:hint="default" w:ascii="Times New Roman" w:hAnsi="Times New Roman" w:eastAsia="仿宋_GB2312" w:cs="Times New Roman"/>
          <w:sz w:val="32"/>
          <w:szCs w:val="32"/>
          <w:lang w:val="en-US" w:eastAsia="zh-CN"/>
        </w:rPr>
        <w:t>决算报表收入</w:t>
      </w:r>
      <w:r>
        <w:rPr>
          <w:rFonts w:hint="default" w:ascii="Times New Roman" w:hAnsi="Times New Roman" w:eastAsia="仿宋_GB2312" w:cs="Times New Roman"/>
          <w:color w:val="auto"/>
          <w:sz w:val="32"/>
          <w:szCs w:val="32"/>
          <w:highlight w:val="none"/>
          <w:lang w:eastAsia="zh-CN"/>
        </w:rPr>
        <w:t>合计</w:t>
      </w:r>
      <w:r>
        <w:rPr>
          <w:rFonts w:hint="eastAsia" w:ascii="Times New Roman" w:hAnsi="Times New Roman" w:eastAsia="仿宋_GB2312" w:cs="Times New Roman"/>
          <w:b w:val="0"/>
          <w:bCs/>
          <w:kern w:val="2"/>
          <w:sz w:val="32"/>
          <w:szCs w:val="32"/>
          <w:lang w:val="en-US" w:eastAsia="zh-CN" w:bidi="ar-SA"/>
        </w:rPr>
        <w:t>45692</w:t>
      </w:r>
      <w:r>
        <w:rPr>
          <w:rFonts w:hint="eastAsia"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color w:val="auto"/>
          <w:kern w:val="2"/>
          <w:sz w:val="32"/>
          <w:szCs w:val="32"/>
          <w:highlight w:val="none"/>
          <w:lang w:val="zh-CN" w:eastAsia="zh-CN" w:bidi="ar-SA"/>
        </w:rPr>
        <w:t>44669.07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highlight w:val="none"/>
          <w:lang w:val="en-US" w:eastAsia="zh-CN"/>
        </w:rPr>
        <w:t>9</w:t>
      </w:r>
      <w:r>
        <w:rPr>
          <w:rFonts w:hint="eastAsia" w:eastAsia="仿宋_GB2312" w:cs="Times New Roman"/>
          <w:color w:val="auto"/>
          <w:sz w:val="32"/>
          <w:szCs w:val="32"/>
          <w:highlight w:val="none"/>
          <w:lang w:val="en-US" w:eastAsia="zh-CN"/>
        </w:rPr>
        <w:t>7.76</w:t>
      </w:r>
      <w:r>
        <w:rPr>
          <w:rFonts w:hint="default" w:ascii="Times New Roman" w:hAnsi="Times New Roman" w:eastAsia="仿宋_GB2312" w:cs="Times New Roman"/>
          <w:color w:val="auto"/>
          <w:sz w:val="32"/>
          <w:szCs w:val="32"/>
          <w:highlight w:val="none"/>
          <w:lang w:eastAsia="zh-CN"/>
        </w:rPr>
        <w:t>%；</w:t>
      </w:r>
      <w:bookmarkEnd w:id="106"/>
      <w:r>
        <w:rPr>
          <w:rFonts w:hint="default" w:ascii="Times New Roman" w:hAnsi="Times New Roman" w:eastAsia="仿宋_GB2312" w:cs="Times New Roman"/>
          <w:color w:val="auto"/>
          <w:kern w:val="2"/>
          <w:sz w:val="32"/>
          <w:szCs w:val="32"/>
          <w:highlight w:val="none"/>
          <w:lang w:val="zh-CN" w:eastAsia="zh-CN" w:bidi="ar-SA"/>
        </w:rPr>
        <w:t>政府性基金预算财政拨款收入6万元</w:t>
      </w:r>
      <w:r>
        <w:rPr>
          <w:rFonts w:hint="eastAsia" w:eastAsia="仿宋_GB2312" w:cs="Times New Roman"/>
          <w:color w:val="auto"/>
          <w:kern w:val="2"/>
          <w:sz w:val="32"/>
          <w:szCs w:val="32"/>
          <w:highlight w:val="none"/>
          <w:lang w:val="zh-CN" w:eastAsia="zh-CN" w:bidi="ar-SA"/>
        </w:rPr>
        <w:t>，占</w:t>
      </w:r>
      <w:r>
        <w:rPr>
          <w:rFonts w:hint="default" w:ascii="Times New Roman" w:hAnsi="Times New Roman" w:eastAsia="仿宋_GB2312" w:cs="Times New Roman"/>
          <w:b w:val="0"/>
          <w:bCs/>
          <w:sz w:val="32"/>
          <w:szCs w:val="32"/>
          <w:lang w:val="en-US" w:eastAsia="zh-CN"/>
        </w:rPr>
        <w:t>0</w:t>
      </w:r>
      <w:r>
        <w:rPr>
          <w:rFonts w:hint="default" w:ascii="Times New Roman" w:hAnsi="Times New Roman" w:eastAsia="仿宋_GB2312" w:cs="Times New Roman"/>
          <w:b w:val="0"/>
          <w:bCs/>
          <w:kern w:val="2"/>
          <w:sz w:val="32"/>
          <w:szCs w:val="32"/>
          <w:lang w:val="en-US" w:eastAsia="zh-CN" w:bidi="ar-SA"/>
        </w:rPr>
        <w:t>.01%</w:t>
      </w:r>
      <w:r>
        <w:rPr>
          <w:rFonts w:hint="eastAsia" w:ascii="仿宋_GB2312" w:hAnsi="仿宋_GB2312" w:eastAsia="仿宋_GB2312" w:cs="仿宋_GB2312"/>
          <w:b w:val="0"/>
          <w:bCs/>
          <w:sz w:val="32"/>
          <w:szCs w:val="32"/>
          <w:lang w:val="en-US" w:eastAsia="zh-CN"/>
        </w:rPr>
        <w:t>；事业收入</w:t>
      </w:r>
      <w:r>
        <w:rPr>
          <w:rFonts w:hint="eastAsia" w:ascii="Times New Roman" w:hAnsi="Times New Roman" w:eastAsia="仿宋_GB2312" w:cs="Times New Roman"/>
          <w:b w:val="0"/>
          <w:bCs/>
          <w:kern w:val="2"/>
          <w:sz w:val="32"/>
          <w:szCs w:val="32"/>
          <w:lang w:val="en-US" w:eastAsia="zh-CN" w:bidi="ar-SA"/>
        </w:rPr>
        <w:t>8.52</w:t>
      </w:r>
      <w:r>
        <w:rPr>
          <w:rFonts w:hint="eastAsia" w:ascii="仿宋_GB2312" w:hAnsi="仿宋_GB2312" w:eastAsia="仿宋_GB2312" w:cs="仿宋_GB2312"/>
          <w:b w:val="0"/>
          <w:bCs/>
          <w:sz w:val="32"/>
          <w:szCs w:val="32"/>
          <w:lang w:val="en-US" w:eastAsia="zh-CN"/>
        </w:rPr>
        <w:t>万元，占</w:t>
      </w:r>
      <w:r>
        <w:rPr>
          <w:rFonts w:hint="eastAsia" w:ascii="Times New Roman" w:hAnsi="Times New Roman" w:eastAsia="仿宋_GB2312" w:cs="Times New Roman"/>
          <w:b w:val="0"/>
          <w:bCs/>
          <w:kern w:val="2"/>
          <w:sz w:val="32"/>
          <w:szCs w:val="32"/>
          <w:lang w:val="en-US" w:eastAsia="zh-CN" w:bidi="ar-SA"/>
        </w:rPr>
        <w:t>0.02%</w:t>
      </w:r>
      <w:r>
        <w:rPr>
          <w:rFonts w:hint="eastAsia" w:ascii="仿宋_GB2312" w:hAnsi="仿宋_GB2312" w:eastAsia="仿宋_GB2312" w:cs="仿宋_GB2312"/>
          <w:b w:val="0"/>
          <w:bCs/>
          <w:sz w:val="32"/>
          <w:szCs w:val="32"/>
          <w:lang w:val="en-US" w:eastAsia="zh-CN"/>
        </w:rPr>
        <w:t>；其他收入</w:t>
      </w:r>
      <w:r>
        <w:rPr>
          <w:rFonts w:hint="eastAsia" w:ascii="Times New Roman" w:hAnsi="Times New Roman" w:eastAsia="仿宋_GB2312" w:cs="Times New Roman"/>
          <w:b w:val="0"/>
          <w:bCs/>
          <w:kern w:val="2"/>
          <w:sz w:val="32"/>
          <w:szCs w:val="32"/>
          <w:lang w:val="en-US" w:eastAsia="zh-CN" w:bidi="ar-SA"/>
        </w:rPr>
        <w:t>1008.56</w:t>
      </w:r>
      <w:r>
        <w:rPr>
          <w:rFonts w:hint="eastAsia" w:ascii="仿宋_GB2312" w:hAnsi="仿宋_GB2312" w:eastAsia="仿宋_GB2312" w:cs="仿宋_GB2312"/>
          <w:b w:val="0"/>
          <w:bCs/>
          <w:sz w:val="32"/>
          <w:szCs w:val="32"/>
          <w:lang w:val="en-US" w:eastAsia="zh-CN"/>
        </w:rPr>
        <w:t>万元，占</w:t>
      </w:r>
      <w:r>
        <w:rPr>
          <w:rFonts w:hint="eastAsia" w:ascii="Times New Roman" w:hAnsi="Times New Roman" w:eastAsia="仿宋_GB2312" w:cs="Times New Roman"/>
          <w:b w:val="0"/>
          <w:bCs/>
          <w:kern w:val="2"/>
          <w:sz w:val="32"/>
          <w:szCs w:val="32"/>
          <w:lang w:val="en-US" w:eastAsia="zh-CN" w:bidi="ar-SA"/>
        </w:rPr>
        <w:t>2.21%</w:t>
      </w:r>
      <w:r>
        <w:rPr>
          <w:rFonts w:hint="eastAsia" w:ascii="仿宋_GB2312" w:hAnsi="仿宋_GB2312" w:eastAsia="仿宋_GB2312" w:cs="仿宋_GB2312"/>
          <w:b w:val="0"/>
          <w:bCs/>
          <w:sz w:val="32"/>
          <w:szCs w:val="32"/>
          <w:lang w:val="en-US" w:eastAsia="zh-CN"/>
        </w:rPr>
        <w:t>。</w:t>
      </w:r>
    </w:p>
    <w:p w14:paraId="16FD9C8C">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支出情况</w:t>
      </w:r>
    </w:p>
    <w:p w14:paraId="7789010D">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bCs/>
          <w:sz w:val="32"/>
          <w:szCs w:val="32"/>
          <w:lang w:val="zh-CN" w:eastAsia="zh-CN"/>
        </w:rPr>
        <w:t>2025年年初预算支出合计22141.1万元，其中：教育支出16376.41万元</w:t>
      </w:r>
      <w:r>
        <w:rPr>
          <w:rFonts w:hint="eastAsia" w:eastAsia="仿宋_GB2312" w:cs="Times New Roman"/>
          <w:bCs/>
          <w:sz w:val="32"/>
          <w:szCs w:val="32"/>
          <w:lang w:val="zh-CN" w:eastAsia="zh-CN"/>
        </w:rPr>
        <w:t>，占</w:t>
      </w:r>
      <w:r>
        <w:rPr>
          <w:rFonts w:hint="eastAsia" w:eastAsia="仿宋_GB2312" w:cs="Times New Roman"/>
          <w:bCs/>
          <w:sz w:val="32"/>
          <w:szCs w:val="32"/>
          <w:lang w:val="en-US" w:eastAsia="zh-CN"/>
        </w:rPr>
        <w:t>74%</w:t>
      </w:r>
      <w:r>
        <w:rPr>
          <w:rFonts w:hint="default" w:ascii="Times New Roman" w:hAnsi="Times New Roman" w:eastAsia="仿宋_GB2312" w:cs="Times New Roman"/>
          <w:bCs/>
          <w:sz w:val="32"/>
          <w:szCs w:val="32"/>
          <w:lang w:val="zh-CN" w:eastAsia="zh-CN"/>
        </w:rPr>
        <w:t>；社会保障和就业支出2531.14万元</w:t>
      </w:r>
      <w:r>
        <w:rPr>
          <w:rFonts w:hint="eastAsia" w:eastAsia="仿宋_GB2312" w:cs="Times New Roman"/>
          <w:bCs/>
          <w:sz w:val="32"/>
          <w:szCs w:val="32"/>
          <w:lang w:val="zh-CN" w:eastAsia="zh-CN"/>
        </w:rPr>
        <w:t>，占</w:t>
      </w:r>
      <w:r>
        <w:rPr>
          <w:rFonts w:hint="eastAsia" w:eastAsia="仿宋_GB2312" w:cs="Times New Roman"/>
          <w:bCs/>
          <w:sz w:val="32"/>
          <w:szCs w:val="32"/>
          <w:lang w:val="en-US" w:eastAsia="zh-CN"/>
        </w:rPr>
        <w:t>11.4%</w:t>
      </w:r>
      <w:r>
        <w:rPr>
          <w:rFonts w:hint="default" w:ascii="Times New Roman" w:hAnsi="Times New Roman" w:eastAsia="仿宋_GB2312" w:cs="Times New Roman"/>
          <w:bCs/>
          <w:sz w:val="32"/>
          <w:szCs w:val="32"/>
          <w:lang w:val="zh-CN" w:eastAsia="zh-CN"/>
        </w:rPr>
        <w:t>；卫生健康支出1302.5万元</w:t>
      </w:r>
      <w:r>
        <w:rPr>
          <w:rFonts w:hint="eastAsia" w:eastAsia="仿宋_GB2312" w:cs="Times New Roman"/>
          <w:bCs/>
          <w:sz w:val="32"/>
          <w:szCs w:val="32"/>
          <w:lang w:val="zh-CN" w:eastAsia="zh-CN"/>
        </w:rPr>
        <w:t>，占</w:t>
      </w:r>
      <w:r>
        <w:rPr>
          <w:rFonts w:hint="eastAsia" w:eastAsia="仿宋_GB2312" w:cs="Times New Roman"/>
          <w:bCs/>
          <w:sz w:val="32"/>
          <w:szCs w:val="32"/>
          <w:lang w:val="en-US" w:eastAsia="zh-CN"/>
        </w:rPr>
        <w:t>5.9%</w:t>
      </w:r>
      <w:r>
        <w:rPr>
          <w:rFonts w:hint="default" w:ascii="Times New Roman" w:hAnsi="Times New Roman" w:eastAsia="仿宋_GB2312" w:cs="Times New Roman"/>
          <w:bCs/>
          <w:sz w:val="32"/>
          <w:szCs w:val="32"/>
          <w:lang w:val="zh-CN" w:eastAsia="zh-CN"/>
        </w:rPr>
        <w:t>；住房保障支出1888.59万元</w:t>
      </w:r>
      <w:r>
        <w:rPr>
          <w:rFonts w:hint="eastAsia" w:eastAsia="仿宋_GB2312" w:cs="Times New Roman"/>
          <w:bCs/>
          <w:sz w:val="32"/>
          <w:szCs w:val="32"/>
          <w:lang w:val="zh-CN" w:eastAsia="zh-CN"/>
        </w:rPr>
        <w:t>，占</w:t>
      </w:r>
      <w:r>
        <w:rPr>
          <w:rFonts w:hint="eastAsia" w:eastAsia="仿宋_GB2312" w:cs="Times New Roman"/>
          <w:bCs/>
          <w:sz w:val="32"/>
          <w:szCs w:val="32"/>
          <w:lang w:val="en-US" w:eastAsia="zh-CN"/>
        </w:rPr>
        <w:t>8.5%</w:t>
      </w:r>
      <w:r>
        <w:rPr>
          <w:rFonts w:hint="default" w:ascii="Times New Roman" w:hAnsi="Times New Roman" w:eastAsia="仿宋_GB2312" w:cs="Times New Roman"/>
          <w:bCs/>
          <w:sz w:val="32"/>
          <w:szCs w:val="32"/>
          <w:lang w:val="zh-CN" w:eastAsia="zh-CN"/>
        </w:rPr>
        <w:t>；农林水支出42.46万元</w:t>
      </w:r>
      <w:r>
        <w:rPr>
          <w:rFonts w:hint="eastAsia" w:eastAsia="仿宋_GB2312" w:cs="Times New Roman"/>
          <w:bCs/>
          <w:sz w:val="32"/>
          <w:szCs w:val="32"/>
          <w:lang w:val="zh-CN" w:eastAsia="zh-CN"/>
        </w:rPr>
        <w:t>，占</w:t>
      </w:r>
      <w:r>
        <w:rPr>
          <w:rFonts w:hint="eastAsia" w:eastAsia="仿宋_GB2312" w:cs="Times New Roman"/>
          <w:bCs/>
          <w:sz w:val="32"/>
          <w:szCs w:val="32"/>
          <w:lang w:val="en-US" w:eastAsia="zh-CN"/>
        </w:rPr>
        <w:t>0.2%</w:t>
      </w:r>
      <w:r>
        <w:rPr>
          <w:rFonts w:hint="default" w:ascii="Times New Roman" w:hAnsi="Times New Roman" w:eastAsia="仿宋_GB2312" w:cs="Times New Roman"/>
          <w:bCs/>
          <w:sz w:val="32"/>
          <w:szCs w:val="32"/>
          <w:lang w:val="zh-CN" w:eastAsia="zh-CN"/>
        </w:rPr>
        <w:t>。</w:t>
      </w:r>
    </w:p>
    <w:p w14:paraId="29A43F64">
      <w:pPr>
        <w:pageBreakBefore w:val="0"/>
        <w:widowControl/>
        <w:numPr>
          <w:ilvl w:val="0"/>
          <w:numId w:val="1"/>
        </w:numPr>
        <w:kinsoku/>
        <w:wordWrap/>
        <w:overflowPunct/>
        <w:topLinePunct w:val="0"/>
        <w:bidi w:val="0"/>
        <w:adjustRightInd w:val="0"/>
        <w:snapToGrid w:val="0"/>
        <w:spacing w:line="576" w:lineRule="exact"/>
        <w:ind w:firstLine="643" w:firstLineChars="200"/>
        <w:contextualSpacing/>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p>
    <w:p w14:paraId="607621B5">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bCs/>
          <w:sz w:val="32"/>
          <w:szCs w:val="32"/>
          <w:lang w:val="zh-CN" w:eastAsia="zh-CN"/>
        </w:rPr>
      </w:pPr>
      <w:r>
        <w:rPr>
          <w:rFonts w:hint="default" w:ascii="Times New Roman" w:hAnsi="Times New Roman" w:eastAsia="仿宋_GB2312" w:cs="Times New Roman"/>
          <w:color w:val="auto"/>
          <w:kern w:val="2"/>
          <w:sz w:val="32"/>
          <w:szCs w:val="32"/>
          <w:highlight w:val="none"/>
          <w:lang w:val="zh-CN" w:eastAsia="zh-CN" w:bidi="ar-SA"/>
        </w:rPr>
        <w:t>茂县教育局2025年决算报表非财政结转结余157.51万元。</w:t>
      </w:r>
    </w:p>
    <w:p w14:paraId="0201892A">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6D692CC">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（一）部门预算总体绩效分析</w:t>
      </w:r>
    </w:p>
    <w:p w14:paraId="7900461D">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1.履职效能。</w:t>
      </w:r>
      <w:r>
        <w:rPr>
          <w:rFonts w:hint="default" w:ascii="Times New Roman" w:hAnsi="Times New Roman" w:eastAsia="仿宋_GB2312" w:cs="Times New Roman"/>
          <w:color w:val="auto"/>
          <w:kern w:val="2"/>
          <w:sz w:val="32"/>
          <w:szCs w:val="32"/>
          <w:highlight w:val="none"/>
          <w:lang w:val="zh-CN" w:eastAsia="zh-CN" w:bidi="ar-SA"/>
        </w:rPr>
        <w:t>党建、党风廉政和意识形态得到提升专项工作，推进</w:t>
      </w:r>
      <w:r>
        <w:rPr>
          <w:rFonts w:hint="eastAsia"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双减</w:t>
      </w:r>
      <w:r>
        <w:rPr>
          <w:rFonts w:hint="eastAsia"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工作，</w:t>
      </w:r>
      <w:r>
        <w:rPr>
          <w:rFonts w:hint="eastAsia"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五项管理</w:t>
      </w:r>
      <w:r>
        <w:rPr>
          <w:rFonts w:hint="eastAsia" w:ascii="Times New Roman" w:hAnsi="Times New Roman" w:eastAsia="仿宋_GB2312" w:cs="Times New Roman"/>
          <w:color w:val="auto"/>
          <w:kern w:val="2"/>
          <w:sz w:val="32"/>
          <w:szCs w:val="32"/>
          <w:highlight w:val="none"/>
          <w:lang w:val="zh-CN" w:eastAsia="zh-CN" w:bidi="ar-SA"/>
        </w:rPr>
        <w:t>”</w:t>
      </w:r>
      <w:r>
        <w:rPr>
          <w:rFonts w:hint="default" w:ascii="Times New Roman" w:hAnsi="Times New Roman" w:eastAsia="仿宋_GB2312" w:cs="Times New Roman"/>
          <w:color w:val="auto"/>
          <w:kern w:val="2"/>
          <w:sz w:val="32"/>
          <w:szCs w:val="32"/>
          <w:highlight w:val="none"/>
          <w:lang w:val="zh-CN" w:eastAsia="zh-CN" w:bidi="ar-SA"/>
        </w:rPr>
        <w:t>，工作教育督导工作常规工作开展，德体卫艺工作，招生考试，语言文字工作，教育投入、教育民生实施教师发展工作，教师队伍建设，教育工会工作。</w:t>
      </w:r>
    </w:p>
    <w:p w14:paraId="0F0CC90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2.预算管理。一是</w:t>
      </w:r>
      <w:r>
        <w:rPr>
          <w:rFonts w:hint="default" w:ascii="Times New Roman" w:hAnsi="Times New Roman" w:eastAsia="仿宋_GB2312" w:cs="Times New Roman"/>
          <w:color w:val="auto"/>
          <w:kern w:val="2"/>
          <w:sz w:val="32"/>
          <w:szCs w:val="32"/>
          <w:highlight w:val="none"/>
          <w:lang w:val="zh-CN" w:eastAsia="zh-CN" w:bidi="ar-SA"/>
        </w:rPr>
        <w:t>预算编制根据部门及学校的业务需求和目标，合理编制预算；</w:t>
      </w:r>
      <w:r>
        <w:rPr>
          <w:rFonts w:hint="default" w:ascii="Times New Roman" w:hAnsi="Times New Roman" w:eastAsia="仿宋_GB2312" w:cs="Times New Roman"/>
          <w:b/>
          <w:bCs/>
          <w:color w:val="auto"/>
          <w:kern w:val="2"/>
          <w:sz w:val="32"/>
          <w:szCs w:val="32"/>
          <w:highlight w:val="none"/>
          <w:lang w:val="zh-CN" w:eastAsia="zh-CN" w:bidi="ar-SA"/>
        </w:rPr>
        <w:t>二是</w:t>
      </w:r>
      <w:r>
        <w:rPr>
          <w:rFonts w:hint="default" w:ascii="Times New Roman" w:hAnsi="Times New Roman" w:eastAsia="仿宋_GB2312" w:cs="Times New Roman"/>
          <w:color w:val="auto"/>
          <w:kern w:val="2"/>
          <w:sz w:val="32"/>
          <w:szCs w:val="32"/>
          <w:highlight w:val="none"/>
          <w:lang w:val="zh-CN" w:eastAsia="zh-CN" w:bidi="ar-SA"/>
        </w:rPr>
        <w:t>预算执行与监控，加强对预算的监控，确保各项支出符合预算要求；</w:t>
      </w:r>
      <w:r>
        <w:rPr>
          <w:rFonts w:hint="default" w:ascii="Times New Roman" w:hAnsi="Times New Roman" w:eastAsia="仿宋_GB2312" w:cs="Times New Roman"/>
          <w:b/>
          <w:bCs/>
          <w:color w:val="auto"/>
          <w:kern w:val="2"/>
          <w:sz w:val="32"/>
          <w:szCs w:val="32"/>
          <w:highlight w:val="none"/>
          <w:lang w:val="zh-CN" w:eastAsia="zh-CN" w:bidi="ar-SA"/>
        </w:rPr>
        <w:t>三是</w:t>
      </w:r>
      <w:r>
        <w:rPr>
          <w:rFonts w:hint="default" w:ascii="Times New Roman" w:hAnsi="Times New Roman" w:eastAsia="仿宋_GB2312" w:cs="Times New Roman"/>
          <w:color w:val="auto"/>
          <w:kern w:val="2"/>
          <w:sz w:val="32"/>
          <w:szCs w:val="32"/>
          <w:highlight w:val="none"/>
          <w:lang w:val="zh-CN" w:eastAsia="zh-CN" w:bidi="ar-SA"/>
        </w:rPr>
        <w:t>预算调整，在预算执行中可能会因为各种原因需要对预算进行调整，在调整过程中需要充分论证调整的必要性，确保调整后的预算更加符合实际情况。</w:t>
      </w:r>
    </w:p>
    <w:p w14:paraId="186B53F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3.财务管理。</w:t>
      </w:r>
      <w:r>
        <w:rPr>
          <w:rFonts w:hint="default" w:ascii="Times New Roman" w:hAnsi="Times New Roman" w:eastAsia="仿宋_GB2312" w:cs="Times New Roman"/>
          <w:color w:val="auto"/>
          <w:kern w:val="2"/>
          <w:sz w:val="32"/>
          <w:szCs w:val="32"/>
          <w:highlight w:val="none"/>
          <w:lang w:val="zh-CN" w:eastAsia="zh-CN" w:bidi="ar-SA"/>
        </w:rPr>
        <w:t>为加强财务管理，制定了教育局机关财务管理制度，对接待费、公务用车运行维护费、差旅费、物资采购和资产管理等方面都有明确的规定。严格按照《会计法》《会计档案管理办法》进行会计凭证、账簿登记和会计档案管理。</w:t>
      </w:r>
    </w:p>
    <w:p w14:paraId="256DFB1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4.资产管理。</w:t>
      </w:r>
      <w:r>
        <w:rPr>
          <w:rFonts w:hint="default" w:ascii="Times New Roman" w:hAnsi="Times New Roman" w:eastAsia="仿宋_GB2312" w:cs="Times New Roman"/>
          <w:color w:val="auto"/>
          <w:kern w:val="2"/>
          <w:sz w:val="32"/>
          <w:szCs w:val="32"/>
          <w:highlight w:val="none"/>
          <w:lang w:val="zh-CN" w:eastAsia="zh-CN" w:bidi="ar-SA"/>
        </w:rPr>
        <w:t>人均资产无变化，科学合理分配使用资产，资产利用率100%。无闲置资产。</w:t>
      </w:r>
    </w:p>
    <w:p w14:paraId="6478B366">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5</w:t>
      </w:r>
      <w:r>
        <w:rPr>
          <w:rFonts w:hint="eastAsia"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zh-CN" w:eastAsia="zh-CN" w:bidi="ar-SA"/>
        </w:rPr>
        <w:t>采购管理。</w:t>
      </w:r>
      <w:r>
        <w:rPr>
          <w:rFonts w:hint="default" w:ascii="Times New Roman" w:hAnsi="Times New Roman" w:eastAsia="仿宋_GB2312" w:cs="Times New Roman"/>
          <w:color w:val="auto"/>
          <w:kern w:val="2"/>
          <w:sz w:val="32"/>
          <w:szCs w:val="32"/>
          <w:highlight w:val="none"/>
          <w:lang w:val="zh-CN" w:eastAsia="zh-CN" w:bidi="ar-SA"/>
        </w:rPr>
        <w:t>公开公正公平，采购过程透明；质量优先成本最优；统一采购渠道，减少分散采购；权责分离，相互监督；严格按照财经制度要求，廉洁自律。</w:t>
      </w:r>
    </w:p>
    <w:p w14:paraId="24FCD72E">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（二）部门预算项目绩效分析</w:t>
      </w:r>
    </w:p>
    <w:p w14:paraId="7D9B3381">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常年项目绩效分析该类项目总数307个，涉及预算总金额30125.3万元，1—12月预算执行总体进度为100%，其中：预算结余率大于10%的项目共计0个。</w:t>
      </w:r>
    </w:p>
    <w:p w14:paraId="2D31C1D3">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阶段（含一次性）项目绩效分析。该类项目总数288个，涉及预算总金额29063.03万元，1—12月预算执行总体进度为88.8%，其中：预算结余率大于10%的项目共计23个。</w:t>
      </w:r>
    </w:p>
    <w:p w14:paraId="63D05D5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1.项目决策。</w:t>
      </w:r>
      <w:r>
        <w:rPr>
          <w:rFonts w:hint="default" w:ascii="Times New Roman" w:hAnsi="Times New Roman" w:eastAsia="仿宋_GB2312" w:cs="Times New Roman"/>
          <w:color w:val="auto"/>
          <w:kern w:val="2"/>
          <w:sz w:val="32"/>
          <w:szCs w:val="32"/>
          <w:highlight w:val="none"/>
          <w:lang w:val="zh-CN" w:eastAsia="zh-CN" w:bidi="ar-SA"/>
        </w:rPr>
        <w:t>根据项目申报条件，单位班子成员及股室负责人或相关决策机构对项目评估报告进行审议后，向上级主管部分申报，同时由企业对项目目标设置后，待资金下达后，再撰写项目事前评估报告，项目入库申报。</w:t>
      </w:r>
    </w:p>
    <w:p w14:paraId="3E570149">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2.项目执行。一是</w:t>
      </w:r>
      <w:r>
        <w:rPr>
          <w:rFonts w:hint="default" w:ascii="Times New Roman" w:hAnsi="Times New Roman" w:eastAsia="仿宋_GB2312" w:cs="Times New Roman"/>
          <w:color w:val="auto"/>
          <w:kern w:val="2"/>
          <w:sz w:val="32"/>
          <w:szCs w:val="32"/>
          <w:highlight w:val="none"/>
          <w:lang w:val="zh-CN" w:eastAsia="zh-CN" w:bidi="ar-SA"/>
        </w:rPr>
        <w:t>根据目标设定合理的项目指标；</w:t>
      </w:r>
      <w:r>
        <w:rPr>
          <w:rFonts w:hint="default" w:ascii="Times New Roman" w:hAnsi="Times New Roman" w:eastAsia="仿宋_GB2312" w:cs="Times New Roman"/>
          <w:b/>
          <w:bCs/>
          <w:color w:val="auto"/>
          <w:kern w:val="2"/>
          <w:sz w:val="32"/>
          <w:szCs w:val="32"/>
          <w:highlight w:val="none"/>
          <w:lang w:val="zh-CN" w:eastAsia="zh-CN" w:bidi="ar-SA"/>
        </w:rPr>
        <w:t>二是</w:t>
      </w:r>
      <w:r>
        <w:rPr>
          <w:rFonts w:hint="default" w:ascii="Times New Roman" w:hAnsi="Times New Roman" w:eastAsia="仿宋_GB2312" w:cs="Times New Roman"/>
          <w:color w:val="auto"/>
          <w:kern w:val="2"/>
          <w:sz w:val="32"/>
          <w:szCs w:val="32"/>
          <w:highlight w:val="none"/>
          <w:lang w:val="zh-CN" w:eastAsia="zh-CN" w:bidi="ar-SA"/>
        </w:rPr>
        <w:t>数据的精确收集和分析，在数据分析过程中及时发现项目的问题，进行数据与目标的对比和调整，便于更好的、及时的了解项目执行情况。</w:t>
      </w:r>
    </w:p>
    <w:p w14:paraId="4C5E0244">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zh-CN" w:eastAsia="zh-CN" w:bidi="ar-SA"/>
        </w:rPr>
        <w:t>3.目标实现。</w:t>
      </w:r>
      <w:r>
        <w:rPr>
          <w:rFonts w:hint="default" w:ascii="Times New Roman" w:hAnsi="Times New Roman" w:eastAsia="仿宋_GB2312" w:cs="Times New Roman"/>
          <w:color w:val="auto"/>
          <w:kern w:val="2"/>
          <w:sz w:val="32"/>
          <w:szCs w:val="32"/>
          <w:highlight w:val="none"/>
          <w:lang w:val="zh-CN" w:eastAsia="zh-CN" w:bidi="ar-SA"/>
        </w:rPr>
        <w:t>根据项目绩效完成情况进行事后评估，评估过程应该综合考虑项目的成果、质量、时间和成本等方面的指标，并结合项目管理的整体过程进行综合评估，为后续的项目管理提供参考和借鉴。</w:t>
      </w:r>
    </w:p>
    <w:p w14:paraId="1EAFCF2B">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w:t>
      </w:r>
      <w:r>
        <w:rPr>
          <w:rFonts w:hint="default" w:ascii="Times New Roman" w:hAnsi="Times New Roman" w:eastAsia="楷体_GB2312" w:cs="Times New Roman"/>
          <w:b/>
          <w:bCs w:val="0"/>
          <w:color w:val="auto"/>
          <w:kern w:val="2"/>
          <w:sz w:val="32"/>
          <w:szCs w:val="32"/>
          <w:highlight w:val="none"/>
          <w:lang w:val="en-US" w:eastAsia="zh-CN" w:bidi="ar-SA"/>
        </w:rPr>
        <w:t>三</w:t>
      </w:r>
      <w:r>
        <w:rPr>
          <w:rFonts w:hint="default" w:ascii="Times New Roman" w:hAnsi="Times New Roman" w:eastAsia="楷体_GB2312" w:cs="Times New Roman"/>
          <w:b/>
          <w:bCs w:val="0"/>
          <w:color w:val="auto"/>
          <w:kern w:val="2"/>
          <w:sz w:val="32"/>
          <w:szCs w:val="32"/>
          <w:highlight w:val="none"/>
          <w:lang w:val="zh-CN" w:eastAsia="zh-CN" w:bidi="ar-SA"/>
        </w:rPr>
        <w:t>）绩效结果应用情况</w:t>
      </w:r>
    </w:p>
    <w:p w14:paraId="13EA8A88">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单位扎实推进预算绩效结果落地应用。认真做好财政资金预算编制工作，强化资金统筹优化、明确开支范围、细化资金用途，有效保障部门职责任务完成和单位正常运转，降低行政运行成本，充分发挥财政资金经济效益与社会效益。全年基本支出保障日常工作开展，项目支出支撑重点工作推进，整体完成年初设定绩效目标，自查自评结果良好，自评得分81分。针对薄弱环节及时整改，建立长效机制，切实提升绩效管控水平。</w:t>
      </w:r>
    </w:p>
    <w:p w14:paraId="5D6CFC0A">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firstLineChars="200"/>
        <w:textAlignment w:val="auto"/>
        <w:outlineLvl w:val="9"/>
        <w:rPr>
          <w:rFonts w:hint="default" w:ascii="Times New Roman" w:hAnsi="Times New Roman" w:eastAsia="黑体" w:cs="Times New Roman"/>
          <w:color w:val="auto"/>
          <w:kern w:val="2"/>
          <w:sz w:val="32"/>
          <w:szCs w:val="32"/>
          <w:highlight w:val="none"/>
          <w:lang w:val="zh-CN" w:eastAsia="zh-CN" w:bidi="ar-SA"/>
        </w:rPr>
      </w:pPr>
      <w:bookmarkStart w:id="107" w:name="_Toc42936045"/>
      <w:r>
        <w:rPr>
          <w:rFonts w:hint="default" w:ascii="Times New Roman" w:hAnsi="Times New Roman" w:eastAsia="黑体" w:cs="Times New Roman"/>
          <w:color w:val="auto"/>
          <w:kern w:val="2"/>
          <w:sz w:val="32"/>
          <w:szCs w:val="32"/>
          <w:highlight w:val="none"/>
          <w:lang w:val="zh-CN" w:eastAsia="zh-CN" w:bidi="ar-SA"/>
        </w:rPr>
        <w:t>四、评价结论及建议</w:t>
      </w:r>
      <w:bookmarkEnd w:id="107"/>
    </w:p>
    <w:p w14:paraId="432116FE">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（一）评价结论</w:t>
      </w:r>
    </w:p>
    <w:p w14:paraId="5BFDF9F8">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 xml:space="preserve">我部门对预算项目开展了全面绩效自评工作。经综合评估，本年度预算执行总体情况良好，预算编制科学合理，资金使用规范高效，项目绩效目标基本达成，取得了显著的经济效益和社会效益。​ </w:t>
      </w:r>
    </w:p>
    <w:p w14:paraId="2429DB22">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在预算执行方面，我部门严格遵循财政资金管理规定，资金拨付及时、使用合规，无截留、挪用等违规现象。在项目实施过程中，通过精细化管理，有效控制了成本支出，确保了资金使用效益的最大化。</w:t>
      </w:r>
    </w:p>
    <w:p w14:paraId="5D0978AE">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en-US" w:eastAsia="zh-CN" w:bidi="ar-SA"/>
        </w:rPr>
        <w:t>（二）</w:t>
      </w:r>
      <w:r>
        <w:rPr>
          <w:rFonts w:hint="default" w:ascii="Times New Roman" w:hAnsi="Times New Roman" w:eastAsia="楷体_GB2312" w:cs="Times New Roman"/>
          <w:b/>
          <w:bCs w:val="0"/>
          <w:color w:val="auto"/>
          <w:kern w:val="2"/>
          <w:sz w:val="32"/>
          <w:szCs w:val="32"/>
          <w:highlight w:val="none"/>
          <w:lang w:val="zh-CN" w:eastAsia="zh-CN" w:bidi="ar-SA"/>
        </w:rPr>
        <w:t>存在问题</w:t>
      </w:r>
    </w:p>
    <w:p w14:paraId="75941C1D">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部分项目在预算编制的精准度上仍需提高，存在预算与实际支出偏差的情况；绩效指标体系还不够完善，个别指标设置缺乏针对性和可操作性；项目实施过程中的动态监控力度不足，未能及时发现并解决潜在问题。</w:t>
      </w:r>
    </w:p>
    <w:p w14:paraId="362E9C0D">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楷体_GB2312" w:cs="Times New Roman"/>
          <w:b/>
          <w:bCs w:val="0"/>
          <w:color w:val="auto"/>
          <w:kern w:val="2"/>
          <w:sz w:val="32"/>
          <w:szCs w:val="32"/>
          <w:highlight w:val="none"/>
          <w:lang w:val="zh-CN" w:eastAsia="zh-CN" w:bidi="ar-SA"/>
        </w:rPr>
      </w:pPr>
      <w:r>
        <w:rPr>
          <w:rFonts w:hint="default" w:ascii="Times New Roman" w:hAnsi="Times New Roman" w:eastAsia="楷体_GB2312" w:cs="Times New Roman"/>
          <w:b/>
          <w:bCs w:val="0"/>
          <w:color w:val="auto"/>
          <w:kern w:val="2"/>
          <w:sz w:val="32"/>
          <w:szCs w:val="32"/>
          <w:highlight w:val="none"/>
          <w:lang w:val="zh-CN" w:eastAsia="zh-CN" w:bidi="ar-SA"/>
        </w:rPr>
        <w:t>（三）改进建议</w:t>
      </w:r>
      <w:bookmarkStart w:id="108" w:name="_Hlk110546638"/>
    </w:p>
    <w:p w14:paraId="5A1AC6BE">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b/>
          <w:bCs/>
          <w:sz w:val="32"/>
          <w:szCs w:val="32"/>
          <w:u w:val="none"/>
          <w:lang w:val="en-US" w:eastAsia="zh-CN" w:bidi="ar"/>
        </w:rPr>
        <w:t>一是</w:t>
      </w:r>
      <w:r>
        <w:rPr>
          <w:rFonts w:hint="default" w:ascii="Times New Roman" w:hAnsi="Times New Roman" w:eastAsia="仿宋_GB2312" w:cs="Times New Roman"/>
          <w:sz w:val="32"/>
          <w:szCs w:val="32"/>
          <w:u w:val="none"/>
          <w:lang w:val="en-US" w:eastAsia="zh-CN" w:bidi="ar"/>
        </w:rPr>
        <w:t>加强预算编制的科学性和准确性；</w:t>
      </w:r>
      <w:r>
        <w:rPr>
          <w:rFonts w:hint="default" w:ascii="Times New Roman" w:hAnsi="Times New Roman" w:eastAsia="仿宋_GB2312" w:cs="Times New Roman"/>
          <w:b/>
          <w:bCs/>
          <w:sz w:val="32"/>
          <w:szCs w:val="32"/>
          <w:u w:val="none"/>
          <w:lang w:val="en-US" w:eastAsia="zh-CN" w:bidi="ar"/>
        </w:rPr>
        <w:t>二是</w:t>
      </w:r>
      <w:r>
        <w:rPr>
          <w:rFonts w:hint="default" w:ascii="Times New Roman" w:hAnsi="Times New Roman" w:eastAsia="仿宋_GB2312" w:cs="Times New Roman"/>
          <w:sz w:val="32"/>
          <w:szCs w:val="32"/>
          <w:u w:val="none"/>
          <w:lang w:val="en-US" w:eastAsia="zh-CN" w:bidi="ar"/>
        </w:rPr>
        <w:t>进一步优化绩效指标体系；</w:t>
      </w:r>
      <w:r>
        <w:rPr>
          <w:rFonts w:hint="default" w:ascii="Times New Roman" w:hAnsi="Times New Roman" w:eastAsia="仿宋_GB2312" w:cs="Times New Roman"/>
          <w:b/>
          <w:bCs/>
          <w:sz w:val="32"/>
          <w:szCs w:val="32"/>
          <w:u w:val="none"/>
          <w:lang w:val="en-US" w:eastAsia="zh-CN" w:bidi="ar"/>
        </w:rPr>
        <w:t>三是</w:t>
      </w:r>
      <w:r>
        <w:rPr>
          <w:rFonts w:hint="default" w:ascii="Times New Roman" w:hAnsi="Times New Roman" w:eastAsia="仿宋_GB2312" w:cs="Times New Roman"/>
          <w:sz w:val="32"/>
          <w:szCs w:val="32"/>
          <w:u w:val="none"/>
          <w:lang w:val="en-US" w:eastAsia="zh-CN" w:bidi="ar"/>
        </w:rPr>
        <w:t>强化项目实施过程的动态管理，建立健全监控机制，定期对项目进展情况进行跟踪检查。</w:t>
      </w:r>
    </w:p>
    <w:bookmarkEnd w:id="108"/>
    <w:p w14:paraId="214B1DEF">
      <w:pPr>
        <w:pStyle w:val="2"/>
        <w:rPr>
          <w:rFonts w:hint="default" w:ascii="Times New Roman" w:hAnsi="Times New Roman" w:eastAsia="仿宋_GB2312" w:cs="Times New Roman"/>
          <w:kern w:val="0"/>
          <w:sz w:val="32"/>
          <w:szCs w:val="32"/>
          <w:lang w:val="en-US" w:eastAsia="zh-CN"/>
        </w:rPr>
      </w:pPr>
    </w:p>
    <w:p w14:paraId="35E33427">
      <w:pPr>
        <w:rPr>
          <w:rFonts w:hint="default"/>
          <w:lang w:val="en-US" w:eastAsia="zh-CN"/>
        </w:rPr>
      </w:pPr>
    </w:p>
    <w:p w14:paraId="0EA9AB61">
      <w:pPr>
        <w:rPr>
          <w:rFonts w:hint="default"/>
          <w:lang w:val="zh-CN" w:eastAsia="zh-CN"/>
        </w:rPr>
      </w:pPr>
    </w:p>
    <w:p w14:paraId="294E701B">
      <w:pPr>
        <w:pStyle w:val="8"/>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2"/>
          <w:sz w:val="32"/>
          <w:szCs w:val="32"/>
          <w:u w:val="none"/>
          <w:lang w:val="en-US" w:eastAsia="zh-CN" w:bidi="ar"/>
        </w:rPr>
      </w:pPr>
    </w:p>
    <w:p w14:paraId="38D94071">
      <w:pPr>
        <w:pStyle w:val="8"/>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2"/>
          <w:sz w:val="32"/>
          <w:szCs w:val="32"/>
          <w:u w:val="none"/>
          <w:lang w:val="en-US" w:eastAsia="zh-CN" w:bidi="ar"/>
        </w:rPr>
      </w:pPr>
    </w:p>
    <w:p w14:paraId="11689AD2">
      <w:pPr>
        <w:pStyle w:val="8"/>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2"/>
          <w:sz w:val="32"/>
          <w:szCs w:val="32"/>
          <w:u w:val="none"/>
          <w:lang w:val="en-US" w:eastAsia="zh-CN" w:bidi="ar"/>
        </w:rPr>
      </w:pPr>
    </w:p>
    <w:p w14:paraId="32430287">
      <w:pPr>
        <w:pStyle w:val="8"/>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2"/>
          <w:sz w:val="32"/>
          <w:szCs w:val="32"/>
          <w:u w:val="none"/>
          <w:lang w:val="en-US" w:eastAsia="zh-CN" w:bidi="ar"/>
        </w:rPr>
      </w:pPr>
    </w:p>
    <w:p w14:paraId="70C31BCD">
      <w:pPr>
        <w:pStyle w:val="8"/>
        <w:keepNext w:val="0"/>
        <w:keepLines w:val="0"/>
        <w:pageBreakBefore w:val="0"/>
        <w:numPr>
          <w:ilvl w:val="0"/>
          <w:numId w:val="0"/>
        </w:numPr>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kern w:val="2"/>
          <w:sz w:val="32"/>
          <w:szCs w:val="32"/>
          <w:u w:val="none"/>
          <w:lang w:val="en-US" w:eastAsia="zh-CN" w:bidi="ar"/>
        </w:rPr>
      </w:pPr>
    </w:p>
    <w:p w14:paraId="5D4761F2">
      <w:pPr>
        <w:pStyle w:val="8"/>
        <w:keepNext w:val="0"/>
        <w:keepLines w:val="0"/>
        <w:pageBreakBefore w:val="0"/>
        <w:numPr>
          <w:ilvl w:val="0"/>
          <w:numId w:val="0"/>
        </w:numPr>
        <w:kinsoku/>
        <w:wordWrap/>
        <w:overflowPunct/>
        <w:topLinePunct w:val="0"/>
        <w:autoSpaceDE/>
        <w:autoSpaceDN/>
        <w:bidi w:val="0"/>
        <w:spacing w:line="576" w:lineRule="exact"/>
        <w:jc w:val="center"/>
        <w:textAlignment w:val="auto"/>
        <w:rPr>
          <w:rFonts w:hint="default" w:ascii="Times New Roman" w:hAnsi="Times New Roman" w:eastAsia="方正小标宋简体" w:cs="Times New Roman"/>
          <w:kern w:val="2"/>
          <w:sz w:val="44"/>
          <w:szCs w:val="44"/>
          <w:u w:val="none"/>
          <w:lang w:val="en-US" w:eastAsia="zh-CN" w:bidi="ar"/>
        </w:rPr>
      </w:pPr>
      <w:r>
        <w:rPr>
          <w:rFonts w:hint="default" w:ascii="Times New Roman" w:hAnsi="Times New Roman" w:eastAsia="方正小标宋简体" w:cs="Times New Roman"/>
          <w:kern w:val="2"/>
          <w:sz w:val="44"/>
          <w:szCs w:val="44"/>
          <w:u w:val="none"/>
          <w:lang w:val="en-US" w:eastAsia="zh-CN" w:bidi="ar"/>
        </w:rPr>
        <w:t>部门预算项目支出绩效自评表（2025年度）</w:t>
      </w:r>
    </w:p>
    <w:tbl>
      <w:tblPr>
        <w:tblStyle w:val="17"/>
        <w:tblW w:w="497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83"/>
        <w:gridCol w:w="811"/>
        <w:gridCol w:w="1105"/>
        <w:gridCol w:w="396"/>
        <w:gridCol w:w="1161"/>
        <w:gridCol w:w="397"/>
        <w:gridCol w:w="863"/>
        <w:gridCol w:w="486"/>
        <w:gridCol w:w="397"/>
        <w:gridCol w:w="1304"/>
      </w:tblGrid>
      <w:tr w14:paraId="30B0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930FB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71AC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9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FC05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8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CB694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51322325T000013533339-2025年茂县中学4号学生宿舍楼建设项目</w:t>
            </w:r>
          </w:p>
        </w:tc>
      </w:tr>
      <w:tr w14:paraId="7192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9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ECBA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8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5D693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茂县教育局</w:t>
            </w:r>
          </w:p>
        </w:tc>
        <w:tc>
          <w:tcPr>
            <w:tcW w:w="507" w:type="pct"/>
            <w:tcBorders>
              <w:top w:val="nil"/>
              <w:left w:val="nil"/>
              <w:bottom w:val="nil"/>
              <w:right w:val="nil"/>
            </w:tcBorders>
            <w:shd w:val="clear" w:color="auto" w:fill="auto"/>
            <w:vAlign w:val="center"/>
          </w:tcPr>
          <w:p w14:paraId="4DEE7AC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2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94481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茂县教育局（行政）</w:t>
            </w:r>
          </w:p>
        </w:tc>
      </w:tr>
      <w:tr w14:paraId="6C410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C2003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5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3AD49F">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8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E4EDC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79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4548B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771F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6"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02E7F">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5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03BD9">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228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00DDD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茂发改行审〔2024〕3号文件精神，预计投资3000万元，根据阿州财教[2024]90号《阿坝州财政局关于下达教育强国基础设施建设工程2024年第五批次中央基建投资预算的通知》，下达资金3000万，实施茂县中学4号学生宿舍楼建设项目。在茂县中学校园内新建茂县中学4号学生宿舍楼7399.74平方米，其中地上计容建筑面积7244.76㎡，地上不计容建筑面积154.98㎡。</w:t>
            </w:r>
          </w:p>
        </w:tc>
        <w:tc>
          <w:tcPr>
            <w:tcW w:w="179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A6AE3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25700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6A18C">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61DA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8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576EE3">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693BF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5A5D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8D9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272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67F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1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758EA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F112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F94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9A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52DF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E1BB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1849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679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968E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36F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1,945.61</w:t>
            </w:r>
          </w:p>
        </w:tc>
        <w:tc>
          <w:tcPr>
            <w:tcW w:w="11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C81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1,945.61</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0C7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0112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D17E0">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E6F7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F119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144F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23A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1BC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BE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1,945.61</w:t>
            </w:r>
          </w:p>
        </w:tc>
        <w:tc>
          <w:tcPr>
            <w:tcW w:w="11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777E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1,945.61</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3C62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967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F98F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7A31D">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758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ECF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F7C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F32C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DC6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1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D7E76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5A2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B0AC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C839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B7A5A">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44A3F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A3FC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8764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EBE1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2557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1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6A0DA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535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A816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CC23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77224">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1D8B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15"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189E3">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C70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D8F5D">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54CB">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11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C88222">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D11D">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8C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751B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04803">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E147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7" w:hRule="atLeast"/>
        </w:trPr>
        <w:tc>
          <w:tcPr>
            <w:tcW w:w="3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73B7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03EE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177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5A8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2A4B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AB9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5AAA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83B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4F54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0C2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C02F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EE2D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E4F8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DBBD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3AF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BAD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建筑面积</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A01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536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7399.74</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4473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平方米</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BA26E">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F11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644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4FB78">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632AF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BB8A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EA9E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AC1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8EA5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DA9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E7E7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4E1D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C4611">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A94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046B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8102">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11FC9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31E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57A50">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8289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EF60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建筑时间2年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44A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60B9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93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14F8">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6EC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0408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0925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7660B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3261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380B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930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948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724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5C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5C5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B06D6">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2ED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73BA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202B">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19BC8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2EE9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DA09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EE3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C2C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可持续影响教育发展10年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44F4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F1F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7DFC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9284">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5B00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3C3F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C87D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9C25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5"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A8A9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FC1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E48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2FA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师生家长满意度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2AF5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65C7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4EF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C4C0">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33D2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0BE0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C54F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7E609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CCA88">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1F3A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C10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537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投入资金</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1BCD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3298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20703592.19</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183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6C15F">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9314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B9813">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1361">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50B45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371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B103C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64C4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A61BC">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7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B150A">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01581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220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6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F70B1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1D8F8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737D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6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16156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7A8E7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3" w:hRule="atLeast"/>
        </w:trPr>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5F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6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A54CB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7AF95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 w:hRule="atLeast"/>
        </w:trPr>
        <w:tc>
          <w:tcPr>
            <w:tcW w:w="22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D24A2F">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7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8EDAE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bl>
    <w:p w14:paraId="1552AC19">
      <w:pPr>
        <w:pStyle w:val="2"/>
        <w:rPr>
          <w:rFonts w:hint="default"/>
          <w:lang w:val="zh-CN" w:eastAsia="zh-CN"/>
        </w:rPr>
      </w:pPr>
    </w:p>
    <w:tbl>
      <w:tblPr>
        <w:tblStyle w:val="17"/>
        <w:tblW w:w="49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998"/>
        <w:gridCol w:w="45"/>
        <w:gridCol w:w="774"/>
        <w:gridCol w:w="96"/>
        <w:gridCol w:w="1019"/>
        <w:gridCol w:w="155"/>
        <w:gridCol w:w="245"/>
        <w:gridCol w:w="155"/>
        <w:gridCol w:w="835"/>
        <w:gridCol w:w="81"/>
        <w:gridCol w:w="321"/>
        <w:gridCol w:w="79"/>
        <w:gridCol w:w="790"/>
        <w:gridCol w:w="79"/>
        <w:gridCol w:w="411"/>
        <w:gridCol w:w="75"/>
        <w:gridCol w:w="322"/>
        <w:gridCol w:w="74"/>
        <w:gridCol w:w="1296"/>
        <w:gridCol w:w="12"/>
      </w:tblGrid>
      <w:tr w14:paraId="701D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 w:type="pct"/>
          <w:trHeight w:val="1239" w:hRule="atLeast"/>
        </w:trPr>
        <w:tc>
          <w:tcPr>
            <w:tcW w:w="4992"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B2649C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BD9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805" w:hRule="atLeast"/>
        </w:trPr>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53E0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31"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38AF186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51322325T000013677979-高中助学金（中央）</w:t>
            </w:r>
          </w:p>
        </w:tc>
      </w:tr>
      <w:tr w14:paraId="235E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2328" w:hRule="atLeast"/>
        </w:trPr>
        <w:tc>
          <w:tcPr>
            <w:tcW w:w="96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EE80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5A2F6F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茂县教育局</w:t>
            </w:r>
          </w:p>
        </w:tc>
        <w:tc>
          <w:tcPr>
            <w:tcW w:w="513" w:type="pct"/>
            <w:gridSpan w:val="2"/>
            <w:tcBorders>
              <w:top w:val="nil"/>
              <w:left w:val="nil"/>
              <w:bottom w:val="nil"/>
              <w:right w:val="nil"/>
            </w:tcBorders>
            <w:shd w:val="clear" w:color="auto" w:fill="auto"/>
            <w:vAlign w:val="center"/>
          </w:tcPr>
          <w:p w14:paraId="44E8267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3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10695D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茂县中学</w:t>
            </w:r>
          </w:p>
        </w:tc>
      </w:tr>
      <w:tr w14:paraId="2FB72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805" w:hRule="atLeast"/>
        </w:trPr>
        <w:tc>
          <w:tcPr>
            <w:tcW w:w="3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8FBA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8C926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DDDB4D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E7684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A6D6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2328"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E5EFA">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6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84DB5">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218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AFD73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根据阿州财教(2025)9号资金分配高中助学金126万元。切实做好助学金支出，减轻家长负担，让学生在校更加努力学习。</w:t>
            </w:r>
          </w:p>
        </w:tc>
        <w:tc>
          <w:tcPr>
            <w:tcW w:w="184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69976C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636A2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2328"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1B310">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6B11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31" w:type="pct"/>
            <w:gridSpan w:val="17"/>
            <w:tcBorders>
              <w:top w:val="single" w:color="000000" w:sz="4" w:space="0"/>
              <w:left w:val="single" w:color="000000" w:sz="4" w:space="0"/>
              <w:bottom w:val="single" w:color="000000" w:sz="4" w:space="0"/>
              <w:right w:val="single" w:color="000000" w:sz="4" w:space="0"/>
            </w:tcBorders>
            <w:shd w:val="clear" w:color="auto" w:fill="auto"/>
            <w:vAlign w:val="center"/>
          </w:tcPr>
          <w:p w14:paraId="016D0C65">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46B8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566" w:hRule="atLeast"/>
        </w:trPr>
        <w:tc>
          <w:tcPr>
            <w:tcW w:w="3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4DCD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E49F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C523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078E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6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EB98D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E542B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A26B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3BB2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B001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93BE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805"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9611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33C5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019C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BA88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162.09</w:t>
            </w:r>
          </w:p>
        </w:tc>
        <w:tc>
          <w:tcPr>
            <w:tcW w:w="96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F78F0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162.09</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72776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CB10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0AED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B27EF">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E6C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566"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3A8B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D49C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1513C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72C2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162.09</w:t>
            </w:r>
          </w:p>
        </w:tc>
        <w:tc>
          <w:tcPr>
            <w:tcW w:w="96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F913D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162.09</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0A12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FB33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A2CF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F250C">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6AA68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566"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70891">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3748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2BF61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5314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6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AC021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C180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C23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ED0F4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2F164">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7DADA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805"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304C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4538F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61C1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91D0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6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B27B3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4BA9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3DFC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A8924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27F37">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4517A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4200"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27982">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EE59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E1C6F3">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1E980">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96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3F24F">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AB1A0">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BC193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0865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CAC2F">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3A48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90" w:hRule="atLeast"/>
        </w:trPr>
        <w:tc>
          <w:tcPr>
            <w:tcW w:w="3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921B1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ACB48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F108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CCF3F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499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8B4F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65D5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9CD1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38C1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D7AD6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691A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6861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566"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3429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1B44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1E78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8996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学校在校人数</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979D3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BC09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1581</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8B33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81D41">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5DF5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713A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1E57E">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6CD82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566"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02BB3">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C7B7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AE57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FD30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经费使用的合规率</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A0F5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F761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4367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AFFC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3AE85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2223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141B8">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0B46B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480"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956A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02B7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0F57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5E2E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项目实施年度</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9456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205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49CD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6DCA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49E0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C37E4">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7C957">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78F1E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868"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94A5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8714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3D0E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FE41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提高学生积极性，减轻家长负担</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DD5F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9FB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FA01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DFE22">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C519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3DFF18">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D8FAD">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1EC42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502"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A4EB1">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629A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4978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B2B2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学生人数增加</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F4F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1A9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D245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7C753">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06AB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15E5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FA6307">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46E7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65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0C4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9CF6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841C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719D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学生家长满意</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CA1E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F418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7943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1122F">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53F0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66D5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E5647">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5C1AA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13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EE87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3C33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CEF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8DDD0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项目成本控制</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2E43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EB61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w:t>
            </w:r>
          </w:p>
        </w:tc>
        <w:tc>
          <w:tcPr>
            <w:tcW w:w="2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66D5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01996">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2E9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E749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168B7">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20366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933" w:hRule="atLeast"/>
        </w:trPr>
        <w:tc>
          <w:tcPr>
            <w:tcW w:w="3656"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63EC28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FB63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1EE25">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8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8A81A">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5462B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073"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EAE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51"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5812099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7C38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1059"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A012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51"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05FF08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0464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858"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475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51"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45A28A5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08884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 w:type="pct"/>
          <w:trHeight w:val="641" w:hRule="atLeast"/>
        </w:trPr>
        <w:tc>
          <w:tcPr>
            <w:tcW w:w="240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CC0DB8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582"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BB3A7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7D8DA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8" w:hRule="atLeast"/>
        </w:trPr>
        <w:tc>
          <w:tcPr>
            <w:tcW w:w="5000" w:type="pct"/>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64319D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A4FE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9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11152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6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7EE3743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51322325T000012184988-茂县七一民族中学校园餐经费</w:t>
            </w:r>
          </w:p>
        </w:tc>
      </w:tr>
      <w:tr w14:paraId="39082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9" w:hRule="atLeast"/>
        </w:trPr>
        <w:tc>
          <w:tcPr>
            <w:tcW w:w="9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5D57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2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C927C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茂县教育局</w:t>
            </w:r>
          </w:p>
        </w:tc>
        <w:tc>
          <w:tcPr>
            <w:tcW w:w="513" w:type="pct"/>
            <w:gridSpan w:val="2"/>
            <w:tcBorders>
              <w:top w:val="nil"/>
              <w:left w:val="nil"/>
              <w:bottom w:val="nil"/>
              <w:right w:val="nil"/>
            </w:tcBorders>
            <w:shd w:val="clear" w:color="auto" w:fill="auto"/>
            <w:vAlign w:val="center"/>
          </w:tcPr>
          <w:p w14:paraId="15620C6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29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07CBB7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茂县七一民族中学</w:t>
            </w:r>
          </w:p>
        </w:tc>
      </w:tr>
      <w:tr w14:paraId="415A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3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1EEC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12C4D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2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20975D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0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F55E3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FDCA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9FB7">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4C16E">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2256"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C84CF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茂县七一民族中学根据实际情况，国家对家庭经济困难学生生活补助不足部分由学生家长承担，学校代收并上缴茂县财政局统一管理。</w:t>
            </w:r>
          </w:p>
        </w:tc>
        <w:tc>
          <w:tcPr>
            <w:tcW w:w="180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8E8E34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27B9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8C82E">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E2C6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66" w:type="pct"/>
            <w:gridSpan w:val="19"/>
            <w:tcBorders>
              <w:top w:val="single" w:color="000000" w:sz="4" w:space="0"/>
              <w:left w:val="single" w:color="000000" w:sz="4" w:space="0"/>
              <w:bottom w:val="single" w:color="000000" w:sz="4" w:space="0"/>
              <w:right w:val="single" w:color="000000" w:sz="4" w:space="0"/>
            </w:tcBorders>
            <w:shd w:val="clear" w:color="auto" w:fill="auto"/>
            <w:vAlign w:val="center"/>
          </w:tcPr>
          <w:p w14:paraId="64363690">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6E3E9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718C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CBC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63F2F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546E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10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DA3F4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F790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2E49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A40D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C146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12F8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9380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9E1B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83E3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5B9E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297.76</w:t>
            </w:r>
          </w:p>
        </w:tc>
        <w:tc>
          <w:tcPr>
            <w:tcW w:w="110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E81312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297.76</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103B3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B4EA1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25E3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6049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5DA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ACA4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DA4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CBBB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D2CC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238.40</w:t>
            </w:r>
          </w:p>
        </w:tc>
        <w:tc>
          <w:tcPr>
            <w:tcW w:w="110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1FCB1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238.40</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F27B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202A5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A573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01531">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78ED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6C82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A0E8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194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0F57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10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5269CD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B99D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6054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E1E00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F5E28">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675E2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2618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F2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8110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7DE2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59.35</w:t>
            </w:r>
          </w:p>
        </w:tc>
        <w:tc>
          <w:tcPr>
            <w:tcW w:w="110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9FE85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59.35</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F5EB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7BEC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3DBC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5DE25">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4A3BC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38"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9535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D1E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A5BFE">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53D28">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110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F1466E">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ECF6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E4BA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E4DF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7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255CF">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54CAA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8" w:hRule="atLeast"/>
        </w:trPr>
        <w:tc>
          <w:tcPr>
            <w:tcW w:w="3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0E52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2174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7CBCA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5075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27C9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0648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B684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A953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5490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A8F8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DAA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687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891B3">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78C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7E3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D2DE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覆盖学生人数</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704D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9A1E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1345</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494E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DB0E2">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BF30B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4221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FC14A">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492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5AED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69C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114C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5D63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保障学生寄宿生活和营养均衡达标</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1B5A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B0BC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良好</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D97E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2C384">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A903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4C926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BE4B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025E8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B1492">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39FB1">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9D21C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4CF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4B84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907D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071C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AF605A">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D251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2F86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92881">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792D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184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0129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5DBB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A8FF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自缴生活费足额支出</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587F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517A9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BD7DD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C799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B49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15444">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3A13D">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5C056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B58A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B738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0869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6D23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资金规范使用率</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937E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DB03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31E2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A18A1">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B2A3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CFF88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2B0E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2ADD7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4"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57DF0">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AC0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3AFE6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DD72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学生满意度</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781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4680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6557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2F842">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9B98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7C1C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F653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D3E2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D5B8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E18A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4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5D31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6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A556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项目资金成本控制</w:t>
            </w:r>
          </w:p>
        </w:tc>
        <w:tc>
          <w:tcPr>
            <w:tcW w:w="2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454E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3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154A0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2705178.81</w:t>
            </w:r>
          </w:p>
        </w:tc>
        <w:tc>
          <w:tcPr>
            <w:tcW w:w="2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10F0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5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40F3A">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E29E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83B61">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2ABD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60C5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3703"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1827DE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8224A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18611">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7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CCE23">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087AC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237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58"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0D93C1E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13EA8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61E7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58"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B373CA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201AD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9"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809C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58" w:type="pct"/>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D419EE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1930B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9" w:hRule="atLeast"/>
        </w:trPr>
        <w:tc>
          <w:tcPr>
            <w:tcW w:w="231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F2CC8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682"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3B4D19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bl>
    <w:p w14:paraId="06D29871">
      <w:pPr>
        <w:pStyle w:val="2"/>
        <w:rPr>
          <w:rFonts w:hint="default"/>
          <w:lang w:val="zh-CN" w:eastAsia="zh-CN"/>
        </w:rPr>
      </w:pPr>
    </w:p>
    <w:p w14:paraId="5D4578EF">
      <w:pPr>
        <w:rPr>
          <w:rFonts w:hint="default"/>
          <w:lang w:val="zh-CN" w:eastAsia="zh-CN"/>
        </w:rPr>
      </w:pP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67"/>
        <w:gridCol w:w="895"/>
        <w:gridCol w:w="1193"/>
        <w:gridCol w:w="399"/>
        <w:gridCol w:w="847"/>
        <w:gridCol w:w="399"/>
        <w:gridCol w:w="864"/>
        <w:gridCol w:w="486"/>
        <w:gridCol w:w="396"/>
        <w:gridCol w:w="1397"/>
      </w:tblGrid>
      <w:tr w14:paraId="3E28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4D4A2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18C4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9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3560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3B464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51322325T000013678176-茂县凤仪小学生均公用经费中央资金</w:t>
            </w:r>
          </w:p>
        </w:tc>
      </w:tr>
      <w:tr w14:paraId="73D9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9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03EB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65638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茂县教育局</w:t>
            </w:r>
          </w:p>
        </w:tc>
        <w:tc>
          <w:tcPr>
            <w:tcW w:w="506" w:type="pct"/>
            <w:tcBorders>
              <w:top w:val="nil"/>
              <w:left w:val="nil"/>
              <w:bottom w:val="nil"/>
              <w:right w:val="nil"/>
            </w:tcBorders>
            <w:shd w:val="clear" w:color="auto" w:fill="auto"/>
            <w:vAlign w:val="center"/>
          </w:tcPr>
          <w:p w14:paraId="72830EB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3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EED6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茂县凤仪小学校</w:t>
            </w:r>
          </w:p>
        </w:tc>
      </w:tr>
      <w:tr w14:paraId="70F1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10A4C4">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16E4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FEA43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4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E8AB2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085A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E4BAE">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E2341">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21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0BCF3D">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根据川财教159号，阿州财教（2025）9号文件，拨付2025年中央生均公用经费1399440.00元</w:t>
            </w:r>
          </w:p>
        </w:tc>
        <w:tc>
          <w:tcPr>
            <w:tcW w:w="184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537D4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2AB20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73A6D">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E082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43EDFB">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5DEB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1C890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8BC9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06CA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0F3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EC4C1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32A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EC48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0969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9CF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756BC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8CC2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753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CBC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60C3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112.82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5F6E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112.82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35EB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0D0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08DF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F9A9B">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4FA1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09510">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DF60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71A3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6637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112.82</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E620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112.82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D7A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ABD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D73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D63F4">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0CC4D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A47A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CBB5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853F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B15B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616A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3B5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7228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6416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A9B11">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A07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E72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114C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060F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D4E5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69DC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1ED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94F0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7A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C0F37">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CE3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9882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09B0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C4DC0">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E7F20">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96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4BC1F6">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74C7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8243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601C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1735E">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4EE79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9"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4AF9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166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7929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7A7A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BCC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A0D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4B32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371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6C1D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AA15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4AAB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988D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F05E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4961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31F4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194E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学生人数</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1EB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8F70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05EA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人数</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10E23">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394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708C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224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750DE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749D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2604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2EC6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20A8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保障学校办公经费，促进学校工作</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63F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981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良好</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5F5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8CDF">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BCE5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3F1C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E3A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6C31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E236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4AD5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4197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3C4C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按时完成率</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637F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86D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12E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1620">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260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C7DA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6DD1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2D0A1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9"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A2EA1">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A4D5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3723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DA49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生均经费足额支出，保障学校工作正常运行</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595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7C79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74A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3DE4">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5BC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4BA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4416">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1F3D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2982E">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EDB9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188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9EB0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保障学校工作正常运行</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5CF9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689B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255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AB588">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FD2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D064">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3277A">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72BA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6AAC7">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24B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0F8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87E5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学生满意度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60B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1A6B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262C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F4BBF">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6F52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4BD04">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2541F">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1D4D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1"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B43D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DA74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315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7CFF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项目资金额度</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AFD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AB94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1399440</w:t>
            </w:r>
          </w:p>
        </w:tc>
        <w:tc>
          <w:tcPr>
            <w:tcW w:w="2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4B7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元/年</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F0718">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0FCD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11BD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B0B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1C8A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366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D15FE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F79E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58300">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A9ED3">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7506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A577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6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73D8C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00B16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B140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6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62212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5BC4A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8C2D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6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65F5E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72869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24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81D4E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57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2E1EFE">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bl>
    <w:p w14:paraId="25D5B8F5">
      <w:pPr>
        <w:rPr>
          <w:rFonts w:hint="default" w:ascii="Times New Roman" w:hAnsi="Times New Roman" w:cs="Times New Roman"/>
          <w:lang w:val="zh-CN" w:eastAsia="zh-CN"/>
        </w:rPr>
      </w:pPr>
    </w:p>
    <w:tbl>
      <w:tblPr>
        <w:tblStyle w:val="17"/>
        <w:tblW w:w="504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8"/>
        <w:gridCol w:w="1082"/>
        <w:gridCol w:w="910"/>
        <w:gridCol w:w="1207"/>
        <w:gridCol w:w="404"/>
        <w:gridCol w:w="855"/>
        <w:gridCol w:w="402"/>
        <w:gridCol w:w="868"/>
        <w:gridCol w:w="487"/>
        <w:gridCol w:w="396"/>
        <w:gridCol w:w="1410"/>
      </w:tblGrid>
      <w:tr w14:paraId="29762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1"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54C2EB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61BE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9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032F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CBD50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51322323T000009619358-涉藏州县教育补助（保教费）</w:t>
            </w:r>
          </w:p>
        </w:tc>
      </w:tr>
      <w:tr w14:paraId="23D27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9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CBA51">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19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CA420C">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茂县教育局</w:t>
            </w:r>
          </w:p>
        </w:tc>
        <w:tc>
          <w:tcPr>
            <w:tcW w:w="504" w:type="pct"/>
            <w:tcBorders>
              <w:top w:val="nil"/>
              <w:left w:val="nil"/>
              <w:bottom w:val="nil"/>
              <w:right w:val="nil"/>
            </w:tcBorders>
            <w:shd w:val="clear" w:color="auto" w:fill="auto"/>
            <w:vAlign w:val="center"/>
          </w:tcPr>
          <w:p w14:paraId="25E23A73">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33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2E2D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茂县同心幼儿园</w:t>
            </w:r>
          </w:p>
        </w:tc>
      </w:tr>
      <w:tr w14:paraId="07E0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90922">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9A22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19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7ECD5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8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319A8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E65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B83FB">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FD2C4">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219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3FA40">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根据阿州财教（2025）9号文件，茂县同心幼儿园2025春季学期人数714人，分配茂县同心幼儿园学前教育免除保教费428400元。</w:t>
            </w:r>
          </w:p>
        </w:tc>
        <w:tc>
          <w:tcPr>
            <w:tcW w:w="1837"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779CF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对照年度目标，说明相关任务目标的完成情况（100字以内）</w:t>
            </w:r>
          </w:p>
        </w:tc>
      </w:tr>
      <w:tr w14:paraId="31B4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DC113">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731A9">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34"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B40ED3">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1730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4AF3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BB4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7AF8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73C4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9004A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7ECB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147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5235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B07B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414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8DB1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65F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C7FE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782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42.83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5813E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42.83</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C08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416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6571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574A36">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6BA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CF2B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CE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5BE2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CEEE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42.83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FAC7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42.83</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4CB5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5A9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BB5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8234B">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021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02DB5">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21BF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24F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0765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AE4B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3E7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2128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EBB5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B5F1D">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48ECE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C37E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AEB0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59BB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6B0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9AFD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73123">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A4C0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0537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3ECC5">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7B61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0"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F56F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60B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0F77">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CA8D3">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15B886">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29F33">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1938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339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7CB35">
            <w:pPr>
              <w:pageBreakBefore w:val="0"/>
              <w:kinsoku/>
              <w:wordWrap/>
              <w:overflowPunct/>
              <w:topLinePunct w:val="0"/>
              <w:bidi w:val="0"/>
              <w:spacing w:line="576" w:lineRule="exact"/>
              <w:rPr>
                <w:rFonts w:hint="default" w:ascii="Times New Roman" w:hAnsi="Times New Roman" w:eastAsia="黑体" w:cs="Times New Roman"/>
                <w:i w:val="0"/>
                <w:iCs w:val="0"/>
                <w:color w:val="000000"/>
                <w:sz w:val="18"/>
                <w:szCs w:val="18"/>
                <w:u w:val="none"/>
              </w:rPr>
            </w:pPr>
          </w:p>
        </w:tc>
      </w:tr>
      <w:tr w14:paraId="1635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3" w:hRule="atLeast"/>
        </w:trPr>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142F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0DD6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2D47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116F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2BC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CDF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2C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7F8F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6FF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997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C3C1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2CD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EEB88">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D553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507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522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714名在园幼儿</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F479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9592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714</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BC3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F117">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A5D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7D4F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FC37C">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049B6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82AC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B30C8">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6269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0D0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2025年按时完成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0B42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C79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115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FE831">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FEC2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751C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6625D">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471D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ACEF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127584">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CB88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71F9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保障幼儿园保育、教育正常开展</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F31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782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724A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AEA54">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D6DF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B3DA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23A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0B23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0BE62">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D14FB">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B1B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bookmarkStart w:id="137" w:name="_GoBack"/>
            <w:bookmarkEnd w:id="137"/>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A44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幼儿保教费保障幼儿园的正常运转</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E7C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FA3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432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8EFC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1ACF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D386">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C73E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534B1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8357F">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7670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C2FA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8639">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家长学生的满意度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1AD2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17C4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0C42">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8E054">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A97A">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0B91C">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DB816">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25F6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833AA">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EB6F1">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8C6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336FB">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EF008">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5F5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2D5CF">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050E5">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E421">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E2B9">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0EDA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3233B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2" w:hRule="atLeast"/>
        </w:trPr>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2B314">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8C02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5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2DB16">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社会成本指标</w:t>
            </w:r>
          </w:p>
        </w:tc>
        <w:tc>
          <w:tcPr>
            <w:tcW w:w="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CC48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项目支出资金保障</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ADC5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78CDC">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428400</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3B9AD">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元/年</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1AC84">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0DFF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1223D">
            <w:pPr>
              <w:pageBreakBefore w:val="0"/>
              <w:kinsoku/>
              <w:wordWrap/>
              <w:overflowPunct/>
              <w:topLinePunct w:val="0"/>
              <w:bidi w:val="0"/>
              <w:spacing w:line="576" w:lineRule="exact"/>
              <w:jc w:val="center"/>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AFD9">
            <w:pPr>
              <w:pageBreakBefore w:val="0"/>
              <w:kinsoku/>
              <w:wordWrap/>
              <w:overflowPunct/>
              <w:topLinePunct w:val="0"/>
              <w:bidi w:val="0"/>
              <w:spacing w:line="576" w:lineRule="exact"/>
              <w:jc w:val="center"/>
              <w:rPr>
                <w:rFonts w:hint="default" w:ascii="Times New Roman" w:hAnsi="Times New Roman" w:eastAsia="微软雅黑" w:cs="Times New Roman"/>
                <w:i w:val="0"/>
                <w:iCs w:val="0"/>
                <w:color w:val="000000"/>
                <w:sz w:val="16"/>
                <w:szCs w:val="16"/>
                <w:u w:val="none"/>
              </w:rPr>
            </w:pPr>
          </w:p>
        </w:tc>
      </w:tr>
      <w:tr w14:paraId="553F7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1" w:hRule="atLeast"/>
        </w:trPr>
        <w:tc>
          <w:tcPr>
            <w:tcW w:w="366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1AFD8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6F827">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A9785">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61C9B">
            <w:pPr>
              <w:pageBreakBefore w:val="0"/>
              <w:kinsoku/>
              <w:wordWrap/>
              <w:overflowPunct/>
              <w:topLinePunct w:val="0"/>
              <w:bidi w:val="0"/>
              <w:spacing w:line="576" w:lineRule="exact"/>
              <w:rPr>
                <w:rFonts w:hint="default" w:ascii="Times New Roman" w:hAnsi="Times New Roman" w:eastAsia="宋体" w:cs="Times New Roman"/>
                <w:i w:val="0"/>
                <w:iCs w:val="0"/>
                <w:color w:val="000000"/>
                <w:sz w:val="18"/>
                <w:szCs w:val="18"/>
                <w:u w:val="none"/>
              </w:rPr>
            </w:pPr>
          </w:p>
        </w:tc>
      </w:tr>
      <w:tr w14:paraId="30494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A6D75">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66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A33EE5">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结合自评情况，说明项目自评总分，说明项目实施取得的成效或成果。（200字以内）</w:t>
            </w:r>
          </w:p>
        </w:tc>
      </w:tr>
      <w:tr w14:paraId="6220B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177E">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66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75D50A">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结合自评情况，分析存在的问题及原因。（200字以内）</w:t>
            </w:r>
          </w:p>
        </w:tc>
      </w:tr>
      <w:tr w14:paraId="3A10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1" w:hRule="atLeast"/>
        </w:trPr>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6D220">
            <w:pPr>
              <w:keepNext w:val="0"/>
              <w:keepLines w:val="0"/>
              <w:pageBreakBefore w:val="0"/>
              <w:widowControl/>
              <w:suppressLineNumbers w:val="0"/>
              <w:kinsoku/>
              <w:wordWrap/>
              <w:overflowPunct/>
              <w:topLinePunct w:val="0"/>
              <w:bidi w:val="0"/>
              <w:spacing w:line="576"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663"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13E228">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微软雅黑" w:cs="Times New Roman"/>
                <w:i w:val="0"/>
                <w:iCs w:val="0"/>
                <w:color w:val="000000"/>
                <w:sz w:val="16"/>
                <w:szCs w:val="16"/>
                <w:u w:val="none"/>
              </w:rPr>
            </w:pPr>
            <w:r>
              <w:rPr>
                <w:rFonts w:hint="default" w:ascii="Times New Roman" w:hAnsi="Times New Roman" w:eastAsia="微软雅黑" w:cs="Times New Roman"/>
                <w:i w:val="0"/>
                <w:iCs w:val="0"/>
                <w:color w:val="000000"/>
                <w:kern w:val="0"/>
                <w:sz w:val="16"/>
                <w:szCs w:val="16"/>
                <w:u w:val="none"/>
                <w:lang w:val="en-US" w:eastAsia="zh-CN" w:bidi="ar"/>
              </w:rPr>
              <w:t>针对项目自评中发现的问题，提出下一步改进完善的意见及有关政策性建议。（200字以内）</w:t>
            </w:r>
          </w:p>
        </w:tc>
      </w:tr>
      <w:tr w14:paraId="122A8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trPr>
        <w:tc>
          <w:tcPr>
            <w:tcW w:w="243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B39CD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56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63B8B7">
            <w:pPr>
              <w:keepNext w:val="0"/>
              <w:keepLines w:val="0"/>
              <w:pageBreakBefore w:val="0"/>
              <w:widowControl/>
              <w:suppressLineNumbers w:val="0"/>
              <w:kinsoku/>
              <w:wordWrap/>
              <w:overflowPunct/>
              <w:topLinePunct w:val="0"/>
              <w:bidi w:val="0"/>
              <w:spacing w:line="576" w:lineRule="exact"/>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bl>
    <w:p w14:paraId="30C12713">
      <w:pPr>
        <w:pStyle w:val="2"/>
        <w:rPr>
          <w:rFonts w:hint="default" w:ascii="Times New Roman" w:hAnsi="Times New Roman" w:cs="Times New Roman"/>
          <w:lang w:val="en-US" w:eastAsia="zh-CN"/>
        </w:rPr>
      </w:pPr>
    </w:p>
    <w:p w14:paraId="1B48B7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109"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41619C61">
      <w:pPr>
        <w:pStyle w:val="2"/>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附件2</w:t>
      </w:r>
    </w:p>
    <w:p w14:paraId="1F34A90F">
      <w:pPr>
        <w:jc w:val="center"/>
        <w:rPr>
          <w:rFonts w:hint="eastAsia" w:ascii="方正小标宋简体" w:hAnsi="方正小标宋简体" w:eastAsia="方正小标宋简体" w:cs="方正小标宋简体"/>
          <w:b w:val="0"/>
          <w:bCs w:val="0"/>
          <w:kern w:val="0"/>
          <w:position w:val="0"/>
          <w:sz w:val="44"/>
          <w:szCs w:val="44"/>
          <w:highlight w:val="none"/>
          <w:lang w:val="en-US" w:eastAsia="zh-CN" w:bidi="ar-SA"/>
        </w:rPr>
      </w:pPr>
      <w:r>
        <w:rPr>
          <w:rFonts w:hint="eastAsia" w:ascii="方正小标宋简体" w:hAnsi="方正小标宋简体" w:eastAsia="方正小标宋简体" w:cs="方正小标宋简体"/>
          <w:b w:val="0"/>
          <w:bCs w:val="0"/>
          <w:kern w:val="0"/>
          <w:position w:val="0"/>
          <w:sz w:val="44"/>
          <w:szCs w:val="44"/>
          <w:highlight w:val="none"/>
          <w:lang w:val="en-US" w:eastAsia="zh-CN" w:bidi="ar-SA"/>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661FD4AC">
      <w:pPr>
        <w:rPr>
          <w:rFonts w:hint="default" w:ascii="Times New Roman" w:hAnsi="Times New Roman" w:eastAsia="仿宋_GB2312" w:cs="Times New Roman"/>
          <w:b w:val="0"/>
          <w:bCs w:val="0"/>
          <w:kern w:val="0"/>
          <w:position w:val="0"/>
          <w:sz w:val="32"/>
          <w:szCs w:val="32"/>
          <w:highlight w:val="none"/>
          <w:lang w:val="en-US" w:eastAsia="zh-CN" w:bidi="ar-SA"/>
        </w:rPr>
      </w:pPr>
    </w:p>
    <w:p w14:paraId="0088CA74">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5111AA29">
      <w:pPr>
        <w:rPr>
          <w:rFonts w:hint="default" w:ascii="Times New Roman" w:hAnsi="Times New Roman" w:eastAsia="仿宋_GB2312" w:cs="Times New Roman"/>
          <w:b w:val="0"/>
          <w:bCs w:val="0"/>
          <w:kern w:val="0"/>
          <w:position w:val="0"/>
          <w:sz w:val="32"/>
          <w:szCs w:val="32"/>
          <w:highlight w:val="none"/>
          <w:lang w:val="en-US" w:eastAsia="zh-CN" w:bidi="ar-SA"/>
        </w:rPr>
      </w:pPr>
    </w:p>
    <w:p w14:paraId="399B1480">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6CC593F8">
      <w:pPr>
        <w:rPr>
          <w:rFonts w:hint="default" w:ascii="Times New Roman" w:hAnsi="Times New Roman" w:eastAsia="仿宋_GB2312" w:cs="Times New Roman"/>
          <w:b w:val="0"/>
          <w:bCs w:val="0"/>
          <w:kern w:val="0"/>
          <w:position w:val="0"/>
          <w:sz w:val="32"/>
          <w:szCs w:val="32"/>
          <w:highlight w:val="none"/>
          <w:lang w:val="en-US" w:eastAsia="zh-CN" w:bidi="ar-SA"/>
        </w:rPr>
      </w:pPr>
    </w:p>
    <w:p w14:paraId="051CD1AF">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2A0F80FA">
      <w:pPr>
        <w:rPr>
          <w:rFonts w:hint="default" w:ascii="Times New Roman" w:hAnsi="Times New Roman" w:eastAsia="仿宋_GB2312" w:cs="Times New Roman"/>
          <w:b w:val="0"/>
          <w:bCs w:val="0"/>
          <w:kern w:val="0"/>
          <w:position w:val="0"/>
          <w:sz w:val="32"/>
          <w:szCs w:val="32"/>
          <w:highlight w:val="none"/>
          <w:lang w:val="en-US" w:eastAsia="zh-CN" w:bidi="ar-SA"/>
        </w:rPr>
      </w:pPr>
    </w:p>
    <w:p w14:paraId="65509B61">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6DAB986E">
      <w:pPr>
        <w:rPr>
          <w:rFonts w:hint="default" w:ascii="Times New Roman" w:hAnsi="Times New Roman" w:eastAsia="仿宋_GB2312" w:cs="Times New Roman"/>
          <w:b w:val="0"/>
          <w:bCs w:val="0"/>
          <w:kern w:val="0"/>
          <w:position w:val="0"/>
          <w:sz w:val="32"/>
          <w:szCs w:val="32"/>
          <w:highlight w:val="none"/>
          <w:lang w:val="en-US" w:eastAsia="zh-CN" w:bidi="ar-SA"/>
        </w:rPr>
      </w:pPr>
    </w:p>
    <w:p w14:paraId="5EEA08E7">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38315012">
      <w:pPr>
        <w:rPr>
          <w:rFonts w:hint="default" w:ascii="Times New Roman" w:hAnsi="Times New Roman" w:eastAsia="仿宋_GB2312" w:cs="Times New Roman"/>
          <w:b w:val="0"/>
          <w:bCs w:val="0"/>
          <w:kern w:val="0"/>
          <w:position w:val="0"/>
          <w:sz w:val="32"/>
          <w:szCs w:val="32"/>
          <w:highlight w:val="none"/>
          <w:lang w:val="en-US" w:eastAsia="zh-CN" w:bidi="ar-SA"/>
        </w:rPr>
      </w:pPr>
    </w:p>
    <w:p w14:paraId="7B87ADE9">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0FB7A4C7">
      <w:pPr>
        <w:pStyle w:val="2"/>
        <w:rPr>
          <w:rFonts w:hint="default"/>
          <w:lang w:val="en-US" w:eastAsia="zh-CN"/>
        </w:rPr>
      </w:pPr>
    </w:p>
    <w:p w14:paraId="2FC1FDEE">
      <w:pPr>
        <w:rPr>
          <w:rFonts w:hint="default"/>
          <w:lang w:val="en-US" w:eastAsia="zh-CN"/>
        </w:rPr>
      </w:pPr>
    </w:p>
    <w:p w14:paraId="4790382F">
      <w:pPr>
        <w:keepNext w:val="0"/>
        <w:keepLines w:val="0"/>
        <w:pageBreakBefore w:val="0"/>
        <w:widowControl/>
        <w:kinsoku/>
        <w:wordWrap/>
        <w:overflowPunct/>
        <w:topLinePunct w:val="0"/>
        <w:autoSpaceDE/>
        <w:autoSpaceDN/>
        <w:bidi w:val="0"/>
        <w:adjustRightInd/>
        <w:snapToGrid/>
        <w:spacing w:line="576" w:lineRule="exact"/>
        <w:jc w:val="center"/>
        <w:textAlignment w:val="auto"/>
        <w:outlineLvl w:val="0"/>
        <w:rPr>
          <w:rFonts w:hint="eastAsia" w:ascii="方正小标宋简体" w:hAnsi="方正小标宋简体" w:eastAsia="方正小标宋简体" w:cs="方正小标宋简体"/>
          <w:b w:val="0"/>
          <w:color w:val="auto"/>
          <w:sz w:val="44"/>
          <w:szCs w:val="44"/>
          <w:highlight w:val="none"/>
        </w:rPr>
      </w:pPr>
      <w:bookmarkStart w:id="110" w:name="_Toc305949330"/>
      <w:r>
        <w:rPr>
          <w:rFonts w:hint="eastAsia" w:ascii="方正小标宋简体" w:hAnsi="方正小标宋简体" w:eastAsia="方正小标宋简体" w:cs="方正小标宋简体"/>
          <w:color w:val="auto"/>
          <w:sz w:val="44"/>
          <w:szCs w:val="44"/>
          <w:highlight w:val="none"/>
        </w:rPr>
        <w:t>第</w:t>
      </w:r>
      <w:r>
        <w:rPr>
          <w:rStyle w:val="29"/>
          <w:rFonts w:hint="eastAsia" w:ascii="方正小标宋简体" w:hAnsi="方正小标宋简体" w:eastAsia="方正小标宋简体" w:cs="方正小标宋简体"/>
          <w:b w:val="0"/>
          <w:color w:val="auto"/>
          <w:sz w:val="44"/>
          <w:szCs w:val="44"/>
          <w:highlight w:val="none"/>
        </w:rPr>
        <w:t>五部分</w:t>
      </w:r>
      <w:r>
        <w:rPr>
          <w:rStyle w:val="29"/>
          <w:rFonts w:hint="eastAsia" w:ascii="方正小标宋简体" w:hAnsi="方正小标宋简体" w:eastAsia="方正小标宋简体" w:cs="方正小标宋简体"/>
          <w:b w:val="0"/>
          <w:color w:val="auto"/>
          <w:sz w:val="44"/>
          <w:szCs w:val="44"/>
          <w:highlight w:val="none"/>
          <w:lang w:val="en-US" w:eastAsia="zh-CN"/>
        </w:rPr>
        <w:t xml:space="preserve"> </w:t>
      </w:r>
      <w:r>
        <w:rPr>
          <w:rStyle w:val="29"/>
          <w:rFonts w:hint="eastAsia" w:ascii="方正小标宋简体" w:hAnsi="方正小标宋简体" w:eastAsia="方正小标宋简体" w:cs="方正小标宋简体"/>
          <w:b w:val="0"/>
          <w:color w:val="auto"/>
          <w:sz w:val="44"/>
          <w:szCs w:val="44"/>
          <w:highlight w:val="none"/>
        </w:rPr>
        <w:t xml:space="preserve"> 附表</w:t>
      </w:r>
      <w:bookmarkEnd w:id="102"/>
      <w:bookmarkEnd w:id="109"/>
      <w:bookmarkEnd w:id="110"/>
      <w:bookmarkStart w:id="111" w:name="_Toc15396619"/>
    </w:p>
    <w:p w14:paraId="738F98F7">
      <w:pPr>
        <w:pStyle w:val="16"/>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仿宋_GB2312" w:cs="Times New Roman"/>
          <w:color w:val="auto"/>
          <w:sz w:val="32"/>
          <w:szCs w:val="32"/>
          <w:highlight w:val="none"/>
        </w:rPr>
      </w:pPr>
    </w:p>
    <w:p w14:paraId="6CBEB092">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12" w:name="_Toc50402580"/>
      <w:r>
        <w:rPr>
          <w:rFonts w:hint="eastAsia" w:ascii="仿宋_GB2312" w:hAnsi="仿宋_GB2312" w:eastAsia="仿宋_GB2312" w:cs="仿宋_GB2312"/>
          <w:color w:val="auto"/>
          <w:sz w:val="32"/>
          <w:szCs w:val="32"/>
          <w:highlight w:val="none"/>
        </w:rPr>
        <w:t>一、收入支出决算总表</w:t>
      </w:r>
      <w:bookmarkEnd w:id="111"/>
      <w:bookmarkEnd w:id="112"/>
    </w:p>
    <w:p w14:paraId="41341B47">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13" w:name="_Toc255290352"/>
      <w:bookmarkStart w:id="114" w:name="_Toc15396620"/>
      <w:r>
        <w:rPr>
          <w:rFonts w:hint="eastAsia" w:ascii="仿宋_GB2312" w:hAnsi="仿宋_GB2312" w:eastAsia="仿宋_GB2312" w:cs="仿宋_GB2312"/>
          <w:color w:val="auto"/>
          <w:sz w:val="32"/>
          <w:szCs w:val="32"/>
          <w:highlight w:val="none"/>
        </w:rPr>
        <w:t>二、收入决算表</w:t>
      </w:r>
      <w:bookmarkEnd w:id="113"/>
      <w:bookmarkEnd w:id="114"/>
    </w:p>
    <w:p w14:paraId="2B9BB38A">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15" w:name="_Toc1676405257"/>
      <w:bookmarkStart w:id="116" w:name="_Toc15396621"/>
      <w:r>
        <w:rPr>
          <w:rFonts w:hint="eastAsia" w:ascii="仿宋_GB2312" w:hAnsi="仿宋_GB2312" w:eastAsia="仿宋_GB2312" w:cs="仿宋_GB2312"/>
          <w:color w:val="auto"/>
          <w:sz w:val="32"/>
          <w:szCs w:val="32"/>
          <w:highlight w:val="none"/>
        </w:rPr>
        <w:t>三、支出决算表</w:t>
      </w:r>
      <w:bookmarkEnd w:id="115"/>
      <w:bookmarkEnd w:id="116"/>
    </w:p>
    <w:p w14:paraId="694F1BF4">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17" w:name="_Toc15396622"/>
      <w:bookmarkStart w:id="118" w:name="_Toc539420109"/>
      <w:r>
        <w:rPr>
          <w:rFonts w:hint="eastAsia" w:ascii="仿宋_GB2312" w:hAnsi="仿宋_GB2312" w:eastAsia="仿宋_GB2312" w:cs="仿宋_GB2312"/>
          <w:color w:val="auto"/>
          <w:sz w:val="32"/>
          <w:szCs w:val="32"/>
          <w:highlight w:val="none"/>
        </w:rPr>
        <w:t>四、财政拨款收入支出决算总表</w:t>
      </w:r>
      <w:bookmarkEnd w:id="117"/>
      <w:bookmarkEnd w:id="118"/>
    </w:p>
    <w:p w14:paraId="22A50D26">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19" w:name="_Toc15396623"/>
      <w:bookmarkStart w:id="120" w:name="_Toc541490748"/>
      <w:r>
        <w:rPr>
          <w:rFonts w:hint="eastAsia" w:ascii="仿宋_GB2312" w:hAnsi="仿宋_GB2312" w:eastAsia="仿宋_GB2312" w:cs="仿宋_GB2312"/>
          <w:color w:val="auto"/>
          <w:sz w:val="32"/>
          <w:szCs w:val="32"/>
          <w:highlight w:val="none"/>
        </w:rPr>
        <w:t>五、财政拨款支出决算明细表</w:t>
      </w:r>
      <w:bookmarkEnd w:id="119"/>
      <w:bookmarkEnd w:id="120"/>
      <w:bookmarkStart w:id="121" w:name="_Toc15396624"/>
    </w:p>
    <w:p w14:paraId="1E5A1DDE">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22" w:name="_Toc15543396"/>
      <w:r>
        <w:rPr>
          <w:rFonts w:hint="eastAsia" w:ascii="仿宋_GB2312" w:hAnsi="仿宋_GB2312" w:eastAsia="仿宋_GB2312" w:cs="仿宋_GB2312"/>
          <w:color w:val="auto"/>
          <w:sz w:val="32"/>
          <w:szCs w:val="32"/>
          <w:highlight w:val="none"/>
        </w:rPr>
        <w:t>六、一般公共预算财政拨款支出决算表</w:t>
      </w:r>
      <w:bookmarkEnd w:id="121"/>
      <w:bookmarkEnd w:id="122"/>
    </w:p>
    <w:p w14:paraId="0CD97104">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23" w:name="_Toc1556181849"/>
      <w:bookmarkStart w:id="124" w:name="_Toc15396625"/>
      <w:r>
        <w:rPr>
          <w:rFonts w:hint="eastAsia" w:ascii="仿宋_GB2312" w:hAnsi="仿宋_GB2312" w:eastAsia="仿宋_GB2312" w:cs="仿宋_GB2312"/>
          <w:color w:val="auto"/>
          <w:sz w:val="32"/>
          <w:szCs w:val="32"/>
          <w:highlight w:val="none"/>
        </w:rPr>
        <w:t>七、一般公共预算财政拨款支出决算明细表</w:t>
      </w:r>
      <w:bookmarkEnd w:id="123"/>
      <w:bookmarkEnd w:id="124"/>
    </w:p>
    <w:p w14:paraId="2805868B">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25" w:name="_Toc765168743"/>
      <w:bookmarkStart w:id="126" w:name="_Toc15396626"/>
      <w:r>
        <w:rPr>
          <w:rFonts w:hint="eastAsia" w:ascii="仿宋_GB2312" w:hAnsi="仿宋_GB2312" w:eastAsia="仿宋_GB2312" w:cs="仿宋_GB2312"/>
          <w:color w:val="auto"/>
          <w:sz w:val="32"/>
          <w:szCs w:val="32"/>
          <w:highlight w:val="none"/>
        </w:rPr>
        <w:t>八、一般公共预算财政拨款基本支出决算表</w:t>
      </w:r>
      <w:bookmarkEnd w:id="125"/>
      <w:bookmarkEnd w:id="126"/>
    </w:p>
    <w:p w14:paraId="31CB1082">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27" w:name="_Toc955027032"/>
      <w:bookmarkStart w:id="128" w:name="_Toc15396627"/>
      <w:r>
        <w:rPr>
          <w:rFonts w:hint="eastAsia" w:ascii="仿宋_GB2312" w:hAnsi="仿宋_GB2312" w:eastAsia="仿宋_GB2312" w:cs="仿宋_GB2312"/>
          <w:color w:val="auto"/>
          <w:sz w:val="32"/>
          <w:szCs w:val="32"/>
          <w:highlight w:val="none"/>
        </w:rPr>
        <w:t>九、一般公共预算财政拨款项目支出决算表</w:t>
      </w:r>
      <w:bookmarkEnd w:id="127"/>
      <w:bookmarkEnd w:id="128"/>
    </w:p>
    <w:p w14:paraId="73B540A3">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29" w:name="_Toc15396628"/>
      <w:bookmarkStart w:id="130" w:name="_Toc1642547300"/>
      <w:r>
        <w:rPr>
          <w:rFonts w:hint="eastAsia" w:ascii="仿宋_GB2312" w:hAnsi="仿宋_GB2312" w:eastAsia="仿宋_GB2312" w:cs="仿宋_GB2312"/>
          <w:color w:val="auto"/>
          <w:sz w:val="32"/>
          <w:szCs w:val="32"/>
          <w:highlight w:val="none"/>
        </w:rPr>
        <w:t>十、</w:t>
      </w:r>
      <w:bookmarkEnd w:id="129"/>
      <w:r>
        <w:rPr>
          <w:rFonts w:hint="eastAsia" w:ascii="仿宋_GB2312" w:hAnsi="仿宋_GB2312" w:eastAsia="仿宋_GB2312" w:cs="仿宋_GB2312"/>
          <w:color w:val="auto"/>
          <w:sz w:val="32"/>
          <w:szCs w:val="32"/>
          <w:highlight w:val="none"/>
        </w:rPr>
        <w:t>政府性基金预算财政拨款收入支出决算表</w:t>
      </w:r>
      <w:bookmarkEnd w:id="130"/>
    </w:p>
    <w:p w14:paraId="6AA3D247">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31" w:name="_Toc15396629"/>
      <w:bookmarkStart w:id="132" w:name="_Toc1815224340"/>
      <w:r>
        <w:rPr>
          <w:rFonts w:hint="eastAsia" w:ascii="仿宋_GB2312" w:hAnsi="仿宋_GB2312" w:eastAsia="仿宋_GB2312" w:cs="仿宋_GB2312"/>
          <w:color w:val="auto"/>
          <w:sz w:val="32"/>
          <w:szCs w:val="32"/>
          <w:highlight w:val="none"/>
        </w:rPr>
        <w:t>十一、</w:t>
      </w:r>
      <w:bookmarkEnd w:id="131"/>
      <w:r>
        <w:rPr>
          <w:rFonts w:hint="eastAsia" w:ascii="仿宋_GB2312" w:hAnsi="仿宋_GB2312" w:eastAsia="仿宋_GB2312" w:cs="仿宋_GB2312"/>
          <w:color w:val="auto"/>
          <w:sz w:val="32"/>
          <w:szCs w:val="32"/>
          <w:highlight w:val="none"/>
        </w:rPr>
        <w:t>国有资本经营预算</w:t>
      </w:r>
      <w:r>
        <w:rPr>
          <w:rFonts w:hint="eastAsia" w:ascii="仿宋_GB2312" w:hAnsi="仿宋_GB2312" w:eastAsia="仿宋_GB2312" w:cs="仿宋_GB2312"/>
          <w:color w:val="auto"/>
          <w:sz w:val="32"/>
          <w:szCs w:val="32"/>
          <w:highlight w:val="none"/>
          <w:lang w:eastAsia="zh-CN"/>
        </w:rPr>
        <w:t>财政拨款收入</w:t>
      </w:r>
      <w:r>
        <w:rPr>
          <w:rFonts w:hint="eastAsia" w:ascii="仿宋_GB2312" w:hAnsi="仿宋_GB2312" w:eastAsia="仿宋_GB2312" w:cs="仿宋_GB2312"/>
          <w:color w:val="auto"/>
          <w:sz w:val="32"/>
          <w:szCs w:val="32"/>
          <w:highlight w:val="none"/>
        </w:rPr>
        <w:t>支出决算表</w:t>
      </w:r>
      <w:bookmarkEnd w:id="132"/>
    </w:p>
    <w:p w14:paraId="3F6D2434">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rPr>
      </w:pPr>
      <w:bookmarkStart w:id="133" w:name="_Toc15396630"/>
      <w:bookmarkStart w:id="134" w:name="_Toc594534740"/>
      <w:r>
        <w:rPr>
          <w:rFonts w:hint="eastAsia" w:ascii="仿宋_GB2312" w:hAnsi="仿宋_GB2312" w:eastAsia="仿宋_GB2312" w:cs="仿宋_GB2312"/>
          <w:color w:val="auto"/>
          <w:sz w:val="32"/>
          <w:szCs w:val="32"/>
          <w:highlight w:val="none"/>
        </w:rPr>
        <w:t>十二、</w:t>
      </w:r>
      <w:bookmarkEnd w:id="133"/>
      <w:r>
        <w:rPr>
          <w:rFonts w:hint="eastAsia" w:ascii="仿宋_GB2312" w:hAnsi="仿宋_GB2312" w:eastAsia="仿宋_GB2312" w:cs="仿宋_GB2312"/>
          <w:color w:val="auto"/>
          <w:sz w:val="32"/>
          <w:szCs w:val="32"/>
          <w:highlight w:val="none"/>
          <w:lang w:eastAsia="zh-CN"/>
        </w:rPr>
        <w:t>国有资本经营预算财政拨款支出决算表</w:t>
      </w:r>
      <w:bookmarkEnd w:id="134"/>
    </w:p>
    <w:p w14:paraId="7514DAD0">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outlineLvl w:val="1"/>
        <w:rPr>
          <w:rFonts w:hint="eastAsia" w:ascii="仿宋_GB2312" w:hAnsi="仿宋_GB2312" w:eastAsia="仿宋_GB2312" w:cs="仿宋_GB2312"/>
          <w:color w:val="auto"/>
          <w:sz w:val="32"/>
          <w:szCs w:val="32"/>
          <w:highlight w:val="none"/>
          <w:lang w:eastAsia="zh-CN"/>
        </w:rPr>
      </w:pPr>
      <w:bookmarkStart w:id="135" w:name="_Toc15396631"/>
      <w:bookmarkStart w:id="136" w:name="_Toc71683003"/>
      <w:r>
        <w:rPr>
          <w:rFonts w:hint="eastAsia" w:ascii="仿宋_GB2312" w:hAnsi="仿宋_GB2312" w:eastAsia="仿宋_GB2312" w:cs="仿宋_GB2312"/>
          <w:color w:val="auto"/>
          <w:sz w:val="32"/>
          <w:szCs w:val="32"/>
          <w:highlight w:val="none"/>
        </w:rPr>
        <w:t>十三、</w:t>
      </w:r>
      <w:bookmarkEnd w:id="135"/>
      <w:r>
        <w:rPr>
          <w:rFonts w:hint="eastAsia" w:ascii="仿宋_GB2312" w:hAnsi="仿宋_GB2312" w:eastAsia="仿宋_GB2312" w:cs="仿宋_GB2312"/>
          <w:color w:val="auto"/>
          <w:sz w:val="32"/>
          <w:szCs w:val="32"/>
          <w:highlight w:val="none"/>
          <w:lang w:eastAsia="zh-CN"/>
        </w:rPr>
        <w:t>财政拨款“三公”经费支出决算表</w:t>
      </w:r>
      <w:bookmarkEnd w:id="136"/>
    </w:p>
    <w:p w14:paraId="5C4AA3FD">
      <w:pPr>
        <w:keepNext w:val="0"/>
        <w:keepLines w:val="0"/>
        <w:pageBreakBefore w:val="0"/>
        <w:kinsoku/>
        <w:wordWrap/>
        <w:overflowPunct/>
        <w:topLinePunct w:val="0"/>
        <w:autoSpaceDE/>
        <w:autoSpaceDN/>
        <w:bidi w:val="0"/>
        <w:spacing w:line="576" w:lineRule="exact"/>
        <w:textAlignment w:val="auto"/>
        <w:rPr>
          <w:rFonts w:hint="eastAsia" w:ascii="黑体" w:hAnsi="黑体" w:eastAsia="黑体" w:cs="黑体"/>
          <w:sz w:val="32"/>
          <w:szCs w:val="32"/>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068B6">
    <w:pPr>
      <w:pStyle w:val="11"/>
      <w:jc w:val="center"/>
    </w:pPr>
  </w:p>
  <w:p w14:paraId="5FFFFA8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9E43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C56C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23C56C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2E55F">
    <w:pPr>
      <w:pStyle w:val="11"/>
      <w:jc w:val="center"/>
    </w:pPr>
  </w:p>
  <w:p w14:paraId="3B729E07">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B320F">
    <w:pPr>
      <w:pStyle w:val="11"/>
      <w:jc w:val="center"/>
    </w:pPr>
  </w:p>
  <w:p w14:paraId="1F6187D8">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E3854">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801CD">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53801CD">
                    <w:pPr>
                      <w:pStyle w:val="11"/>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p w14:paraId="2CCD4087">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5842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BA16B"/>
    <w:multiLevelType w:val="singleLevel"/>
    <w:tmpl w:val="EEBBA16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kMDUyMWY0ZDI3OWI0YzJlYjUzMzc2Yzg0NDYzYz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993A16"/>
    <w:rsid w:val="01FB2F91"/>
    <w:rsid w:val="02317B1B"/>
    <w:rsid w:val="02FEBE30"/>
    <w:rsid w:val="048B418C"/>
    <w:rsid w:val="0535675D"/>
    <w:rsid w:val="061E35DE"/>
    <w:rsid w:val="066E0107"/>
    <w:rsid w:val="07996F6E"/>
    <w:rsid w:val="07DFD8BA"/>
    <w:rsid w:val="08AF5C17"/>
    <w:rsid w:val="08DB07E4"/>
    <w:rsid w:val="08FE129F"/>
    <w:rsid w:val="09867E8F"/>
    <w:rsid w:val="09F204B1"/>
    <w:rsid w:val="0A2032A3"/>
    <w:rsid w:val="0C6C4794"/>
    <w:rsid w:val="0CA8290A"/>
    <w:rsid w:val="0D35B1ED"/>
    <w:rsid w:val="0DE07E2B"/>
    <w:rsid w:val="0F98263C"/>
    <w:rsid w:val="101860EC"/>
    <w:rsid w:val="10C055FF"/>
    <w:rsid w:val="11772AA4"/>
    <w:rsid w:val="118107EC"/>
    <w:rsid w:val="126C687D"/>
    <w:rsid w:val="13D50BC4"/>
    <w:rsid w:val="14022904"/>
    <w:rsid w:val="152F2A07"/>
    <w:rsid w:val="15A72150"/>
    <w:rsid w:val="15ED6D1D"/>
    <w:rsid w:val="15F7A283"/>
    <w:rsid w:val="165E0673"/>
    <w:rsid w:val="16BB723D"/>
    <w:rsid w:val="186504BB"/>
    <w:rsid w:val="1938089F"/>
    <w:rsid w:val="19A445FC"/>
    <w:rsid w:val="1A3D3E6B"/>
    <w:rsid w:val="1AA65075"/>
    <w:rsid w:val="1B7D550C"/>
    <w:rsid w:val="1BE8440E"/>
    <w:rsid w:val="1C1737C4"/>
    <w:rsid w:val="1D155CEE"/>
    <w:rsid w:val="1D5A1D40"/>
    <w:rsid w:val="1E740ACF"/>
    <w:rsid w:val="1ED63AA6"/>
    <w:rsid w:val="1FF35744"/>
    <w:rsid w:val="1FF6BC77"/>
    <w:rsid w:val="21962A9E"/>
    <w:rsid w:val="21AE7C77"/>
    <w:rsid w:val="21E96E3C"/>
    <w:rsid w:val="2207551F"/>
    <w:rsid w:val="223842B3"/>
    <w:rsid w:val="22A30143"/>
    <w:rsid w:val="22BC3C41"/>
    <w:rsid w:val="23860B96"/>
    <w:rsid w:val="240371BF"/>
    <w:rsid w:val="24F44E2B"/>
    <w:rsid w:val="251A145E"/>
    <w:rsid w:val="260F557C"/>
    <w:rsid w:val="27D52B4D"/>
    <w:rsid w:val="27DF51F5"/>
    <w:rsid w:val="281408E2"/>
    <w:rsid w:val="281C69CE"/>
    <w:rsid w:val="284468C4"/>
    <w:rsid w:val="297D524A"/>
    <w:rsid w:val="29A9603F"/>
    <w:rsid w:val="29FD04D3"/>
    <w:rsid w:val="2A1E2046"/>
    <w:rsid w:val="2A225DF1"/>
    <w:rsid w:val="2ADC2444"/>
    <w:rsid w:val="2AF73F9E"/>
    <w:rsid w:val="2BFF7BC6"/>
    <w:rsid w:val="2C8A61B5"/>
    <w:rsid w:val="2D2E01CF"/>
    <w:rsid w:val="2DF04E50"/>
    <w:rsid w:val="2E9545B0"/>
    <w:rsid w:val="2EDE2C2F"/>
    <w:rsid w:val="2EE93382"/>
    <w:rsid w:val="2F040D46"/>
    <w:rsid w:val="2FAE5751"/>
    <w:rsid w:val="2FB1A395"/>
    <w:rsid w:val="2FD9A7D8"/>
    <w:rsid w:val="319F7F4E"/>
    <w:rsid w:val="321B2544"/>
    <w:rsid w:val="3304709D"/>
    <w:rsid w:val="33D57001"/>
    <w:rsid w:val="34281836"/>
    <w:rsid w:val="349D6851"/>
    <w:rsid w:val="35BA6CAF"/>
    <w:rsid w:val="362206BB"/>
    <w:rsid w:val="364D14C1"/>
    <w:rsid w:val="366A7C39"/>
    <w:rsid w:val="36721EAF"/>
    <w:rsid w:val="36AA5135"/>
    <w:rsid w:val="36BE0DA7"/>
    <w:rsid w:val="376B6AA6"/>
    <w:rsid w:val="376D39B2"/>
    <w:rsid w:val="37A602F2"/>
    <w:rsid w:val="37DC3439"/>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066399"/>
    <w:rsid w:val="3E412892"/>
    <w:rsid w:val="3E78745D"/>
    <w:rsid w:val="3EBC63BD"/>
    <w:rsid w:val="3F756DAC"/>
    <w:rsid w:val="3FF4CAE0"/>
    <w:rsid w:val="3FF7B227"/>
    <w:rsid w:val="40E54C45"/>
    <w:rsid w:val="42B5384F"/>
    <w:rsid w:val="43A407DF"/>
    <w:rsid w:val="44515BEA"/>
    <w:rsid w:val="44E268DA"/>
    <w:rsid w:val="453F7E5B"/>
    <w:rsid w:val="45D71D2E"/>
    <w:rsid w:val="47014B93"/>
    <w:rsid w:val="483762D2"/>
    <w:rsid w:val="486A6C7A"/>
    <w:rsid w:val="49176D9B"/>
    <w:rsid w:val="4A627F82"/>
    <w:rsid w:val="4B0E749A"/>
    <w:rsid w:val="4B35377F"/>
    <w:rsid w:val="4B4D2F01"/>
    <w:rsid w:val="4B4F25DA"/>
    <w:rsid w:val="4BDA0CFB"/>
    <w:rsid w:val="4BE068DB"/>
    <w:rsid w:val="4D3C0CCC"/>
    <w:rsid w:val="4D577224"/>
    <w:rsid w:val="4DBF1CEB"/>
    <w:rsid w:val="4DDA6F61"/>
    <w:rsid w:val="4EAB630A"/>
    <w:rsid w:val="4ECE2238"/>
    <w:rsid w:val="4F833267"/>
    <w:rsid w:val="4FE9BD67"/>
    <w:rsid w:val="4FFB052F"/>
    <w:rsid w:val="502838B2"/>
    <w:rsid w:val="50F1639A"/>
    <w:rsid w:val="52505342"/>
    <w:rsid w:val="53083A92"/>
    <w:rsid w:val="537E6D0A"/>
    <w:rsid w:val="53AF27A2"/>
    <w:rsid w:val="53F74C96"/>
    <w:rsid w:val="546C43B5"/>
    <w:rsid w:val="56E47B74"/>
    <w:rsid w:val="57BD3DD4"/>
    <w:rsid w:val="580A1AEF"/>
    <w:rsid w:val="5AF92295"/>
    <w:rsid w:val="5BDD79E6"/>
    <w:rsid w:val="5BF561CA"/>
    <w:rsid w:val="5BFF5DFC"/>
    <w:rsid w:val="5CAE513F"/>
    <w:rsid w:val="5CD71FC4"/>
    <w:rsid w:val="5D1F11B5"/>
    <w:rsid w:val="5DAE1B18"/>
    <w:rsid w:val="5DE7D9E5"/>
    <w:rsid w:val="5E1E62F4"/>
    <w:rsid w:val="5ECEC941"/>
    <w:rsid w:val="5F107586"/>
    <w:rsid w:val="5F493CB7"/>
    <w:rsid w:val="5FBF9FF3"/>
    <w:rsid w:val="5FCD4E2C"/>
    <w:rsid w:val="5FD15F49"/>
    <w:rsid w:val="5FEF394A"/>
    <w:rsid w:val="5FF67715"/>
    <w:rsid w:val="5FFF0475"/>
    <w:rsid w:val="60126D95"/>
    <w:rsid w:val="61457824"/>
    <w:rsid w:val="62BF3928"/>
    <w:rsid w:val="635A6CC2"/>
    <w:rsid w:val="64497457"/>
    <w:rsid w:val="647F5392"/>
    <w:rsid w:val="660E4EA0"/>
    <w:rsid w:val="664B1D71"/>
    <w:rsid w:val="67AA3209"/>
    <w:rsid w:val="681C4F0D"/>
    <w:rsid w:val="69046D0F"/>
    <w:rsid w:val="698D0931"/>
    <w:rsid w:val="69FD14B4"/>
    <w:rsid w:val="6A993CED"/>
    <w:rsid w:val="6B053271"/>
    <w:rsid w:val="6B1B56A3"/>
    <w:rsid w:val="6B735ED1"/>
    <w:rsid w:val="6BCE6674"/>
    <w:rsid w:val="6C4A05C8"/>
    <w:rsid w:val="6C8742B8"/>
    <w:rsid w:val="6C8A170F"/>
    <w:rsid w:val="6CB54609"/>
    <w:rsid w:val="6D940381"/>
    <w:rsid w:val="6DBF5E93"/>
    <w:rsid w:val="6DFF077E"/>
    <w:rsid w:val="6E7E3605"/>
    <w:rsid w:val="6E7FDCC7"/>
    <w:rsid w:val="6ED6A62E"/>
    <w:rsid w:val="6EE00B15"/>
    <w:rsid w:val="6F3E2352"/>
    <w:rsid w:val="6F544B20"/>
    <w:rsid w:val="6F6FB3EB"/>
    <w:rsid w:val="6F76040E"/>
    <w:rsid w:val="6F784160"/>
    <w:rsid w:val="6F7A7E91"/>
    <w:rsid w:val="6F8731EA"/>
    <w:rsid w:val="6FCE6052"/>
    <w:rsid w:val="6FD57C00"/>
    <w:rsid w:val="6FEFFFD8"/>
    <w:rsid w:val="6FF5CC65"/>
    <w:rsid w:val="6FFB47EC"/>
    <w:rsid w:val="6FFF034A"/>
    <w:rsid w:val="70496804"/>
    <w:rsid w:val="70926DFA"/>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206C56"/>
    <w:rsid w:val="762D1373"/>
    <w:rsid w:val="76E3355F"/>
    <w:rsid w:val="76FF5125"/>
    <w:rsid w:val="776F6FFA"/>
    <w:rsid w:val="778769C8"/>
    <w:rsid w:val="77DC22F5"/>
    <w:rsid w:val="79086DAD"/>
    <w:rsid w:val="79974F09"/>
    <w:rsid w:val="79D7FD79"/>
    <w:rsid w:val="79EE12F1"/>
    <w:rsid w:val="79EE5BA4"/>
    <w:rsid w:val="7A894339"/>
    <w:rsid w:val="7AFBEECC"/>
    <w:rsid w:val="7AFF7572"/>
    <w:rsid w:val="7B6C7DFB"/>
    <w:rsid w:val="7BBFBED0"/>
    <w:rsid w:val="7BC3E394"/>
    <w:rsid w:val="7BFB66E1"/>
    <w:rsid w:val="7C1F3737"/>
    <w:rsid w:val="7C7B51C0"/>
    <w:rsid w:val="7CBFC87B"/>
    <w:rsid w:val="7CFE0F48"/>
    <w:rsid w:val="7D7EC23E"/>
    <w:rsid w:val="7D7F36ED"/>
    <w:rsid w:val="7D916348"/>
    <w:rsid w:val="7E8ADEBF"/>
    <w:rsid w:val="7EEC1BD6"/>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7FF9C914"/>
    <w:rsid w:val="99FF2014"/>
    <w:rsid w:val="A6DD0D7F"/>
    <w:rsid w:val="ADC6F725"/>
    <w:rsid w:val="B65F259D"/>
    <w:rsid w:val="B7CF06AB"/>
    <w:rsid w:val="B7CFA926"/>
    <w:rsid w:val="B7F8786B"/>
    <w:rsid w:val="BABB6AA1"/>
    <w:rsid w:val="BB2F4199"/>
    <w:rsid w:val="BD079C78"/>
    <w:rsid w:val="BD733540"/>
    <w:rsid w:val="BF3735D5"/>
    <w:rsid w:val="BF7F09AC"/>
    <w:rsid w:val="BFD475C3"/>
    <w:rsid w:val="BFD76243"/>
    <w:rsid w:val="BFDE5EA6"/>
    <w:rsid w:val="CF6FC6F3"/>
    <w:rsid w:val="CFD3D3D7"/>
    <w:rsid w:val="CFDF1009"/>
    <w:rsid w:val="D736B711"/>
    <w:rsid w:val="D7D7B16A"/>
    <w:rsid w:val="D8D6DB89"/>
    <w:rsid w:val="DB6F4CAB"/>
    <w:rsid w:val="DB777682"/>
    <w:rsid w:val="DD1FB521"/>
    <w:rsid w:val="DDABB2F0"/>
    <w:rsid w:val="DEFBFEAE"/>
    <w:rsid w:val="DF1F3B80"/>
    <w:rsid w:val="DF6F9789"/>
    <w:rsid w:val="DF7B6F4B"/>
    <w:rsid w:val="DFDED8E1"/>
    <w:rsid w:val="DFFFA9E8"/>
    <w:rsid w:val="E4DB4214"/>
    <w:rsid w:val="E56FE270"/>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EF2A40"/>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unhideWhenUsed/>
    <w:qFormat/>
    <w:uiPriority w:val="0"/>
    <w:pPr>
      <w:ind w:left="200" w:leftChars="200" w:hanging="200" w:hangingChars="200"/>
    </w:pPr>
    <w:rPr>
      <w:rFonts w:hint="eastAsia"/>
      <w:sz w:val="32"/>
      <w:szCs w:val="21"/>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styleId="36">
    <w:name w:val="No Spacing"/>
    <w:qFormat/>
    <w:uiPriority w:val="0"/>
    <w:pPr>
      <w:ind w:firstLine="200" w:firstLineChars="200"/>
    </w:pPr>
    <w:rPr>
      <w:rFonts w:ascii="Times New Roman" w:hAnsi="Times New Roman" w:eastAsia="仿宋_GB2312" w:cs="Times New Roman"/>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altLang="en-US" sz="1400"/>
              <a:t>收、支决算总计变动情况图</a:t>
            </a:r>
            <a:endParaRPr altLang="en-US" sz="1400"/>
          </a:p>
        </c:rich>
      </c:tx>
      <c:layout>
        <c:manualLayout>
          <c:xMode val="edge"/>
          <c:yMode val="edge"/>
          <c:x val="0.251599786219435"/>
          <c:y val="0.0436373516257263"/>
        </c:manualLayout>
      </c:layout>
      <c:overlay val="0"/>
    </c:title>
    <c:autoTitleDeleted val="0"/>
    <c:plotArea>
      <c:layout>
        <c:manualLayout>
          <c:layoutTarget val="inner"/>
          <c:xMode val="edge"/>
          <c:yMode val="edge"/>
          <c:x val="0.16928011404134"/>
          <c:y val="0.252042740414833"/>
          <c:w val="0.637384176764077"/>
          <c:h val="0.605279698302954"/>
        </c:manualLayout>
      </c:layout>
      <c:barChart>
        <c:barDir val="col"/>
        <c:grouping val="clustered"/>
        <c:varyColors val="0"/>
        <c:ser>
          <c:idx val="0"/>
          <c:order val="0"/>
          <c:tx>
            <c:strRef>
              <c:f>Sheet1!$B$2</c:f>
              <c:strCache>
                <c:ptCount val="1"/>
                <c:pt idx="0">
                  <c:v>收入</c:v>
                </c:pt>
              </c:strCache>
            </c:strRef>
          </c:tx>
          <c:invertIfNegative val="0"/>
          <c:dLbls>
            <c:delete val="1"/>
          </c:dLbls>
          <c:cat>
            <c:strRef>
              <c:f>Sheet1!$A$3:$A$4</c:f>
              <c:strCache>
                <c:ptCount val="2"/>
                <c:pt idx="0">
                  <c:v>2024年</c:v>
                </c:pt>
                <c:pt idx="1">
                  <c:v>2025年</c:v>
                </c:pt>
              </c:strCache>
            </c:strRef>
          </c:cat>
          <c:val>
            <c:numRef>
              <c:f>Sheet1!$B$3:$B$4</c:f>
              <c:numCache>
                <c:formatCode>General</c:formatCode>
                <c:ptCount val="2"/>
                <c:pt idx="0">
                  <c:v>41096.99</c:v>
                </c:pt>
                <c:pt idx="1">
                  <c:v>45692.15</c:v>
                </c:pt>
              </c:numCache>
            </c:numRef>
          </c:val>
        </c:ser>
        <c:ser>
          <c:idx val="1"/>
          <c:order val="1"/>
          <c:tx>
            <c:strRef>
              <c:f>Sheet1!$C$2</c:f>
              <c:strCache>
                <c:ptCount val="1"/>
                <c:pt idx="0">
                  <c:v>支出</c:v>
                </c:pt>
              </c:strCache>
            </c:strRef>
          </c:tx>
          <c:invertIfNegative val="0"/>
          <c:dLbls>
            <c:dLbl>
              <c:idx val="1"/>
              <c:layout>
                <c:manualLayout>
                  <c:x val="-0.0213827512473272"/>
                  <c:y val="0.0047140163419233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Sheet1!$A$3:$A$4</c:f>
              <c:strCache>
                <c:ptCount val="2"/>
                <c:pt idx="0">
                  <c:v>2024年</c:v>
                </c:pt>
                <c:pt idx="1">
                  <c:v>2025年</c:v>
                </c:pt>
              </c:strCache>
            </c:strRef>
          </c:cat>
          <c:val>
            <c:numRef>
              <c:f>Sheet1!$C$3:$C$4</c:f>
              <c:numCache>
                <c:formatCode>General</c:formatCode>
                <c:ptCount val="2"/>
                <c:pt idx="0">
                  <c:v>41096.99</c:v>
                </c:pt>
                <c:pt idx="1">
                  <c:v>45692.15</c:v>
                </c:pt>
              </c:numCache>
            </c:numRef>
          </c:val>
        </c:ser>
        <c:dLbls>
          <c:showLegendKey val="0"/>
          <c:showVal val="0"/>
          <c:showCatName val="0"/>
          <c:showSerName val="0"/>
          <c:showPercent val="0"/>
          <c:showBubbleSize val="0"/>
        </c:dLbls>
        <c:gapWidth val="150"/>
        <c:axId val="88463232"/>
        <c:axId val="96092928"/>
      </c:barChart>
      <c:catAx>
        <c:axId val="8846323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96092928"/>
        <c:crosses val="autoZero"/>
        <c:auto val="1"/>
        <c:lblAlgn val="ctr"/>
        <c:lblOffset val="100"/>
        <c:noMultiLvlLbl val="0"/>
      </c:catAx>
      <c:valAx>
        <c:axId val="9609292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8846323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4977fa6-d01d-4dea-8b0e-812657ed0a68}"/>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a:t>收入决算结构图</a:t>
            </a:r>
            <a:endParaRPr sz="1400"/>
          </a:p>
        </c:rich>
      </c:tx>
      <c:layout>
        <c:manualLayout>
          <c:xMode val="edge"/>
          <c:yMode val="edge"/>
          <c:x val="0.316886355539722"/>
          <c:y val="0.0308641975308642"/>
        </c:manualLayout>
      </c:layout>
      <c:overlay val="0"/>
    </c:title>
    <c:autoTitleDeleted val="0"/>
    <c:plotArea>
      <c:layout>
        <c:manualLayout>
          <c:layoutTarget val="inner"/>
          <c:xMode val="edge"/>
          <c:yMode val="edge"/>
          <c:x val="0.134841467759174"/>
          <c:y val="0.245539034770534"/>
          <c:w val="0.380299251870324"/>
          <c:h val="0.732167352537723"/>
        </c:manualLayout>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Lbls>
            <c:dLbl>
              <c:idx val="0"/>
              <c:layout>
                <c:manualLayout>
                  <c:x val="0.229689028408005"/>
                  <c:y val="-0.016664171657541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92529591564568"/>
                  <c:y val="0.028445294012744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792315438944327"/>
                  <c:y val="0.0078697257523593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215358793087329"/>
                  <c:y val="0.044663052029442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一般公共预算财政拨款收入</c:v>
                </c:pt>
                <c:pt idx="1">
                  <c:v>政府性基金预算</c:v>
                </c:pt>
                <c:pt idx="2">
                  <c:v>事业收入</c:v>
                </c:pt>
                <c:pt idx="3">
                  <c:v>其他收入</c:v>
                </c:pt>
              </c:strCache>
            </c:strRef>
          </c:cat>
          <c:val>
            <c:numRef>
              <c:f>Sheet1!$B$2:$B$5</c:f>
              <c:numCache>
                <c:formatCode>General</c:formatCode>
                <c:ptCount val="4"/>
                <c:pt idx="0">
                  <c:v>44669.07</c:v>
                </c:pt>
                <c:pt idx="1">
                  <c:v>6</c:v>
                </c:pt>
                <c:pt idx="2">
                  <c:v>8.52</c:v>
                </c:pt>
                <c:pt idx="3">
                  <c:v>1008.56</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661382258639116"/>
          <c:y val="0.218449931412894"/>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41e9093-9708-4514-94e3-b3345fd92cc5}"/>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a:t>支出决算结构图</a:t>
            </a:r>
            <a:endParaRPr sz="1400"/>
          </a:p>
        </c:rich>
      </c:tx>
      <c:layout/>
      <c:overlay val="0"/>
    </c:title>
    <c:autoTitleDeleted val="0"/>
    <c:plotArea>
      <c:layout>
        <c:manualLayout>
          <c:layoutTarget val="inner"/>
          <c:xMode val="edge"/>
          <c:yMode val="edge"/>
          <c:x val="0.186188706390121"/>
          <c:y val="0.153382335642558"/>
          <c:w val="0.397074691284019"/>
          <c:h val="0.814559763895721"/>
        </c:manualLayout>
      </c:layout>
      <c:pieChart>
        <c:varyColors val="1"/>
        <c:ser>
          <c:idx val="0"/>
          <c:order val="0"/>
          <c:tx>
            <c:strRef>
              <c:f>Sheet1!$B$1</c:f>
              <c:strCache>
                <c:ptCount val="1"/>
                <c:pt idx="0">
                  <c:v>支出</c:v>
                </c:pt>
              </c:strCache>
            </c:strRef>
          </c:tx>
          <c:explosion val="0"/>
          <c:dPt>
            <c:idx val="0"/>
            <c:bubble3D val="0"/>
          </c:dPt>
          <c:dPt>
            <c:idx val="1"/>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33500.12</c:v>
                </c:pt>
                <c:pt idx="1">
                  <c:v>12034.52</c:v>
                </c:pt>
              </c:numCache>
            </c:numRef>
          </c:val>
        </c:ser>
        <c:dLbls>
          <c:showLegendKey val="0"/>
          <c:showVal val="1"/>
          <c:showCatName val="0"/>
          <c:showSerName val="0"/>
          <c:showPercent val="0"/>
          <c:showBubbleSize val="0"/>
          <c:showLeaderLines val="1"/>
        </c:dLbls>
        <c:firstSliceAng val="0"/>
      </c:pieChart>
    </c:plotArea>
    <c:legend>
      <c:legendPos val="r"/>
      <c:layout>
        <c:manualLayout>
          <c:xMode val="edge"/>
          <c:yMode val="edge"/>
          <c:x val="0.735283539143987"/>
          <c:y val="0.579017243151886"/>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eeead22e-21b0-4f1a-a85e-5f2868aa29d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a:t>财政拨款收、支决算总计变动情况图</a:t>
            </a:r>
            <a:endParaRPr sz="1400"/>
          </a:p>
        </c:rich>
      </c:tx>
      <c:layout/>
      <c:overlay val="0"/>
    </c:title>
    <c:autoTitleDeleted val="0"/>
    <c:plotArea>
      <c:layout/>
      <c:barChart>
        <c:barDir val="col"/>
        <c:grouping val="clustered"/>
        <c:varyColors val="0"/>
        <c:ser>
          <c:idx val="0"/>
          <c:order val="0"/>
          <c:tx>
            <c:strRef>
              <c:f>Sheet1!$B$1</c:f>
              <c:strCache>
                <c:ptCount val="1"/>
                <c:pt idx="0">
                  <c:v>收支决算</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41065.08</c:v>
                </c:pt>
                <c:pt idx="1">
                  <c:v>44675.07</c:v>
                </c:pt>
              </c:numCache>
            </c:numRef>
          </c:val>
        </c:ser>
        <c:dLbls>
          <c:showLegendKey val="0"/>
          <c:showVal val="0"/>
          <c:showCatName val="0"/>
          <c:showSerName val="0"/>
          <c:showPercent val="0"/>
          <c:showBubbleSize val="0"/>
        </c:dLbls>
        <c:gapWidth val="150"/>
        <c:axId val="111807872"/>
        <c:axId val="111809664"/>
      </c:barChart>
      <c:catAx>
        <c:axId val="11180787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1809664"/>
        <c:crosses val="autoZero"/>
        <c:auto val="1"/>
        <c:lblAlgn val="ctr"/>
        <c:lblOffset val="100"/>
        <c:noMultiLvlLbl val="0"/>
      </c:catAx>
      <c:valAx>
        <c:axId val="11180966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180787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a072381-058d-469f-9a06-3b174c87c0aa}"/>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a:t>一般公共预算财政拨款收支决算变动情况图</a:t>
            </a:r>
            <a:endParaRPr sz="1400"/>
          </a:p>
        </c:rich>
      </c:tx>
      <c:layout>
        <c:manualLayout>
          <c:xMode val="edge"/>
          <c:yMode val="edge"/>
          <c:x val="0.140283740899757"/>
          <c:y val="0.00793021411578113"/>
        </c:manualLayout>
      </c:layout>
      <c:overlay val="0"/>
    </c:title>
    <c:autoTitleDeleted val="0"/>
    <c:plotArea>
      <c:layout/>
      <c:barChart>
        <c:barDir val="col"/>
        <c:grouping val="clustered"/>
        <c:varyColors val="0"/>
        <c:ser>
          <c:idx val="0"/>
          <c:order val="0"/>
          <c:tx>
            <c:strRef>
              <c:f>Sheet1!$B$1</c:f>
              <c:strCache>
                <c:ptCount val="1"/>
                <c:pt idx="0">
                  <c:v>一般公共预算财政拨款支出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41051.08</c:v>
                </c:pt>
                <c:pt idx="1">
                  <c:v>44669.07</c:v>
                </c:pt>
              </c:numCache>
            </c:numRef>
          </c:val>
        </c:ser>
        <c:dLbls>
          <c:showLegendKey val="0"/>
          <c:showVal val="0"/>
          <c:showCatName val="0"/>
          <c:showSerName val="0"/>
          <c:showPercent val="0"/>
          <c:showBubbleSize val="0"/>
        </c:dLbls>
        <c:gapWidth val="150"/>
        <c:axId val="111846912"/>
        <c:axId val="111848448"/>
      </c:barChart>
      <c:catAx>
        <c:axId val="11184691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1848448"/>
        <c:crosses val="autoZero"/>
        <c:auto val="1"/>
        <c:lblAlgn val="ctr"/>
        <c:lblOffset val="100"/>
        <c:noMultiLvlLbl val="0"/>
      </c:catAx>
      <c:valAx>
        <c:axId val="11184844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11846912"/>
        <c:crosses val="autoZero"/>
        <c:crossBetween val="between"/>
      </c:valAx>
    </c:plotArea>
    <c:legend>
      <c:legendPos val="r"/>
      <c:layout>
        <c:manualLayout>
          <c:xMode val="edge"/>
          <c:yMode val="edge"/>
          <c:x val="0.754791918494215"/>
          <c:y val="0.401679698812627"/>
          <c:w val="0.229148678984631"/>
          <c:h val="0.19490298291340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7e6f024-c1b1-4a87-b4d5-62a82173ed0f}"/>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rPr sz="1400"/>
              <a:t>一般公共预算财政拨款支出决算结构</a:t>
            </a:r>
            <a:endParaRPr sz="1400"/>
          </a:p>
        </c:rich>
      </c:tx>
      <c:layout>
        <c:manualLayout>
          <c:xMode val="edge"/>
          <c:yMode val="edge"/>
          <c:x val="0.097761573681533"/>
          <c:y val="0.0149328023892484"/>
        </c:manualLayout>
      </c:layout>
      <c:overlay val="0"/>
    </c:title>
    <c:autoTitleDeleted val="0"/>
    <c:plotArea>
      <c:layout>
        <c:manualLayout>
          <c:layoutTarget val="inner"/>
          <c:xMode val="edge"/>
          <c:yMode val="edge"/>
          <c:x val="0.105816516872986"/>
          <c:y val="0.248133399701344"/>
          <c:w val="0.464982194336103"/>
          <c:h val="0.682429069188651"/>
        </c:manualLayout>
      </c:layout>
      <c:pieChart>
        <c:varyColors val="1"/>
        <c:ser>
          <c:idx val="0"/>
          <c:order val="0"/>
          <c:explosion val="0"/>
          <c:dPt>
            <c:idx val="0"/>
            <c:bubble3D val="0"/>
            <c:explosion val="5"/>
          </c:dPt>
          <c:dPt>
            <c:idx val="1"/>
            <c:bubble3D val="0"/>
          </c:dPt>
          <c:dPt>
            <c:idx val="2"/>
            <c:bubble3D val="0"/>
          </c:dPt>
          <c:dPt>
            <c:idx val="3"/>
            <c:bubble3D val="0"/>
          </c:dPt>
          <c:dPt>
            <c:idx val="4"/>
            <c:bubble3D val="0"/>
          </c:dPt>
          <c:dPt>
            <c:idx val="5"/>
            <c:bubble3D val="0"/>
          </c:dPt>
          <c:dPt>
            <c:idx val="6"/>
            <c:bubble3D val="0"/>
          </c:dPt>
          <c:dLbls>
            <c:dLbl>
              <c:idx val="0"/>
              <c:layout>
                <c:manualLayout>
                  <c:x val="-0.0143047384522307"/>
                  <c:y val="0.025337034220250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24331309731322"/>
                  <c:y val="-0.037190101237345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147515377371722"/>
                  <c:y val="0.029040494938132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761122100951238"/>
                  <c:y val="-0.029449006876821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84778617538605"/>
                  <c:y val="0.0041209923931289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109932459135874"/>
                  <c:y val="-0.025346540764666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107906074218629"/>
                  <c:y val="-0.0017499962986534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Sheet1!$A$2:$A$8</c:f>
              <c:strCache>
                <c:ptCount val="7"/>
                <c:pt idx="0">
                  <c:v>教育支出</c:v>
                </c:pt>
                <c:pt idx="1">
                  <c:v>农林水支出</c:v>
                </c:pt>
                <c:pt idx="2">
                  <c:v>社会保障和就业支出</c:v>
                </c:pt>
                <c:pt idx="3">
                  <c:v>卫生健康支出</c:v>
                </c:pt>
                <c:pt idx="4">
                  <c:v>住房保障支出</c:v>
                </c:pt>
                <c:pt idx="5">
                  <c:v>一般公共服务支出</c:v>
                </c:pt>
                <c:pt idx="6">
                  <c:v>文化旅游体育与传媒支出</c:v>
                </c:pt>
              </c:strCache>
            </c:strRef>
          </c:cat>
          <c:val>
            <c:numRef>
              <c:f>Sheet1!$B$2:$B$8</c:f>
              <c:numCache>
                <c:formatCode>General</c:formatCode>
                <c:ptCount val="7"/>
                <c:pt idx="0">
                  <c:v>32240.52</c:v>
                </c:pt>
                <c:pt idx="1">
                  <c:v>3711.28</c:v>
                </c:pt>
                <c:pt idx="2">
                  <c:v>4239.17</c:v>
                </c:pt>
                <c:pt idx="3">
                  <c:v>1674.11</c:v>
                </c:pt>
                <c:pt idx="4">
                  <c:v>2295.66</c:v>
                </c:pt>
                <c:pt idx="5">
                  <c:v>4</c:v>
                </c:pt>
                <c:pt idx="6">
                  <c:v>504.33</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712507663641281"/>
          <c:y val="0.162067491563555"/>
          <c:w val="0.272225160786199"/>
          <c:h val="0.820626921634796"/>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68b25e7-5b4b-4584-a63c-ae0bf658273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solidFill>
                <a:latin typeface="+mn-lt"/>
                <a:ea typeface="+mn-ea"/>
                <a:cs typeface="+mn-cs"/>
              </a:defRPr>
            </a:pPr>
            <a:r>
              <a:rPr sz="1400" b="0">
                <a:latin typeface="+mn-ea"/>
                <a:ea typeface="+mn-ea"/>
                <a:cs typeface="+mn-ea"/>
              </a:rPr>
              <a:t>“三公”经费财政拨款支出结构</a:t>
            </a:r>
            <a:endParaRPr sz="1400" b="0">
              <a:latin typeface="+mn-ea"/>
              <a:ea typeface="+mn-ea"/>
              <a:cs typeface="+mn-ea"/>
            </a:endParaRPr>
          </a:p>
        </c:rich>
      </c:tx>
      <c:layout>
        <c:manualLayout>
          <c:xMode val="edge"/>
          <c:yMode val="edge"/>
          <c:x val="0.226700801900054"/>
          <c:y val="0.0118343195266272"/>
        </c:manualLayout>
      </c:layout>
      <c:overlay val="0"/>
      <c:spPr>
        <a:noFill/>
      </c:spPr>
    </c:title>
    <c:autoTitleDeleted val="0"/>
    <c:plotArea>
      <c:layout>
        <c:manualLayout>
          <c:layoutTarget val="inner"/>
          <c:xMode val="edge"/>
          <c:yMode val="edge"/>
          <c:x val="0.130579204376695"/>
          <c:y val="0.201183431952663"/>
          <c:w val="0.304748582315289"/>
          <c:h val="0.780685322901572"/>
        </c:manualLayout>
      </c:layout>
      <c:pieChart>
        <c:varyColors val="1"/>
        <c:ser>
          <c:idx val="0"/>
          <c:order val="0"/>
          <c:tx>
            <c:strRef>
              <c:f>Sheet1!$B$1</c:f>
              <c:strCache>
                <c:ptCount val="1"/>
                <c:pt idx="0">
                  <c:v>三公经费</c:v>
                </c:pt>
              </c:strCache>
            </c:strRef>
          </c:tx>
          <c:explosion val="0"/>
          <c:dPt>
            <c:idx val="0"/>
            <c:bubble3D val="0"/>
          </c:dPt>
          <c:dPt>
            <c:idx val="1"/>
            <c:bubble3D val="0"/>
          </c:dPt>
          <c:dLbls>
            <c:dLbl>
              <c:idx val="1"/>
              <c:layout>
                <c:manualLayout>
                  <c:x val="-0.128561601072184"/>
                  <c:y val="0.0327236964923192"/>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公务用车运行维护费</c:v>
                </c:pt>
                <c:pt idx="1">
                  <c:v>公务接待费</c:v>
                </c:pt>
              </c:strCache>
            </c:strRef>
          </c:cat>
          <c:val>
            <c:numRef>
              <c:f>Sheet1!$B$2:$B$3</c:f>
              <c:numCache>
                <c:formatCode>General</c:formatCode>
                <c:ptCount val="2"/>
                <c:pt idx="0">
                  <c:v>4</c:v>
                </c:pt>
                <c:pt idx="1">
                  <c:v>0.18</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497141645056498"/>
          <c:y val="0.50178857422343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2944c6da-a0b2-4e1c-af97-929c66032f44}"/>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45</Pages>
  <Words>43</Words>
  <Characters>49</Characters>
  <Lines>61</Lines>
  <Paragraphs>17</Paragraphs>
  <TotalTime>16</TotalTime>
  <ScaleCrop>false</ScaleCrop>
  <LinksUpToDate>false</LinksUpToDate>
  <CharactersWithSpaces>49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超哥</cp:lastModifiedBy>
  <cp:lastPrinted>2026-09-03T10:24:55Z</cp:lastPrinted>
  <dcterms:modified xsi:type="dcterms:W3CDTF">2026-09-03T10:25:16Z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98CF9ED649AA123ABE14986A3018C308_43</vt:lpwstr>
  </property>
  <property fmtid="{D5CDD505-2E9C-101B-9397-08002B2CF9AE}" pid="4" name="KSOTemplateDocerSaveRecord">
    <vt:lpwstr>eyJoZGlkIjoiYjc0MDk0ZTM2NzFiYmEyNGMxNDFiMDhmYzhiNjNiZTYiLCJ1c2VySWQiOiIyNDU0MzA5MTQifQ==</vt:lpwstr>
  </property>
</Properties>
</file>