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C8C33A">
      <w:pPr>
        <w:spacing w:line="600" w:lineRule="exact"/>
        <w:jc w:val="center"/>
        <w:outlineLvl w:val="0"/>
        <w:rPr>
          <w:rFonts w:hint="eastAsia" w:ascii="方正小标宋简体" w:eastAsia="方正小标宋简体"/>
          <w:color w:val="000000"/>
          <w:sz w:val="72"/>
          <w:szCs w:val="72"/>
          <w:lang w:eastAsia="zh-CN"/>
        </w:rPr>
      </w:pPr>
      <w:bookmarkStart w:id="0" w:name="_Toc15306267"/>
    </w:p>
    <w:p w14:paraId="286216C1">
      <w:pPr>
        <w:spacing w:line="600" w:lineRule="exact"/>
        <w:jc w:val="center"/>
        <w:outlineLvl w:val="0"/>
        <w:rPr>
          <w:rFonts w:ascii="方正小标宋简体" w:eastAsia="方正小标宋简体"/>
          <w:color w:val="000000"/>
          <w:sz w:val="72"/>
          <w:szCs w:val="72"/>
        </w:rPr>
      </w:pPr>
    </w:p>
    <w:p w14:paraId="7D196A3F">
      <w:pPr>
        <w:spacing w:line="600" w:lineRule="exact"/>
        <w:jc w:val="center"/>
        <w:outlineLvl w:val="0"/>
        <w:rPr>
          <w:rFonts w:ascii="方正小标宋简体" w:eastAsia="方正小标宋简体"/>
          <w:color w:val="000000"/>
          <w:sz w:val="52"/>
          <w:szCs w:val="52"/>
        </w:rPr>
      </w:pPr>
    </w:p>
    <w:p w14:paraId="277AD3DC">
      <w:pPr>
        <w:jc w:val="center"/>
        <w:rPr>
          <w:rFonts w:ascii="黑体" w:hAnsi="黑体" w:eastAsia="黑体" w:cs="黑体"/>
          <w:sz w:val="52"/>
          <w:szCs w:val="52"/>
        </w:rPr>
      </w:pPr>
      <w:bookmarkStart w:id="1" w:name="_Toc15396475"/>
      <w:bookmarkStart w:id="2" w:name="_Toc15377425"/>
      <w:bookmarkStart w:id="3" w:name="_Toc15377193"/>
      <w:bookmarkStart w:id="4" w:name="_Toc15396597"/>
      <w:bookmarkStart w:id="5" w:name="_Toc15378441"/>
      <w:r>
        <w:rPr>
          <w:rFonts w:hint="eastAsia" w:ascii="黑体" w:hAnsi="黑体" w:eastAsia="黑体" w:cs="黑体"/>
          <w:sz w:val="52"/>
          <w:szCs w:val="52"/>
          <w:lang w:eastAsia="zh-CN"/>
        </w:rPr>
        <w:t>202</w:t>
      </w:r>
      <w:r>
        <w:rPr>
          <w:rFonts w:hint="eastAsia" w:ascii="黑体" w:hAnsi="黑体" w:eastAsia="黑体" w:cs="黑体"/>
          <w:sz w:val="52"/>
          <w:szCs w:val="52"/>
          <w:lang w:val="en-US" w:eastAsia="zh-CN"/>
        </w:rPr>
        <w:t>5</w:t>
      </w:r>
      <w:r>
        <w:rPr>
          <w:rFonts w:hint="eastAsia" w:ascii="黑体" w:hAnsi="黑体" w:eastAsia="黑体" w:cs="黑体"/>
          <w:sz w:val="52"/>
          <w:szCs w:val="52"/>
        </w:rPr>
        <w:t>年度</w:t>
      </w:r>
      <w:bookmarkEnd w:id="1"/>
      <w:bookmarkEnd w:id="2"/>
      <w:bookmarkEnd w:id="3"/>
      <w:bookmarkEnd w:id="4"/>
      <w:bookmarkEnd w:id="5"/>
    </w:p>
    <w:p w14:paraId="2732914A">
      <w:pPr>
        <w:jc w:val="center"/>
        <w:rPr>
          <w:rFonts w:ascii="黑体" w:hAnsi="黑体" w:eastAsia="黑体" w:cs="黑体"/>
          <w:sz w:val="52"/>
          <w:szCs w:val="52"/>
        </w:rPr>
      </w:pPr>
      <w:bookmarkStart w:id="6" w:name="_Toc15377194"/>
      <w:bookmarkStart w:id="7" w:name="_Toc15378442"/>
      <w:bookmarkStart w:id="8" w:name="_Toc15377426"/>
      <w:bookmarkStart w:id="9" w:name="_Toc15396476"/>
      <w:bookmarkStart w:id="10" w:name="_Toc15396598"/>
      <w:r>
        <w:rPr>
          <w:rFonts w:hint="eastAsia" w:ascii="黑体" w:hAnsi="黑体" w:eastAsia="黑体" w:cs="黑体"/>
          <w:sz w:val="52"/>
          <w:szCs w:val="52"/>
        </w:rPr>
        <w:t>四川省</w:t>
      </w:r>
      <w:bookmarkEnd w:id="0"/>
      <w:bookmarkStart w:id="11" w:name="_Toc15306268"/>
      <w:r>
        <w:rPr>
          <w:rFonts w:hint="eastAsia" w:ascii="黑体" w:hAnsi="黑体" w:eastAsia="黑体" w:cs="黑体"/>
          <w:sz w:val="52"/>
          <w:szCs w:val="52"/>
          <w:lang w:eastAsia="zh-CN"/>
        </w:rPr>
        <w:t>阿坝州</w:t>
      </w:r>
      <w:r>
        <w:rPr>
          <w:rFonts w:hint="eastAsia" w:ascii="黑体" w:hAnsi="黑体" w:eastAsia="黑体" w:cs="黑体"/>
          <w:sz w:val="52"/>
          <w:szCs w:val="52"/>
        </w:rPr>
        <w:t>茂县教师进修学校决算</w:t>
      </w:r>
      <w:bookmarkEnd w:id="6"/>
      <w:bookmarkEnd w:id="7"/>
      <w:bookmarkEnd w:id="8"/>
      <w:bookmarkEnd w:id="9"/>
      <w:bookmarkEnd w:id="10"/>
      <w:bookmarkEnd w:id="11"/>
    </w:p>
    <w:p w14:paraId="4E789160">
      <w:pPr>
        <w:widowControl/>
        <w:jc w:val="center"/>
        <w:rPr>
          <w:rFonts w:ascii="方正小标宋简体" w:eastAsia="方正小标宋简体"/>
          <w:color w:val="000000"/>
          <w:sz w:val="36"/>
          <w:szCs w:val="36"/>
        </w:rPr>
      </w:pPr>
    </w:p>
    <w:p w14:paraId="3473F819">
      <w:pPr>
        <w:rPr>
          <w:rFonts w:ascii="方正小标宋简体" w:eastAsia="方正小标宋简体"/>
          <w:sz w:val="36"/>
          <w:szCs w:val="36"/>
        </w:rPr>
      </w:pPr>
    </w:p>
    <w:p w14:paraId="12860606">
      <w:pPr>
        <w:rPr>
          <w:rFonts w:ascii="方正小标宋简体" w:eastAsia="方正小标宋简体"/>
          <w:sz w:val="36"/>
          <w:szCs w:val="36"/>
        </w:rPr>
      </w:pPr>
    </w:p>
    <w:p w14:paraId="10D367A1">
      <w:pPr>
        <w:rPr>
          <w:rFonts w:ascii="方正小标宋简体" w:eastAsia="方正小标宋简体"/>
          <w:sz w:val="36"/>
          <w:szCs w:val="36"/>
        </w:rPr>
      </w:pPr>
    </w:p>
    <w:p w14:paraId="51E95916">
      <w:pPr>
        <w:rPr>
          <w:rFonts w:ascii="方正小标宋简体" w:eastAsia="方正小标宋简体"/>
          <w:sz w:val="36"/>
          <w:szCs w:val="36"/>
        </w:rPr>
      </w:pPr>
    </w:p>
    <w:p w14:paraId="0F48CE09">
      <w:pPr>
        <w:rPr>
          <w:rFonts w:ascii="方正小标宋简体" w:eastAsia="方正小标宋简体"/>
          <w:sz w:val="36"/>
          <w:szCs w:val="36"/>
        </w:rPr>
      </w:pPr>
    </w:p>
    <w:p w14:paraId="784E288F">
      <w:pPr>
        <w:rPr>
          <w:rFonts w:ascii="方正小标宋简体" w:eastAsia="方正小标宋简体"/>
          <w:sz w:val="36"/>
          <w:szCs w:val="36"/>
        </w:rPr>
      </w:pPr>
    </w:p>
    <w:p w14:paraId="3952D155">
      <w:pPr>
        <w:autoSpaceDE w:val="0"/>
        <w:autoSpaceDN w:val="0"/>
        <w:adjustRightInd w:val="0"/>
        <w:ind w:left="420" w:leftChars="200"/>
        <w:jc w:val="left"/>
        <w:rPr>
          <w:rFonts w:ascii="宋体" w:cs="仿宋_GB2312"/>
          <w:sz w:val="32"/>
          <w:szCs w:val="32"/>
        </w:rPr>
      </w:pPr>
    </w:p>
    <w:p w14:paraId="60EE398B">
      <w:pPr>
        <w:autoSpaceDE w:val="0"/>
        <w:autoSpaceDN w:val="0"/>
        <w:adjustRightInd w:val="0"/>
        <w:ind w:left="420" w:leftChars="200"/>
        <w:jc w:val="left"/>
        <w:rPr>
          <w:rFonts w:ascii="宋体" w:cs="仿宋_GB2312"/>
          <w:sz w:val="32"/>
          <w:szCs w:val="32"/>
        </w:rPr>
      </w:pPr>
    </w:p>
    <w:p w14:paraId="5F765245">
      <w:pPr>
        <w:widowControl/>
        <w:jc w:val="center"/>
        <w:rPr>
          <w:rFonts w:ascii="方正小标宋简体" w:eastAsia="方正小标宋简体"/>
          <w:color w:val="000000"/>
          <w:sz w:val="36"/>
          <w:szCs w:val="36"/>
        </w:rPr>
      </w:pPr>
    </w:p>
    <w:p w14:paraId="5DBEDF37">
      <w:pPr>
        <w:widowControl/>
        <w:jc w:val="center"/>
        <w:rPr>
          <w:rFonts w:ascii="黑体" w:eastAsia="黑体"/>
          <w:color w:val="000000"/>
          <w:sz w:val="48"/>
          <w:szCs w:val="48"/>
        </w:rPr>
      </w:pPr>
    </w:p>
    <w:p w14:paraId="353CF28B">
      <w:pPr>
        <w:widowControl/>
        <w:jc w:val="center"/>
        <w:rPr>
          <w:rFonts w:ascii="黑体" w:eastAsia="黑体"/>
          <w:color w:val="000000"/>
          <w:sz w:val="48"/>
          <w:szCs w:val="48"/>
        </w:rPr>
      </w:pPr>
    </w:p>
    <w:p w14:paraId="10D6399E">
      <w:pPr>
        <w:widowControl/>
        <w:jc w:val="center"/>
        <w:rPr>
          <w:rFonts w:ascii="黑体" w:eastAsia="黑体"/>
          <w:color w:val="000000"/>
          <w:sz w:val="48"/>
          <w:szCs w:val="48"/>
        </w:rPr>
      </w:pPr>
    </w:p>
    <w:p w14:paraId="1F982BBE">
      <w:pPr>
        <w:widowControl/>
        <w:jc w:val="center"/>
        <w:rPr>
          <w:rFonts w:ascii="黑体" w:eastAsia="黑体"/>
          <w:color w:val="000000"/>
          <w:sz w:val="48"/>
          <w:szCs w:val="48"/>
        </w:rPr>
      </w:pPr>
    </w:p>
    <w:p w14:paraId="30F70BCE">
      <w:pPr>
        <w:widowControl/>
        <w:jc w:val="center"/>
        <w:rPr>
          <w:rFonts w:hint="eastAsia" w:ascii="黑体" w:eastAsia="黑体"/>
          <w:color w:val="000000"/>
          <w:sz w:val="48"/>
          <w:szCs w:val="48"/>
        </w:rPr>
      </w:pPr>
    </w:p>
    <w:p w14:paraId="02A5038B">
      <w:pPr>
        <w:widowControl/>
        <w:jc w:val="center"/>
        <w:rPr>
          <w:rFonts w:hint="eastAsia" w:ascii="黑体" w:eastAsia="黑体"/>
          <w:color w:val="000000"/>
          <w:sz w:val="48"/>
          <w:szCs w:val="48"/>
        </w:rPr>
      </w:pPr>
    </w:p>
    <w:p w14:paraId="7A69070B">
      <w:pPr>
        <w:widowControl/>
        <w:jc w:val="center"/>
        <w:rPr>
          <w:rFonts w:ascii="黑体" w:eastAsia="黑体"/>
          <w:color w:val="000000"/>
          <w:sz w:val="48"/>
          <w:szCs w:val="48"/>
        </w:rPr>
      </w:pPr>
      <w:r>
        <w:rPr>
          <w:rFonts w:hint="eastAsia" w:ascii="黑体" w:eastAsia="黑体"/>
          <w:color w:val="000000"/>
          <w:sz w:val="48"/>
          <w:szCs w:val="48"/>
        </w:rPr>
        <w:t>目     录</w:t>
      </w:r>
    </w:p>
    <w:p w14:paraId="5638AADC">
      <w:pPr>
        <w:pStyle w:val="17"/>
        <w:jc w:val="center"/>
        <w:rPr>
          <w:rFonts w:ascii="仿宋" w:hAnsi="仿宋" w:eastAsia="仿宋" w:cs="仿宋"/>
          <w:b w:val="0"/>
          <w:bCs w:val="0"/>
          <w:sz w:val="24"/>
          <w:szCs w:val="24"/>
        </w:rPr>
      </w:pPr>
      <w:r>
        <w:rPr>
          <w:rFonts w:hint="eastAsia" w:ascii="仿宋" w:hAnsi="仿宋" w:eastAsia="仿宋" w:cs="仿宋"/>
          <w:b w:val="0"/>
          <w:bCs w:val="0"/>
          <w:sz w:val="24"/>
          <w:szCs w:val="24"/>
        </w:rPr>
        <w:t>公开时间：202</w:t>
      </w:r>
      <w:r>
        <w:rPr>
          <w:rFonts w:hint="eastAsia" w:ascii="仿宋" w:hAnsi="仿宋" w:eastAsia="仿宋" w:cs="仿宋"/>
          <w:b w:val="0"/>
          <w:bCs w:val="0"/>
          <w:sz w:val="24"/>
          <w:szCs w:val="24"/>
          <w:lang w:val="en-US" w:eastAsia="zh-CN"/>
        </w:rPr>
        <w:t>6</w:t>
      </w:r>
      <w:r>
        <w:rPr>
          <w:rFonts w:hint="eastAsia" w:ascii="仿宋" w:hAnsi="仿宋" w:eastAsia="仿宋" w:cs="仿宋"/>
          <w:b w:val="0"/>
          <w:bCs w:val="0"/>
          <w:sz w:val="24"/>
          <w:szCs w:val="24"/>
        </w:rPr>
        <w:t xml:space="preserve">年9月 </w:t>
      </w:r>
      <w:r>
        <w:rPr>
          <w:rFonts w:hint="eastAsia" w:ascii="仿宋" w:hAnsi="仿宋" w:eastAsia="仿宋" w:cs="仿宋"/>
          <w:b w:val="0"/>
          <w:bCs w:val="0"/>
          <w:sz w:val="24"/>
          <w:szCs w:val="24"/>
          <w:lang w:val="en-US" w:eastAsia="zh-CN"/>
        </w:rPr>
        <w:t>4</w:t>
      </w:r>
      <w:r>
        <w:rPr>
          <w:rFonts w:hint="eastAsia" w:ascii="仿宋" w:hAnsi="仿宋" w:eastAsia="仿宋" w:cs="仿宋"/>
          <w:b w:val="0"/>
          <w:bCs w:val="0"/>
          <w:sz w:val="24"/>
          <w:szCs w:val="24"/>
        </w:rPr>
        <w:t>日</w:t>
      </w:r>
    </w:p>
    <w:p w14:paraId="71828BF0">
      <w:pPr>
        <w:pStyle w:val="17"/>
        <w:tabs>
          <w:tab w:val="right" w:leader="dot" w:pos="8296"/>
        </w:tabs>
        <w:rPr>
          <w:rFonts w:hint="eastAsia" w:ascii="仿宋" w:hAnsi="仿宋" w:eastAsia="仿宋" w:cs="仿宋"/>
          <w:b w:val="0"/>
          <w:bCs w:val="0"/>
          <w:caps w:val="0"/>
          <w:smallCaps/>
          <w:sz w:val="32"/>
          <w:szCs w:val="32"/>
          <w:lang w:eastAsia="zh-CN"/>
        </w:rPr>
      </w:pPr>
      <w:r>
        <w:rPr>
          <w:rFonts w:hint="eastAsia" w:ascii="仿宋" w:hAnsi="仿宋" w:eastAsia="仿宋" w:cs="仿宋"/>
          <w:b w:val="0"/>
          <w:bCs w:val="0"/>
          <w:caps w:val="0"/>
          <w:smallCaps/>
          <w:sz w:val="32"/>
          <w:szCs w:val="32"/>
        </w:rPr>
        <w:fldChar w:fldCharType="begin"/>
      </w:r>
      <w:r>
        <w:rPr>
          <w:rFonts w:hint="eastAsia" w:ascii="仿宋" w:hAnsi="仿宋" w:eastAsia="仿宋" w:cs="仿宋"/>
          <w:b w:val="0"/>
          <w:bCs w:val="0"/>
          <w:caps w:val="0"/>
          <w:smallCaps/>
          <w:sz w:val="32"/>
          <w:szCs w:val="32"/>
        </w:rPr>
        <w:instrText xml:space="preserve"> TOC \o \u </w:instrText>
      </w:r>
      <w:r>
        <w:rPr>
          <w:rFonts w:hint="eastAsia" w:ascii="仿宋" w:hAnsi="仿宋" w:eastAsia="仿宋" w:cs="仿宋"/>
          <w:b w:val="0"/>
          <w:bCs w:val="0"/>
          <w:caps w:val="0"/>
          <w:smallCaps/>
          <w:sz w:val="32"/>
          <w:szCs w:val="32"/>
        </w:rPr>
        <w:fldChar w:fldCharType="separate"/>
      </w:r>
      <w:r>
        <w:rPr>
          <w:rFonts w:hint="eastAsia" w:ascii="仿宋" w:hAnsi="仿宋" w:eastAsia="仿宋" w:cs="仿宋"/>
          <w:b w:val="0"/>
          <w:bCs w:val="0"/>
          <w:caps w:val="0"/>
          <w:smallCaps/>
          <w:sz w:val="32"/>
          <w:szCs w:val="32"/>
        </w:rPr>
        <w:t xml:space="preserve">第一部分 </w:t>
      </w:r>
      <w:r>
        <w:rPr>
          <w:rFonts w:hint="eastAsia" w:ascii="仿宋" w:hAnsi="仿宋" w:eastAsia="仿宋" w:cs="仿宋"/>
          <w:b w:val="0"/>
          <w:bCs w:val="0"/>
          <w:caps w:val="0"/>
          <w:smallCaps/>
          <w:sz w:val="32"/>
          <w:szCs w:val="32"/>
          <w:lang w:eastAsia="zh-CN"/>
        </w:rPr>
        <w:t>单位</w:t>
      </w:r>
      <w:r>
        <w:rPr>
          <w:rFonts w:hint="eastAsia" w:ascii="仿宋" w:hAnsi="仿宋" w:eastAsia="仿宋" w:cs="仿宋"/>
          <w:b w:val="0"/>
          <w:bCs w:val="0"/>
          <w:caps w:val="0"/>
          <w:smallCaps/>
          <w:sz w:val="32"/>
          <w:szCs w:val="32"/>
        </w:rPr>
        <w:t>概况</w:t>
      </w:r>
      <w:r>
        <w:rPr>
          <w:rFonts w:hint="eastAsia" w:ascii="仿宋" w:hAnsi="仿宋" w:eastAsia="仿宋" w:cs="仿宋"/>
          <w:b w:val="0"/>
          <w:bCs w:val="0"/>
          <w:caps w:val="0"/>
          <w:smallCaps/>
          <w:sz w:val="32"/>
          <w:szCs w:val="32"/>
        </w:rPr>
        <w:tab/>
      </w:r>
      <w:r>
        <w:rPr>
          <w:rFonts w:hint="eastAsia" w:ascii="仿宋" w:hAnsi="仿宋" w:eastAsia="仿宋" w:cs="仿宋"/>
          <w:b w:val="0"/>
          <w:bCs w:val="0"/>
          <w:caps w:val="0"/>
          <w:smallCaps/>
          <w:sz w:val="32"/>
          <w:szCs w:val="32"/>
          <w:lang w:val="en-US" w:eastAsia="zh-CN"/>
        </w:rPr>
        <w:t>4</w:t>
      </w:r>
    </w:p>
    <w:p w14:paraId="494D4D2B">
      <w:pPr>
        <w:pStyle w:val="20"/>
        <w:tabs>
          <w:tab w:val="right" w:leader="dot" w:pos="8296"/>
        </w:tabs>
        <w:rPr>
          <w:rFonts w:hint="eastAsia" w:ascii="仿宋" w:hAnsi="仿宋" w:eastAsia="仿宋" w:cs="仿宋"/>
          <w:sz w:val="32"/>
          <w:szCs w:val="32"/>
          <w:lang w:eastAsia="zh-CN"/>
        </w:rPr>
      </w:pPr>
      <w:r>
        <w:rPr>
          <w:rFonts w:hint="eastAsia" w:ascii="仿宋" w:hAnsi="仿宋" w:eastAsia="仿宋" w:cs="仿宋"/>
          <w:sz w:val="32"/>
          <w:szCs w:val="32"/>
        </w:rPr>
        <w:t>一、</w:t>
      </w:r>
      <w:r>
        <w:rPr>
          <w:rFonts w:hint="eastAsia" w:ascii="仿宋" w:hAnsi="仿宋" w:eastAsia="仿宋" w:cs="仿宋"/>
          <w:sz w:val="32"/>
          <w:szCs w:val="32"/>
          <w:lang w:eastAsia="zh-CN"/>
        </w:rPr>
        <w:t>主要</w:t>
      </w:r>
      <w:r>
        <w:rPr>
          <w:rFonts w:hint="eastAsia" w:ascii="仿宋" w:hAnsi="仿宋" w:eastAsia="仿宋" w:cs="仿宋"/>
          <w:i w:val="0"/>
          <w:iCs w:val="0"/>
          <w:smallCaps/>
          <w:sz w:val="32"/>
          <w:szCs w:val="32"/>
        </w:rPr>
        <w:t>职</w:t>
      </w:r>
      <w:r>
        <w:rPr>
          <w:rFonts w:hint="eastAsia" w:ascii="仿宋" w:hAnsi="仿宋" w:eastAsia="仿宋" w:cs="仿宋"/>
          <w:i w:val="0"/>
          <w:iCs w:val="0"/>
          <w:smallCaps/>
          <w:sz w:val="32"/>
          <w:szCs w:val="32"/>
          <w:lang w:eastAsia="zh-CN"/>
        </w:rPr>
        <w:t>责</w:t>
      </w:r>
      <w:r>
        <w:rPr>
          <w:rFonts w:hint="eastAsia" w:ascii="仿宋" w:hAnsi="仿宋" w:eastAsia="仿宋" w:cs="仿宋"/>
          <w:sz w:val="32"/>
          <w:szCs w:val="32"/>
        </w:rPr>
        <w:tab/>
      </w:r>
      <w:r>
        <w:rPr>
          <w:rFonts w:hint="eastAsia" w:ascii="仿宋" w:hAnsi="仿宋" w:eastAsia="仿宋" w:cs="仿宋"/>
          <w:sz w:val="32"/>
          <w:szCs w:val="32"/>
          <w:lang w:val="en-US" w:eastAsia="zh-CN"/>
        </w:rPr>
        <w:t>4</w:t>
      </w:r>
    </w:p>
    <w:p w14:paraId="20B026EB">
      <w:pPr>
        <w:pStyle w:val="20"/>
        <w:tabs>
          <w:tab w:val="right" w:leader="dot" w:pos="8296"/>
        </w:tabs>
        <w:rPr>
          <w:rFonts w:hint="eastAsia" w:ascii="仿宋" w:hAnsi="仿宋" w:eastAsia="仿宋" w:cs="仿宋"/>
          <w:sz w:val="32"/>
          <w:szCs w:val="32"/>
          <w:lang w:val="en-US" w:eastAsia="zh-CN"/>
        </w:rPr>
      </w:pPr>
      <w:r>
        <w:rPr>
          <w:rFonts w:hint="eastAsia" w:ascii="仿宋" w:hAnsi="仿宋" w:eastAsia="仿宋" w:cs="仿宋"/>
          <w:sz w:val="32"/>
          <w:szCs w:val="32"/>
        </w:rPr>
        <w:t>二、机构设置</w:t>
      </w:r>
      <w:r>
        <w:rPr>
          <w:rFonts w:hint="eastAsia" w:ascii="仿宋" w:hAnsi="仿宋" w:eastAsia="仿宋" w:cs="仿宋"/>
          <w:sz w:val="32"/>
          <w:szCs w:val="32"/>
        </w:rPr>
        <w:tab/>
      </w:r>
      <w:r>
        <w:rPr>
          <w:rFonts w:hint="eastAsia" w:ascii="仿宋" w:hAnsi="仿宋" w:eastAsia="仿宋" w:cs="仿宋"/>
          <w:sz w:val="32"/>
          <w:szCs w:val="32"/>
          <w:lang w:val="en-US" w:eastAsia="zh-CN"/>
        </w:rPr>
        <w:t>4</w:t>
      </w:r>
    </w:p>
    <w:p w14:paraId="06851653">
      <w:pPr>
        <w:pStyle w:val="17"/>
        <w:tabs>
          <w:tab w:val="right" w:leader="dot" w:pos="8296"/>
        </w:tabs>
        <w:rPr>
          <w:rFonts w:hint="eastAsia" w:ascii="仿宋" w:hAnsi="仿宋" w:eastAsia="仿宋" w:cs="仿宋"/>
          <w:b w:val="0"/>
          <w:bCs w:val="0"/>
          <w:caps w:val="0"/>
          <w:smallCaps/>
          <w:sz w:val="32"/>
          <w:szCs w:val="32"/>
          <w:lang w:eastAsia="zh-CN"/>
        </w:rPr>
      </w:pPr>
      <w:r>
        <w:rPr>
          <w:rFonts w:hint="eastAsia" w:ascii="仿宋" w:hAnsi="仿宋" w:eastAsia="仿宋" w:cs="仿宋"/>
          <w:b w:val="0"/>
          <w:bCs w:val="0"/>
          <w:caps w:val="0"/>
          <w:smallCaps/>
          <w:sz w:val="32"/>
          <w:szCs w:val="32"/>
        </w:rPr>
        <w:t xml:space="preserve">第二部分 </w:t>
      </w:r>
      <w:r>
        <w:rPr>
          <w:rFonts w:hint="eastAsia" w:ascii="仿宋" w:hAnsi="仿宋" w:eastAsia="仿宋" w:cs="仿宋"/>
          <w:b w:val="0"/>
          <w:bCs w:val="0"/>
          <w:caps w:val="0"/>
          <w:smallCaps/>
          <w:sz w:val="32"/>
          <w:szCs w:val="32"/>
          <w:lang w:eastAsia="zh-CN"/>
        </w:rPr>
        <w:t>202</w:t>
      </w:r>
      <w:r>
        <w:rPr>
          <w:rFonts w:hint="eastAsia" w:ascii="仿宋" w:hAnsi="仿宋" w:eastAsia="仿宋" w:cs="仿宋"/>
          <w:b w:val="0"/>
          <w:bCs w:val="0"/>
          <w:caps w:val="0"/>
          <w:smallCaps/>
          <w:sz w:val="32"/>
          <w:szCs w:val="32"/>
          <w:lang w:val="en-US" w:eastAsia="zh-CN"/>
        </w:rPr>
        <w:t>5</w:t>
      </w:r>
      <w:r>
        <w:rPr>
          <w:rFonts w:hint="eastAsia" w:ascii="仿宋" w:hAnsi="仿宋" w:eastAsia="仿宋" w:cs="仿宋"/>
          <w:b w:val="0"/>
          <w:bCs w:val="0"/>
          <w:caps w:val="0"/>
          <w:smallCaps/>
          <w:sz w:val="32"/>
          <w:szCs w:val="32"/>
        </w:rPr>
        <w:t>年度部门决算情况说明</w:t>
      </w:r>
      <w:r>
        <w:rPr>
          <w:rFonts w:hint="eastAsia" w:ascii="仿宋" w:hAnsi="仿宋" w:eastAsia="仿宋" w:cs="仿宋"/>
          <w:b w:val="0"/>
          <w:bCs w:val="0"/>
          <w:caps w:val="0"/>
          <w:smallCaps/>
          <w:sz w:val="32"/>
          <w:szCs w:val="32"/>
        </w:rPr>
        <w:tab/>
      </w:r>
      <w:r>
        <w:rPr>
          <w:rFonts w:hint="eastAsia" w:ascii="仿宋" w:hAnsi="仿宋" w:eastAsia="仿宋" w:cs="仿宋"/>
          <w:b w:val="0"/>
          <w:bCs w:val="0"/>
          <w:caps w:val="0"/>
          <w:smallCaps/>
          <w:sz w:val="32"/>
          <w:szCs w:val="32"/>
          <w:lang w:val="en-US" w:eastAsia="zh-CN"/>
        </w:rPr>
        <w:t>5</w:t>
      </w:r>
    </w:p>
    <w:p w14:paraId="607D20AC">
      <w:pPr>
        <w:pStyle w:val="20"/>
        <w:tabs>
          <w:tab w:val="left" w:pos="840"/>
          <w:tab w:val="right" w:leader="dot" w:pos="8296"/>
        </w:tabs>
        <w:rPr>
          <w:rFonts w:hint="eastAsia" w:ascii="仿宋" w:hAnsi="仿宋" w:eastAsia="仿宋" w:cs="仿宋"/>
          <w:sz w:val="32"/>
          <w:szCs w:val="32"/>
          <w:lang w:eastAsia="zh-CN"/>
        </w:rPr>
      </w:pPr>
      <w:r>
        <w:rPr>
          <w:rFonts w:hint="eastAsia" w:ascii="仿宋" w:hAnsi="仿宋" w:eastAsia="仿宋" w:cs="仿宋"/>
          <w:sz w:val="32"/>
          <w:szCs w:val="32"/>
        </w:rPr>
        <w:t>一、收入支出决算总体情况说明</w:t>
      </w:r>
      <w:r>
        <w:rPr>
          <w:rFonts w:hint="eastAsia" w:ascii="仿宋" w:hAnsi="仿宋" w:eastAsia="仿宋" w:cs="仿宋"/>
          <w:sz w:val="32"/>
          <w:szCs w:val="32"/>
        </w:rPr>
        <w:tab/>
      </w:r>
      <w:r>
        <w:rPr>
          <w:rFonts w:hint="eastAsia" w:ascii="仿宋" w:hAnsi="仿宋" w:eastAsia="仿宋" w:cs="仿宋"/>
          <w:sz w:val="32"/>
          <w:szCs w:val="32"/>
          <w:lang w:val="en-US" w:eastAsia="zh-CN"/>
        </w:rPr>
        <w:t>5</w:t>
      </w:r>
    </w:p>
    <w:p w14:paraId="095CB2BC">
      <w:pPr>
        <w:pStyle w:val="20"/>
        <w:tabs>
          <w:tab w:val="left" w:pos="840"/>
          <w:tab w:val="right" w:leader="dot" w:pos="8296"/>
        </w:tabs>
        <w:rPr>
          <w:rFonts w:hint="eastAsia" w:ascii="仿宋" w:hAnsi="仿宋" w:eastAsia="仿宋" w:cs="仿宋"/>
          <w:sz w:val="32"/>
          <w:szCs w:val="32"/>
          <w:lang w:eastAsia="zh-CN"/>
        </w:rPr>
      </w:pPr>
      <w:r>
        <w:rPr>
          <w:rFonts w:hint="eastAsia" w:ascii="仿宋" w:hAnsi="仿宋" w:eastAsia="仿宋" w:cs="仿宋"/>
          <w:sz w:val="32"/>
          <w:szCs w:val="32"/>
        </w:rPr>
        <w:t>二、收入决算情况说明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5</w:t>
      </w:r>
    </w:p>
    <w:p w14:paraId="30EFC6FE">
      <w:pPr>
        <w:pStyle w:val="20"/>
        <w:tabs>
          <w:tab w:val="left" w:pos="840"/>
          <w:tab w:val="right" w:leader="dot" w:pos="8296"/>
        </w:tabs>
        <w:rPr>
          <w:rFonts w:hint="default" w:ascii="仿宋" w:hAnsi="仿宋" w:eastAsia="仿宋" w:cs="仿宋"/>
          <w:sz w:val="32"/>
          <w:szCs w:val="32"/>
          <w:lang w:val="en-US" w:eastAsia="zh-CN"/>
        </w:rPr>
      </w:pPr>
      <w:r>
        <w:rPr>
          <w:rFonts w:hint="eastAsia" w:ascii="仿宋" w:hAnsi="仿宋" w:eastAsia="仿宋" w:cs="仿宋"/>
          <w:sz w:val="32"/>
          <w:szCs w:val="32"/>
        </w:rPr>
        <w:t>三、支出决算情况说明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6</w:t>
      </w:r>
    </w:p>
    <w:p w14:paraId="3DCB3434">
      <w:pPr>
        <w:pStyle w:val="20"/>
        <w:tabs>
          <w:tab w:val="right" w:leader="dot" w:pos="8296"/>
        </w:tabs>
        <w:rPr>
          <w:rFonts w:hint="eastAsia" w:ascii="仿宋" w:hAnsi="仿宋" w:eastAsia="仿宋" w:cs="仿宋"/>
          <w:sz w:val="32"/>
          <w:szCs w:val="32"/>
          <w:lang w:eastAsia="zh-CN"/>
        </w:rPr>
      </w:pPr>
      <w:r>
        <w:rPr>
          <w:rFonts w:hint="eastAsia" w:ascii="仿宋" w:hAnsi="仿宋" w:eastAsia="仿宋" w:cs="仿宋"/>
          <w:sz w:val="32"/>
          <w:szCs w:val="32"/>
        </w:rPr>
        <w:t>四、财政拨款收入支出决算总体情况说明</w:t>
      </w:r>
      <w:r>
        <w:rPr>
          <w:rFonts w:hint="eastAsia" w:ascii="仿宋" w:hAnsi="仿宋" w:eastAsia="仿宋" w:cs="仿宋"/>
          <w:sz w:val="32"/>
          <w:szCs w:val="32"/>
        </w:rPr>
        <w:tab/>
      </w:r>
      <w:r>
        <w:rPr>
          <w:rFonts w:hint="eastAsia" w:ascii="仿宋" w:hAnsi="仿宋" w:eastAsia="仿宋" w:cs="仿宋"/>
          <w:sz w:val="32"/>
          <w:szCs w:val="32"/>
          <w:lang w:val="en-US" w:eastAsia="zh-CN"/>
        </w:rPr>
        <w:t>6</w:t>
      </w:r>
    </w:p>
    <w:p w14:paraId="2F3022BF">
      <w:pPr>
        <w:pStyle w:val="20"/>
        <w:tabs>
          <w:tab w:val="right" w:leader="dot" w:pos="8296"/>
        </w:tabs>
        <w:rPr>
          <w:rFonts w:hint="eastAsia" w:ascii="仿宋" w:hAnsi="仿宋" w:eastAsia="仿宋" w:cs="仿宋"/>
          <w:sz w:val="32"/>
          <w:szCs w:val="32"/>
          <w:lang w:eastAsia="zh-CN"/>
        </w:rPr>
      </w:pPr>
      <w:r>
        <w:rPr>
          <w:rFonts w:hint="eastAsia" w:ascii="仿宋" w:hAnsi="仿宋" w:eastAsia="仿宋" w:cs="仿宋"/>
          <w:sz w:val="32"/>
          <w:szCs w:val="32"/>
        </w:rPr>
        <w:t>五、一般公共预算财政拨款支出决算情况说明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7</w:t>
      </w:r>
    </w:p>
    <w:p w14:paraId="1C5C843D">
      <w:pPr>
        <w:pStyle w:val="20"/>
        <w:tabs>
          <w:tab w:val="right" w:leader="dot" w:pos="8296"/>
        </w:tabs>
        <w:rPr>
          <w:rFonts w:hint="default" w:ascii="仿宋" w:hAnsi="仿宋" w:eastAsia="仿宋" w:cs="仿宋"/>
          <w:sz w:val="32"/>
          <w:szCs w:val="32"/>
          <w:lang w:val="en-US" w:eastAsia="zh-CN"/>
        </w:rPr>
      </w:pPr>
      <w:r>
        <w:rPr>
          <w:rFonts w:hint="eastAsia" w:ascii="仿宋" w:hAnsi="仿宋" w:eastAsia="仿宋" w:cs="仿宋"/>
          <w:sz w:val="32"/>
          <w:szCs w:val="32"/>
        </w:rPr>
        <w:t>六、一般公共预算财政拨款基本支出决算情况说明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8</w:t>
      </w:r>
    </w:p>
    <w:p w14:paraId="165D9B38">
      <w:pPr>
        <w:pStyle w:val="20"/>
        <w:tabs>
          <w:tab w:val="right" w:leader="dot" w:pos="8296"/>
        </w:tabs>
        <w:rPr>
          <w:rFonts w:hint="eastAsia" w:ascii="仿宋" w:hAnsi="仿宋" w:eastAsia="仿宋" w:cs="仿宋"/>
          <w:sz w:val="32"/>
          <w:szCs w:val="32"/>
          <w:lang w:val="en-US" w:eastAsia="zh-CN"/>
        </w:rPr>
      </w:pPr>
      <w:r>
        <w:rPr>
          <w:rFonts w:hint="eastAsia" w:ascii="仿宋" w:hAnsi="仿宋" w:eastAsia="仿宋" w:cs="仿宋"/>
          <w:sz w:val="32"/>
          <w:szCs w:val="32"/>
        </w:rPr>
        <w:t>七、财政拨款“三公”经费支出决算情况说明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9</w:t>
      </w:r>
    </w:p>
    <w:p w14:paraId="5E5C1E90">
      <w:pPr>
        <w:pStyle w:val="20"/>
        <w:tabs>
          <w:tab w:val="right" w:leader="dot" w:pos="8296"/>
        </w:tabs>
        <w:rPr>
          <w:rFonts w:hint="default" w:ascii="仿宋" w:hAnsi="仿宋" w:eastAsia="仿宋" w:cs="仿宋"/>
          <w:sz w:val="32"/>
          <w:szCs w:val="32"/>
          <w:lang w:val="en-US" w:eastAsia="zh-CN"/>
        </w:rPr>
      </w:pPr>
      <w:r>
        <w:rPr>
          <w:rFonts w:hint="eastAsia" w:ascii="仿宋" w:hAnsi="仿宋" w:eastAsia="仿宋" w:cs="仿宋"/>
          <w:sz w:val="32"/>
          <w:szCs w:val="32"/>
        </w:rPr>
        <w:t>八、政府性基金预算支出决算情况说明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9</w:t>
      </w:r>
    </w:p>
    <w:p w14:paraId="1397E066">
      <w:pPr>
        <w:pStyle w:val="20"/>
        <w:tabs>
          <w:tab w:val="right" w:leader="dot" w:pos="8296"/>
        </w:tabs>
        <w:rPr>
          <w:rFonts w:hint="default" w:ascii="仿宋" w:hAnsi="仿宋" w:eastAsia="仿宋" w:cs="仿宋"/>
          <w:sz w:val="32"/>
          <w:szCs w:val="32"/>
          <w:lang w:val="en-US" w:eastAsia="zh-CN"/>
        </w:rPr>
      </w:pPr>
      <w:r>
        <w:rPr>
          <w:rFonts w:hint="eastAsia" w:ascii="仿宋" w:hAnsi="仿宋" w:eastAsia="仿宋" w:cs="仿宋"/>
          <w:sz w:val="32"/>
          <w:szCs w:val="32"/>
        </w:rPr>
        <w:t>九、国有资本经营预算支出决算情况说明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9</w:t>
      </w:r>
    </w:p>
    <w:p w14:paraId="3D571224">
      <w:pPr>
        <w:pStyle w:val="20"/>
        <w:tabs>
          <w:tab w:val="right" w:leader="dot" w:pos="8296"/>
        </w:tabs>
        <w:rPr>
          <w:rFonts w:hint="default" w:ascii="仿宋" w:hAnsi="仿宋" w:eastAsia="仿宋" w:cs="仿宋"/>
          <w:sz w:val="32"/>
          <w:szCs w:val="32"/>
          <w:lang w:val="en-US" w:eastAsia="zh-CN"/>
        </w:rPr>
      </w:pPr>
      <w:r>
        <w:rPr>
          <w:rFonts w:hint="eastAsia" w:ascii="仿宋" w:hAnsi="仿宋" w:eastAsia="仿宋" w:cs="仿宋"/>
          <w:sz w:val="32"/>
          <w:szCs w:val="32"/>
        </w:rPr>
        <w:t>十、其他重要事项的情况说明</w:t>
      </w:r>
      <w:r>
        <w:rPr>
          <w:rFonts w:hint="eastAsia" w:ascii="仿宋" w:hAnsi="仿宋" w:eastAsia="仿宋" w:cs="仿宋"/>
          <w:sz w:val="32"/>
          <w:szCs w:val="32"/>
        </w:rPr>
        <w:tab/>
      </w:r>
      <w:r>
        <w:rPr>
          <w:rFonts w:hint="eastAsia" w:ascii="仿宋" w:hAnsi="仿宋" w:eastAsia="仿宋" w:cs="仿宋"/>
          <w:sz w:val="32"/>
          <w:szCs w:val="32"/>
          <w:lang w:val="en-US" w:eastAsia="zh-CN"/>
        </w:rPr>
        <w:t>9</w:t>
      </w:r>
    </w:p>
    <w:p w14:paraId="44399911">
      <w:pPr>
        <w:pStyle w:val="17"/>
        <w:tabs>
          <w:tab w:val="right" w:leader="dot" w:pos="8296"/>
        </w:tabs>
        <w:rPr>
          <w:rFonts w:hint="default" w:ascii="仿宋" w:hAnsi="仿宋" w:eastAsia="仿宋" w:cs="仿宋"/>
          <w:b w:val="0"/>
          <w:bCs w:val="0"/>
          <w:caps w:val="0"/>
          <w:smallCaps/>
          <w:sz w:val="32"/>
          <w:szCs w:val="32"/>
          <w:lang w:val="en-US" w:eastAsia="zh-CN"/>
        </w:rPr>
      </w:pPr>
      <w:r>
        <w:rPr>
          <w:rFonts w:hint="eastAsia" w:ascii="仿宋" w:hAnsi="仿宋" w:eastAsia="仿宋" w:cs="仿宋"/>
          <w:b w:val="0"/>
          <w:bCs w:val="0"/>
          <w:caps w:val="0"/>
          <w:smallCaps/>
          <w:sz w:val="32"/>
          <w:szCs w:val="32"/>
        </w:rPr>
        <w:t>第三部分 名词解释</w:t>
      </w:r>
      <w:r>
        <w:rPr>
          <w:rFonts w:hint="eastAsia" w:ascii="仿宋" w:hAnsi="仿宋" w:eastAsia="仿宋" w:cs="仿宋"/>
          <w:b w:val="0"/>
          <w:bCs w:val="0"/>
          <w:caps w:val="0"/>
          <w:smallCaps/>
          <w:sz w:val="32"/>
          <w:szCs w:val="32"/>
        </w:rPr>
        <w:tab/>
      </w:r>
      <w:r>
        <w:rPr>
          <w:rFonts w:hint="eastAsia" w:ascii="仿宋" w:hAnsi="仿宋" w:eastAsia="仿宋" w:cs="仿宋"/>
          <w:b w:val="0"/>
          <w:bCs w:val="0"/>
          <w:caps w:val="0"/>
          <w:smallCaps/>
          <w:sz w:val="32"/>
          <w:szCs w:val="32"/>
          <w:lang w:val="en-US" w:eastAsia="zh-CN"/>
        </w:rPr>
        <w:t>11</w:t>
      </w:r>
    </w:p>
    <w:p w14:paraId="41727BB8">
      <w:pPr>
        <w:pStyle w:val="17"/>
        <w:tabs>
          <w:tab w:val="right" w:leader="dot" w:pos="8296"/>
        </w:tabs>
        <w:rPr>
          <w:rFonts w:hint="default" w:ascii="仿宋" w:hAnsi="仿宋" w:eastAsia="仿宋" w:cs="仿宋"/>
          <w:b w:val="0"/>
          <w:bCs w:val="0"/>
          <w:caps w:val="0"/>
          <w:smallCaps/>
          <w:sz w:val="32"/>
          <w:szCs w:val="32"/>
          <w:lang w:val="en-US" w:eastAsia="zh-CN"/>
        </w:rPr>
      </w:pPr>
      <w:r>
        <w:rPr>
          <w:rFonts w:hint="eastAsia" w:ascii="仿宋" w:hAnsi="仿宋" w:eastAsia="仿宋" w:cs="仿宋"/>
          <w:b w:val="0"/>
          <w:bCs w:val="0"/>
          <w:caps w:val="0"/>
          <w:smallCaps/>
          <w:sz w:val="32"/>
          <w:szCs w:val="32"/>
        </w:rPr>
        <w:t>第四部分 附件</w:t>
      </w:r>
      <w:r>
        <w:rPr>
          <w:rFonts w:hint="eastAsia" w:ascii="仿宋" w:hAnsi="仿宋" w:eastAsia="仿宋" w:cs="仿宋"/>
          <w:b w:val="0"/>
          <w:bCs w:val="0"/>
          <w:caps w:val="0"/>
          <w:smallCaps/>
          <w:sz w:val="32"/>
          <w:szCs w:val="32"/>
        </w:rPr>
        <w:tab/>
      </w:r>
      <w:r>
        <w:rPr>
          <w:rFonts w:hint="eastAsia" w:ascii="仿宋" w:hAnsi="仿宋" w:eastAsia="仿宋" w:cs="仿宋"/>
          <w:b w:val="0"/>
          <w:bCs w:val="0"/>
          <w:caps w:val="0"/>
          <w:smallCaps/>
          <w:sz w:val="32"/>
          <w:szCs w:val="32"/>
          <w:lang w:val="en-US" w:eastAsia="zh-CN"/>
        </w:rPr>
        <w:t>15</w:t>
      </w:r>
    </w:p>
    <w:p w14:paraId="2A5D7B65">
      <w:pPr>
        <w:pStyle w:val="17"/>
        <w:tabs>
          <w:tab w:val="right" w:leader="dot" w:pos="8296"/>
        </w:tabs>
        <w:rPr>
          <w:rFonts w:hint="default" w:ascii="仿宋" w:hAnsi="仿宋" w:eastAsia="仿宋" w:cs="仿宋"/>
          <w:b w:val="0"/>
          <w:bCs w:val="0"/>
          <w:caps w:val="0"/>
          <w:smallCaps/>
          <w:sz w:val="32"/>
          <w:szCs w:val="32"/>
          <w:lang w:val="en-US" w:eastAsia="zh-CN"/>
        </w:rPr>
      </w:pPr>
      <w:r>
        <w:rPr>
          <w:rFonts w:hint="eastAsia" w:ascii="仿宋" w:hAnsi="仿宋" w:eastAsia="仿宋" w:cs="仿宋"/>
          <w:b w:val="0"/>
          <w:bCs w:val="0"/>
          <w:caps w:val="0"/>
          <w:smallCaps/>
          <w:sz w:val="32"/>
          <w:szCs w:val="32"/>
        </w:rPr>
        <w:t>第五部分 附表</w:t>
      </w:r>
      <w:r>
        <w:rPr>
          <w:rFonts w:hint="eastAsia" w:ascii="仿宋" w:hAnsi="仿宋" w:eastAsia="仿宋" w:cs="仿宋"/>
          <w:b w:val="0"/>
          <w:bCs w:val="0"/>
          <w:caps w:val="0"/>
          <w:smallCaps/>
          <w:sz w:val="32"/>
          <w:szCs w:val="32"/>
        </w:rPr>
        <w:tab/>
      </w:r>
      <w:r>
        <w:rPr>
          <w:rFonts w:hint="eastAsia" w:ascii="仿宋" w:hAnsi="仿宋" w:eastAsia="仿宋" w:cs="仿宋"/>
          <w:b w:val="0"/>
          <w:bCs w:val="0"/>
          <w:caps w:val="0"/>
          <w:smallCaps/>
          <w:sz w:val="32"/>
          <w:szCs w:val="32"/>
          <w:lang w:val="en-US" w:eastAsia="zh-CN"/>
        </w:rPr>
        <w:t>16</w:t>
      </w:r>
    </w:p>
    <w:p w14:paraId="095864D8">
      <w:pPr>
        <w:pStyle w:val="17"/>
        <w:tabs>
          <w:tab w:val="right" w:leader="dot" w:pos="8296"/>
        </w:tabs>
        <w:ind w:firstLine="321" w:firstLineChars="100"/>
        <w:rPr>
          <w:rFonts w:hint="eastAsia" w:ascii="仿宋" w:hAnsi="仿宋" w:eastAsia="仿宋" w:cs="仿宋"/>
          <w:sz w:val="32"/>
          <w:szCs w:val="32"/>
        </w:rPr>
      </w:pPr>
      <w:r>
        <w:rPr>
          <w:rFonts w:hint="eastAsia" w:ascii="仿宋" w:hAnsi="仿宋" w:eastAsia="仿宋" w:cs="仿宋"/>
          <w:sz w:val="32"/>
          <w:szCs w:val="32"/>
        </w:rPr>
        <w:t>一、收入支出决算总表</w:t>
      </w:r>
      <w:r>
        <w:rPr>
          <w:rFonts w:hint="eastAsia" w:ascii="仿宋" w:hAnsi="仿宋" w:eastAsia="仿宋" w:cs="仿宋"/>
          <w:b w:val="0"/>
          <w:bCs w:val="0"/>
          <w:caps w:val="0"/>
          <w:smallCaps/>
          <w:sz w:val="32"/>
          <w:szCs w:val="32"/>
        </w:rPr>
        <w:tab/>
      </w:r>
      <w:r>
        <w:rPr>
          <w:rFonts w:hint="eastAsia" w:ascii="仿宋" w:hAnsi="仿宋" w:eastAsia="仿宋" w:cs="仿宋"/>
          <w:b w:val="0"/>
          <w:bCs w:val="0"/>
          <w:caps w:val="0"/>
          <w:smallCaps/>
          <w:sz w:val="32"/>
          <w:szCs w:val="32"/>
          <w:lang w:val="en-US" w:eastAsia="zh-CN"/>
        </w:rPr>
        <w:t>16</w:t>
      </w:r>
    </w:p>
    <w:p w14:paraId="61D0FD52">
      <w:pPr>
        <w:pStyle w:val="17"/>
        <w:tabs>
          <w:tab w:val="right" w:leader="dot" w:pos="8296"/>
        </w:tabs>
        <w:ind w:firstLine="321" w:firstLineChars="100"/>
        <w:rPr>
          <w:rFonts w:hint="default" w:ascii="仿宋" w:hAnsi="仿宋" w:eastAsia="仿宋" w:cs="仿宋"/>
          <w:sz w:val="32"/>
          <w:szCs w:val="32"/>
          <w:lang w:val="en-US" w:eastAsia="zh-CN"/>
        </w:rPr>
      </w:pPr>
      <w:r>
        <w:rPr>
          <w:rFonts w:hint="eastAsia" w:ascii="仿宋" w:hAnsi="仿宋" w:eastAsia="仿宋" w:cs="仿宋"/>
          <w:sz w:val="32"/>
          <w:szCs w:val="32"/>
        </w:rPr>
        <w:t>二、收入决算表</w:t>
      </w:r>
      <w:r>
        <w:rPr>
          <w:rFonts w:hint="eastAsia" w:ascii="仿宋" w:hAnsi="仿宋" w:eastAsia="仿宋" w:cs="仿宋"/>
          <w:b w:val="0"/>
          <w:bCs w:val="0"/>
          <w:caps w:val="0"/>
          <w:smallCaps/>
          <w:sz w:val="32"/>
          <w:szCs w:val="32"/>
        </w:rPr>
        <w:tab/>
      </w:r>
      <w:r>
        <w:rPr>
          <w:rFonts w:hint="eastAsia" w:ascii="仿宋" w:hAnsi="仿宋" w:eastAsia="仿宋" w:cs="仿宋"/>
          <w:b w:val="0"/>
          <w:bCs w:val="0"/>
          <w:caps w:val="0"/>
          <w:smallCaps/>
          <w:sz w:val="32"/>
          <w:szCs w:val="32"/>
          <w:lang w:val="en-US" w:eastAsia="zh-CN"/>
        </w:rPr>
        <w:t>16</w:t>
      </w:r>
    </w:p>
    <w:p w14:paraId="39A1248C">
      <w:pPr>
        <w:pStyle w:val="17"/>
        <w:tabs>
          <w:tab w:val="right" w:leader="dot" w:pos="8296"/>
        </w:tabs>
        <w:ind w:firstLine="320" w:firstLineChars="100"/>
        <w:rPr>
          <w:rFonts w:hint="default" w:ascii="仿宋" w:hAnsi="仿宋" w:eastAsia="仿宋" w:cs="仿宋"/>
          <w:sz w:val="32"/>
          <w:szCs w:val="32"/>
          <w:lang w:val="en-US" w:eastAsia="zh-CN"/>
        </w:rPr>
      </w:pPr>
      <w:r>
        <w:rPr>
          <w:rStyle w:val="28"/>
          <w:rFonts w:hint="eastAsia" w:ascii="仿宋_GB2312" w:hAnsi="仿宋_GB2312" w:eastAsia="仿宋_GB2312" w:cs="仿宋_GB2312"/>
          <w:b w:val="0"/>
          <w:bCs w:val="0"/>
        </w:rPr>
        <w:t>三、</w:t>
      </w:r>
      <w:r>
        <w:rPr>
          <w:rStyle w:val="28"/>
          <w:rFonts w:hint="eastAsia" w:ascii="仿宋_GB2312" w:hAnsi="仿宋_GB2312" w:eastAsia="仿宋_GB2312" w:cs="仿宋_GB2312"/>
          <w:b/>
          <w:bCs/>
        </w:rPr>
        <w:t>支出决算表</w:t>
      </w:r>
      <w:r>
        <w:rPr>
          <w:rFonts w:hint="eastAsia" w:ascii="仿宋" w:hAnsi="仿宋" w:eastAsia="仿宋" w:cs="仿宋"/>
          <w:b w:val="0"/>
          <w:bCs w:val="0"/>
          <w:caps w:val="0"/>
          <w:smallCaps/>
          <w:sz w:val="32"/>
          <w:szCs w:val="32"/>
        </w:rPr>
        <w:tab/>
      </w:r>
      <w:r>
        <w:rPr>
          <w:rFonts w:hint="eastAsia" w:ascii="仿宋" w:hAnsi="仿宋" w:eastAsia="仿宋" w:cs="仿宋"/>
          <w:b w:val="0"/>
          <w:bCs w:val="0"/>
          <w:caps w:val="0"/>
          <w:smallCaps/>
          <w:sz w:val="32"/>
          <w:szCs w:val="32"/>
          <w:lang w:val="en-US" w:eastAsia="zh-CN"/>
        </w:rPr>
        <w:t>16</w:t>
      </w:r>
    </w:p>
    <w:p w14:paraId="491F6B4B">
      <w:pPr>
        <w:pStyle w:val="17"/>
        <w:tabs>
          <w:tab w:val="right" w:leader="dot" w:pos="8296"/>
        </w:tabs>
        <w:ind w:firstLine="321" w:firstLineChars="100"/>
        <w:rPr>
          <w:rFonts w:hint="eastAsia" w:ascii="仿宋" w:hAnsi="仿宋" w:eastAsia="仿宋" w:cs="仿宋"/>
          <w:sz w:val="32"/>
          <w:szCs w:val="32"/>
        </w:rPr>
      </w:pPr>
      <w:r>
        <w:rPr>
          <w:rFonts w:hint="eastAsia" w:ascii="仿宋" w:hAnsi="仿宋" w:eastAsia="仿宋" w:cs="仿宋"/>
          <w:sz w:val="32"/>
          <w:szCs w:val="32"/>
        </w:rPr>
        <w:t>四、财政拨款收入支出决算总表</w:t>
      </w:r>
      <w:r>
        <w:rPr>
          <w:rFonts w:hint="eastAsia" w:ascii="仿宋" w:hAnsi="仿宋" w:eastAsia="仿宋" w:cs="仿宋"/>
          <w:b w:val="0"/>
          <w:bCs w:val="0"/>
          <w:caps w:val="0"/>
          <w:smallCaps/>
          <w:sz w:val="32"/>
          <w:szCs w:val="32"/>
        </w:rPr>
        <w:tab/>
      </w:r>
      <w:r>
        <w:rPr>
          <w:rFonts w:hint="eastAsia" w:ascii="仿宋" w:hAnsi="仿宋" w:eastAsia="仿宋" w:cs="仿宋"/>
          <w:b w:val="0"/>
          <w:bCs w:val="0"/>
          <w:caps w:val="0"/>
          <w:smallCaps/>
          <w:sz w:val="32"/>
          <w:szCs w:val="32"/>
          <w:lang w:val="en-US" w:eastAsia="zh-CN"/>
        </w:rPr>
        <w:t>16</w:t>
      </w:r>
    </w:p>
    <w:p w14:paraId="3AB73790">
      <w:pPr>
        <w:pStyle w:val="17"/>
        <w:tabs>
          <w:tab w:val="right" w:leader="dot" w:pos="8296"/>
        </w:tabs>
        <w:ind w:firstLine="321" w:firstLineChars="100"/>
        <w:rPr>
          <w:rFonts w:hint="default" w:ascii="仿宋" w:hAnsi="仿宋" w:eastAsia="仿宋" w:cs="仿宋"/>
          <w:sz w:val="32"/>
          <w:szCs w:val="32"/>
          <w:lang w:val="en-US" w:eastAsia="zh-CN"/>
        </w:rPr>
      </w:pPr>
      <w:r>
        <w:rPr>
          <w:rFonts w:hint="eastAsia" w:ascii="仿宋" w:hAnsi="仿宋" w:eastAsia="仿宋" w:cs="仿宋"/>
          <w:sz w:val="32"/>
          <w:szCs w:val="32"/>
        </w:rPr>
        <w:t>五、财政拨款支出决算明细表</w:t>
      </w:r>
      <w:r>
        <w:rPr>
          <w:rFonts w:hint="eastAsia" w:ascii="仿宋" w:hAnsi="仿宋" w:eastAsia="仿宋" w:cs="仿宋"/>
          <w:b w:val="0"/>
          <w:bCs w:val="0"/>
          <w:caps w:val="0"/>
          <w:smallCaps/>
          <w:sz w:val="32"/>
          <w:szCs w:val="32"/>
        </w:rPr>
        <w:tab/>
      </w:r>
      <w:r>
        <w:rPr>
          <w:rFonts w:hint="eastAsia" w:ascii="仿宋" w:hAnsi="仿宋" w:eastAsia="仿宋" w:cs="仿宋"/>
          <w:b w:val="0"/>
          <w:bCs w:val="0"/>
          <w:caps w:val="0"/>
          <w:smallCaps/>
          <w:sz w:val="32"/>
          <w:szCs w:val="32"/>
          <w:lang w:val="en-US" w:eastAsia="zh-CN"/>
        </w:rPr>
        <w:t>16</w:t>
      </w:r>
    </w:p>
    <w:p w14:paraId="73B7DDFC">
      <w:pPr>
        <w:pStyle w:val="17"/>
        <w:tabs>
          <w:tab w:val="right" w:leader="dot" w:pos="8296"/>
        </w:tabs>
        <w:ind w:firstLine="321" w:firstLineChars="100"/>
        <w:rPr>
          <w:rFonts w:hint="default" w:ascii="仿宋" w:hAnsi="仿宋" w:eastAsia="仿宋" w:cs="仿宋"/>
          <w:sz w:val="32"/>
          <w:szCs w:val="32"/>
          <w:lang w:val="en-US" w:eastAsia="zh-CN"/>
        </w:rPr>
      </w:pPr>
      <w:r>
        <w:rPr>
          <w:rFonts w:hint="eastAsia" w:ascii="仿宋" w:hAnsi="仿宋" w:eastAsia="仿宋" w:cs="仿宋"/>
          <w:sz w:val="32"/>
          <w:szCs w:val="32"/>
        </w:rPr>
        <w:t>六、一般公共预算财政拨款支出决算表</w:t>
      </w:r>
      <w:r>
        <w:rPr>
          <w:rFonts w:hint="eastAsia" w:ascii="仿宋" w:hAnsi="仿宋" w:eastAsia="仿宋" w:cs="仿宋"/>
          <w:b w:val="0"/>
          <w:bCs w:val="0"/>
          <w:caps w:val="0"/>
          <w:smallCaps/>
          <w:sz w:val="32"/>
          <w:szCs w:val="32"/>
        </w:rPr>
        <w:tab/>
      </w:r>
      <w:r>
        <w:rPr>
          <w:rFonts w:hint="eastAsia" w:ascii="仿宋" w:hAnsi="仿宋" w:eastAsia="仿宋" w:cs="仿宋"/>
          <w:b w:val="0"/>
          <w:bCs w:val="0"/>
          <w:caps w:val="0"/>
          <w:smallCaps/>
          <w:sz w:val="32"/>
          <w:szCs w:val="32"/>
          <w:lang w:val="en-US" w:eastAsia="zh-CN"/>
        </w:rPr>
        <w:t>16</w:t>
      </w:r>
    </w:p>
    <w:p w14:paraId="79F875CE">
      <w:pPr>
        <w:pStyle w:val="17"/>
        <w:tabs>
          <w:tab w:val="right" w:leader="dot" w:pos="8296"/>
        </w:tabs>
        <w:ind w:firstLine="321" w:firstLineChars="100"/>
        <w:rPr>
          <w:rFonts w:hint="eastAsia" w:ascii="仿宋" w:hAnsi="仿宋" w:eastAsia="仿宋" w:cs="仿宋"/>
          <w:sz w:val="32"/>
          <w:szCs w:val="32"/>
        </w:rPr>
      </w:pPr>
      <w:r>
        <w:rPr>
          <w:rFonts w:hint="eastAsia" w:ascii="仿宋" w:hAnsi="仿宋" w:eastAsia="仿宋" w:cs="仿宋"/>
          <w:sz w:val="32"/>
          <w:szCs w:val="32"/>
        </w:rPr>
        <w:t>七、一般公共预算财政拨款支出决算明细表</w:t>
      </w:r>
      <w:r>
        <w:rPr>
          <w:rFonts w:hint="eastAsia" w:ascii="仿宋" w:hAnsi="仿宋" w:eastAsia="仿宋" w:cs="仿宋"/>
          <w:b w:val="0"/>
          <w:bCs w:val="0"/>
          <w:caps w:val="0"/>
          <w:smallCaps/>
          <w:sz w:val="32"/>
          <w:szCs w:val="32"/>
        </w:rPr>
        <w:tab/>
      </w:r>
      <w:r>
        <w:rPr>
          <w:rFonts w:hint="eastAsia" w:ascii="仿宋" w:hAnsi="仿宋" w:eastAsia="仿宋" w:cs="仿宋"/>
          <w:b w:val="0"/>
          <w:bCs w:val="0"/>
          <w:caps w:val="0"/>
          <w:smallCaps/>
          <w:sz w:val="32"/>
          <w:szCs w:val="32"/>
          <w:lang w:val="en-US" w:eastAsia="zh-CN"/>
        </w:rPr>
        <w:t>16</w:t>
      </w:r>
    </w:p>
    <w:p w14:paraId="49AAC018">
      <w:pPr>
        <w:pStyle w:val="17"/>
        <w:tabs>
          <w:tab w:val="right" w:leader="dot" w:pos="8296"/>
        </w:tabs>
        <w:ind w:firstLine="321" w:firstLineChars="100"/>
        <w:rPr>
          <w:rFonts w:hint="eastAsia" w:ascii="仿宋" w:hAnsi="仿宋" w:eastAsia="仿宋" w:cs="仿宋"/>
          <w:sz w:val="32"/>
          <w:szCs w:val="32"/>
        </w:rPr>
      </w:pPr>
      <w:r>
        <w:rPr>
          <w:rFonts w:hint="eastAsia" w:ascii="仿宋" w:hAnsi="仿宋" w:eastAsia="仿宋" w:cs="仿宋"/>
          <w:sz w:val="32"/>
          <w:szCs w:val="32"/>
        </w:rPr>
        <w:t>八、一般公共预算财政拨款基本支出决算表</w:t>
      </w:r>
      <w:r>
        <w:rPr>
          <w:rFonts w:hint="eastAsia" w:ascii="仿宋" w:hAnsi="仿宋" w:eastAsia="仿宋" w:cs="仿宋"/>
          <w:b w:val="0"/>
          <w:bCs w:val="0"/>
          <w:caps w:val="0"/>
          <w:smallCaps/>
          <w:sz w:val="32"/>
          <w:szCs w:val="32"/>
        </w:rPr>
        <w:tab/>
      </w:r>
      <w:r>
        <w:rPr>
          <w:rFonts w:hint="eastAsia" w:ascii="仿宋" w:hAnsi="仿宋" w:eastAsia="仿宋" w:cs="仿宋"/>
          <w:b w:val="0"/>
          <w:bCs w:val="0"/>
          <w:caps w:val="0"/>
          <w:smallCaps/>
          <w:sz w:val="32"/>
          <w:szCs w:val="32"/>
          <w:lang w:val="en-US" w:eastAsia="zh-CN"/>
        </w:rPr>
        <w:t>16</w:t>
      </w:r>
    </w:p>
    <w:p w14:paraId="0F97ED0D">
      <w:pPr>
        <w:pStyle w:val="17"/>
        <w:tabs>
          <w:tab w:val="right" w:leader="dot" w:pos="8296"/>
        </w:tabs>
        <w:ind w:firstLine="321" w:firstLineChars="100"/>
        <w:rPr>
          <w:rFonts w:hint="default" w:ascii="仿宋" w:hAnsi="仿宋" w:eastAsia="仿宋" w:cs="仿宋"/>
          <w:sz w:val="32"/>
          <w:szCs w:val="32"/>
          <w:lang w:val="en-US" w:eastAsia="zh-CN"/>
        </w:rPr>
      </w:pPr>
      <w:r>
        <w:rPr>
          <w:rFonts w:hint="eastAsia" w:ascii="仿宋" w:hAnsi="仿宋" w:eastAsia="仿宋" w:cs="仿宋"/>
          <w:sz w:val="32"/>
          <w:szCs w:val="32"/>
        </w:rPr>
        <w:t>九、一般公共预算财政拨款项目支出决算表</w:t>
      </w:r>
      <w:r>
        <w:rPr>
          <w:rFonts w:hint="eastAsia" w:ascii="仿宋" w:hAnsi="仿宋" w:eastAsia="仿宋" w:cs="仿宋"/>
          <w:b w:val="0"/>
          <w:bCs w:val="0"/>
          <w:caps w:val="0"/>
          <w:smallCaps/>
          <w:sz w:val="32"/>
          <w:szCs w:val="32"/>
        </w:rPr>
        <w:tab/>
      </w:r>
      <w:r>
        <w:rPr>
          <w:rFonts w:hint="eastAsia" w:ascii="仿宋" w:hAnsi="仿宋" w:eastAsia="仿宋" w:cs="仿宋"/>
          <w:b w:val="0"/>
          <w:bCs w:val="0"/>
          <w:caps w:val="0"/>
          <w:smallCaps/>
          <w:sz w:val="32"/>
          <w:szCs w:val="32"/>
          <w:lang w:val="en-US" w:eastAsia="zh-CN"/>
        </w:rPr>
        <w:t>16</w:t>
      </w:r>
    </w:p>
    <w:p w14:paraId="0CC4AEE4">
      <w:pPr>
        <w:pStyle w:val="17"/>
        <w:tabs>
          <w:tab w:val="right" w:leader="dot" w:pos="8296"/>
        </w:tabs>
        <w:ind w:firstLine="321" w:firstLineChars="100"/>
        <w:rPr>
          <w:rFonts w:hint="eastAsia" w:ascii="仿宋" w:hAnsi="Cambria" w:eastAsia="仿宋" w:cs="Times New Roman"/>
          <w:b w:val="0"/>
          <w:color w:val="000000"/>
          <w:kern w:val="2"/>
          <w:sz w:val="32"/>
          <w:szCs w:val="32"/>
          <w:lang w:bidi="ar-SA"/>
        </w:rPr>
      </w:pPr>
      <w:r>
        <w:rPr>
          <w:rFonts w:hint="eastAsia" w:ascii="仿宋" w:hAnsi="仿宋" w:eastAsia="仿宋" w:cs="仿宋"/>
          <w:sz w:val="32"/>
          <w:szCs w:val="32"/>
        </w:rPr>
        <w:t>十、</w:t>
      </w:r>
      <w:r>
        <w:rPr>
          <w:rFonts w:hint="eastAsia" w:ascii="仿宋" w:hAnsi="Cambria" w:eastAsia="仿宋" w:cs="Times New Roman"/>
          <w:b w:val="0"/>
          <w:color w:val="000000"/>
          <w:kern w:val="2"/>
          <w:sz w:val="32"/>
          <w:szCs w:val="32"/>
          <w:lang w:bidi="ar-SA"/>
        </w:rPr>
        <w:t>政府性基金预算财政拨款收入支出决算表</w:t>
      </w:r>
      <w:r>
        <w:rPr>
          <w:rFonts w:hint="eastAsia" w:ascii="仿宋" w:hAnsi="仿宋" w:eastAsia="仿宋" w:cs="仿宋"/>
          <w:b w:val="0"/>
          <w:bCs w:val="0"/>
          <w:caps w:val="0"/>
          <w:smallCaps/>
          <w:sz w:val="32"/>
          <w:szCs w:val="32"/>
        </w:rPr>
        <w:tab/>
      </w:r>
      <w:r>
        <w:rPr>
          <w:rFonts w:hint="eastAsia" w:ascii="仿宋" w:hAnsi="仿宋" w:eastAsia="仿宋" w:cs="仿宋"/>
          <w:b w:val="0"/>
          <w:bCs w:val="0"/>
          <w:caps w:val="0"/>
          <w:smallCaps/>
          <w:sz w:val="32"/>
          <w:szCs w:val="32"/>
          <w:lang w:val="en-US" w:eastAsia="zh-CN"/>
        </w:rPr>
        <w:t>16</w:t>
      </w:r>
    </w:p>
    <w:p w14:paraId="4F137179">
      <w:pPr>
        <w:pStyle w:val="17"/>
        <w:tabs>
          <w:tab w:val="right" w:leader="dot" w:pos="8296"/>
        </w:tabs>
        <w:ind w:firstLine="321" w:firstLineChars="100"/>
        <w:rPr>
          <w:rFonts w:hint="eastAsia" w:ascii="仿宋" w:hAnsi="仿宋" w:eastAsia="仿宋" w:cs="仿宋"/>
          <w:sz w:val="32"/>
          <w:szCs w:val="32"/>
        </w:rPr>
      </w:pPr>
      <w:r>
        <w:rPr>
          <w:rFonts w:hint="eastAsia" w:ascii="仿宋" w:hAnsi="仿宋" w:eastAsia="仿宋" w:cs="仿宋"/>
          <w:sz w:val="32"/>
          <w:szCs w:val="32"/>
        </w:rPr>
        <w:t>十一、国有资本经营预算财政拨款收入支出决算表</w:t>
      </w:r>
      <w:r>
        <w:rPr>
          <w:rFonts w:hint="eastAsia" w:ascii="仿宋" w:hAnsi="仿宋" w:eastAsia="仿宋" w:cs="仿宋"/>
          <w:b w:val="0"/>
          <w:bCs w:val="0"/>
          <w:caps w:val="0"/>
          <w:smallCaps/>
          <w:sz w:val="32"/>
          <w:szCs w:val="32"/>
        </w:rPr>
        <w:tab/>
      </w:r>
      <w:r>
        <w:rPr>
          <w:rFonts w:hint="eastAsia" w:ascii="仿宋" w:hAnsi="仿宋" w:eastAsia="仿宋" w:cs="仿宋"/>
          <w:b w:val="0"/>
          <w:bCs w:val="0"/>
          <w:caps w:val="0"/>
          <w:smallCaps/>
          <w:sz w:val="32"/>
          <w:szCs w:val="32"/>
          <w:lang w:val="en-US" w:eastAsia="zh-CN"/>
        </w:rPr>
        <w:t>16</w:t>
      </w:r>
    </w:p>
    <w:p w14:paraId="4B9FD55A">
      <w:pPr>
        <w:pStyle w:val="17"/>
        <w:tabs>
          <w:tab w:val="right" w:leader="dot" w:pos="8296"/>
        </w:tabs>
        <w:ind w:firstLine="321" w:firstLineChars="100"/>
        <w:rPr>
          <w:rFonts w:hint="eastAsia" w:ascii="仿宋" w:hAnsi="Cambria" w:eastAsia="仿宋" w:cs="Times New Roman"/>
          <w:b w:val="0"/>
          <w:color w:val="000000"/>
          <w:kern w:val="2"/>
          <w:sz w:val="32"/>
          <w:szCs w:val="32"/>
          <w:lang w:val="en-US" w:eastAsia="zh-CN" w:bidi="ar-SA"/>
        </w:rPr>
      </w:pPr>
      <w:r>
        <w:rPr>
          <w:rFonts w:hint="eastAsia" w:ascii="仿宋" w:hAnsi="仿宋" w:eastAsia="仿宋" w:cs="仿宋"/>
          <w:sz w:val="32"/>
          <w:szCs w:val="32"/>
        </w:rPr>
        <w:t>十二、</w:t>
      </w:r>
      <w:r>
        <w:rPr>
          <w:rFonts w:hint="eastAsia" w:ascii="仿宋" w:hAnsi="Cambria" w:eastAsia="仿宋" w:cs="Times New Roman"/>
          <w:b w:val="0"/>
          <w:color w:val="000000"/>
          <w:kern w:val="2"/>
          <w:sz w:val="32"/>
          <w:szCs w:val="32"/>
          <w:lang w:bidi="ar-SA"/>
        </w:rPr>
        <w:t>国有资本经营预算财政拨款支出决算表</w:t>
      </w:r>
      <w:r>
        <w:rPr>
          <w:rFonts w:hint="eastAsia" w:ascii="仿宋" w:hAnsi="仿宋" w:eastAsia="仿宋" w:cs="仿宋"/>
          <w:b w:val="0"/>
          <w:bCs w:val="0"/>
          <w:caps w:val="0"/>
          <w:smallCaps/>
          <w:sz w:val="32"/>
          <w:szCs w:val="32"/>
        </w:rPr>
        <w:tab/>
      </w:r>
      <w:r>
        <w:rPr>
          <w:rFonts w:hint="eastAsia" w:ascii="仿宋" w:hAnsi="仿宋" w:eastAsia="仿宋" w:cs="仿宋"/>
          <w:b w:val="0"/>
          <w:bCs w:val="0"/>
          <w:caps w:val="0"/>
          <w:smallCaps/>
          <w:sz w:val="32"/>
          <w:szCs w:val="32"/>
          <w:lang w:val="en-US" w:eastAsia="zh-CN"/>
        </w:rPr>
        <w:t>16</w:t>
      </w:r>
    </w:p>
    <w:p w14:paraId="7BE668C2">
      <w:pPr>
        <w:pStyle w:val="17"/>
        <w:tabs>
          <w:tab w:val="right" w:leader="dot" w:pos="8296"/>
        </w:tabs>
        <w:ind w:firstLine="321" w:firstLineChars="100"/>
        <w:rPr>
          <w:rFonts w:hint="default" w:ascii="仿宋" w:hAnsi="仿宋" w:eastAsia="仿宋" w:cs="仿宋"/>
          <w:b w:val="0"/>
          <w:bCs w:val="0"/>
          <w:caps w:val="0"/>
          <w:smallCaps/>
          <w:sz w:val="32"/>
          <w:szCs w:val="32"/>
          <w:lang w:val="en-US" w:eastAsia="zh-CN"/>
        </w:rPr>
      </w:pPr>
      <w:r>
        <w:rPr>
          <w:rFonts w:hint="eastAsia" w:ascii="仿宋" w:hAnsi="仿宋" w:eastAsia="仿宋" w:cs="仿宋"/>
          <w:sz w:val="32"/>
          <w:szCs w:val="32"/>
        </w:rPr>
        <w:t>十三、</w:t>
      </w:r>
      <w:r>
        <w:rPr>
          <w:rFonts w:hint="eastAsia" w:ascii="仿宋" w:hAnsi="Cambria" w:eastAsia="仿宋" w:cs="Times New Roman"/>
          <w:b w:val="0"/>
          <w:color w:val="000000"/>
          <w:kern w:val="2"/>
          <w:sz w:val="32"/>
          <w:szCs w:val="32"/>
          <w:lang w:bidi="ar-SA"/>
        </w:rPr>
        <w:t>财政拨款“三公”经费支出决算表</w:t>
      </w:r>
      <w:r>
        <w:rPr>
          <w:rFonts w:hint="eastAsia" w:ascii="仿宋" w:hAnsi="仿宋" w:eastAsia="仿宋" w:cs="仿宋"/>
          <w:b w:val="0"/>
          <w:bCs w:val="0"/>
          <w:caps w:val="0"/>
          <w:smallCaps/>
          <w:sz w:val="32"/>
          <w:szCs w:val="32"/>
        </w:rPr>
        <w:tab/>
      </w:r>
      <w:r>
        <w:rPr>
          <w:rFonts w:hint="eastAsia" w:ascii="仿宋" w:hAnsi="仿宋" w:eastAsia="仿宋" w:cs="仿宋"/>
          <w:b w:val="0"/>
          <w:bCs w:val="0"/>
          <w:caps w:val="0"/>
          <w:smallCaps/>
          <w:sz w:val="32"/>
          <w:szCs w:val="32"/>
          <w:lang w:val="en-US" w:eastAsia="zh-CN"/>
        </w:rPr>
        <w:t>16</w:t>
      </w:r>
    </w:p>
    <w:p w14:paraId="298370FC">
      <w:pPr>
        <w:pStyle w:val="20"/>
        <w:tabs>
          <w:tab w:val="right" w:leader="dot" w:pos="8296"/>
        </w:tabs>
        <w:rPr>
          <w:rFonts w:hint="default" w:ascii="仿宋" w:hAnsi="仿宋" w:eastAsia="仿宋" w:cs="仿宋"/>
          <w:sz w:val="32"/>
          <w:szCs w:val="32"/>
          <w:lang w:val="en-US" w:eastAsia="zh-CN"/>
        </w:rPr>
      </w:pPr>
    </w:p>
    <w:p w14:paraId="6EED3EA4">
      <w:r>
        <w:rPr>
          <w:rFonts w:hint="eastAsia" w:ascii="仿宋" w:hAnsi="仿宋" w:eastAsia="仿宋" w:cs="仿宋"/>
          <w:smallCaps/>
          <w:sz w:val="32"/>
          <w:szCs w:val="32"/>
        </w:rPr>
        <w:fldChar w:fldCharType="end"/>
      </w:r>
    </w:p>
    <w:p w14:paraId="5B53F5F0">
      <w:pPr>
        <w:widowControl/>
        <w:spacing w:line="440" w:lineRule="exact"/>
        <w:jc w:val="left"/>
        <w:rPr>
          <w:rFonts w:ascii="仿宋" w:eastAsia="仿宋"/>
          <w:bCs/>
          <w:kern w:val="44"/>
          <w:sz w:val="24"/>
        </w:rPr>
      </w:pPr>
      <w:bookmarkStart w:id="12" w:name="_Toc15377196"/>
      <w:bookmarkStart w:id="13" w:name="_Toc15396599"/>
      <w:r>
        <w:rPr>
          <w:rFonts w:ascii="仿宋" w:eastAsia="仿宋"/>
          <w:b/>
          <w:sz w:val="24"/>
        </w:rPr>
        <w:br w:type="page"/>
      </w:r>
    </w:p>
    <w:p w14:paraId="2891F3E7">
      <w:pPr>
        <w:bidi w:val="0"/>
        <w:ind w:firstLine="2200" w:firstLineChars="500"/>
        <w:rPr>
          <w:rFonts w:ascii="黑体" w:hAnsi="黑体" w:eastAsia="黑体" w:cs="黑体"/>
          <w:bCs w:val="0"/>
        </w:rPr>
      </w:pPr>
      <w:bookmarkStart w:id="14" w:name="_Toc79163601"/>
      <w:bookmarkStart w:id="15" w:name="_Toc79163851"/>
      <w:r>
        <w:rPr>
          <w:rFonts w:hint="eastAsia" w:ascii="黑体" w:hAnsi="黑体" w:eastAsia="黑体" w:cs="黑体"/>
          <w:b w:val="0"/>
          <w:sz w:val="44"/>
          <w:szCs w:val="44"/>
        </w:rPr>
        <w:t>第一部分</w:t>
      </w:r>
      <w:r>
        <w:rPr>
          <w:rFonts w:hint="eastAsia" w:ascii="黑体" w:hAnsi="黑体" w:eastAsia="黑体" w:cs="黑体"/>
          <w:b w:val="0"/>
          <w:lang w:val="en-US" w:eastAsia="zh-CN"/>
        </w:rPr>
        <w:t xml:space="preserve"> </w:t>
      </w:r>
      <w:r>
        <w:rPr>
          <w:rStyle w:val="27"/>
          <w:rFonts w:hint="eastAsia" w:ascii="黑体" w:hAnsi="黑体" w:eastAsia="黑体" w:cs="黑体"/>
          <w:b w:val="0"/>
          <w:bCs w:val="0"/>
        </w:rPr>
        <w:t>单位概况</w:t>
      </w:r>
      <w:bookmarkEnd w:id="12"/>
      <w:bookmarkEnd w:id="13"/>
      <w:bookmarkEnd w:id="14"/>
      <w:bookmarkEnd w:id="15"/>
    </w:p>
    <w:p w14:paraId="65AAA8E6">
      <w:pPr>
        <w:pStyle w:val="6"/>
        <w:keepNext/>
        <w:keepLines/>
        <w:pageBreakBefore w:val="0"/>
        <w:widowControl w:val="0"/>
        <w:numPr>
          <w:ilvl w:val="0"/>
          <w:numId w:val="1"/>
        </w:numPr>
        <w:kinsoku/>
        <w:wordWrap/>
        <w:overflowPunct/>
        <w:topLinePunct w:val="0"/>
        <w:autoSpaceDE/>
        <w:autoSpaceDN/>
        <w:bidi w:val="0"/>
        <w:adjustRightInd/>
        <w:snapToGrid/>
        <w:spacing w:before="0" w:after="0" w:line="240" w:lineRule="auto"/>
        <w:textAlignment w:val="auto"/>
        <w:rPr>
          <w:rStyle w:val="28"/>
          <w:rFonts w:ascii="黑体" w:eastAsia="黑体" w:cs="黑体"/>
          <w:b w:val="0"/>
          <w:bCs w:val="0"/>
        </w:rPr>
      </w:pPr>
      <w:bookmarkStart w:id="16" w:name="_Toc15396600"/>
      <w:bookmarkStart w:id="17" w:name="_Toc79163602"/>
      <w:bookmarkStart w:id="18" w:name="_Toc15377197"/>
      <w:bookmarkStart w:id="19" w:name="_Toc79163852"/>
      <w:r>
        <w:rPr>
          <w:rFonts w:hint="eastAsia" w:ascii="黑体" w:eastAsia="黑体" w:cs="黑体"/>
          <w:b w:val="0"/>
          <w:color w:val="000000"/>
          <w:lang w:eastAsia="zh-CN"/>
        </w:rPr>
        <w:t>主要</w:t>
      </w:r>
      <w:r>
        <w:rPr>
          <w:rStyle w:val="28"/>
          <w:rFonts w:hint="eastAsia" w:ascii="黑体" w:eastAsia="黑体" w:cs="黑体"/>
          <w:b w:val="0"/>
          <w:bCs w:val="0"/>
        </w:rPr>
        <w:t>职</w:t>
      </w:r>
      <w:bookmarkEnd w:id="16"/>
      <w:bookmarkEnd w:id="17"/>
      <w:bookmarkEnd w:id="18"/>
      <w:bookmarkEnd w:id="19"/>
      <w:bookmarkStart w:id="20" w:name="_Toc79163603"/>
      <w:bookmarkStart w:id="21" w:name="_Toc79163853"/>
      <w:bookmarkStart w:id="22" w:name="_Toc15378445"/>
      <w:bookmarkStart w:id="23" w:name="_Toc15377198"/>
      <w:r>
        <w:rPr>
          <w:rStyle w:val="28"/>
          <w:rFonts w:hint="eastAsia" w:ascii="黑体" w:eastAsia="黑体" w:cs="黑体"/>
          <w:b w:val="0"/>
          <w:bCs w:val="0"/>
        </w:rPr>
        <w:t>责</w:t>
      </w:r>
    </w:p>
    <w:bookmarkEnd w:id="20"/>
    <w:bookmarkEnd w:id="21"/>
    <w:p w14:paraId="63597A75">
      <w:pPr>
        <w:pStyle w:val="6"/>
        <w:keepNext/>
        <w:keepLines/>
        <w:pageBreakBefore w:val="0"/>
        <w:widowControl w:val="0"/>
        <w:kinsoku/>
        <w:wordWrap/>
        <w:overflowPunct/>
        <w:topLinePunct w:val="0"/>
        <w:autoSpaceDE/>
        <w:autoSpaceDN/>
        <w:bidi w:val="0"/>
        <w:adjustRightInd/>
        <w:snapToGrid/>
        <w:spacing w:before="0" w:after="0" w:line="240" w:lineRule="auto"/>
        <w:ind w:firstLine="640" w:firstLineChars="200"/>
        <w:textAlignment w:val="auto"/>
        <w:rPr>
          <w:rFonts w:hint="eastAsia" w:ascii="仿宋" w:hAnsi="仿宋" w:eastAsia="仿宋" w:cs="仿宋"/>
          <w:bCs/>
          <w:color w:val="auto"/>
          <w:sz w:val="32"/>
          <w:szCs w:val="32"/>
          <w:lang w:val="en-US" w:eastAsia="zh-CN"/>
        </w:rPr>
      </w:pPr>
      <w:r>
        <w:rPr>
          <w:rFonts w:hint="eastAsia" w:ascii="仿宋" w:hAnsi="仿宋" w:eastAsia="仿宋" w:cs="仿宋"/>
          <w:b w:val="0"/>
          <w:bCs w:val="0"/>
          <w:color w:val="000000" w:themeColor="text1"/>
          <w:kern w:val="0"/>
          <w:sz w:val="32"/>
          <w:szCs w:val="32"/>
          <w:shd w:val="clear" w:color="auto" w:fill="FFFFFF"/>
          <w14:textFill>
            <w14:solidFill>
              <w14:schemeClr w14:val="tx1"/>
            </w14:solidFill>
          </w14:textFill>
        </w:rPr>
        <w:t>负责全县中小学校长、教师的师资培训、信息技术教育、县级中小学骨干教师等培训工作。制定并组织落实全县校长和教师队伍建设培训</w:t>
      </w:r>
      <w:r>
        <w:rPr>
          <w:rFonts w:hint="eastAsia" w:ascii="仿宋" w:hAnsi="仿宋" w:eastAsia="仿宋" w:cs="仿宋"/>
          <w:b w:val="0"/>
          <w:bCs w:val="0"/>
          <w:color w:val="000000" w:themeColor="text1"/>
          <w:kern w:val="0"/>
          <w:sz w:val="32"/>
          <w:szCs w:val="32"/>
          <w:shd w:val="clear" w:color="auto" w:fill="FFFFFF"/>
          <w:lang w:eastAsia="zh-CN"/>
          <w14:textFill>
            <w14:solidFill>
              <w14:schemeClr w14:val="tx1"/>
            </w14:solidFill>
          </w14:textFill>
        </w:rPr>
        <w:t>计</w:t>
      </w:r>
      <w:r>
        <w:rPr>
          <w:rFonts w:hint="eastAsia" w:ascii="仿宋" w:hAnsi="仿宋" w:eastAsia="仿宋" w:cs="仿宋"/>
          <w:b w:val="0"/>
          <w:bCs w:val="0"/>
          <w:color w:val="000000" w:themeColor="text1"/>
          <w:kern w:val="0"/>
          <w:sz w:val="32"/>
          <w:szCs w:val="32"/>
          <w:shd w:val="clear" w:color="auto" w:fill="FFFFFF"/>
          <w14:textFill>
            <w14:solidFill>
              <w14:schemeClr w14:val="tx1"/>
            </w14:solidFill>
          </w14:textFill>
        </w:rPr>
        <w:t>划。</w:t>
      </w:r>
      <w:bookmarkEnd w:id="22"/>
      <w:bookmarkEnd w:id="23"/>
      <w:bookmarkStart w:id="24" w:name="_Toc79163604"/>
      <w:bookmarkStart w:id="25" w:name="_Toc15378446"/>
      <w:bookmarkStart w:id="26" w:name="_Toc79163854"/>
      <w:bookmarkStart w:id="27" w:name="_Toc15377199"/>
      <w:r>
        <w:rPr>
          <w:rFonts w:hint="eastAsia" w:ascii="仿宋" w:hAnsi="仿宋" w:eastAsia="仿宋" w:cs="仿宋"/>
          <w:b w:val="0"/>
          <w:bCs w:val="0"/>
          <w:color w:val="000000" w:themeColor="text1"/>
          <w:sz w:val="32"/>
          <w:szCs w:val="32"/>
          <w14:textFill>
            <w14:solidFill>
              <w14:schemeClr w14:val="tx1"/>
            </w14:solidFill>
          </w14:textFill>
        </w:rPr>
        <w:t>承办</w:t>
      </w:r>
      <w:r>
        <w:rPr>
          <w:rFonts w:hint="eastAsia" w:ascii="仿宋" w:hAnsi="仿宋" w:eastAsia="仿宋" w:cs="仿宋"/>
          <w:b w:val="0"/>
          <w:bCs w:val="0"/>
          <w:color w:val="000000" w:themeColor="text1"/>
          <w:sz w:val="32"/>
          <w:szCs w:val="32"/>
          <w:lang w:eastAsia="zh-CN"/>
          <w14:textFill>
            <w14:solidFill>
              <w14:schemeClr w14:val="tx1"/>
            </w14:solidFill>
          </w14:textFill>
        </w:rPr>
        <w:t>县</w:t>
      </w:r>
      <w:r>
        <w:rPr>
          <w:rFonts w:hint="eastAsia" w:ascii="仿宋" w:hAnsi="仿宋" w:eastAsia="仿宋" w:cs="仿宋"/>
          <w:b w:val="0"/>
          <w:bCs w:val="0"/>
          <w:color w:val="000000" w:themeColor="text1"/>
          <w:sz w:val="32"/>
          <w:szCs w:val="32"/>
          <w14:textFill>
            <w14:solidFill>
              <w14:schemeClr w14:val="tx1"/>
            </w14:solidFill>
          </w14:textFill>
        </w:rPr>
        <w:t>教育</w:t>
      </w:r>
      <w:r>
        <w:rPr>
          <w:rFonts w:hint="eastAsia" w:ascii="仿宋" w:hAnsi="仿宋" w:eastAsia="仿宋" w:cs="仿宋"/>
          <w:b w:val="0"/>
          <w:bCs w:val="0"/>
          <w:sz w:val="32"/>
          <w:szCs w:val="32"/>
        </w:rPr>
        <w:t>局交办的其他事项。</w:t>
      </w:r>
      <w:bookmarkEnd w:id="24"/>
      <w:bookmarkEnd w:id="25"/>
      <w:bookmarkEnd w:id="26"/>
      <w:bookmarkEnd w:id="27"/>
      <w:r>
        <w:rPr>
          <w:rFonts w:hint="eastAsia" w:ascii="仿宋" w:hAnsi="仿宋" w:eastAsia="仿宋" w:cs="仿宋"/>
          <w:color w:val="auto"/>
          <w:sz w:val="32"/>
          <w:szCs w:val="32"/>
        </w:rPr>
        <w:t xml:space="preserve">                                                                                                                                                                                                                                                                                                                                                                                                                                                                                                                                                                                                                                                                                                                                                                                                                                                                                                                                                                                                                                                                                                                                                                                                                                                                                                                                                                                                                                                                                                                                                                                                                                                                                                                                                                                                                                                                                                                                                                                                                                                                                                                                                                                                                                                                                                                                                                                                                                                                                                                                                                                                                                                                                                                                                                                                                                                     </w:t>
      </w:r>
    </w:p>
    <w:p w14:paraId="668449EB">
      <w:pPr>
        <w:pStyle w:val="6"/>
        <w:rPr>
          <w:rStyle w:val="28"/>
          <w:rFonts w:ascii="黑体" w:eastAsia="黑体" w:cs="黑体"/>
          <w:b w:val="0"/>
          <w:bCs w:val="0"/>
          <w:color w:val="000000" w:themeColor="text1"/>
          <w14:textFill>
            <w14:solidFill>
              <w14:schemeClr w14:val="tx1"/>
            </w14:solidFill>
          </w14:textFill>
        </w:rPr>
      </w:pPr>
      <w:bookmarkStart w:id="28" w:name="_Toc15396601"/>
      <w:bookmarkStart w:id="29" w:name="_Toc79163855"/>
      <w:bookmarkStart w:id="30" w:name="_Toc15377200"/>
      <w:bookmarkStart w:id="31" w:name="_Toc79163605"/>
      <w:r>
        <w:rPr>
          <w:rFonts w:hint="eastAsia" w:ascii="黑体" w:eastAsia="黑体" w:cs="黑体"/>
          <w:b w:val="0"/>
          <w:color w:val="000000" w:themeColor="text1"/>
          <w14:textFill>
            <w14:solidFill>
              <w14:schemeClr w14:val="tx1"/>
            </w14:solidFill>
          </w14:textFill>
        </w:rPr>
        <w:t>二、机</w:t>
      </w:r>
      <w:r>
        <w:rPr>
          <w:rStyle w:val="28"/>
          <w:rFonts w:hint="eastAsia" w:ascii="黑体" w:eastAsia="黑体" w:cs="黑体"/>
          <w:b w:val="0"/>
          <w:bCs w:val="0"/>
          <w:color w:val="000000" w:themeColor="text1"/>
          <w14:textFill>
            <w14:solidFill>
              <w14:schemeClr w14:val="tx1"/>
            </w14:solidFill>
          </w14:textFill>
        </w:rPr>
        <w:t>构设置</w:t>
      </w:r>
      <w:bookmarkEnd w:id="28"/>
      <w:bookmarkEnd w:id="29"/>
      <w:bookmarkEnd w:id="30"/>
      <w:bookmarkEnd w:id="31"/>
    </w:p>
    <w:p w14:paraId="4F4BAB7D">
      <w:pPr>
        <w:ind w:firstLine="640" w:firstLineChars="200"/>
        <w:rPr>
          <w:rFonts w:hint="eastAsia" w:ascii="仿宋_GB2312" w:eastAsia="仿宋_GB2312" w:cs="仿宋_GB2312"/>
          <w:sz w:val="32"/>
          <w:szCs w:val="32"/>
        </w:rPr>
      </w:pPr>
      <w:r>
        <w:rPr>
          <w:rFonts w:hint="eastAsia" w:ascii="仿宋_GB2312" w:eastAsia="仿宋_GB2312" w:cs="仿宋_GB2312"/>
          <w:sz w:val="32"/>
          <w:szCs w:val="32"/>
          <w:lang w:eastAsia="zh-CN"/>
        </w:rPr>
        <w:t>茂县教师进修学校是茂县教育局下属</w:t>
      </w:r>
      <w:r>
        <w:rPr>
          <w:rFonts w:hint="eastAsia" w:ascii="仿宋_GB2312" w:eastAsia="仿宋_GB2312" w:cs="仿宋_GB2312"/>
          <w:sz w:val="32"/>
          <w:szCs w:val="32"/>
        </w:rPr>
        <w:t>二级</w:t>
      </w:r>
      <w:r>
        <w:rPr>
          <w:rFonts w:hint="eastAsia" w:ascii="仿宋_GB2312" w:eastAsia="仿宋_GB2312" w:cs="仿宋_GB2312"/>
          <w:sz w:val="32"/>
          <w:szCs w:val="32"/>
          <w:lang w:eastAsia="zh-CN"/>
        </w:rPr>
        <w:t>决</w:t>
      </w:r>
      <w:r>
        <w:rPr>
          <w:rFonts w:hint="eastAsia" w:ascii="仿宋_GB2312" w:eastAsia="仿宋_GB2312" w:cs="仿宋_GB2312"/>
          <w:sz w:val="32"/>
          <w:szCs w:val="32"/>
        </w:rPr>
        <w:t>算单位。</w:t>
      </w:r>
      <w:bookmarkStart w:id="32" w:name="_Toc15396602"/>
      <w:bookmarkStart w:id="33" w:name="_Toc15377204"/>
      <w:bookmarkStart w:id="34" w:name="_Toc79163859"/>
      <w:bookmarkStart w:id="35" w:name="_Toc79163609"/>
      <w:r>
        <w:rPr>
          <w:rFonts w:hint="eastAsia" w:ascii="仿宋_GB2312" w:hAnsi="仿宋_GB2312" w:eastAsia="仿宋_GB2312" w:cs="仿宋_GB2312"/>
          <w:color w:val="000000"/>
          <w:sz w:val="32"/>
          <w:szCs w:val="32"/>
        </w:rPr>
        <w:t>编制</w:t>
      </w:r>
      <w:r>
        <w:rPr>
          <w:rFonts w:hint="eastAsia" w:ascii="仿宋_GB2312" w:hAnsi="仿宋_GB2312" w:eastAsia="仿宋_GB2312" w:cs="仿宋_GB2312"/>
          <w:color w:val="000000"/>
          <w:sz w:val="32"/>
          <w:szCs w:val="32"/>
          <w:lang w:eastAsia="zh-CN"/>
        </w:rPr>
        <w:t>数</w:t>
      </w:r>
      <w:r>
        <w:rPr>
          <w:rFonts w:hint="eastAsia" w:ascii="仿宋_GB2312" w:hAnsi="仿宋_GB2312" w:eastAsia="仿宋_GB2312" w:cs="仿宋_GB2312"/>
          <w:color w:val="000000"/>
          <w:sz w:val="32"/>
          <w:szCs w:val="32"/>
          <w:lang w:val="en-US" w:eastAsia="zh-CN"/>
        </w:rPr>
        <w:t>26</w:t>
      </w:r>
      <w:r>
        <w:rPr>
          <w:rFonts w:hint="eastAsia" w:ascii="仿宋_GB2312" w:hAnsi="仿宋_GB2312" w:eastAsia="仿宋_GB2312" w:cs="仿宋_GB2312"/>
          <w:color w:val="000000"/>
          <w:sz w:val="32"/>
          <w:szCs w:val="32"/>
        </w:rPr>
        <w:t>人，实有</w:t>
      </w:r>
      <w:r>
        <w:rPr>
          <w:rFonts w:hint="eastAsia" w:ascii="仿宋_GB2312" w:hAnsi="仿宋_GB2312" w:eastAsia="仿宋_GB2312" w:cs="仿宋_GB2312"/>
          <w:color w:val="000000"/>
          <w:sz w:val="32"/>
          <w:szCs w:val="32"/>
          <w:lang w:eastAsia="zh-CN"/>
        </w:rPr>
        <w:t>人数</w:t>
      </w:r>
      <w:r>
        <w:rPr>
          <w:rFonts w:hint="eastAsia" w:ascii="仿宋_GB2312" w:hAnsi="仿宋_GB2312" w:eastAsia="仿宋_GB2312" w:cs="仿宋_GB2312"/>
          <w:color w:val="000000"/>
          <w:sz w:val="32"/>
          <w:szCs w:val="32"/>
          <w:lang w:val="en-US" w:eastAsia="zh-CN"/>
        </w:rPr>
        <w:t>26</w:t>
      </w:r>
      <w:r>
        <w:rPr>
          <w:rFonts w:hint="eastAsia" w:ascii="仿宋_GB2312" w:hAnsi="仿宋_GB2312" w:eastAsia="仿宋_GB2312" w:cs="仿宋_GB2312"/>
          <w:color w:val="000000"/>
          <w:sz w:val="32"/>
          <w:szCs w:val="32"/>
        </w:rPr>
        <w:t>人。</w:t>
      </w:r>
    </w:p>
    <w:p w14:paraId="14C1D3EA">
      <w:pPr>
        <w:ind w:firstLine="440" w:firstLineChars="100"/>
        <w:rPr>
          <w:rStyle w:val="27"/>
          <w:rFonts w:hint="eastAsia" w:ascii="黑体" w:hAnsi="黑体" w:eastAsia="黑体" w:cs="黑体"/>
          <w:b w:val="0"/>
          <w:bCs w:val="0"/>
        </w:rPr>
      </w:pPr>
    </w:p>
    <w:p w14:paraId="661437B2">
      <w:pPr>
        <w:ind w:firstLine="440" w:firstLineChars="100"/>
        <w:rPr>
          <w:rStyle w:val="27"/>
          <w:rFonts w:hint="eastAsia" w:ascii="黑体" w:hAnsi="黑体" w:eastAsia="黑体" w:cs="黑体"/>
          <w:b w:val="0"/>
          <w:bCs w:val="0"/>
        </w:rPr>
      </w:pPr>
    </w:p>
    <w:p w14:paraId="14453B74">
      <w:pPr>
        <w:ind w:firstLine="440" w:firstLineChars="100"/>
        <w:rPr>
          <w:rStyle w:val="27"/>
          <w:rFonts w:hint="eastAsia" w:ascii="黑体" w:hAnsi="黑体" w:eastAsia="黑体" w:cs="黑体"/>
          <w:b w:val="0"/>
          <w:bCs w:val="0"/>
        </w:rPr>
      </w:pPr>
    </w:p>
    <w:p w14:paraId="04103150">
      <w:pPr>
        <w:ind w:firstLine="440" w:firstLineChars="100"/>
        <w:rPr>
          <w:rStyle w:val="27"/>
          <w:rFonts w:hint="eastAsia" w:ascii="黑体" w:hAnsi="黑体" w:eastAsia="黑体" w:cs="黑体"/>
          <w:b w:val="0"/>
          <w:bCs w:val="0"/>
        </w:rPr>
      </w:pPr>
    </w:p>
    <w:p w14:paraId="5382C893">
      <w:pPr>
        <w:ind w:firstLine="440" w:firstLineChars="100"/>
        <w:rPr>
          <w:rStyle w:val="27"/>
          <w:rFonts w:hint="eastAsia" w:ascii="黑体" w:hAnsi="黑体" w:eastAsia="黑体" w:cs="黑体"/>
          <w:b w:val="0"/>
          <w:bCs w:val="0"/>
        </w:rPr>
      </w:pPr>
    </w:p>
    <w:p w14:paraId="0FF7890A">
      <w:pPr>
        <w:ind w:firstLine="440" w:firstLineChars="100"/>
        <w:rPr>
          <w:rStyle w:val="27"/>
          <w:rFonts w:hint="eastAsia" w:ascii="黑体" w:hAnsi="黑体" w:eastAsia="黑体" w:cs="黑体"/>
          <w:b w:val="0"/>
          <w:bCs w:val="0"/>
        </w:rPr>
      </w:pPr>
    </w:p>
    <w:p w14:paraId="1848F38E">
      <w:pPr>
        <w:ind w:firstLine="440" w:firstLineChars="100"/>
        <w:rPr>
          <w:rStyle w:val="27"/>
          <w:rFonts w:hint="eastAsia" w:ascii="黑体" w:hAnsi="黑体" w:eastAsia="黑体" w:cs="黑体"/>
          <w:b w:val="0"/>
          <w:bCs w:val="0"/>
        </w:rPr>
      </w:pPr>
    </w:p>
    <w:p w14:paraId="3C409B85">
      <w:pPr>
        <w:ind w:firstLine="440" w:firstLineChars="100"/>
        <w:rPr>
          <w:rStyle w:val="27"/>
          <w:rFonts w:hint="eastAsia" w:ascii="黑体" w:hAnsi="黑体" w:eastAsia="黑体" w:cs="黑体"/>
          <w:b w:val="0"/>
          <w:bCs w:val="0"/>
        </w:rPr>
      </w:pPr>
    </w:p>
    <w:p w14:paraId="286D1601">
      <w:pPr>
        <w:ind w:firstLine="440" w:firstLineChars="100"/>
        <w:rPr>
          <w:rStyle w:val="27"/>
          <w:rFonts w:hint="eastAsia" w:ascii="黑体" w:hAnsi="黑体" w:eastAsia="黑体" w:cs="黑体"/>
          <w:b w:val="0"/>
          <w:bCs w:val="0"/>
        </w:rPr>
      </w:pPr>
    </w:p>
    <w:p w14:paraId="7D19C5F7">
      <w:pPr>
        <w:ind w:firstLine="440" w:firstLineChars="100"/>
        <w:rPr>
          <w:rStyle w:val="27"/>
          <w:rFonts w:hint="eastAsia" w:ascii="黑体" w:hAnsi="黑体" w:eastAsia="黑体" w:cs="黑体"/>
          <w:b w:val="0"/>
          <w:bCs w:val="0"/>
        </w:rPr>
      </w:pPr>
    </w:p>
    <w:p w14:paraId="57656C19">
      <w:pPr>
        <w:ind w:firstLine="440" w:firstLineChars="100"/>
        <w:rPr>
          <w:rStyle w:val="27"/>
          <w:rFonts w:hint="eastAsia" w:ascii="黑体" w:hAnsi="黑体" w:eastAsia="黑体" w:cs="黑体"/>
          <w:b w:val="0"/>
          <w:bCs w:val="0"/>
        </w:rPr>
      </w:pPr>
    </w:p>
    <w:p w14:paraId="174F816C">
      <w:pPr>
        <w:ind w:firstLine="440" w:firstLineChars="100"/>
        <w:rPr>
          <w:rStyle w:val="27"/>
          <w:rFonts w:hint="eastAsia" w:ascii="黑体" w:hAnsi="黑体" w:eastAsia="黑体" w:cs="黑体"/>
          <w:b w:val="0"/>
          <w:bCs w:val="0"/>
        </w:rPr>
      </w:pPr>
    </w:p>
    <w:p w14:paraId="7380EB76">
      <w:pPr>
        <w:ind w:firstLine="440" w:firstLineChars="100"/>
        <w:rPr>
          <w:rStyle w:val="27"/>
          <w:rFonts w:hint="eastAsia" w:ascii="黑体" w:hAnsi="黑体" w:eastAsia="黑体" w:cs="黑体"/>
          <w:b w:val="0"/>
          <w:bCs w:val="0"/>
        </w:rPr>
      </w:pPr>
    </w:p>
    <w:p w14:paraId="1189562C">
      <w:pPr>
        <w:ind w:firstLine="440" w:firstLineChars="100"/>
        <w:rPr>
          <w:rStyle w:val="27"/>
          <w:rFonts w:hint="eastAsia" w:ascii="黑体" w:hAnsi="黑体" w:eastAsia="黑体" w:cs="黑体"/>
          <w:b w:val="0"/>
          <w:bCs w:val="0"/>
        </w:rPr>
      </w:pPr>
    </w:p>
    <w:p w14:paraId="299AFF0C">
      <w:pPr>
        <w:keepNext w:val="0"/>
        <w:keepLines w:val="0"/>
        <w:pageBreakBefore w:val="0"/>
        <w:widowControl w:val="0"/>
        <w:kinsoku/>
        <w:wordWrap/>
        <w:overflowPunct/>
        <w:topLinePunct w:val="0"/>
        <w:autoSpaceDE/>
        <w:autoSpaceDN/>
        <w:bidi w:val="0"/>
        <w:adjustRightInd/>
        <w:snapToGrid/>
        <w:ind w:firstLine="440" w:firstLineChars="100"/>
        <w:textAlignment w:val="auto"/>
        <w:rPr>
          <w:rFonts w:ascii="黑体" w:hAnsi="黑体" w:eastAsia="黑体" w:cs="黑体"/>
          <w:b w:val="0"/>
          <w:bCs w:val="0"/>
        </w:rPr>
      </w:pPr>
      <w:r>
        <w:rPr>
          <w:rStyle w:val="27"/>
          <w:rFonts w:hint="eastAsia" w:ascii="黑体" w:hAnsi="黑体" w:eastAsia="黑体" w:cs="黑体"/>
          <w:b w:val="0"/>
          <w:bCs w:val="0"/>
        </w:rPr>
        <w:t>第二部分202</w:t>
      </w:r>
      <w:r>
        <w:rPr>
          <w:rStyle w:val="27"/>
          <w:rFonts w:hint="eastAsia" w:ascii="黑体" w:hAnsi="黑体" w:eastAsia="黑体" w:cs="黑体"/>
          <w:b w:val="0"/>
          <w:bCs w:val="0"/>
          <w:lang w:val="en-US"/>
        </w:rPr>
        <w:t>5</w:t>
      </w:r>
      <w:r>
        <w:rPr>
          <w:rStyle w:val="27"/>
          <w:rFonts w:hint="eastAsia" w:ascii="黑体" w:hAnsi="黑体" w:eastAsia="黑体" w:cs="黑体"/>
          <w:b w:val="0"/>
          <w:bCs w:val="0"/>
        </w:rPr>
        <w:t>年度单位决算情况说明</w:t>
      </w:r>
      <w:bookmarkEnd w:id="32"/>
      <w:bookmarkEnd w:id="33"/>
      <w:bookmarkEnd w:id="34"/>
      <w:bookmarkEnd w:id="35"/>
    </w:p>
    <w:p w14:paraId="09BE6C3B">
      <w:pPr>
        <w:pStyle w:val="33"/>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Chars="0"/>
        <w:textAlignment w:val="auto"/>
        <w:outlineLvl w:val="1"/>
        <w:rPr>
          <w:rStyle w:val="28"/>
          <w:rFonts w:ascii="黑体" w:eastAsia="黑体" w:cs="黑体"/>
          <w:b w:val="0"/>
        </w:rPr>
      </w:pPr>
      <w:bookmarkStart w:id="36" w:name="_Toc79163860"/>
      <w:bookmarkStart w:id="37" w:name="_Toc15377205"/>
      <w:bookmarkStart w:id="38" w:name="_Toc15396603"/>
      <w:bookmarkStart w:id="39" w:name="_Toc79163610"/>
      <w:r>
        <w:rPr>
          <w:rFonts w:hint="eastAsia" w:ascii="黑体" w:eastAsia="黑体" w:cs="黑体"/>
          <w:b/>
          <w:color w:val="000000"/>
          <w:sz w:val="32"/>
          <w:szCs w:val="32"/>
        </w:rPr>
        <w:t>收</w:t>
      </w:r>
      <w:r>
        <w:rPr>
          <w:rStyle w:val="28"/>
          <w:rFonts w:hint="eastAsia" w:ascii="黑体" w:eastAsia="黑体" w:cs="黑体"/>
        </w:rPr>
        <w:t>入支出决算总体情况说明</w:t>
      </w:r>
      <w:bookmarkEnd w:id="36"/>
      <w:bookmarkEnd w:id="37"/>
      <w:bookmarkEnd w:id="38"/>
      <w:bookmarkEnd w:id="39"/>
    </w:p>
    <w:p w14:paraId="7AA3442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eastAsia="仿宋_GB2312" w:cs="仿宋_GB2312"/>
          <w:color w:val="000000"/>
          <w:sz w:val="32"/>
          <w:szCs w:val="32"/>
        </w:rPr>
      </w:pPr>
      <w:r>
        <w:rPr>
          <w:rFonts w:hint="eastAsia" w:ascii="仿宋_GB2312" w:eastAsia="仿宋_GB2312" w:cs="仿宋_GB2312"/>
          <w:color w:val="000000"/>
          <w:sz w:val="32"/>
          <w:szCs w:val="32"/>
          <w:lang w:eastAsia="zh-CN"/>
        </w:rPr>
        <w:t>2025</w:t>
      </w:r>
      <w:r>
        <w:rPr>
          <w:rFonts w:hint="eastAsia" w:ascii="仿宋_GB2312" w:eastAsia="仿宋_GB2312" w:cs="仿宋_GB2312"/>
          <w:color w:val="000000"/>
          <w:sz w:val="32"/>
          <w:szCs w:val="32"/>
        </w:rPr>
        <w:t>年度收、支总计</w:t>
      </w:r>
      <w:r>
        <w:rPr>
          <w:rFonts w:hint="eastAsia" w:ascii="仿宋_GB2312" w:eastAsia="仿宋_GB2312" w:cs="仿宋_GB2312"/>
          <w:color w:val="000000"/>
          <w:sz w:val="32"/>
          <w:szCs w:val="32"/>
          <w:lang w:val="en-US" w:eastAsia="zh-CN"/>
        </w:rPr>
        <w:t>762.22</w:t>
      </w:r>
      <w:r>
        <w:rPr>
          <w:rFonts w:hint="eastAsia" w:ascii="仿宋_GB2312" w:eastAsia="仿宋_GB2312" w:cs="仿宋_GB2312"/>
          <w:color w:val="000000"/>
          <w:sz w:val="32"/>
          <w:szCs w:val="32"/>
        </w:rPr>
        <w:t>万元。与</w:t>
      </w:r>
      <w:r>
        <w:rPr>
          <w:rFonts w:hint="eastAsia" w:ascii="仿宋_GB2312" w:eastAsia="仿宋_GB2312" w:cs="仿宋_GB2312"/>
          <w:color w:val="000000"/>
          <w:sz w:val="32"/>
          <w:szCs w:val="32"/>
          <w:lang w:eastAsia="zh-CN"/>
        </w:rPr>
        <w:t>202</w:t>
      </w:r>
      <w:r>
        <w:rPr>
          <w:rFonts w:hint="eastAsia" w:ascii="仿宋_GB2312" w:eastAsia="仿宋_GB2312" w:cs="仿宋_GB2312"/>
          <w:color w:val="000000"/>
          <w:sz w:val="32"/>
          <w:szCs w:val="32"/>
          <w:lang w:val="en-US" w:eastAsia="zh-CN"/>
        </w:rPr>
        <w:t>4</w:t>
      </w:r>
      <w:r>
        <w:rPr>
          <w:rFonts w:hint="eastAsia" w:ascii="仿宋_GB2312" w:eastAsia="仿宋_GB2312" w:cs="仿宋_GB2312"/>
          <w:color w:val="000000"/>
          <w:sz w:val="32"/>
          <w:szCs w:val="32"/>
        </w:rPr>
        <w:t>年相比，收、支总计各</w:t>
      </w:r>
      <w:r>
        <w:rPr>
          <w:rFonts w:hint="eastAsia" w:ascii="仿宋_GB2312" w:eastAsia="仿宋_GB2312" w:cs="仿宋_GB2312"/>
          <w:color w:val="000000"/>
          <w:sz w:val="32"/>
          <w:szCs w:val="32"/>
          <w:lang w:eastAsia="zh-CN"/>
        </w:rPr>
        <w:t>增加</w:t>
      </w:r>
      <w:r>
        <w:rPr>
          <w:rFonts w:hint="eastAsia" w:ascii="仿宋_GB2312" w:eastAsia="仿宋_GB2312" w:cs="仿宋_GB2312"/>
          <w:color w:val="000000"/>
          <w:sz w:val="32"/>
          <w:szCs w:val="32"/>
          <w:lang w:val="en-US" w:eastAsia="zh-CN"/>
        </w:rPr>
        <w:t>118.62</w:t>
      </w:r>
      <w:r>
        <w:rPr>
          <w:rFonts w:hint="eastAsia"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增长</w:t>
      </w:r>
      <w:r>
        <w:rPr>
          <w:rFonts w:hint="eastAsia" w:ascii="仿宋_GB2312" w:eastAsia="仿宋_GB2312" w:cs="仿宋_GB2312"/>
          <w:color w:val="000000"/>
          <w:sz w:val="32"/>
          <w:szCs w:val="32"/>
          <w:lang w:val="en-US" w:eastAsia="zh-CN"/>
        </w:rPr>
        <w:t>18.4</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val="en-US" w:eastAsia="zh-CN"/>
        </w:rPr>
        <w:t>主要原因是：人员增加、保险变动。</w:t>
      </w:r>
    </w:p>
    <w:p w14:paraId="3698BE62">
      <w:pPr>
        <w:pStyle w:val="33"/>
        <w:keepNext w:val="0"/>
        <w:keepLines w:val="0"/>
        <w:pageBreakBefore w:val="0"/>
        <w:widowControl w:val="0"/>
        <w:kinsoku/>
        <w:wordWrap/>
        <w:overflowPunct/>
        <w:topLinePunct w:val="0"/>
        <w:autoSpaceDE/>
        <w:autoSpaceDN/>
        <w:bidi w:val="0"/>
        <w:adjustRightInd/>
        <w:snapToGrid/>
        <w:spacing w:line="600" w:lineRule="exact"/>
        <w:ind w:firstLine="643"/>
        <w:jc w:val="left"/>
        <w:textAlignment w:val="auto"/>
        <w:outlineLvl w:val="1"/>
        <w:rPr>
          <w:rStyle w:val="28"/>
          <w:rFonts w:ascii="黑体" w:eastAsia="黑体" w:cs="黑体"/>
        </w:rPr>
      </w:pPr>
      <w:bookmarkStart w:id="40" w:name="_Toc79163861"/>
      <w:bookmarkStart w:id="41" w:name="_Toc15377206"/>
      <w:bookmarkStart w:id="42" w:name="_Toc79163611"/>
      <w:bookmarkStart w:id="43" w:name="_Toc15396604"/>
      <w:r>
        <w:rPr>
          <w:sz w:val="32"/>
        </w:rPr>
        <mc:AlternateContent>
          <mc:Choice Requires="wps">
            <w:drawing>
              <wp:anchor distT="0" distB="0" distL="114300" distR="114300" simplePos="0" relativeHeight="251666432" behindDoc="0" locked="0" layoutInCell="1" allowOverlap="1">
                <wp:simplePos x="0" y="0"/>
                <wp:positionH relativeFrom="column">
                  <wp:posOffset>3541395</wp:posOffset>
                </wp:positionH>
                <wp:positionV relativeFrom="paragraph">
                  <wp:posOffset>1712595</wp:posOffset>
                </wp:positionV>
                <wp:extent cx="600075" cy="266700"/>
                <wp:effectExtent l="4445" t="4445" r="5080" b="18415"/>
                <wp:wrapNone/>
                <wp:docPr id="13" name="文本框 5"/>
                <wp:cNvGraphicFramePr/>
                <a:graphic xmlns:a="http://schemas.openxmlformats.org/drawingml/2006/main">
                  <a:graphicData uri="http://schemas.microsoft.com/office/word/2010/wordprocessingShape">
                    <wps:wsp>
                      <wps:cNvSpPr txBox="1"/>
                      <wps:spPr>
                        <a:xfrm>
                          <a:off x="0" y="0"/>
                          <a:ext cx="600075" cy="26670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4E4550F2">
                            <w:pPr>
                              <w:rPr>
                                <w:rFonts w:hint="default" w:eastAsia="宋体"/>
                                <w:lang w:val="en-US" w:eastAsia="zh-CN"/>
                              </w:rPr>
                            </w:pPr>
                            <w:r>
                              <w:rPr>
                                <w:rFonts w:hint="eastAsia"/>
                                <w:lang w:val="en-US" w:eastAsia="zh-CN"/>
                              </w:rPr>
                              <w:t>2025</w:t>
                            </w:r>
                          </w:p>
                        </w:txbxContent>
                      </wps:txbx>
                      <wps:bodyPr upright="1"/>
                    </wps:wsp>
                  </a:graphicData>
                </a:graphic>
              </wp:anchor>
            </w:drawing>
          </mc:Choice>
          <mc:Fallback>
            <w:pict>
              <v:shape id="文本框 5" o:spid="_x0000_s1026" o:spt="202" type="#_x0000_t202" style="position:absolute;left:0pt;margin-left:278.85pt;margin-top:134.85pt;height:21pt;width:47.25pt;z-index:251666432;mso-width-relative:page;mso-height-relative:page;" fillcolor="#FFFFFF" filled="t" stroked="t" coordsize="21600,21600" o:gfxdata="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bhyVXaAAAACwEAAA8AAAAAAAAAAQAgAAAAIgAA&#10;AGRycy9kb3ducmV2LnhtbFBLAQIUABQAAAAIAIdO4kDQoXhqBgIAADYEAAAOAAAAAAAAAAEAIAAA&#10;ACkBAABkcnMvZTJvRG9jLnhtbFBLBQYAAAAABgAGAFkBAAChBQAAAAA=&#10;">
                <v:fill on="t" focussize="0,0"/>
                <v:stroke color="#FFFFFF" joinstyle="miter"/>
                <v:imagedata o:title=""/>
                <o:lock v:ext="edit" aspectratio="f"/>
                <v:textbox>
                  <w:txbxContent>
                    <w:p w14:paraId="4E4550F2">
                      <w:pPr>
                        <w:rPr>
                          <w:rFonts w:hint="default" w:eastAsia="宋体"/>
                          <w:lang w:val="en-US" w:eastAsia="zh-CN"/>
                        </w:rPr>
                      </w:pPr>
                      <w:r>
                        <w:rPr>
                          <w:rFonts w:hint="eastAsia"/>
                          <w:lang w:val="en-US" w:eastAsia="zh-CN"/>
                        </w:rPr>
                        <w:t>2025</w:t>
                      </w:r>
                    </w:p>
                  </w:txbxContent>
                </v:textbox>
              </v:shape>
            </w:pict>
          </mc:Fallback>
        </mc:AlternateContent>
      </w:r>
      <w:r>
        <w:rPr>
          <w:sz w:val="32"/>
        </w:rPr>
        <mc:AlternateContent>
          <mc:Choice Requires="wps">
            <w:drawing>
              <wp:anchor distT="0" distB="0" distL="114300" distR="114300" simplePos="0" relativeHeight="251665408" behindDoc="0" locked="0" layoutInCell="1" allowOverlap="1">
                <wp:simplePos x="0" y="0"/>
                <wp:positionH relativeFrom="column">
                  <wp:posOffset>1379220</wp:posOffset>
                </wp:positionH>
                <wp:positionV relativeFrom="paragraph">
                  <wp:posOffset>1703070</wp:posOffset>
                </wp:positionV>
                <wp:extent cx="666750" cy="352425"/>
                <wp:effectExtent l="4445" t="4445" r="14605" b="8890"/>
                <wp:wrapNone/>
                <wp:docPr id="12" name="文本框 4"/>
                <wp:cNvGraphicFramePr/>
                <a:graphic xmlns:a="http://schemas.openxmlformats.org/drawingml/2006/main">
                  <a:graphicData uri="http://schemas.microsoft.com/office/word/2010/wordprocessingShape">
                    <wps:wsp>
                      <wps:cNvSpPr txBox="1"/>
                      <wps:spPr>
                        <a:xfrm>
                          <a:off x="0" y="0"/>
                          <a:ext cx="666750" cy="35242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0BC1235C">
                            <w:pPr>
                              <w:rPr>
                                <w:rFonts w:hint="default" w:eastAsia="宋体"/>
                                <w:lang w:val="en-US" w:eastAsia="zh-CN"/>
                              </w:rPr>
                            </w:pPr>
                            <w:r>
                              <w:rPr>
                                <w:rFonts w:hint="eastAsia"/>
                                <w:lang w:val="en-US" w:eastAsia="zh-CN"/>
                              </w:rPr>
                              <w:t>2024</w:t>
                            </w:r>
                          </w:p>
                        </w:txbxContent>
                      </wps:txbx>
                      <wps:bodyPr upright="1"/>
                    </wps:wsp>
                  </a:graphicData>
                </a:graphic>
              </wp:anchor>
            </w:drawing>
          </mc:Choice>
          <mc:Fallback>
            <w:pict>
              <v:shape id="文本框 4" o:spid="_x0000_s1026" o:spt="202" type="#_x0000_t202" style="position:absolute;left:0pt;margin-left:108.6pt;margin-top:134.1pt;height:27.75pt;width:52.5pt;z-index:251665408;mso-width-relative:page;mso-height-relative:page;" fillcolor="#FFFFFF" filled="t" stroked="t" coordsize="21600,21600" o:gfxdata="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Tyluw1gAAAAsBAAAPAAAAAAAAAAEAIAAAACIAAABkcnMv&#10;ZG93bnJldi54bWxQSwECFAAUAAAACACHTuJASOmilQUCAAA2BAAADgAAAAAAAAABACAAAAAlAQAA&#10;ZHJzL2Uyb0RvYy54bWxQSwUGAAAAAAYABgBZAQAAnAUAAAAA&#10;">
                <v:fill on="t" focussize="0,0"/>
                <v:stroke color="#FFFFFF" joinstyle="miter"/>
                <v:imagedata o:title=""/>
                <o:lock v:ext="edit" aspectratio="f"/>
                <v:textbox>
                  <w:txbxContent>
                    <w:p w14:paraId="0BC1235C">
                      <w:pPr>
                        <w:rPr>
                          <w:rFonts w:hint="default" w:eastAsia="宋体"/>
                          <w:lang w:val="en-US" w:eastAsia="zh-CN"/>
                        </w:rPr>
                      </w:pPr>
                      <w:r>
                        <w:rPr>
                          <w:rFonts w:hint="eastAsia"/>
                          <w:lang w:val="en-US" w:eastAsia="zh-CN"/>
                        </w:rPr>
                        <w:t>2024</w:t>
                      </w:r>
                    </w:p>
                  </w:txbxContent>
                </v:textbox>
              </v:shape>
            </w:pict>
          </mc:Fallback>
        </mc:AlternateContent>
      </w:r>
      <w:r>
        <w:rPr>
          <w:rFonts w:hint="eastAsia" w:ascii="仿宋" w:eastAsia="仿宋"/>
          <w:color w:val="000000"/>
          <w:sz w:val="32"/>
          <w:szCs w:val="32"/>
        </w:rPr>
        <w:drawing>
          <wp:anchor distT="0" distB="0" distL="114300" distR="114300" simplePos="0" relativeHeight="251664384" behindDoc="0" locked="0" layoutInCell="1" allowOverlap="1">
            <wp:simplePos x="0" y="0"/>
            <wp:positionH relativeFrom="column">
              <wp:posOffset>556895</wp:posOffset>
            </wp:positionH>
            <wp:positionV relativeFrom="paragraph">
              <wp:posOffset>176530</wp:posOffset>
            </wp:positionV>
            <wp:extent cx="4465955" cy="1929130"/>
            <wp:effectExtent l="5080" t="5080" r="9525" b="16510"/>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r>
        <w:rPr>
          <w:rFonts w:hint="eastAsia" w:ascii="黑体" w:eastAsia="黑体" w:cs="黑体"/>
          <w:b/>
          <w:color w:val="000000"/>
          <w:sz w:val="32"/>
          <w:szCs w:val="32"/>
        </w:rPr>
        <w:t>二、收</w:t>
      </w:r>
      <w:r>
        <w:rPr>
          <w:rStyle w:val="28"/>
          <w:rFonts w:hint="eastAsia" w:ascii="黑体" w:eastAsia="黑体" w:cs="黑体"/>
        </w:rPr>
        <w:t>入决算情况说明</w:t>
      </w:r>
      <w:bookmarkEnd w:id="40"/>
      <w:bookmarkEnd w:id="41"/>
      <w:bookmarkEnd w:id="42"/>
      <w:bookmarkEnd w:id="43"/>
    </w:p>
    <w:p w14:paraId="25F32834">
      <w:pPr>
        <w:spacing w:line="600"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lang w:eastAsia="zh-CN"/>
        </w:rPr>
        <w:t>2025</w:t>
      </w:r>
      <w:r>
        <w:rPr>
          <w:rFonts w:hint="eastAsia" w:ascii="仿宋_GB2312" w:eastAsia="仿宋_GB2312" w:cs="仿宋_GB2312"/>
          <w:color w:val="000000"/>
          <w:sz w:val="32"/>
          <w:szCs w:val="32"/>
        </w:rPr>
        <w:t>年本年收入合计</w:t>
      </w:r>
      <w:r>
        <w:rPr>
          <w:rFonts w:hint="eastAsia" w:ascii="仿宋_GB2312" w:eastAsia="仿宋_GB2312" w:cs="仿宋_GB2312"/>
          <w:color w:val="000000" w:themeColor="text1"/>
          <w:sz w:val="32"/>
          <w:szCs w:val="32"/>
          <w:lang w:val="en-US" w:eastAsia="zh-CN"/>
          <w14:textFill>
            <w14:solidFill>
              <w14:schemeClr w14:val="tx1"/>
            </w14:solidFill>
          </w14:textFill>
        </w:rPr>
        <w:t>762.22</w:t>
      </w:r>
      <w:r>
        <w:rPr>
          <w:rFonts w:hint="eastAsia" w:ascii="仿宋_GB2312" w:eastAsia="仿宋_GB2312" w:cs="仿宋_GB2312"/>
          <w:color w:val="000000"/>
          <w:sz w:val="32"/>
          <w:szCs w:val="32"/>
        </w:rPr>
        <w:t>万元，其中：一般公共预算财政拨款收入</w:t>
      </w:r>
      <w:r>
        <w:rPr>
          <w:rFonts w:hint="eastAsia" w:ascii="仿宋_GB2312" w:eastAsia="仿宋_GB2312" w:cs="仿宋_GB2312"/>
          <w:color w:val="000000"/>
          <w:sz w:val="32"/>
          <w:szCs w:val="32"/>
          <w:lang w:val="en-US" w:eastAsia="zh-CN"/>
        </w:rPr>
        <w:t>753.7</w:t>
      </w:r>
      <w:r>
        <w:rPr>
          <w:rFonts w:hint="eastAsia" w:ascii="仿宋_GB2312" w:eastAsia="仿宋_GB2312" w:cs="仿宋_GB2312"/>
          <w:color w:val="000000"/>
          <w:sz w:val="32"/>
          <w:szCs w:val="32"/>
        </w:rPr>
        <w:t>万元，占</w:t>
      </w:r>
      <w:r>
        <w:rPr>
          <w:rFonts w:hint="eastAsia" w:ascii="仿宋_GB2312" w:eastAsia="仿宋_GB2312" w:cs="仿宋_GB2312"/>
          <w:color w:val="000000"/>
          <w:sz w:val="32"/>
          <w:szCs w:val="32"/>
          <w:lang w:val="en-US" w:eastAsia="zh-CN"/>
        </w:rPr>
        <w:t>98.9</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eastAsia="zh-CN"/>
        </w:rPr>
        <w:t>事业</w:t>
      </w:r>
      <w:r>
        <w:rPr>
          <w:rFonts w:hint="eastAsia" w:ascii="仿宋_GB2312" w:eastAsia="仿宋_GB2312" w:cs="仿宋_GB2312"/>
          <w:color w:val="000000"/>
          <w:sz w:val="32"/>
          <w:szCs w:val="32"/>
        </w:rPr>
        <w:t>收入</w:t>
      </w:r>
      <w:r>
        <w:rPr>
          <w:rFonts w:hint="eastAsia" w:ascii="仿宋_GB2312" w:eastAsia="仿宋_GB2312" w:cs="仿宋_GB2312"/>
          <w:color w:val="000000"/>
          <w:sz w:val="32"/>
          <w:szCs w:val="32"/>
          <w:lang w:val="en-US" w:eastAsia="zh-CN"/>
        </w:rPr>
        <w:t>8.52</w:t>
      </w:r>
      <w:r>
        <w:rPr>
          <w:rFonts w:hint="eastAsia"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占</w:t>
      </w:r>
      <w:r>
        <w:rPr>
          <w:rFonts w:hint="eastAsia" w:ascii="仿宋_GB2312" w:eastAsia="仿宋_GB2312" w:cs="仿宋_GB2312"/>
          <w:color w:val="000000"/>
          <w:sz w:val="32"/>
          <w:szCs w:val="32"/>
          <w:lang w:val="en-US" w:eastAsia="zh-CN"/>
        </w:rPr>
        <w:t>1.1%</w:t>
      </w:r>
      <w:r>
        <w:rPr>
          <w:rFonts w:hint="eastAsia" w:ascii="仿宋_GB2312" w:eastAsia="仿宋_GB2312" w:cs="仿宋_GB2312"/>
          <w:color w:val="000000"/>
          <w:sz w:val="32"/>
          <w:szCs w:val="32"/>
        </w:rPr>
        <w:t>。</w:t>
      </w:r>
    </w:p>
    <w:p w14:paraId="0F3DCE76">
      <w:pPr>
        <w:spacing w:line="600" w:lineRule="exact"/>
        <w:ind w:firstLine="600" w:firstLineChars="200"/>
        <w:rPr>
          <w:rFonts w:ascii="仿宋_GB2312" w:eastAsia="仿宋_GB2312" w:cs="仿宋_GB2312"/>
          <w:color w:val="000000"/>
          <w:sz w:val="30"/>
          <w:szCs w:val="30"/>
        </w:rPr>
      </w:pPr>
      <w:r>
        <w:rPr>
          <w:rFonts w:hint="eastAsia" w:ascii="仿宋_GB2312" w:eastAsia="仿宋_GB2312" w:cs="仿宋_GB2312"/>
          <w:color w:val="000000"/>
          <w:sz w:val="30"/>
          <w:szCs w:val="30"/>
        </w:rPr>
        <w:drawing>
          <wp:anchor distT="0" distB="0" distL="114300" distR="114300" simplePos="0" relativeHeight="251659264" behindDoc="0" locked="0" layoutInCell="1" allowOverlap="1">
            <wp:simplePos x="0" y="0"/>
            <wp:positionH relativeFrom="column">
              <wp:posOffset>454025</wp:posOffset>
            </wp:positionH>
            <wp:positionV relativeFrom="paragraph">
              <wp:posOffset>215900</wp:posOffset>
            </wp:positionV>
            <wp:extent cx="4504690" cy="3266440"/>
            <wp:effectExtent l="4445" t="4445" r="5715" b="5715"/>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180E1A38">
      <w:pPr>
        <w:spacing w:line="600" w:lineRule="exact"/>
        <w:ind w:firstLine="600" w:firstLineChars="200"/>
        <w:rPr>
          <w:rFonts w:ascii="仿宋_GB2312" w:eastAsia="仿宋_GB2312" w:cs="仿宋_GB2312"/>
          <w:color w:val="000000"/>
          <w:sz w:val="30"/>
          <w:szCs w:val="30"/>
        </w:rPr>
      </w:pPr>
    </w:p>
    <w:p w14:paraId="4724D1FE">
      <w:pPr>
        <w:spacing w:line="600" w:lineRule="exact"/>
        <w:ind w:firstLine="600" w:firstLineChars="200"/>
        <w:rPr>
          <w:rFonts w:ascii="仿宋_GB2312" w:eastAsia="仿宋_GB2312" w:cs="仿宋_GB2312"/>
          <w:color w:val="000000"/>
          <w:sz w:val="30"/>
          <w:szCs w:val="30"/>
        </w:rPr>
      </w:pPr>
    </w:p>
    <w:p w14:paraId="458A7FCD">
      <w:pPr>
        <w:spacing w:line="600" w:lineRule="exact"/>
        <w:ind w:firstLine="600" w:firstLineChars="200"/>
        <w:rPr>
          <w:rFonts w:ascii="仿宋_GB2312" w:eastAsia="仿宋_GB2312" w:cs="仿宋_GB2312"/>
          <w:color w:val="000000"/>
          <w:sz w:val="30"/>
          <w:szCs w:val="30"/>
        </w:rPr>
      </w:pPr>
    </w:p>
    <w:p w14:paraId="196FC490">
      <w:pPr>
        <w:pStyle w:val="33"/>
        <w:numPr>
          <w:ilvl w:val="0"/>
          <w:numId w:val="0"/>
        </w:numPr>
        <w:spacing w:line="600" w:lineRule="exact"/>
        <w:ind w:left="709" w:leftChars="0"/>
        <w:outlineLvl w:val="1"/>
        <w:rPr>
          <w:rFonts w:hint="eastAsia" w:ascii="黑体" w:eastAsia="黑体" w:cs="黑体"/>
          <w:b/>
          <w:color w:val="000000"/>
          <w:sz w:val="32"/>
          <w:szCs w:val="32"/>
        </w:rPr>
      </w:pPr>
      <w:bookmarkStart w:id="44" w:name="_Toc79163612"/>
      <w:bookmarkStart w:id="45" w:name="_Toc79163862"/>
      <w:bookmarkStart w:id="46" w:name="_Toc15396605"/>
      <w:bookmarkStart w:id="47" w:name="_Toc15377207"/>
    </w:p>
    <w:p w14:paraId="11728183">
      <w:pPr>
        <w:pStyle w:val="33"/>
        <w:numPr>
          <w:ilvl w:val="0"/>
          <w:numId w:val="0"/>
        </w:numPr>
        <w:spacing w:line="600" w:lineRule="exact"/>
        <w:ind w:left="709" w:leftChars="0"/>
        <w:outlineLvl w:val="1"/>
        <w:rPr>
          <w:rFonts w:hint="eastAsia" w:ascii="黑体" w:eastAsia="黑体" w:cs="黑体"/>
          <w:b/>
          <w:color w:val="000000"/>
          <w:sz w:val="32"/>
          <w:szCs w:val="32"/>
          <w:lang w:eastAsia="zh-CN"/>
        </w:rPr>
      </w:pPr>
    </w:p>
    <w:p w14:paraId="0B2F93CF">
      <w:pPr>
        <w:pStyle w:val="33"/>
        <w:numPr>
          <w:ilvl w:val="0"/>
          <w:numId w:val="0"/>
        </w:numPr>
        <w:spacing w:line="600" w:lineRule="exact"/>
        <w:ind w:left="709" w:leftChars="0"/>
        <w:outlineLvl w:val="1"/>
        <w:rPr>
          <w:rFonts w:hint="eastAsia" w:ascii="黑体" w:eastAsia="黑体" w:cs="黑体"/>
          <w:b/>
          <w:color w:val="000000"/>
          <w:sz w:val="32"/>
          <w:szCs w:val="32"/>
          <w:lang w:eastAsia="zh-CN"/>
        </w:rPr>
      </w:pPr>
    </w:p>
    <w:p w14:paraId="1EED54FA">
      <w:pPr>
        <w:pStyle w:val="33"/>
        <w:numPr>
          <w:ilvl w:val="0"/>
          <w:numId w:val="0"/>
        </w:numPr>
        <w:spacing w:line="600" w:lineRule="exact"/>
        <w:ind w:left="709" w:leftChars="0"/>
        <w:outlineLvl w:val="1"/>
        <w:rPr>
          <w:rFonts w:hint="eastAsia" w:ascii="黑体" w:eastAsia="黑体" w:cs="黑体"/>
          <w:b/>
          <w:color w:val="000000"/>
          <w:sz w:val="32"/>
          <w:szCs w:val="32"/>
          <w:lang w:eastAsia="zh-CN"/>
        </w:rPr>
      </w:pPr>
    </w:p>
    <w:p w14:paraId="75D8DDBB">
      <w:pPr>
        <w:pStyle w:val="33"/>
        <w:numPr>
          <w:ilvl w:val="0"/>
          <w:numId w:val="0"/>
        </w:numPr>
        <w:spacing w:line="600" w:lineRule="exact"/>
        <w:ind w:left="709" w:leftChars="0"/>
        <w:outlineLvl w:val="1"/>
        <w:rPr>
          <w:rFonts w:hint="eastAsia" w:ascii="黑体" w:eastAsia="黑体" w:cs="黑体"/>
          <w:b/>
          <w:color w:val="000000"/>
          <w:sz w:val="32"/>
          <w:szCs w:val="32"/>
          <w:lang w:eastAsia="zh-CN"/>
        </w:rPr>
      </w:pPr>
    </w:p>
    <w:p w14:paraId="7BE2925C">
      <w:pPr>
        <w:pStyle w:val="33"/>
        <w:numPr>
          <w:ilvl w:val="0"/>
          <w:numId w:val="0"/>
        </w:numPr>
        <w:spacing w:line="600" w:lineRule="exact"/>
        <w:ind w:left="709" w:leftChars="0"/>
        <w:outlineLvl w:val="1"/>
        <w:rPr>
          <w:rStyle w:val="28"/>
          <w:rFonts w:ascii="黑体" w:eastAsia="黑体" w:cs="黑体"/>
        </w:rPr>
      </w:pPr>
      <w:r>
        <w:rPr>
          <w:rFonts w:hint="eastAsia" w:ascii="黑体" w:eastAsia="黑体" w:cs="黑体"/>
          <w:b/>
          <w:color w:val="000000"/>
          <w:sz w:val="32"/>
          <w:szCs w:val="32"/>
          <w:lang w:eastAsia="zh-CN"/>
        </w:rPr>
        <w:t>三、</w:t>
      </w:r>
      <w:r>
        <w:rPr>
          <w:rFonts w:hint="eastAsia" w:ascii="黑体" w:eastAsia="黑体" w:cs="黑体"/>
          <w:b/>
          <w:color w:val="000000"/>
          <w:sz w:val="32"/>
          <w:szCs w:val="32"/>
        </w:rPr>
        <w:t>支</w:t>
      </w:r>
      <w:r>
        <w:rPr>
          <w:rStyle w:val="28"/>
          <w:rFonts w:hint="eastAsia" w:ascii="黑体" w:eastAsia="黑体" w:cs="黑体"/>
        </w:rPr>
        <w:t>出决算情况说明</w:t>
      </w:r>
      <w:bookmarkEnd w:id="44"/>
      <w:bookmarkEnd w:id="45"/>
      <w:bookmarkEnd w:id="46"/>
      <w:bookmarkEnd w:id="47"/>
    </w:p>
    <w:p w14:paraId="536CD432">
      <w:pPr>
        <w:spacing w:line="600" w:lineRule="exact"/>
        <w:ind w:firstLine="640" w:firstLineChars="200"/>
        <w:rPr>
          <w:rFonts w:ascii="仿宋_GB2312" w:eastAsia="仿宋_GB2312" w:cs="仿宋_GB2312"/>
          <w:sz w:val="32"/>
          <w:szCs w:val="32"/>
        </w:rPr>
      </w:pPr>
      <w:r>
        <w:rPr>
          <w:rFonts w:hint="eastAsia" w:ascii="仿宋_GB2312" w:eastAsia="仿宋_GB2312" w:cs="仿宋_GB2312"/>
          <w:sz w:val="32"/>
          <w:szCs w:val="32"/>
          <w:lang w:eastAsia="zh-CN"/>
        </w:rPr>
        <w:t>2025</w:t>
      </w:r>
      <w:r>
        <w:rPr>
          <w:rFonts w:hint="eastAsia" w:ascii="仿宋_GB2312" w:eastAsia="仿宋_GB2312" w:cs="仿宋_GB2312"/>
          <w:sz w:val="32"/>
          <w:szCs w:val="32"/>
        </w:rPr>
        <w:t>年本年支出合计</w:t>
      </w:r>
      <w:r>
        <w:rPr>
          <w:rFonts w:hint="eastAsia" w:ascii="仿宋_GB2312" w:eastAsia="仿宋_GB2312" w:cs="仿宋_GB2312"/>
          <w:sz w:val="32"/>
          <w:szCs w:val="32"/>
          <w:lang w:val="en-US" w:eastAsia="zh-CN"/>
        </w:rPr>
        <w:t>762.22</w:t>
      </w:r>
      <w:r>
        <w:rPr>
          <w:rFonts w:hint="eastAsia" w:ascii="仿宋_GB2312" w:eastAsia="仿宋_GB2312" w:cs="仿宋_GB2312"/>
          <w:sz w:val="32"/>
          <w:szCs w:val="32"/>
        </w:rPr>
        <w:t>万元，其中：基本支出</w:t>
      </w:r>
      <w:r>
        <w:rPr>
          <w:rFonts w:hint="eastAsia" w:ascii="仿宋_GB2312" w:eastAsia="仿宋_GB2312" w:cs="仿宋_GB2312"/>
          <w:sz w:val="32"/>
          <w:szCs w:val="32"/>
          <w:lang w:val="en-US" w:eastAsia="zh-CN"/>
        </w:rPr>
        <w:t>762.22</w:t>
      </w:r>
      <w:r>
        <w:rPr>
          <w:rFonts w:hint="eastAsia" w:ascii="仿宋_GB2312" w:eastAsia="仿宋_GB2312" w:cs="仿宋_GB2312"/>
          <w:sz w:val="32"/>
          <w:szCs w:val="32"/>
        </w:rPr>
        <w:t>万元，占</w:t>
      </w:r>
      <w:r>
        <w:rPr>
          <w:rFonts w:hint="eastAsia" w:ascii="仿宋_GB2312" w:eastAsia="仿宋_GB2312" w:cs="仿宋_GB2312"/>
          <w:sz w:val="32"/>
          <w:szCs w:val="32"/>
          <w:lang w:val="en-US" w:eastAsia="zh-CN"/>
        </w:rPr>
        <w:t>100</w:t>
      </w:r>
      <w:r>
        <w:rPr>
          <w:rFonts w:hint="eastAsia" w:ascii="仿宋_GB2312" w:eastAsia="仿宋_GB2312" w:cs="仿宋_GB2312"/>
          <w:sz w:val="32"/>
          <w:szCs w:val="32"/>
        </w:rPr>
        <w:t>%</w:t>
      </w:r>
      <w:r>
        <w:rPr>
          <w:rFonts w:hint="eastAsia" w:ascii="仿宋_GB2312" w:eastAsia="仿宋_GB2312" w:cs="仿宋_GB2312"/>
          <w:sz w:val="32"/>
          <w:szCs w:val="32"/>
          <w:lang w:eastAsia="zh-CN"/>
        </w:rPr>
        <w:t>。</w:t>
      </w:r>
    </w:p>
    <w:p w14:paraId="663249B6">
      <w:pPr>
        <w:spacing w:line="600" w:lineRule="exact"/>
        <w:rPr>
          <w:rFonts w:ascii="仿宋_GB2312" w:eastAsia="仿宋_GB2312" w:cs="仿宋_GB2312"/>
          <w:color w:val="000000" w:themeColor="text1"/>
          <w:sz w:val="32"/>
          <w:szCs w:val="32"/>
          <w14:textFill>
            <w14:solidFill>
              <w14:schemeClr w14:val="tx1"/>
            </w14:solidFill>
          </w14:textFill>
        </w:rPr>
      </w:pPr>
      <w:r>
        <w:rPr>
          <w:rFonts w:ascii="仿宋_GB2312" w:eastAsia="仿宋_GB2312" w:cs="仿宋_GB2312"/>
          <w:color w:val="000000" w:themeColor="text1"/>
          <w:sz w:val="32"/>
          <w:szCs w:val="32"/>
          <w14:textFill>
            <w14:solidFill>
              <w14:schemeClr w14:val="tx1"/>
            </w14:solidFill>
          </w14:textFill>
        </w:rPr>
        <w:drawing>
          <wp:anchor distT="0" distB="0" distL="114300" distR="114300" simplePos="0" relativeHeight="251661312" behindDoc="0" locked="0" layoutInCell="1" allowOverlap="1">
            <wp:simplePos x="0" y="0"/>
            <wp:positionH relativeFrom="column">
              <wp:posOffset>361315</wp:posOffset>
            </wp:positionH>
            <wp:positionV relativeFrom="paragraph">
              <wp:posOffset>85725</wp:posOffset>
            </wp:positionV>
            <wp:extent cx="4667250" cy="2811145"/>
            <wp:effectExtent l="4445" t="5080" r="6985" b="18415"/>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52E36018">
      <w:pPr>
        <w:spacing w:line="600" w:lineRule="exact"/>
        <w:ind w:firstLine="640" w:firstLineChars="200"/>
        <w:rPr>
          <w:rFonts w:ascii="仿宋_GB2312" w:eastAsia="仿宋_GB2312" w:cs="仿宋_GB2312"/>
          <w:color w:val="000000" w:themeColor="text1"/>
          <w:sz w:val="32"/>
          <w:szCs w:val="32"/>
          <w14:textFill>
            <w14:solidFill>
              <w14:schemeClr w14:val="tx1"/>
            </w14:solidFill>
          </w14:textFill>
        </w:rPr>
      </w:pPr>
    </w:p>
    <w:p w14:paraId="256CF18E">
      <w:pPr>
        <w:spacing w:line="600" w:lineRule="exact"/>
        <w:ind w:firstLine="640" w:firstLineChars="200"/>
        <w:rPr>
          <w:rFonts w:ascii="仿宋_GB2312" w:eastAsia="仿宋_GB2312" w:cs="仿宋_GB2312"/>
          <w:color w:val="000000" w:themeColor="text1"/>
          <w:sz w:val="32"/>
          <w:szCs w:val="32"/>
          <w14:textFill>
            <w14:solidFill>
              <w14:schemeClr w14:val="tx1"/>
            </w14:solidFill>
          </w14:textFill>
        </w:rPr>
      </w:pPr>
    </w:p>
    <w:p w14:paraId="36CF92C9">
      <w:pPr>
        <w:spacing w:line="600" w:lineRule="exact"/>
        <w:ind w:firstLine="640" w:firstLineChars="200"/>
        <w:rPr>
          <w:rFonts w:ascii="仿宋_GB2312" w:eastAsia="仿宋_GB2312" w:cs="仿宋_GB2312"/>
          <w:color w:val="000000" w:themeColor="text1"/>
          <w:sz w:val="32"/>
          <w:szCs w:val="32"/>
          <w14:textFill>
            <w14:solidFill>
              <w14:schemeClr w14:val="tx1"/>
            </w14:solidFill>
          </w14:textFill>
        </w:rPr>
      </w:pPr>
    </w:p>
    <w:p w14:paraId="6C19477E">
      <w:pPr>
        <w:spacing w:line="600" w:lineRule="exact"/>
        <w:ind w:firstLine="1600" w:firstLineChars="500"/>
        <w:rPr>
          <w:rFonts w:hint="eastAsia" w:ascii="仿宋_GB2312" w:eastAsia="仿宋_GB2312" w:cs="仿宋_GB2312"/>
          <w:color w:val="000000" w:themeColor="text1"/>
          <w:sz w:val="32"/>
          <w:szCs w:val="32"/>
          <w14:textFill>
            <w14:solidFill>
              <w14:schemeClr w14:val="tx1"/>
            </w14:solidFill>
          </w14:textFill>
        </w:rPr>
      </w:pPr>
    </w:p>
    <w:p w14:paraId="7B086C97">
      <w:pPr>
        <w:spacing w:line="600" w:lineRule="exact"/>
        <w:ind w:firstLine="1600" w:firstLineChars="500"/>
        <w:rPr>
          <w:rFonts w:hint="eastAsia" w:ascii="仿宋_GB2312" w:eastAsia="仿宋_GB2312" w:cs="仿宋_GB2312"/>
          <w:color w:val="000000" w:themeColor="text1"/>
          <w:sz w:val="32"/>
          <w:szCs w:val="32"/>
          <w14:textFill>
            <w14:solidFill>
              <w14:schemeClr w14:val="tx1"/>
            </w14:solidFill>
          </w14:textFill>
        </w:rPr>
      </w:pPr>
    </w:p>
    <w:p w14:paraId="6557AA62">
      <w:pPr>
        <w:spacing w:line="600" w:lineRule="exact"/>
        <w:ind w:firstLine="1920" w:firstLineChars="600"/>
        <w:rPr>
          <w:rFonts w:hint="eastAsia" w:ascii="仿宋_GB2312" w:eastAsia="仿宋_GB2312" w:cs="仿宋_GB2312"/>
          <w:color w:val="000000" w:themeColor="text1"/>
          <w:sz w:val="32"/>
          <w:szCs w:val="32"/>
          <w14:textFill>
            <w14:solidFill>
              <w14:schemeClr w14:val="tx1"/>
            </w14:solidFill>
          </w14:textFill>
        </w:rPr>
      </w:pPr>
      <w:r>
        <w:rPr>
          <w:rFonts w:hint="eastAsia" w:ascii="仿宋" w:eastAsia="仿宋"/>
          <w:color w:val="000000"/>
          <w:sz w:val="32"/>
          <w:szCs w:val="32"/>
        </w:rPr>
        <w:drawing>
          <wp:anchor distT="0" distB="0" distL="114300" distR="114300" simplePos="0" relativeHeight="251668480" behindDoc="0" locked="0" layoutInCell="1" allowOverlap="1">
            <wp:simplePos x="0" y="0"/>
            <wp:positionH relativeFrom="column">
              <wp:posOffset>454025</wp:posOffset>
            </wp:positionH>
            <wp:positionV relativeFrom="paragraph">
              <wp:posOffset>2759710</wp:posOffset>
            </wp:positionV>
            <wp:extent cx="4981575" cy="2495550"/>
            <wp:effectExtent l="4445" t="4445" r="5080" b="1460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787BFD83">
      <w:pPr>
        <w:spacing w:line="600" w:lineRule="exact"/>
        <w:ind w:firstLine="640" w:firstLineChars="200"/>
        <w:outlineLvl w:val="1"/>
        <w:rPr>
          <w:rFonts w:hint="eastAsia" w:ascii="黑体" w:eastAsia="黑体" w:cs="黑体"/>
          <w:color w:val="000000"/>
          <w:sz w:val="32"/>
          <w:szCs w:val="32"/>
        </w:rPr>
      </w:pPr>
      <w:bookmarkStart w:id="48" w:name="_Toc79163863"/>
      <w:bookmarkStart w:id="49" w:name="_Toc79163613"/>
      <w:bookmarkStart w:id="50" w:name="_Toc15396606"/>
      <w:bookmarkStart w:id="51" w:name="_Toc15377208"/>
    </w:p>
    <w:p w14:paraId="4B8CE42C">
      <w:pPr>
        <w:spacing w:line="600" w:lineRule="exact"/>
        <w:ind w:firstLine="640" w:firstLineChars="200"/>
        <w:outlineLvl w:val="1"/>
        <w:rPr>
          <w:rStyle w:val="28"/>
          <w:rFonts w:ascii="黑体" w:eastAsia="黑体" w:cs="黑体"/>
        </w:rPr>
      </w:pPr>
      <w:r>
        <w:rPr>
          <w:rFonts w:hint="eastAsia" w:ascii="黑体" w:eastAsia="黑体" w:cs="黑体"/>
          <w:color w:val="000000"/>
          <w:sz w:val="32"/>
          <w:szCs w:val="32"/>
        </w:rPr>
        <w:t>四、</w:t>
      </w:r>
      <w:r>
        <w:rPr>
          <w:rFonts w:hint="eastAsia" w:ascii="黑体" w:eastAsia="黑体" w:cs="黑体"/>
          <w:b/>
          <w:color w:val="000000"/>
          <w:sz w:val="32"/>
          <w:szCs w:val="32"/>
        </w:rPr>
        <w:t>财</w:t>
      </w:r>
      <w:r>
        <w:rPr>
          <w:rStyle w:val="28"/>
          <w:rFonts w:hint="eastAsia" w:ascii="黑体" w:eastAsia="黑体" w:cs="黑体"/>
        </w:rPr>
        <w:t>政拨款收入支出决算总体情况说明</w:t>
      </w:r>
      <w:bookmarkEnd w:id="48"/>
      <w:bookmarkEnd w:id="49"/>
      <w:bookmarkEnd w:id="50"/>
      <w:bookmarkEnd w:id="51"/>
    </w:p>
    <w:p w14:paraId="0E447E3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eastAsia="仿宋_GB2312" w:cs="仿宋_GB2312"/>
          <w:color w:val="000000"/>
          <w:sz w:val="32"/>
          <w:szCs w:val="32"/>
        </w:rPr>
      </w:pPr>
      <w:r>
        <w:rPr>
          <w:rFonts w:hint="eastAsia" w:ascii="仿宋_GB2312" w:eastAsia="仿宋_GB2312" w:cs="仿宋_GB2312"/>
          <w:color w:val="000000"/>
          <w:sz w:val="32"/>
          <w:szCs w:val="32"/>
          <w:lang w:eastAsia="zh-CN"/>
        </w:rPr>
        <w:t>2025</w:t>
      </w:r>
      <w:r>
        <w:rPr>
          <w:rFonts w:hint="eastAsia" w:ascii="仿宋_GB2312" w:eastAsia="仿宋_GB2312" w:cs="仿宋_GB2312"/>
          <w:color w:val="000000"/>
          <w:sz w:val="32"/>
          <w:szCs w:val="32"/>
        </w:rPr>
        <w:t>年度收、支总计</w:t>
      </w:r>
      <w:r>
        <w:rPr>
          <w:rFonts w:hint="eastAsia" w:ascii="仿宋_GB2312" w:eastAsia="仿宋_GB2312" w:cs="仿宋_GB2312"/>
          <w:color w:val="000000"/>
          <w:sz w:val="32"/>
          <w:szCs w:val="32"/>
          <w:lang w:val="en-US" w:eastAsia="zh-CN"/>
        </w:rPr>
        <w:t>762.22</w:t>
      </w:r>
      <w:r>
        <w:rPr>
          <w:rFonts w:hint="eastAsia" w:ascii="仿宋_GB2312" w:eastAsia="仿宋_GB2312" w:cs="仿宋_GB2312"/>
          <w:color w:val="000000"/>
          <w:sz w:val="32"/>
          <w:szCs w:val="32"/>
        </w:rPr>
        <w:t>万元。与</w:t>
      </w:r>
      <w:r>
        <w:rPr>
          <w:rFonts w:hint="eastAsia" w:ascii="仿宋_GB2312" w:eastAsia="仿宋_GB2312" w:cs="仿宋_GB2312"/>
          <w:color w:val="000000"/>
          <w:sz w:val="32"/>
          <w:szCs w:val="32"/>
          <w:lang w:eastAsia="zh-CN"/>
        </w:rPr>
        <w:t>202</w:t>
      </w:r>
      <w:r>
        <w:rPr>
          <w:rFonts w:hint="eastAsia" w:ascii="仿宋_GB2312" w:eastAsia="仿宋_GB2312" w:cs="仿宋_GB2312"/>
          <w:color w:val="000000"/>
          <w:sz w:val="32"/>
          <w:szCs w:val="32"/>
          <w:lang w:val="en-US" w:eastAsia="zh-CN"/>
        </w:rPr>
        <w:t>4</w:t>
      </w:r>
      <w:r>
        <w:rPr>
          <w:rFonts w:hint="eastAsia" w:ascii="仿宋_GB2312" w:eastAsia="仿宋_GB2312" w:cs="仿宋_GB2312"/>
          <w:color w:val="000000"/>
          <w:sz w:val="32"/>
          <w:szCs w:val="32"/>
        </w:rPr>
        <w:t>年相比，收、支总计</w:t>
      </w:r>
      <w:r>
        <w:rPr>
          <w:rFonts w:hint="eastAsia" w:ascii="仿宋_GB2312" w:eastAsia="仿宋_GB2312" w:cs="仿宋_GB2312"/>
          <w:color w:val="000000"/>
          <w:sz w:val="32"/>
          <w:szCs w:val="32"/>
          <w:lang w:eastAsia="zh-CN"/>
        </w:rPr>
        <w:t>增加</w:t>
      </w:r>
      <w:r>
        <w:rPr>
          <w:rFonts w:hint="eastAsia" w:ascii="仿宋_GB2312" w:eastAsia="仿宋_GB2312" w:cs="仿宋_GB2312"/>
          <w:color w:val="000000"/>
          <w:sz w:val="32"/>
          <w:szCs w:val="32"/>
          <w:lang w:val="en-US" w:eastAsia="zh-CN"/>
        </w:rPr>
        <w:t>118.62</w:t>
      </w:r>
      <w:r>
        <w:rPr>
          <w:rFonts w:hint="eastAsia"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，增长</w:t>
      </w:r>
      <w:r>
        <w:rPr>
          <w:rFonts w:hint="eastAsia" w:ascii="仿宋_GB2312" w:eastAsia="仿宋_GB2312" w:cs="仿宋_GB2312"/>
          <w:color w:val="000000"/>
          <w:sz w:val="32"/>
          <w:szCs w:val="32"/>
          <w:lang w:val="en-US" w:eastAsia="zh-CN"/>
        </w:rPr>
        <w:t>18.4</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val="en-US" w:eastAsia="zh-CN"/>
        </w:rPr>
        <w:t>主要原因是：人员增加、保险变动。</w:t>
      </w:r>
    </w:p>
    <w:p w14:paraId="4F38746F">
      <w:pPr>
        <w:bidi w:val="0"/>
        <w:rPr>
          <w:rFonts w:hint="eastAsia" w:ascii="Times New Roman" w:hAnsi="Times New Roman" w:eastAsia="宋体" w:cs="Times New Roman"/>
          <w:kern w:val="2"/>
          <w:sz w:val="21"/>
          <w:szCs w:val="24"/>
          <w:lang w:val="en-US" w:eastAsia="zh-CN" w:bidi="ar-SA"/>
        </w:rPr>
      </w:pPr>
    </w:p>
    <w:p w14:paraId="4FF7BCFC">
      <w:pPr>
        <w:bidi w:val="0"/>
        <w:rPr>
          <w:rFonts w:hint="eastAsia"/>
          <w:lang w:val="en-US" w:eastAsia="zh-CN"/>
        </w:rPr>
      </w:pPr>
    </w:p>
    <w:p w14:paraId="467A6FE2">
      <w:pPr>
        <w:spacing w:line="600" w:lineRule="exact"/>
        <w:ind w:firstLine="640" w:firstLineChars="200"/>
        <w:rPr>
          <w:rFonts w:hint="eastAsia" w:ascii="黑体" w:eastAsia="黑体" w:cs="黑体"/>
          <w:color w:val="000000"/>
          <w:sz w:val="32"/>
          <w:szCs w:val="32"/>
        </w:rPr>
      </w:pPr>
    </w:p>
    <w:p w14:paraId="12431A29">
      <w:pPr>
        <w:spacing w:line="600" w:lineRule="exact"/>
        <w:ind w:firstLine="640" w:firstLineChars="200"/>
        <w:rPr>
          <w:rStyle w:val="28"/>
          <w:rFonts w:ascii="仿宋" w:eastAsia="仿宋"/>
        </w:rPr>
      </w:pPr>
      <w:bookmarkStart w:id="52" w:name="_Toc79163864"/>
      <w:bookmarkStart w:id="53" w:name="_Toc79163614"/>
      <w:bookmarkStart w:id="54" w:name="_Toc15377209"/>
      <w:bookmarkStart w:id="55" w:name="_Toc15396607"/>
      <w:r>
        <w:rPr>
          <w:rFonts w:hint="eastAsia" w:ascii="黑体" w:eastAsia="黑体" w:cs="黑体"/>
          <w:color w:val="000000"/>
          <w:sz w:val="32"/>
          <w:szCs w:val="32"/>
        </w:rPr>
        <w:t>五、</w:t>
      </w:r>
      <w:r>
        <w:rPr>
          <w:rFonts w:hint="eastAsia" w:ascii="黑体" w:eastAsia="黑体" w:cs="黑体"/>
          <w:b/>
          <w:color w:val="000000"/>
          <w:sz w:val="32"/>
          <w:szCs w:val="32"/>
        </w:rPr>
        <w:t>一</w:t>
      </w:r>
      <w:r>
        <w:rPr>
          <w:rStyle w:val="28"/>
          <w:rFonts w:hint="eastAsia" w:ascii="黑体" w:eastAsia="黑体" w:cs="黑体"/>
        </w:rPr>
        <w:t>般公共预算财政拨款支出决算情况说明</w:t>
      </w:r>
      <w:bookmarkEnd w:id="52"/>
      <w:bookmarkEnd w:id="53"/>
      <w:bookmarkEnd w:id="54"/>
      <w:bookmarkEnd w:id="55"/>
    </w:p>
    <w:p w14:paraId="0195F37E">
      <w:pPr>
        <w:spacing w:line="600" w:lineRule="exact"/>
        <w:ind w:firstLine="643" w:firstLineChars="200"/>
        <w:outlineLvl w:val="2"/>
        <w:rPr>
          <w:rFonts w:ascii="楷体_GB2312" w:eastAsia="楷体_GB2312" w:cs="楷体_GB2312"/>
          <w:b/>
          <w:color w:val="000000"/>
          <w:sz w:val="32"/>
          <w:szCs w:val="32"/>
        </w:rPr>
      </w:pPr>
      <w:bookmarkStart w:id="56" w:name="_Toc79163615"/>
      <w:bookmarkStart w:id="57" w:name="_Toc79163865"/>
      <w:bookmarkStart w:id="58" w:name="_Toc15377210"/>
      <w:r>
        <w:rPr>
          <w:rFonts w:hint="eastAsia" w:ascii="楷体_GB2312" w:eastAsia="楷体_GB2312" w:cs="楷体_GB2312"/>
          <w:b/>
          <w:color w:val="000000"/>
          <w:sz w:val="32"/>
          <w:szCs w:val="32"/>
        </w:rPr>
        <w:t>（一）一般公共预算财政拨款支出决算总体情况</w:t>
      </w:r>
      <w:bookmarkEnd w:id="56"/>
      <w:bookmarkEnd w:id="57"/>
      <w:bookmarkEnd w:id="58"/>
    </w:p>
    <w:p w14:paraId="7A580B03">
      <w:pPr>
        <w:spacing w:line="600" w:lineRule="exact"/>
        <w:ind w:firstLine="600" w:firstLineChars="200"/>
        <w:rPr>
          <w:rFonts w:hint="eastAsia" w:ascii="仿宋_GB2312" w:eastAsia="仿宋_GB2312" w:cs="仿宋_GB2312"/>
          <w:color w:val="000000"/>
          <w:sz w:val="32"/>
          <w:szCs w:val="32"/>
          <w:lang w:val="en-US" w:eastAsia="zh-CN"/>
        </w:rPr>
      </w:pPr>
      <w:r>
        <w:rPr>
          <w:sz w:val="30"/>
        </w:rPr>
        <mc:AlternateContent>
          <mc:Choice Requires="wps">
            <w:drawing>
              <wp:anchor distT="0" distB="0" distL="114300" distR="114300" simplePos="0" relativeHeight="251662336" behindDoc="0" locked="0" layoutInCell="1" allowOverlap="1">
                <wp:simplePos x="0" y="0"/>
                <wp:positionH relativeFrom="column">
                  <wp:posOffset>2182495</wp:posOffset>
                </wp:positionH>
                <wp:positionV relativeFrom="paragraph">
                  <wp:posOffset>1489075</wp:posOffset>
                </wp:positionV>
                <wp:extent cx="606425" cy="334010"/>
                <wp:effectExtent l="4445" t="4445" r="13970" b="12065"/>
                <wp:wrapNone/>
                <wp:docPr id="9" name="文本框 2"/>
                <wp:cNvGraphicFramePr/>
                <a:graphic xmlns:a="http://schemas.openxmlformats.org/drawingml/2006/main">
                  <a:graphicData uri="http://schemas.microsoft.com/office/word/2010/wordprocessingShape">
                    <wps:wsp>
                      <wps:cNvSpPr txBox="1"/>
                      <wps:spPr>
                        <a:xfrm rot="10800000">
                          <a:off x="0" y="0"/>
                          <a:ext cx="606425" cy="33401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4BB9962E">
                            <w:pPr>
                              <w:rPr>
                                <w:rFonts w:hint="default" w:eastAsia="宋体"/>
                                <w:lang w:val="en-US" w:eastAsia="zh-CN"/>
                              </w:rPr>
                            </w:pPr>
                          </w:p>
                        </w:txbxContent>
                      </wps:txbx>
                      <wps:bodyPr upright="1"/>
                    </wps:wsp>
                  </a:graphicData>
                </a:graphic>
              </wp:anchor>
            </w:drawing>
          </mc:Choice>
          <mc:Fallback>
            <w:pict>
              <v:shape id="文本框 2" o:spid="_x0000_s1026" o:spt="202" type="#_x0000_t202" style="position:absolute;left:0pt;margin-left:171.85pt;margin-top:117.25pt;height:26.3pt;width:47.75pt;rotation:11796480f;z-index:251662336;mso-width-relative:page;mso-height-relative:page;" fillcolor="#FFFFFF" filled="t" stroked="t" coordsize="21600,21600" o:gfxdata="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A/x4AXbAAAACwEAAA8AAAAAAAAA&#10;AQAgAAAAIgAAAGRycy9kb3ducmV2LnhtbFBLAQIUABQAAAAIAIdO4kANWHCxDgIAAEQEAAAOAAAA&#10;AAAAAAEAIAAAACoBAABkcnMvZTJvRG9jLnhtbFBLBQYAAAAABgAGAFkBAACqBQAAAAA=&#10;">
                <v:fill on="t" focussize="0,0"/>
                <v:stroke color="#FFFFFF" joinstyle="miter"/>
                <v:imagedata o:title=""/>
                <o:lock v:ext="edit" aspectratio="f"/>
                <v:textbox>
                  <w:txbxContent>
                    <w:p w14:paraId="4BB9962E">
                      <w:pPr>
                        <w:rPr>
                          <w:rFonts w:hint="default" w:eastAsia="宋体"/>
                          <w:lang w:val="en-US" w:eastAsia="zh-CN"/>
                        </w:rPr>
                      </w:pPr>
                    </w:p>
                  </w:txbxContent>
                </v:textbox>
              </v:shape>
            </w:pict>
          </mc:Fallback>
        </mc:AlternateContent>
      </w:r>
      <w:r>
        <w:rPr>
          <w:rFonts w:hint="eastAsia" w:ascii="仿宋_GB2312" w:eastAsia="仿宋_GB2312" w:cs="仿宋_GB2312"/>
          <w:color w:val="000000"/>
          <w:sz w:val="32"/>
          <w:szCs w:val="32"/>
          <w:lang w:eastAsia="zh-CN"/>
        </w:rPr>
        <w:t>2025</w:t>
      </w:r>
      <w:r>
        <w:rPr>
          <w:rFonts w:hint="eastAsia" w:ascii="仿宋_GB2312" w:eastAsia="仿宋_GB2312" w:cs="仿宋_GB2312"/>
          <w:color w:val="000000"/>
          <w:sz w:val="32"/>
          <w:szCs w:val="32"/>
        </w:rPr>
        <w:t>年一般公共预算财政拨款支出</w:t>
      </w:r>
      <w:r>
        <w:rPr>
          <w:rFonts w:hint="eastAsia" w:ascii="仿宋_GB2312" w:eastAsia="仿宋_GB2312" w:cs="仿宋_GB2312"/>
          <w:color w:val="000000"/>
          <w:sz w:val="32"/>
          <w:szCs w:val="32"/>
          <w:lang w:val="en-US" w:eastAsia="zh-CN"/>
        </w:rPr>
        <w:t>753.7</w:t>
      </w:r>
      <w:r>
        <w:rPr>
          <w:rFonts w:hint="eastAsia" w:ascii="仿宋_GB2312" w:eastAsia="仿宋_GB2312" w:cs="仿宋_GB2312"/>
          <w:color w:val="000000"/>
          <w:sz w:val="32"/>
          <w:szCs w:val="32"/>
        </w:rPr>
        <w:t>万元，占本年支出合计的</w:t>
      </w:r>
      <w:r>
        <w:rPr>
          <w:rFonts w:hint="eastAsia" w:ascii="仿宋_GB2312" w:eastAsia="仿宋_GB2312" w:cs="仿宋_GB2312"/>
          <w:color w:val="000000"/>
          <w:sz w:val="32"/>
          <w:szCs w:val="32"/>
          <w:lang w:val="en-US" w:eastAsia="zh-CN"/>
        </w:rPr>
        <w:t>98.9</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eastAsia="zh-CN"/>
        </w:rPr>
        <w:t>，事业</w:t>
      </w:r>
      <w:r>
        <w:rPr>
          <w:rFonts w:hint="eastAsia" w:ascii="仿宋_GB2312" w:eastAsia="仿宋_GB2312" w:cs="仿宋_GB2312"/>
          <w:color w:val="000000"/>
          <w:sz w:val="32"/>
          <w:szCs w:val="32"/>
        </w:rPr>
        <w:t>收入</w:t>
      </w:r>
      <w:r>
        <w:rPr>
          <w:rFonts w:hint="eastAsia" w:ascii="仿宋_GB2312" w:eastAsia="仿宋_GB2312" w:cs="仿宋_GB2312"/>
          <w:color w:val="000000"/>
          <w:sz w:val="32"/>
          <w:szCs w:val="32"/>
          <w:lang w:val="en-US" w:eastAsia="zh-CN"/>
        </w:rPr>
        <w:t>8.52</w:t>
      </w:r>
      <w:r>
        <w:rPr>
          <w:rFonts w:hint="eastAsia"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占</w:t>
      </w:r>
      <w:r>
        <w:rPr>
          <w:rFonts w:hint="eastAsia" w:ascii="仿宋_GB2312" w:eastAsia="仿宋_GB2312" w:cs="仿宋_GB2312"/>
          <w:color w:val="000000"/>
          <w:sz w:val="32"/>
          <w:szCs w:val="32"/>
          <w:lang w:val="en-US" w:eastAsia="zh-CN"/>
        </w:rPr>
        <w:t>1.1%。</w:t>
      </w:r>
      <w:r>
        <w:rPr>
          <w:rFonts w:hint="eastAsia" w:ascii="仿宋_GB2312" w:eastAsia="仿宋_GB2312" w:cs="仿宋_GB2312"/>
          <w:color w:val="000000"/>
          <w:sz w:val="32"/>
          <w:szCs w:val="32"/>
        </w:rPr>
        <w:t>与</w:t>
      </w:r>
      <w:r>
        <w:rPr>
          <w:rFonts w:hint="eastAsia" w:ascii="仿宋_GB2312" w:eastAsia="仿宋_GB2312" w:cs="仿宋_GB2312"/>
          <w:color w:val="000000"/>
          <w:sz w:val="32"/>
          <w:szCs w:val="32"/>
          <w:lang w:eastAsia="zh-CN"/>
        </w:rPr>
        <w:t>202</w:t>
      </w:r>
      <w:r>
        <w:rPr>
          <w:rFonts w:hint="eastAsia" w:ascii="仿宋_GB2312" w:eastAsia="仿宋_GB2312" w:cs="仿宋_GB2312"/>
          <w:color w:val="000000"/>
          <w:sz w:val="32"/>
          <w:szCs w:val="32"/>
          <w:lang w:val="en-US" w:eastAsia="zh-CN"/>
        </w:rPr>
        <w:t>4</w:t>
      </w:r>
      <w:r>
        <w:rPr>
          <w:rFonts w:hint="eastAsia" w:ascii="仿宋_GB2312" w:eastAsia="仿宋_GB2312" w:cs="仿宋_GB2312"/>
          <w:color w:val="000000"/>
          <w:sz w:val="32"/>
          <w:szCs w:val="32"/>
        </w:rPr>
        <w:t>年相比，一般公共预算财政拨款</w:t>
      </w:r>
      <w:r>
        <w:rPr>
          <w:rFonts w:hint="eastAsia" w:ascii="仿宋_GB2312" w:eastAsia="仿宋_GB2312" w:cs="仿宋_GB2312"/>
          <w:color w:val="000000"/>
          <w:sz w:val="32"/>
          <w:szCs w:val="32"/>
          <w:lang w:eastAsia="zh-CN"/>
        </w:rPr>
        <w:t>增加</w:t>
      </w:r>
      <w:r>
        <w:rPr>
          <w:rFonts w:hint="eastAsia" w:ascii="仿宋_GB2312" w:eastAsia="仿宋_GB2312" w:cs="仿宋_GB2312"/>
          <w:color w:val="000000" w:themeColor="text1"/>
          <w:sz w:val="32"/>
          <w:szCs w:val="32"/>
          <w:lang w:val="en-US" w:eastAsia="zh-CN"/>
          <w14:textFill>
            <w14:solidFill>
              <w14:schemeClr w14:val="tx1"/>
            </w14:solidFill>
          </w14:textFill>
        </w:rPr>
        <w:t>113.22</w:t>
      </w:r>
      <w:r>
        <w:rPr>
          <w:rFonts w:hint="eastAsia"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主要原因是：</w:t>
      </w:r>
      <w:r>
        <w:rPr>
          <w:rFonts w:hint="eastAsia" w:ascii="仿宋_GB2312" w:eastAsia="仿宋_GB2312" w:cs="仿宋_GB2312"/>
          <w:color w:val="000000"/>
          <w:sz w:val="32"/>
          <w:szCs w:val="32"/>
          <w:lang w:val="en-US" w:eastAsia="zh-CN"/>
        </w:rPr>
        <w:t>人员增加、保险变动。</w:t>
      </w:r>
    </w:p>
    <w:p w14:paraId="33A69FE5">
      <w:pPr>
        <w:spacing w:line="600" w:lineRule="exact"/>
        <w:ind w:firstLine="640" w:firstLineChars="200"/>
        <w:rPr>
          <w:rFonts w:ascii="仿宋" w:eastAsia="仿宋"/>
          <w:color w:val="000000"/>
          <w:sz w:val="32"/>
          <w:szCs w:val="32"/>
        </w:rPr>
      </w:pPr>
      <w:r>
        <w:rPr>
          <w:rFonts w:hint="eastAsia" w:ascii="仿宋" w:eastAsia="仿宋"/>
          <w:color w:val="000000"/>
          <w:sz w:val="32"/>
          <w:szCs w:val="32"/>
        </w:rPr>
        <w:drawing>
          <wp:anchor distT="0" distB="0" distL="114300" distR="114300" simplePos="0" relativeHeight="251667456" behindDoc="1" locked="0" layoutInCell="1" allowOverlap="1">
            <wp:simplePos x="0" y="0"/>
            <wp:positionH relativeFrom="column">
              <wp:posOffset>485140</wp:posOffset>
            </wp:positionH>
            <wp:positionV relativeFrom="paragraph">
              <wp:posOffset>180975</wp:posOffset>
            </wp:positionV>
            <wp:extent cx="4810760" cy="2057400"/>
            <wp:effectExtent l="4445" t="4445" r="23495" b="14605"/>
            <wp:wrapNone/>
            <wp:docPr id="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0CE59421">
      <w:pPr>
        <w:spacing w:line="600" w:lineRule="exact"/>
        <w:ind w:firstLine="640" w:firstLineChars="200"/>
        <w:rPr>
          <w:rFonts w:ascii="仿宋" w:eastAsia="仿宋"/>
          <w:color w:val="000000"/>
          <w:sz w:val="32"/>
          <w:szCs w:val="32"/>
        </w:rPr>
      </w:pPr>
      <w:r>
        <w:rPr>
          <w:sz w:val="32"/>
        </w:rPr>
        <mc:AlternateContent>
          <mc:Choice Requires="wps">
            <w:drawing>
              <wp:anchor distT="0" distB="0" distL="114300" distR="114300" simplePos="0" relativeHeight="251663360" behindDoc="0" locked="0" layoutInCell="1" allowOverlap="1">
                <wp:simplePos x="0" y="0"/>
                <wp:positionH relativeFrom="column">
                  <wp:posOffset>3712845</wp:posOffset>
                </wp:positionH>
                <wp:positionV relativeFrom="paragraph">
                  <wp:posOffset>99060</wp:posOffset>
                </wp:positionV>
                <wp:extent cx="676275" cy="352425"/>
                <wp:effectExtent l="13970" t="22225" r="14605" b="25400"/>
                <wp:wrapNone/>
                <wp:docPr id="10" name="文本框 3"/>
                <wp:cNvGraphicFramePr/>
                <a:graphic xmlns:a="http://schemas.openxmlformats.org/drawingml/2006/main">
                  <a:graphicData uri="http://schemas.microsoft.com/office/word/2010/wordprocessingShape">
                    <wps:wsp>
                      <wps:cNvSpPr txBox="1"/>
                      <wps:spPr>
                        <a:xfrm rot="10620000">
                          <a:off x="0" y="0"/>
                          <a:ext cx="676275" cy="35242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5555DA36">
                            <w:pPr>
                              <w:rPr>
                                <w:rFonts w:hint="default" w:eastAsia="宋体"/>
                                <w:lang w:val="en-US" w:eastAsia="zh-CN"/>
                              </w:rPr>
                            </w:pPr>
                          </w:p>
                        </w:txbxContent>
                      </wps:txbx>
                      <wps:bodyPr upright="1"/>
                    </wps:wsp>
                  </a:graphicData>
                </a:graphic>
              </wp:anchor>
            </w:drawing>
          </mc:Choice>
          <mc:Fallback>
            <w:pict>
              <v:shape id="文本框 3" o:spid="_x0000_s1026" o:spt="202" type="#_x0000_t202" style="position:absolute;left:0pt;margin-left:292.35pt;margin-top:7.8pt;height:27.75pt;width:53.25pt;rotation:11599872f;z-index:251663360;mso-width-relative:page;mso-height-relative:page;" fillcolor="#FFFFFF" filled="t" stroked="t" coordsize="21600,21600" o:gfxdata="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h9yDzYAAAACQEAAA8AAAAAAAAA&#10;AQAgAAAAIgAAAGRycy9kb3ducmV2LnhtbFBLAQIUABQAAAAIAIdO4kDgdLtxEQIAAEUEAAAOAAAA&#10;AAAAAAEAIAAAACcBAABkcnMvZTJvRG9jLnhtbFBLBQYAAAAABgAGAFkBAACqBQAAAAA=&#10;">
                <v:fill on="t" focussize="0,0"/>
                <v:stroke color="#FFFFFF" joinstyle="miter"/>
                <v:imagedata o:title=""/>
                <o:lock v:ext="edit" aspectratio="f"/>
                <v:textbox>
                  <w:txbxContent>
                    <w:p w14:paraId="5555DA36">
                      <w:pPr>
                        <w:rPr>
                          <w:rFonts w:hint="default" w:eastAsia="宋体"/>
                          <w:lang w:val="en-US" w:eastAsia="zh-CN"/>
                        </w:rPr>
                      </w:pPr>
                    </w:p>
                  </w:txbxContent>
                </v:textbox>
              </v:shape>
            </w:pict>
          </mc:Fallback>
        </mc:AlternateContent>
      </w:r>
    </w:p>
    <w:p w14:paraId="30121423">
      <w:pPr>
        <w:spacing w:line="600" w:lineRule="exact"/>
        <w:ind w:firstLine="1200" w:firstLineChars="400"/>
        <w:rPr>
          <w:rFonts w:hint="eastAsia" w:ascii="仿宋" w:eastAsia="仿宋"/>
          <w:color w:val="000000"/>
          <w:sz w:val="30"/>
          <w:szCs w:val="30"/>
        </w:rPr>
      </w:pPr>
    </w:p>
    <w:p w14:paraId="444ED3A8">
      <w:pPr>
        <w:spacing w:line="600" w:lineRule="exact"/>
        <w:ind w:firstLine="1200" w:firstLineChars="400"/>
        <w:rPr>
          <w:rFonts w:hint="eastAsia" w:ascii="仿宋" w:eastAsia="仿宋"/>
          <w:color w:val="000000"/>
          <w:sz w:val="30"/>
          <w:szCs w:val="30"/>
        </w:rPr>
      </w:pPr>
    </w:p>
    <w:p w14:paraId="1443396D">
      <w:pPr>
        <w:spacing w:line="600" w:lineRule="exact"/>
        <w:ind w:firstLine="1200" w:firstLineChars="400"/>
        <w:rPr>
          <w:rFonts w:hint="eastAsia" w:ascii="仿宋" w:eastAsia="仿宋"/>
          <w:color w:val="000000"/>
          <w:sz w:val="30"/>
          <w:szCs w:val="30"/>
        </w:rPr>
      </w:pPr>
    </w:p>
    <w:p w14:paraId="018F3295">
      <w:pPr>
        <w:spacing w:line="600" w:lineRule="exact"/>
        <w:ind w:firstLine="1200" w:firstLineChars="400"/>
        <w:rPr>
          <w:rFonts w:hint="eastAsia" w:ascii="仿宋" w:eastAsia="仿宋"/>
          <w:color w:val="000000"/>
          <w:sz w:val="30"/>
          <w:szCs w:val="30"/>
        </w:rPr>
      </w:pPr>
    </w:p>
    <w:p w14:paraId="4318281A">
      <w:pPr>
        <w:spacing w:line="600" w:lineRule="exact"/>
        <w:outlineLvl w:val="2"/>
        <w:rPr>
          <w:rFonts w:ascii="仿宋" w:eastAsia="仿宋"/>
          <w:b/>
          <w:color w:val="000000"/>
          <w:sz w:val="32"/>
          <w:szCs w:val="32"/>
        </w:rPr>
      </w:pPr>
      <w:bookmarkStart w:id="59" w:name="_Toc79163866"/>
      <w:bookmarkStart w:id="60" w:name="_Toc79163616"/>
      <w:bookmarkStart w:id="61" w:name="_Toc15377211"/>
      <w:r>
        <w:rPr>
          <w:rFonts w:hint="eastAsia" w:ascii="楷体_GB2312" w:eastAsia="楷体_GB2312" w:cs="楷体_GB2312"/>
          <w:b/>
          <w:color w:val="000000"/>
          <w:sz w:val="32"/>
          <w:szCs w:val="32"/>
        </w:rPr>
        <w:t xml:space="preserve">  （二）一般公共预算财政拨款支出决算结构情况</w:t>
      </w:r>
      <w:bookmarkEnd w:id="59"/>
      <w:bookmarkEnd w:id="60"/>
      <w:bookmarkEnd w:id="61"/>
    </w:p>
    <w:p w14:paraId="4EB39A00">
      <w:pPr>
        <w:spacing w:line="600" w:lineRule="exact"/>
        <w:ind w:firstLine="640"/>
        <w:rPr>
          <w:rFonts w:ascii="仿宋_GB2312" w:eastAsia="仿宋_GB2312" w:cs="仿宋_GB2312"/>
          <w:color w:val="000000"/>
          <w:sz w:val="32"/>
          <w:szCs w:val="32"/>
        </w:rPr>
      </w:pPr>
      <w:r>
        <w:rPr>
          <w:rFonts w:hint="eastAsia" w:ascii="仿宋_GB2312" w:eastAsia="仿宋_GB2312" w:cs="仿宋_GB2312"/>
          <w:color w:val="000000"/>
          <w:sz w:val="32"/>
          <w:szCs w:val="32"/>
          <w:lang w:eastAsia="zh-CN"/>
        </w:rPr>
        <w:t>2025</w:t>
      </w:r>
      <w:r>
        <w:rPr>
          <w:rFonts w:hint="eastAsia" w:ascii="仿宋_GB2312" w:eastAsia="仿宋_GB2312" w:cs="仿宋_GB2312"/>
          <w:color w:val="000000"/>
          <w:sz w:val="32"/>
          <w:szCs w:val="32"/>
        </w:rPr>
        <w:t>年一般公共预算财政拨款支出</w:t>
      </w:r>
      <w:r>
        <w:rPr>
          <w:rFonts w:hint="eastAsia" w:ascii="仿宋_GB2312" w:eastAsia="仿宋_GB2312" w:cs="仿宋_GB2312"/>
          <w:color w:val="000000"/>
          <w:sz w:val="32"/>
          <w:szCs w:val="32"/>
          <w:lang w:val="en-US" w:eastAsia="zh-CN"/>
        </w:rPr>
        <w:t>762.22</w:t>
      </w:r>
      <w:r>
        <w:rPr>
          <w:rFonts w:hint="eastAsia" w:ascii="仿宋_GB2312" w:eastAsia="仿宋_GB2312" w:cs="仿宋_GB2312"/>
          <w:color w:val="000000"/>
          <w:sz w:val="32"/>
          <w:szCs w:val="32"/>
        </w:rPr>
        <w:t>万元，主要用于以下方面:</w:t>
      </w:r>
      <w:r>
        <w:rPr>
          <w:rFonts w:hint="eastAsia" w:ascii="仿宋" w:eastAsia="仿宋"/>
          <w:b/>
          <w:color w:val="000000"/>
          <w:sz w:val="32"/>
          <w:szCs w:val="32"/>
        </w:rPr>
        <w:t xml:space="preserve"> </w:t>
      </w:r>
      <w:r>
        <w:rPr>
          <w:rFonts w:hint="eastAsia" w:ascii="仿宋_GB2312" w:eastAsia="仿宋_GB2312" w:cs="仿宋_GB2312"/>
          <w:color w:val="000000"/>
          <w:sz w:val="32"/>
          <w:szCs w:val="32"/>
        </w:rPr>
        <w:t>教育支出</w:t>
      </w:r>
      <w:r>
        <w:rPr>
          <w:rFonts w:hint="eastAsia" w:ascii="仿宋_GB2312" w:eastAsia="仿宋_GB2312" w:cs="仿宋_GB2312"/>
          <w:color w:val="000000"/>
          <w:sz w:val="32"/>
          <w:szCs w:val="32"/>
          <w:lang w:val="en-US" w:eastAsia="zh-CN"/>
        </w:rPr>
        <w:t>585.28</w:t>
      </w:r>
      <w:r>
        <w:rPr>
          <w:rFonts w:hint="eastAsia" w:ascii="仿宋_GB2312" w:eastAsia="仿宋_GB2312" w:cs="仿宋_GB2312"/>
          <w:color w:val="000000"/>
          <w:sz w:val="32"/>
          <w:szCs w:val="32"/>
        </w:rPr>
        <w:t>万元，占</w:t>
      </w:r>
      <w:r>
        <w:rPr>
          <w:rFonts w:hint="eastAsia" w:ascii="仿宋_GB2312" w:eastAsia="仿宋_GB2312" w:cs="仿宋_GB2312"/>
          <w:color w:val="000000"/>
          <w:sz w:val="32"/>
          <w:szCs w:val="32"/>
          <w:lang w:val="en-US" w:eastAsia="zh-CN"/>
        </w:rPr>
        <w:t>76.8</w:t>
      </w:r>
      <w:r>
        <w:rPr>
          <w:rFonts w:hint="eastAsia" w:ascii="仿宋_GB2312" w:eastAsia="仿宋_GB2312" w:cs="仿宋_GB2312"/>
          <w:color w:val="000000"/>
          <w:sz w:val="32"/>
          <w:szCs w:val="32"/>
        </w:rPr>
        <w:t>%；社会保障和就业支出</w:t>
      </w:r>
      <w:r>
        <w:rPr>
          <w:rFonts w:hint="eastAsia" w:ascii="仿宋_GB2312" w:eastAsia="仿宋_GB2312" w:cs="仿宋_GB2312"/>
          <w:color w:val="000000"/>
          <w:sz w:val="32"/>
          <w:szCs w:val="32"/>
          <w:lang w:val="en-US" w:eastAsia="zh-CN"/>
        </w:rPr>
        <w:t>89.84</w:t>
      </w:r>
      <w:r>
        <w:rPr>
          <w:rFonts w:hint="eastAsia" w:ascii="仿宋_GB2312" w:eastAsia="仿宋_GB2312" w:cs="仿宋_GB2312"/>
          <w:color w:val="000000"/>
          <w:sz w:val="32"/>
          <w:szCs w:val="32"/>
        </w:rPr>
        <w:t>万元，占</w:t>
      </w:r>
      <w:r>
        <w:rPr>
          <w:rFonts w:hint="eastAsia" w:ascii="仿宋_GB2312" w:eastAsia="仿宋_GB2312" w:cs="仿宋_GB2312"/>
          <w:color w:val="000000"/>
          <w:sz w:val="32"/>
          <w:szCs w:val="32"/>
          <w:lang w:val="en-US" w:eastAsia="zh-CN"/>
        </w:rPr>
        <w:t>11.8</w:t>
      </w:r>
      <w:r>
        <w:rPr>
          <w:rFonts w:hint="eastAsia" w:ascii="仿宋_GB2312" w:eastAsia="仿宋_GB2312" w:cs="仿宋_GB2312"/>
          <w:color w:val="000000"/>
          <w:sz w:val="32"/>
          <w:szCs w:val="32"/>
        </w:rPr>
        <w:t>%；</w:t>
      </w:r>
      <w:r>
        <w:rPr>
          <w:rFonts w:hint="eastAsia" w:ascii="仿宋_GB2312" w:eastAsia="仿宋_GB2312" w:cs="仿宋_GB2312"/>
          <w:bCs/>
          <w:color w:val="000000"/>
          <w:sz w:val="32"/>
          <w:szCs w:val="32"/>
        </w:rPr>
        <w:t>卫生健康支出</w:t>
      </w:r>
      <w:r>
        <w:rPr>
          <w:rFonts w:hint="eastAsia" w:ascii="仿宋_GB2312" w:eastAsia="仿宋_GB2312" w:cs="仿宋_GB2312"/>
          <w:color w:val="000000"/>
          <w:sz w:val="32"/>
          <w:szCs w:val="32"/>
          <w:lang w:val="en-US" w:eastAsia="zh-CN"/>
        </w:rPr>
        <w:t>38.96</w:t>
      </w:r>
      <w:r>
        <w:rPr>
          <w:rFonts w:hint="eastAsia" w:ascii="仿宋_GB2312" w:eastAsia="仿宋_GB2312" w:cs="仿宋_GB2312"/>
          <w:color w:val="000000"/>
          <w:sz w:val="32"/>
          <w:szCs w:val="32"/>
        </w:rPr>
        <w:t>万元，占</w:t>
      </w:r>
      <w:r>
        <w:rPr>
          <w:rFonts w:hint="eastAsia" w:ascii="仿宋_GB2312" w:eastAsia="仿宋_GB2312" w:cs="仿宋_GB2312"/>
          <w:color w:val="000000"/>
          <w:sz w:val="32"/>
          <w:szCs w:val="32"/>
          <w:lang w:val="en-US" w:eastAsia="zh-CN"/>
        </w:rPr>
        <w:t>5.1</w:t>
      </w:r>
      <w:r>
        <w:rPr>
          <w:rFonts w:hint="eastAsia" w:ascii="仿宋_GB2312" w:eastAsia="仿宋_GB2312" w:cs="仿宋_GB2312"/>
          <w:color w:val="000000"/>
          <w:sz w:val="32"/>
          <w:szCs w:val="32"/>
        </w:rPr>
        <w:t>%；住房保障支出</w:t>
      </w:r>
      <w:r>
        <w:rPr>
          <w:rFonts w:hint="eastAsia" w:ascii="仿宋_GB2312" w:eastAsia="仿宋_GB2312" w:cs="仿宋_GB2312"/>
          <w:color w:val="000000"/>
          <w:sz w:val="32"/>
          <w:szCs w:val="32"/>
          <w:lang w:val="en-US" w:eastAsia="zh-CN"/>
        </w:rPr>
        <w:t>48.14</w:t>
      </w:r>
      <w:r>
        <w:rPr>
          <w:rFonts w:hint="eastAsia" w:ascii="仿宋_GB2312" w:eastAsia="仿宋_GB2312" w:cs="仿宋_GB2312"/>
          <w:color w:val="000000"/>
          <w:sz w:val="32"/>
          <w:szCs w:val="32"/>
        </w:rPr>
        <w:t>万元，占</w:t>
      </w:r>
      <w:r>
        <w:rPr>
          <w:rFonts w:hint="eastAsia" w:ascii="仿宋_GB2312" w:eastAsia="仿宋_GB2312" w:cs="仿宋_GB2312"/>
          <w:color w:val="000000"/>
          <w:sz w:val="32"/>
          <w:szCs w:val="32"/>
          <w:lang w:val="en-US" w:eastAsia="zh-CN"/>
        </w:rPr>
        <w:t>6.3</w:t>
      </w:r>
      <w:r>
        <w:rPr>
          <w:rFonts w:hint="eastAsia" w:ascii="仿宋_GB2312" w:eastAsia="仿宋_GB2312" w:cs="仿宋_GB2312"/>
          <w:color w:val="000000"/>
          <w:sz w:val="32"/>
          <w:szCs w:val="32"/>
        </w:rPr>
        <w:t>%。</w:t>
      </w:r>
    </w:p>
    <w:p w14:paraId="2E5F299F">
      <w:pPr>
        <w:spacing w:line="600" w:lineRule="exact"/>
        <w:ind w:firstLine="640"/>
        <w:rPr>
          <w:rFonts w:ascii="仿宋" w:eastAsia="仿宋"/>
          <w:color w:val="000000"/>
          <w:sz w:val="32"/>
          <w:szCs w:val="32"/>
        </w:rPr>
      </w:pPr>
      <w:r>
        <w:rPr>
          <w:rFonts w:hint="eastAsia" w:ascii="仿宋" w:eastAsia="仿宋"/>
          <w:color w:val="000000"/>
          <w:sz w:val="32"/>
          <w:szCs w:val="32"/>
        </w:rPr>
        <w:drawing>
          <wp:anchor distT="0" distB="0" distL="114300" distR="114300" simplePos="0" relativeHeight="251660288" behindDoc="0" locked="0" layoutInCell="1" allowOverlap="1">
            <wp:simplePos x="0" y="0"/>
            <wp:positionH relativeFrom="column">
              <wp:posOffset>130175</wp:posOffset>
            </wp:positionH>
            <wp:positionV relativeFrom="paragraph">
              <wp:posOffset>88900</wp:posOffset>
            </wp:positionV>
            <wp:extent cx="5296535" cy="2581910"/>
            <wp:effectExtent l="4445" t="4445" r="13970" b="23495"/>
            <wp:wrapNone/>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50A65399">
      <w:pPr>
        <w:spacing w:line="600" w:lineRule="exact"/>
        <w:ind w:firstLine="640"/>
        <w:rPr>
          <w:rFonts w:ascii="仿宋" w:eastAsia="仿宋"/>
          <w:color w:val="000000"/>
          <w:sz w:val="32"/>
          <w:szCs w:val="32"/>
        </w:rPr>
      </w:pPr>
    </w:p>
    <w:p w14:paraId="66DFE1D8">
      <w:pPr>
        <w:spacing w:line="600" w:lineRule="exact"/>
        <w:ind w:firstLine="600" w:firstLineChars="200"/>
        <w:rPr>
          <w:rFonts w:ascii="仿宋" w:eastAsia="仿宋"/>
          <w:color w:val="000000"/>
          <w:sz w:val="30"/>
          <w:szCs w:val="30"/>
        </w:rPr>
      </w:pPr>
    </w:p>
    <w:p w14:paraId="04277DB8">
      <w:pPr>
        <w:spacing w:line="600" w:lineRule="exact"/>
        <w:ind w:firstLine="600" w:firstLineChars="200"/>
        <w:rPr>
          <w:rFonts w:ascii="仿宋" w:eastAsia="仿宋"/>
          <w:color w:val="000000"/>
          <w:sz w:val="30"/>
          <w:szCs w:val="30"/>
        </w:rPr>
      </w:pPr>
    </w:p>
    <w:p w14:paraId="326B1C56">
      <w:pPr>
        <w:spacing w:line="600" w:lineRule="exact"/>
        <w:ind w:firstLine="600" w:firstLineChars="200"/>
        <w:rPr>
          <w:rFonts w:ascii="仿宋" w:eastAsia="仿宋"/>
          <w:color w:val="000000"/>
          <w:sz w:val="30"/>
          <w:szCs w:val="30"/>
        </w:rPr>
      </w:pPr>
    </w:p>
    <w:p w14:paraId="4D2E5412">
      <w:pPr>
        <w:spacing w:line="600" w:lineRule="exact"/>
        <w:ind w:firstLine="643" w:firstLineChars="200"/>
        <w:outlineLvl w:val="2"/>
        <w:rPr>
          <w:rFonts w:ascii="楷体_GB2312" w:eastAsia="楷体_GB2312" w:cs="楷体_GB2312"/>
          <w:b/>
          <w:color w:val="000000"/>
          <w:sz w:val="32"/>
          <w:szCs w:val="32"/>
        </w:rPr>
      </w:pPr>
      <w:bookmarkStart w:id="62" w:name="_Toc79163867"/>
      <w:bookmarkStart w:id="63" w:name="_Toc15377212"/>
      <w:bookmarkStart w:id="64" w:name="_Toc79163617"/>
      <w:r>
        <w:rPr>
          <w:rFonts w:hint="eastAsia" w:ascii="楷体_GB2312" w:eastAsia="楷体_GB2312" w:cs="楷体_GB2312"/>
          <w:b/>
          <w:color w:val="000000"/>
          <w:sz w:val="32"/>
          <w:szCs w:val="32"/>
        </w:rPr>
        <w:t>（三）一般公共预算财政拨款支出决算具体情况</w:t>
      </w:r>
      <w:bookmarkEnd w:id="62"/>
      <w:bookmarkEnd w:id="63"/>
      <w:bookmarkEnd w:id="64"/>
    </w:p>
    <w:p w14:paraId="321D1D14">
      <w:pPr>
        <w:pStyle w:val="32"/>
        <w:spacing w:line="576" w:lineRule="exact"/>
        <w:ind w:firstLine="640" w:firstLineChars="200"/>
        <w:rPr>
          <w:rFonts w:hint="eastAsia" w:ascii="仿宋" w:hAnsi="仿宋" w:eastAsia="仿宋" w:cs="仿宋"/>
          <w:bCs/>
          <w:sz w:val="32"/>
          <w:szCs w:val="32"/>
          <w:lang w:eastAsia="zh-CN"/>
        </w:rPr>
      </w:pPr>
      <w:bookmarkStart w:id="65" w:name="_Toc15377213"/>
      <w:bookmarkStart w:id="66" w:name="_Toc15377444"/>
      <w:bookmarkStart w:id="67" w:name="_Toc15378460"/>
      <w:r>
        <w:rPr>
          <w:rFonts w:hint="eastAsia" w:hAnsi="仿宋" w:cs="仿宋"/>
          <w:bCs/>
          <w:sz w:val="32"/>
          <w:szCs w:val="32"/>
          <w:lang w:eastAsia="zh-CN"/>
        </w:rPr>
        <w:t>2025</w:t>
      </w:r>
      <w:r>
        <w:rPr>
          <w:rFonts w:hint="eastAsia" w:ascii="仿宋" w:hAnsi="仿宋" w:eastAsia="仿宋" w:cs="仿宋"/>
          <w:bCs/>
          <w:sz w:val="32"/>
          <w:szCs w:val="32"/>
        </w:rPr>
        <w:t>年一般公共预算支出决算数</w:t>
      </w:r>
      <w:r>
        <w:rPr>
          <w:rFonts w:hint="eastAsia" w:ascii="仿宋" w:hAnsi="仿宋" w:eastAsia="仿宋" w:cs="仿宋"/>
          <w:b w:val="0"/>
          <w:bCs w:val="0"/>
          <w:sz w:val="32"/>
          <w:szCs w:val="32"/>
        </w:rPr>
        <w:t>为</w:t>
      </w:r>
      <w:r>
        <w:rPr>
          <w:rFonts w:hint="eastAsia" w:hAnsi="仿宋" w:cs="仿宋"/>
          <w:b w:val="0"/>
          <w:bCs w:val="0"/>
          <w:sz w:val="32"/>
          <w:szCs w:val="32"/>
          <w:lang w:val="en-US" w:eastAsia="zh-CN"/>
        </w:rPr>
        <w:t>762.22</w:t>
      </w:r>
      <w:r>
        <w:rPr>
          <w:rFonts w:hint="eastAsia" w:ascii="仿宋" w:hAnsi="仿宋" w:eastAsia="仿宋" w:cs="仿宋"/>
          <w:b w:val="0"/>
          <w:bCs w:val="0"/>
          <w:sz w:val="32"/>
          <w:szCs w:val="32"/>
        </w:rPr>
        <w:t>万元，</w:t>
      </w:r>
      <w:r>
        <w:rPr>
          <w:rFonts w:hint="eastAsia" w:ascii="仿宋" w:hAnsi="仿宋" w:eastAsia="仿宋" w:cs="仿宋"/>
          <w:b/>
          <w:bCs/>
          <w:sz w:val="32"/>
          <w:szCs w:val="32"/>
        </w:rPr>
        <w:t>完</w:t>
      </w:r>
      <w:r>
        <w:rPr>
          <w:rFonts w:hint="eastAsia" w:ascii="仿宋" w:hAnsi="仿宋" w:eastAsia="仿宋" w:cs="仿宋"/>
          <w:bCs/>
          <w:sz w:val="32"/>
          <w:szCs w:val="32"/>
        </w:rPr>
        <w:t>成预算</w:t>
      </w:r>
      <w:r>
        <w:rPr>
          <w:rFonts w:hint="eastAsia" w:ascii="仿宋" w:hAnsi="仿宋" w:eastAsia="仿宋" w:cs="仿宋"/>
          <w:bCs/>
          <w:sz w:val="32"/>
          <w:szCs w:val="32"/>
          <w:lang w:val="en-US" w:eastAsia="zh-CN"/>
        </w:rPr>
        <w:t>100</w:t>
      </w:r>
      <w:r>
        <w:rPr>
          <w:rFonts w:hint="eastAsia" w:ascii="仿宋" w:hAnsi="仿宋" w:eastAsia="仿宋" w:cs="仿宋"/>
          <w:bCs/>
          <w:sz w:val="32"/>
          <w:szCs w:val="32"/>
        </w:rPr>
        <w:t>%。其中</w:t>
      </w:r>
      <w:r>
        <w:rPr>
          <w:rFonts w:hint="eastAsia" w:ascii="仿宋" w:hAnsi="仿宋" w:eastAsia="仿宋" w:cs="仿宋"/>
          <w:bCs/>
          <w:sz w:val="32"/>
          <w:szCs w:val="32"/>
          <w:lang w:eastAsia="zh-CN"/>
        </w:rPr>
        <w:t>：</w:t>
      </w:r>
    </w:p>
    <w:p w14:paraId="393355A2">
      <w:pPr>
        <w:pStyle w:val="32"/>
        <w:spacing w:line="576" w:lineRule="exact"/>
        <w:ind w:firstLine="640" w:firstLineChars="200"/>
        <w:rPr>
          <w:rFonts w:hint="eastAsia" w:ascii="仿宋" w:hAnsi="仿宋" w:eastAsia="仿宋" w:cs="仿宋"/>
          <w:sz w:val="32"/>
          <w:szCs w:val="32"/>
        </w:rPr>
      </w:pP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sz w:val="32"/>
          <w:szCs w:val="32"/>
        </w:rPr>
        <w:t>.教育（</w:t>
      </w:r>
      <w:r>
        <w:rPr>
          <w:rFonts w:hint="eastAsia" w:hAnsi="仿宋" w:cs="仿宋"/>
          <w:sz w:val="32"/>
          <w:szCs w:val="32"/>
          <w:lang w:val="en-US" w:eastAsia="zh-CN"/>
        </w:rPr>
        <w:t>类</w:t>
      </w:r>
      <w:r>
        <w:rPr>
          <w:rFonts w:hint="eastAsia" w:ascii="仿宋" w:hAnsi="仿宋" w:eastAsia="仿宋" w:cs="仿宋"/>
          <w:sz w:val="32"/>
          <w:szCs w:val="32"/>
        </w:rPr>
        <w:t>）进修及培训（</w:t>
      </w:r>
      <w:r>
        <w:rPr>
          <w:rFonts w:hint="eastAsia" w:hAnsi="仿宋" w:cs="仿宋"/>
          <w:sz w:val="32"/>
          <w:szCs w:val="32"/>
          <w:lang w:val="en-US" w:eastAsia="zh-CN"/>
        </w:rPr>
        <w:t>款</w:t>
      </w:r>
      <w:r>
        <w:rPr>
          <w:rFonts w:hint="eastAsia" w:ascii="仿宋" w:hAnsi="仿宋" w:eastAsia="仿宋" w:cs="仿宋"/>
          <w:sz w:val="32"/>
          <w:szCs w:val="32"/>
        </w:rPr>
        <w:t>）教师进修（</w:t>
      </w:r>
      <w:r>
        <w:rPr>
          <w:rFonts w:hint="eastAsia" w:hAnsi="仿宋" w:cs="仿宋"/>
          <w:sz w:val="32"/>
          <w:szCs w:val="32"/>
          <w:lang w:val="en-US" w:eastAsia="zh-CN"/>
        </w:rPr>
        <w:t>项</w:t>
      </w:r>
      <w:r>
        <w:rPr>
          <w:rFonts w:hint="eastAsia" w:ascii="仿宋" w:hAnsi="仿宋" w:eastAsia="仿宋" w:cs="仿宋"/>
          <w:sz w:val="32"/>
          <w:szCs w:val="32"/>
        </w:rPr>
        <w:t>）:支出决算为</w:t>
      </w:r>
      <w:r>
        <w:rPr>
          <w:rFonts w:hint="eastAsia" w:hAnsi="仿宋" w:cs="仿宋"/>
          <w:sz w:val="32"/>
          <w:szCs w:val="32"/>
          <w:lang w:val="en-US" w:eastAsia="zh-CN"/>
        </w:rPr>
        <w:t>585.28</w:t>
      </w:r>
      <w:r>
        <w:rPr>
          <w:rFonts w:hint="eastAsia" w:ascii="仿宋" w:hAnsi="仿宋" w:eastAsia="仿宋" w:cs="仿宋"/>
          <w:sz w:val="32"/>
          <w:szCs w:val="32"/>
        </w:rPr>
        <w:t>万元，完成预算</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Style w:val="25"/>
          <w:rFonts w:hint="eastAsia" w:ascii="仿宋" w:hAnsi="仿宋" w:eastAsia="仿宋" w:cs="仿宋"/>
          <w:b w:val="0"/>
          <w:bCs/>
          <w:sz w:val="32"/>
          <w:szCs w:val="32"/>
        </w:rPr>
        <w:t>决算数等于预算数。</w:t>
      </w:r>
    </w:p>
    <w:p w14:paraId="69140889">
      <w:pPr>
        <w:pStyle w:val="32"/>
        <w:spacing w:line="576" w:lineRule="exact"/>
        <w:ind w:firstLine="640" w:firstLineChars="200"/>
        <w:rPr>
          <w:rFonts w:hint="eastAsia" w:ascii="仿宋" w:hAnsi="仿宋" w:eastAsia="仿宋" w:cs="仿宋"/>
          <w:sz w:val="32"/>
          <w:szCs w:val="32"/>
        </w:rPr>
      </w:pPr>
      <w:r>
        <w:rPr>
          <w:rFonts w:hint="eastAsia" w:hAnsi="仿宋" w:cs="仿宋"/>
          <w:sz w:val="32"/>
          <w:szCs w:val="32"/>
          <w:lang w:val="en-US" w:eastAsia="zh-CN"/>
        </w:rPr>
        <w:t>2</w:t>
      </w:r>
      <w:r>
        <w:rPr>
          <w:rFonts w:hint="eastAsia" w:ascii="仿宋" w:hAnsi="仿宋" w:eastAsia="仿宋" w:cs="仿宋"/>
          <w:sz w:val="32"/>
          <w:szCs w:val="32"/>
        </w:rPr>
        <w:t>.社会保障和就业（</w:t>
      </w:r>
      <w:r>
        <w:rPr>
          <w:rFonts w:hint="eastAsia" w:hAnsi="仿宋" w:cs="仿宋"/>
          <w:sz w:val="32"/>
          <w:szCs w:val="32"/>
          <w:lang w:val="en-US" w:eastAsia="zh-CN"/>
        </w:rPr>
        <w:t>类</w:t>
      </w:r>
      <w:r>
        <w:rPr>
          <w:rFonts w:hint="eastAsia" w:ascii="仿宋" w:hAnsi="仿宋" w:eastAsia="仿宋" w:cs="仿宋"/>
          <w:sz w:val="32"/>
          <w:szCs w:val="32"/>
        </w:rPr>
        <w:t>）行政单位离退休（</w:t>
      </w:r>
      <w:r>
        <w:rPr>
          <w:rFonts w:hint="eastAsia" w:hAnsi="仿宋" w:cs="仿宋"/>
          <w:sz w:val="32"/>
          <w:szCs w:val="32"/>
          <w:lang w:val="en-US" w:eastAsia="zh-CN"/>
        </w:rPr>
        <w:t>款</w:t>
      </w:r>
      <w:r>
        <w:rPr>
          <w:rFonts w:hint="eastAsia" w:ascii="仿宋" w:hAnsi="仿宋" w:eastAsia="仿宋" w:cs="仿宋"/>
          <w:sz w:val="32"/>
          <w:szCs w:val="32"/>
        </w:rPr>
        <w:t>）机关事业单位基本养老保险缴费支出（</w:t>
      </w:r>
      <w:r>
        <w:rPr>
          <w:rFonts w:hint="eastAsia" w:hAnsi="仿宋" w:cs="仿宋"/>
          <w:sz w:val="32"/>
          <w:szCs w:val="32"/>
          <w:lang w:val="en-US" w:eastAsia="zh-CN"/>
        </w:rPr>
        <w:t>项</w:t>
      </w:r>
      <w:r>
        <w:rPr>
          <w:rFonts w:hint="eastAsia" w:ascii="仿宋" w:hAnsi="仿宋" w:eastAsia="仿宋" w:cs="仿宋"/>
          <w:sz w:val="32"/>
          <w:szCs w:val="32"/>
        </w:rPr>
        <w:t>）:支出决算为</w:t>
      </w:r>
      <w:r>
        <w:rPr>
          <w:rFonts w:hint="eastAsia" w:hAnsi="仿宋" w:cs="仿宋"/>
          <w:sz w:val="32"/>
          <w:szCs w:val="32"/>
          <w:lang w:val="en-US" w:eastAsia="zh-CN"/>
        </w:rPr>
        <w:t>59.89</w:t>
      </w:r>
      <w:r>
        <w:rPr>
          <w:rFonts w:hint="eastAsia" w:ascii="仿宋" w:hAnsi="仿宋" w:eastAsia="仿宋" w:cs="仿宋"/>
          <w:sz w:val="32"/>
          <w:szCs w:val="32"/>
          <w:lang w:val="en-US" w:eastAsia="zh-CN"/>
        </w:rPr>
        <w:t>万</w:t>
      </w:r>
      <w:r>
        <w:rPr>
          <w:rFonts w:hint="eastAsia" w:ascii="仿宋" w:hAnsi="仿宋" w:eastAsia="仿宋" w:cs="仿宋"/>
          <w:sz w:val="32"/>
          <w:szCs w:val="32"/>
        </w:rPr>
        <w:t>元，完成预算100%,</w:t>
      </w:r>
      <w:r>
        <w:rPr>
          <w:rStyle w:val="25"/>
          <w:rFonts w:hint="eastAsia" w:ascii="仿宋" w:hAnsi="仿宋" w:eastAsia="仿宋" w:cs="仿宋"/>
          <w:b w:val="0"/>
          <w:bCs/>
          <w:sz w:val="32"/>
          <w:szCs w:val="32"/>
        </w:rPr>
        <w:t>决算数</w:t>
      </w:r>
      <w:r>
        <w:rPr>
          <w:rStyle w:val="25"/>
          <w:rFonts w:hint="eastAsia" w:hAnsi="仿宋" w:cs="仿宋"/>
          <w:b w:val="0"/>
          <w:bCs/>
          <w:sz w:val="32"/>
          <w:szCs w:val="32"/>
          <w:lang w:eastAsia="zh-CN"/>
        </w:rPr>
        <w:t>等</w:t>
      </w:r>
      <w:r>
        <w:rPr>
          <w:rStyle w:val="25"/>
          <w:rFonts w:hint="eastAsia" w:ascii="仿宋" w:hAnsi="仿宋" w:eastAsia="仿宋" w:cs="仿宋"/>
          <w:b w:val="0"/>
          <w:bCs/>
          <w:sz w:val="32"/>
          <w:szCs w:val="32"/>
        </w:rPr>
        <w:t>于预算数。</w:t>
      </w:r>
    </w:p>
    <w:p w14:paraId="7857EF77">
      <w:pPr>
        <w:pStyle w:val="32"/>
        <w:spacing w:line="576" w:lineRule="exact"/>
        <w:ind w:firstLine="640" w:firstLineChars="200"/>
        <w:rPr>
          <w:rFonts w:hint="eastAsia" w:ascii="仿宋" w:hAnsi="仿宋" w:eastAsia="仿宋" w:cs="仿宋"/>
          <w:b/>
          <w:bCs/>
          <w:sz w:val="32"/>
          <w:szCs w:val="32"/>
        </w:rPr>
      </w:pPr>
      <w:r>
        <w:rPr>
          <w:rFonts w:hint="eastAsia" w:hAnsi="仿宋" w:cs="仿宋"/>
          <w:sz w:val="32"/>
          <w:szCs w:val="32"/>
          <w:lang w:val="en-US" w:eastAsia="zh-CN"/>
        </w:rPr>
        <w:t>3</w:t>
      </w:r>
      <w:r>
        <w:rPr>
          <w:rFonts w:hint="eastAsia" w:ascii="仿宋" w:hAnsi="仿宋" w:eastAsia="仿宋" w:cs="仿宋"/>
          <w:sz w:val="32"/>
          <w:szCs w:val="32"/>
        </w:rPr>
        <w:t>.社会保障和就业（</w:t>
      </w:r>
      <w:r>
        <w:rPr>
          <w:rFonts w:hint="eastAsia" w:hAnsi="仿宋" w:cs="仿宋"/>
          <w:sz w:val="32"/>
          <w:szCs w:val="32"/>
          <w:lang w:val="en-US" w:eastAsia="zh-CN"/>
        </w:rPr>
        <w:t>类</w:t>
      </w:r>
      <w:r>
        <w:rPr>
          <w:rFonts w:hint="eastAsia" w:ascii="仿宋" w:hAnsi="仿宋" w:eastAsia="仿宋" w:cs="仿宋"/>
          <w:sz w:val="32"/>
          <w:szCs w:val="32"/>
        </w:rPr>
        <w:t>）行政单位离退休（</w:t>
      </w:r>
      <w:r>
        <w:rPr>
          <w:rFonts w:hint="eastAsia" w:hAnsi="仿宋" w:cs="仿宋"/>
          <w:sz w:val="32"/>
          <w:szCs w:val="32"/>
          <w:lang w:val="en-US" w:eastAsia="zh-CN"/>
        </w:rPr>
        <w:t>款</w:t>
      </w:r>
      <w:r>
        <w:rPr>
          <w:rFonts w:hint="eastAsia" w:ascii="仿宋" w:hAnsi="仿宋" w:eastAsia="仿宋" w:cs="仿宋"/>
          <w:sz w:val="32"/>
          <w:szCs w:val="32"/>
        </w:rPr>
        <w:t>）机关事业单位职业年金缴费支出（</w:t>
      </w:r>
      <w:r>
        <w:rPr>
          <w:rFonts w:hint="eastAsia" w:hAnsi="仿宋" w:cs="仿宋"/>
          <w:sz w:val="32"/>
          <w:szCs w:val="32"/>
          <w:lang w:val="en-US" w:eastAsia="zh-CN"/>
        </w:rPr>
        <w:t>项</w:t>
      </w:r>
      <w:r>
        <w:rPr>
          <w:rFonts w:hint="eastAsia" w:ascii="仿宋" w:hAnsi="仿宋" w:eastAsia="仿宋" w:cs="仿宋"/>
          <w:sz w:val="32"/>
          <w:szCs w:val="32"/>
        </w:rPr>
        <w:t>）:支出决算为</w:t>
      </w:r>
      <w:r>
        <w:rPr>
          <w:rFonts w:hint="eastAsia" w:hAnsi="仿宋" w:cs="仿宋"/>
          <w:sz w:val="32"/>
          <w:szCs w:val="32"/>
          <w:lang w:val="en-US" w:eastAsia="zh-CN"/>
        </w:rPr>
        <w:t>29.95</w:t>
      </w:r>
      <w:r>
        <w:rPr>
          <w:rFonts w:hint="eastAsia" w:ascii="仿宋" w:hAnsi="仿宋" w:eastAsia="仿宋" w:cs="仿宋"/>
          <w:sz w:val="32"/>
          <w:szCs w:val="32"/>
        </w:rPr>
        <w:t>万元，完成预算100%,</w:t>
      </w:r>
      <w:r>
        <w:rPr>
          <w:rStyle w:val="25"/>
          <w:rFonts w:hint="eastAsia" w:ascii="仿宋" w:hAnsi="仿宋" w:eastAsia="仿宋" w:cs="仿宋"/>
          <w:b w:val="0"/>
          <w:bCs/>
          <w:sz w:val="32"/>
          <w:szCs w:val="32"/>
        </w:rPr>
        <w:t>决算数等于预算数。</w:t>
      </w:r>
    </w:p>
    <w:p w14:paraId="69F229DE">
      <w:pPr>
        <w:pStyle w:val="32"/>
        <w:spacing w:line="576" w:lineRule="exact"/>
        <w:ind w:firstLine="640" w:firstLineChars="200"/>
        <w:rPr>
          <w:rStyle w:val="25"/>
          <w:rFonts w:hint="eastAsia" w:ascii="仿宋" w:hAnsi="仿宋" w:eastAsia="仿宋" w:cs="仿宋"/>
          <w:bCs/>
          <w:sz w:val="32"/>
          <w:szCs w:val="32"/>
        </w:rPr>
      </w:pPr>
      <w:r>
        <w:rPr>
          <w:rFonts w:hint="eastAsia" w:hAnsi="仿宋" w:cs="仿宋"/>
          <w:sz w:val="32"/>
          <w:szCs w:val="32"/>
          <w:lang w:val="en-US" w:eastAsia="zh-CN"/>
        </w:rPr>
        <w:t>4</w:t>
      </w:r>
      <w:r>
        <w:rPr>
          <w:rFonts w:hint="eastAsia" w:ascii="仿宋" w:hAnsi="仿宋" w:eastAsia="仿宋" w:cs="仿宋"/>
          <w:sz w:val="32"/>
          <w:szCs w:val="32"/>
        </w:rPr>
        <w:t>.医疗卫生与计划生育（</w:t>
      </w:r>
      <w:r>
        <w:rPr>
          <w:rFonts w:hint="eastAsia" w:hAnsi="仿宋" w:cs="仿宋"/>
          <w:sz w:val="32"/>
          <w:szCs w:val="32"/>
          <w:lang w:val="en-US" w:eastAsia="zh-CN"/>
        </w:rPr>
        <w:t>类</w:t>
      </w:r>
      <w:r>
        <w:rPr>
          <w:rFonts w:hint="eastAsia" w:ascii="仿宋" w:hAnsi="仿宋" w:eastAsia="仿宋" w:cs="仿宋"/>
          <w:sz w:val="32"/>
          <w:szCs w:val="32"/>
        </w:rPr>
        <w:t>）行政事业单位医疗（</w:t>
      </w:r>
      <w:r>
        <w:rPr>
          <w:rFonts w:hint="eastAsia" w:hAnsi="仿宋" w:cs="仿宋"/>
          <w:sz w:val="32"/>
          <w:szCs w:val="32"/>
          <w:lang w:val="en-US" w:eastAsia="zh-CN"/>
        </w:rPr>
        <w:t>款</w:t>
      </w:r>
      <w:r>
        <w:rPr>
          <w:rFonts w:hint="eastAsia" w:ascii="仿宋" w:hAnsi="仿宋" w:eastAsia="仿宋" w:cs="仿宋"/>
          <w:sz w:val="32"/>
          <w:szCs w:val="32"/>
        </w:rPr>
        <w:t>）事业单位医疗（</w:t>
      </w:r>
      <w:r>
        <w:rPr>
          <w:rFonts w:hint="eastAsia" w:hAnsi="仿宋" w:cs="仿宋"/>
          <w:sz w:val="32"/>
          <w:szCs w:val="32"/>
          <w:lang w:eastAsia="zh-CN"/>
        </w:rPr>
        <w:t>项</w:t>
      </w:r>
      <w:r>
        <w:rPr>
          <w:rFonts w:hint="eastAsia" w:ascii="仿宋" w:hAnsi="仿宋" w:eastAsia="仿宋" w:cs="仿宋"/>
          <w:sz w:val="32"/>
          <w:szCs w:val="32"/>
        </w:rPr>
        <w:t>）:支出决算为</w:t>
      </w:r>
      <w:r>
        <w:rPr>
          <w:rFonts w:hint="eastAsia" w:hAnsi="仿宋" w:cs="仿宋"/>
          <w:sz w:val="32"/>
          <w:szCs w:val="32"/>
          <w:lang w:val="en-US" w:eastAsia="zh-CN"/>
        </w:rPr>
        <w:t>38.96</w:t>
      </w:r>
      <w:r>
        <w:rPr>
          <w:rFonts w:hint="eastAsia" w:ascii="仿宋" w:hAnsi="仿宋" w:eastAsia="仿宋" w:cs="仿宋"/>
          <w:sz w:val="32"/>
          <w:szCs w:val="32"/>
        </w:rPr>
        <w:t>万元，完成预算100%,</w:t>
      </w:r>
      <w:r>
        <w:rPr>
          <w:rStyle w:val="25"/>
          <w:rFonts w:hint="eastAsia" w:ascii="仿宋" w:hAnsi="仿宋" w:eastAsia="仿宋" w:cs="仿宋"/>
          <w:b w:val="0"/>
          <w:bCs/>
          <w:sz w:val="32"/>
          <w:szCs w:val="32"/>
        </w:rPr>
        <w:t>决算数等于预算数。</w:t>
      </w:r>
    </w:p>
    <w:p w14:paraId="2FCC3FFD">
      <w:pPr>
        <w:pStyle w:val="32"/>
        <w:spacing w:line="576" w:lineRule="exact"/>
        <w:ind w:firstLine="640" w:firstLineChars="200"/>
        <w:rPr>
          <w:rFonts w:hint="eastAsia" w:ascii="仿宋" w:hAnsi="仿宋" w:eastAsia="仿宋" w:cs="仿宋"/>
          <w:sz w:val="32"/>
          <w:szCs w:val="32"/>
        </w:rPr>
      </w:pPr>
      <w:r>
        <w:rPr>
          <w:rFonts w:hint="eastAsia" w:hAnsi="仿宋" w:cs="仿宋"/>
          <w:sz w:val="32"/>
          <w:szCs w:val="32"/>
          <w:lang w:val="en-US" w:eastAsia="zh-CN"/>
        </w:rPr>
        <w:t>5</w:t>
      </w:r>
      <w:r>
        <w:rPr>
          <w:rFonts w:hint="eastAsia" w:ascii="仿宋" w:hAnsi="仿宋" w:eastAsia="仿宋" w:cs="仿宋"/>
          <w:sz w:val="32"/>
          <w:szCs w:val="32"/>
        </w:rPr>
        <w:t>.住房保障支出（</w:t>
      </w:r>
      <w:r>
        <w:rPr>
          <w:rFonts w:hint="eastAsia" w:hAnsi="仿宋" w:cs="仿宋"/>
          <w:sz w:val="32"/>
          <w:szCs w:val="32"/>
          <w:lang w:val="en-US" w:eastAsia="zh-CN"/>
        </w:rPr>
        <w:t>类</w:t>
      </w:r>
      <w:r>
        <w:rPr>
          <w:rFonts w:hint="eastAsia" w:ascii="仿宋" w:hAnsi="仿宋" w:eastAsia="仿宋" w:cs="仿宋"/>
          <w:sz w:val="32"/>
          <w:szCs w:val="32"/>
        </w:rPr>
        <w:t>）住房改革支出（</w:t>
      </w:r>
      <w:r>
        <w:rPr>
          <w:rFonts w:hint="eastAsia" w:hAnsi="仿宋" w:cs="仿宋"/>
          <w:sz w:val="32"/>
          <w:szCs w:val="32"/>
          <w:lang w:val="en-US" w:eastAsia="zh-CN"/>
        </w:rPr>
        <w:t>款</w:t>
      </w:r>
      <w:r>
        <w:rPr>
          <w:rFonts w:hint="eastAsia" w:ascii="仿宋" w:hAnsi="仿宋" w:eastAsia="仿宋" w:cs="仿宋"/>
          <w:sz w:val="32"/>
          <w:szCs w:val="32"/>
        </w:rPr>
        <w:t>）住房公积金（</w:t>
      </w:r>
      <w:r>
        <w:rPr>
          <w:rFonts w:hint="eastAsia" w:hAnsi="仿宋" w:cs="仿宋"/>
          <w:sz w:val="32"/>
          <w:szCs w:val="32"/>
          <w:lang w:val="en-US" w:eastAsia="zh-CN"/>
        </w:rPr>
        <w:t>项</w:t>
      </w:r>
      <w:r>
        <w:rPr>
          <w:rFonts w:hint="eastAsia" w:ascii="仿宋" w:hAnsi="仿宋" w:eastAsia="仿宋" w:cs="仿宋"/>
          <w:sz w:val="32"/>
          <w:szCs w:val="32"/>
        </w:rPr>
        <w:t>）:支出决算为</w:t>
      </w:r>
      <w:r>
        <w:rPr>
          <w:rFonts w:hint="eastAsia" w:hAnsi="仿宋" w:cs="仿宋"/>
          <w:sz w:val="32"/>
          <w:szCs w:val="32"/>
          <w:lang w:val="en-US" w:eastAsia="zh-CN"/>
        </w:rPr>
        <w:t>48.14</w:t>
      </w:r>
      <w:r>
        <w:rPr>
          <w:rFonts w:hint="eastAsia" w:ascii="仿宋" w:hAnsi="仿宋" w:eastAsia="仿宋" w:cs="仿宋"/>
          <w:sz w:val="32"/>
          <w:szCs w:val="32"/>
        </w:rPr>
        <w:t>万元，完成预算100%,</w:t>
      </w:r>
      <w:r>
        <w:rPr>
          <w:rStyle w:val="25"/>
          <w:rFonts w:hint="eastAsia" w:ascii="仿宋" w:hAnsi="仿宋" w:eastAsia="仿宋" w:cs="仿宋"/>
          <w:b w:val="0"/>
          <w:bCs/>
          <w:sz w:val="32"/>
          <w:szCs w:val="32"/>
        </w:rPr>
        <w:t>决算数等于预算数。</w:t>
      </w:r>
    </w:p>
    <w:bookmarkEnd w:id="65"/>
    <w:bookmarkEnd w:id="66"/>
    <w:bookmarkEnd w:id="67"/>
    <w:p w14:paraId="4EDB4E64">
      <w:pPr>
        <w:tabs>
          <w:tab w:val="right" w:pos="8306"/>
        </w:tabs>
        <w:spacing w:line="600" w:lineRule="exact"/>
        <w:ind w:firstLine="643" w:firstLineChars="200"/>
        <w:outlineLvl w:val="1"/>
        <w:rPr>
          <w:rStyle w:val="28"/>
          <w:rFonts w:ascii="仿宋" w:eastAsia="仿宋"/>
        </w:rPr>
      </w:pPr>
      <w:bookmarkStart w:id="68" w:name="_Toc15377214"/>
      <w:bookmarkStart w:id="69" w:name="_Toc79163618"/>
      <w:bookmarkStart w:id="70" w:name="_Toc15396608"/>
      <w:bookmarkStart w:id="71" w:name="_Toc79163868"/>
      <w:r>
        <w:rPr>
          <w:rFonts w:hint="eastAsia" w:ascii="黑体" w:eastAsia="黑体" w:cs="黑体"/>
          <w:b/>
          <w:color w:val="000000"/>
          <w:sz w:val="32"/>
          <w:szCs w:val="32"/>
        </w:rPr>
        <w:t>六、一</w:t>
      </w:r>
      <w:r>
        <w:rPr>
          <w:rStyle w:val="28"/>
          <w:rFonts w:hint="eastAsia" w:ascii="黑体" w:eastAsia="黑体" w:cs="黑体"/>
        </w:rPr>
        <w:t>般公共预算财政拨款基本支出决算情况说明</w:t>
      </w:r>
      <w:bookmarkEnd w:id="68"/>
      <w:bookmarkEnd w:id="69"/>
      <w:bookmarkEnd w:id="70"/>
      <w:bookmarkEnd w:id="71"/>
      <w:r>
        <w:rPr>
          <w:rStyle w:val="28"/>
          <w:rFonts w:ascii="仿宋" w:eastAsia="仿宋"/>
        </w:rPr>
        <w:tab/>
      </w:r>
    </w:p>
    <w:p w14:paraId="2B30570C">
      <w:pPr>
        <w:spacing w:line="600"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lang w:eastAsia="zh-CN"/>
        </w:rPr>
        <w:t>2025</w:t>
      </w:r>
      <w:r>
        <w:rPr>
          <w:rFonts w:hint="eastAsia" w:ascii="仿宋_GB2312" w:eastAsia="仿宋_GB2312" w:cs="仿宋_GB2312"/>
          <w:color w:val="000000"/>
          <w:sz w:val="32"/>
          <w:szCs w:val="32"/>
        </w:rPr>
        <w:t>年一般公共预算财政拨款基本支出</w:t>
      </w:r>
      <w:r>
        <w:rPr>
          <w:rFonts w:hint="eastAsia" w:ascii="仿宋_GB2312" w:eastAsia="仿宋_GB2312" w:cs="仿宋_GB2312"/>
          <w:color w:val="000000"/>
          <w:sz w:val="32"/>
          <w:szCs w:val="32"/>
          <w:lang w:val="en-US" w:eastAsia="zh-CN"/>
        </w:rPr>
        <w:t>762.22</w:t>
      </w:r>
      <w:r>
        <w:rPr>
          <w:rFonts w:hint="eastAsia" w:ascii="仿宋_GB2312" w:eastAsia="仿宋_GB2312" w:cs="仿宋_GB2312"/>
          <w:color w:val="000000"/>
          <w:sz w:val="32"/>
          <w:szCs w:val="32"/>
        </w:rPr>
        <w:t>万元，其中：</w:t>
      </w:r>
    </w:p>
    <w:p w14:paraId="3DD7F5CF">
      <w:pPr>
        <w:spacing w:line="600"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人员经费</w:t>
      </w:r>
      <w:r>
        <w:rPr>
          <w:rFonts w:hint="eastAsia" w:ascii="仿宋_GB2312" w:eastAsia="仿宋_GB2312" w:cs="仿宋_GB2312"/>
          <w:color w:val="000000"/>
          <w:sz w:val="32"/>
          <w:szCs w:val="32"/>
          <w:lang w:val="en-US" w:eastAsia="zh-CN"/>
        </w:rPr>
        <w:t>743.87</w:t>
      </w:r>
      <w:r>
        <w:rPr>
          <w:rFonts w:hint="eastAsia" w:ascii="仿宋_GB2312" w:eastAsia="仿宋_GB2312" w:cs="仿宋_GB2312"/>
          <w:color w:val="000000"/>
          <w:sz w:val="32"/>
          <w:szCs w:val="32"/>
        </w:rPr>
        <w:t>万元，主要包括：基本工资、津贴补贴</w:t>
      </w:r>
      <w:r>
        <w:rPr>
          <w:rFonts w:hint="eastAsia" w:ascii="仿宋_GB2312" w:eastAsia="仿宋_GB2312" w:cs="仿宋_GB2312"/>
          <w:color w:val="000000"/>
          <w:sz w:val="32"/>
          <w:szCs w:val="32"/>
          <w:lang w:val="en-US" w:eastAsia="zh-CN"/>
        </w:rPr>
        <w:t>.</w:t>
      </w:r>
      <w:r>
        <w:rPr>
          <w:rFonts w:hint="eastAsia" w:ascii="仿宋_GB2312" w:eastAsia="仿宋_GB2312" w:cs="仿宋_GB2312"/>
          <w:color w:val="000000"/>
          <w:sz w:val="32"/>
          <w:szCs w:val="32"/>
        </w:rPr>
        <w:t>、奖金、绩效工资、机关事业单位基本养老保险缴费、职业年金缴费、</w:t>
      </w:r>
      <w:r>
        <w:rPr>
          <w:rFonts w:hint="eastAsia" w:ascii="仿宋_GB2312" w:eastAsia="仿宋_GB2312" w:cs="仿宋_GB2312"/>
          <w:color w:val="000000"/>
          <w:sz w:val="32"/>
          <w:szCs w:val="32"/>
          <w:lang w:eastAsia="zh-CN"/>
        </w:rPr>
        <w:t>职工基本医疗保险缴费、</w:t>
      </w:r>
      <w:r>
        <w:rPr>
          <w:rFonts w:hint="eastAsia" w:ascii="仿宋_GB2312" w:eastAsia="仿宋_GB2312" w:cs="仿宋_GB2312"/>
          <w:color w:val="000000"/>
          <w:sz w:val="32"/>
          <w:szCs w:val="32"/>
        </w:rPr>
        <w:t>其他社会保障缴费、其他工资福利支出、退休费、抚恤金、生活补助、医疗费、奖励金、住房公积金等。</w:t>
      </w:r>
    </w:p>
    <w:p w14:paraId="263D795C">
      <w:pPr>
        <w:spacing w:line="600" w:lineRule="exact"/>
        <w:ind w:firstLine="645"/>
        <w:rPr>
          <w:rFonts w:ascii="仿宋" w:eastAsia="仿宋"/>
          <w:color w:val="000000"/>
          <w:sz w:val="32"/>
          <w:szCs w:val="32"/>
        </w:rPr>
      </w:pPr>
      <w:r>
        <w:rPr>
          <w:rFonts w:hint="eastAsia" w:ascii="仿宋_GB2312" w:eastAsia="仿宋_GB2312" w:cs="仿宋_GB2312"/>
          <w:color w:val="000000"/>
          <w:sz w:val="32"/>
          <w:szCs w:val="32"/>
        </w:rPr>
        <w:t>日常公用经费</w:t>
      </w:r>
      <w:r>
        <w:rPr>
          <w:rFonts w:hint="eastAsia" w:ascii="仿宋_GB2312" w:eastAsia="仿宋_GB2312" w:cs="仿宋_GB2312"/>
          <w:color w:val="000000"/>
          <w:sz w:val="32"/>
          <w:szCs w:val="32"/>
          <w:lang w:val="en-US" w:eastAsia="zh-CN"/>
        </w:rPr>
        <w:t>18.35</w:t>
      </w:r>
      <w:r>
        <w:rPr>
          <w:rFonts w:hint="eastAsia" w:ascii="仿宋_GB2312" w:eastAsia="仿宋_GB2312" w:cs="仿宋_GB2312"/>
          <w:color w:val="000000"/>
          <w:sz w:val="32"/>
          <w:szCs w:val="32"/>
        </w:rPr>
        <w:t>万元，主要包括：办公费、水费、差旅费、维修（护）费、培训费、其他</w:t>
      </w:r>
      <w:r>
        <w:rPr>
          <w:rFonts w:hint="eastAsia" w:ascii="仿宋_GB2312" w:eastAsia="仿宋_GB2312" w:cs="仿宋_GB2312"/>
          <w:color w:val="000000"/>
          <w:sz w:val="32"/>
          <w:szCs w:val="32"/>
          <w:lang w:eastAsia="zh-CN"/>
        </w:rPr>
        <w:t>商品支出</w:t>
      </w:r>
      <w:r>
        <w:rPr>
          <w:rFonts w:hint="eastAsia" w:ascii="仿宋_GB2312" w:eastAsia="仿宋_GB2312" w:cs="仿宋_GB2312"/>
          <w:color w:val="000000"/>
          <w:sz w:val="32"/>
          <w:szCs w:val="32"/>
        </w:rPr>
        <w:t>等。</w:t>
      </w:r>
    </w:p>
    <w:p w14:paraId="4FA1E52F">
      <w:pPr>
        <w:numPr>
          <w:ilvl w:val="0"/>
          <w:numId w:val="0"/>
        </w:numPr>
        <w:spacing w:line="240" w:lineRule="auto"/>
        <w:ind w:leftChars="0" w:firstLine="321" w:firstLineChars="100"/>
        <w:outlineLvl w:val="1"/>
        <w:rPr>
          <w:rStyle w:val="28"/>
          <w:rFonts w:ascii="黑体" w:eastAsia="黑体" w:cs="黑体"/>
        </w:rPr>
      </w:pPr>
      <w:bookmarkStart w:id="72" w:name="_Toc79163869"/>
      <w:bookmarkStart w:id="73" w:name="_Toc79163619"/>
      <w:bookmarkStart w:id="74" w:name="_Toc15377215"/>
      <w:bookmarkStart w:id="75" w:name="_Toc15396609"/>
      <w:r>
        <w:rPr>
          <w:rStyle w:val="28"/>
          <w:rFonts w:hint="eastAsia" w:ascii="黑体" w:eastAsia="黑体" w:cs="黑体"/>
        </w:rPr>
        <w:t>七、“三公”经费财政拨款支出决算情况说明</w:t>
      </w:r>
      <w:bookmarkEnd w:id="72"/>
      <w:bookmarkEnd w:id="73"/>
      <w:bookmarkEnd w:id="74"/>
      <w:bookmarkEnd w:id="75"/>
      <w:bookmarkStart w:id="76" w:name="_Toc79163870"/>
      <w:bookmarkStart w:id="77" w:name="_Toc15377216"/>
      <w:bookmarkStart w:id="78" w:name="_Toc79163620"/>
    </w:p>
    <w:bookmarkEnd w:id="76"/>
    <w:bookmarkEnd w:id="77"/>
    <w:bookmarkEnd w:id="78"/>
    <w:p w14:paraId="17F228A7">
      <w:pPr>
        <w:spacing w:line="600" w:lineRule="exact"/>
        <w:ind w:firstLine="640"/>
        <w:outlineLvl w:val="2"/>
        <w:rPr>
          <w:rFonts w:ascii="仿宋" w:hAnsi="仿宋" w:eastAsia="仿宋"/>
          <w:b/>
          <w:color w:val="auto"/>
          <w:sz w:val="32"/>
          <w:szCs w:val="32"/>
          <w:highlight w:val="none"/>
        </w:rPr>
      </w:pPr>
      <w:bookmarkStart w:id="79" w:name="_Toc15377218"/>
      <w:bookmarkStart w:id="80" w:name="_Toc79163622"/>
      <w:bookmarkStart w:id="81" w:name="_Toc79163872"/>
      <w:bookmarkStart w:id="82" w:name="_Toc15396610"/>
      <w:r>
        <w:rPr>
          <w:rFonts w:hint="eastAsia" w:ascii="仿宋" w:hAnsi="仿宋" w:eastAsia="仿宋"/>
          <w:b/>
          <w:color w:val="auto"/>
          <w:sz w:val="32"/>
          <w:szCs w:val="32"/>
          <w:highlight w:val="none"/>
        </w:rPr>
        <w:t>（一）“三公”经费财政拨款支出决算总体情况说明</w:t>
      </w:r>
    </w:p>
    <w:p w14:paraId="1BE1F748">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w:t>
      </w:r>
    </w:p>
    <w:p w14:paraId="1774DB8B">
      <w:pPr>
        <w:spacing w:line="600" w:lineRule="exact"/>
        <w:ind w:firstLine="64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（二）“三公”经费财政拨款支出决算具体情况说明</w:t>
      </w:r>
    </w:p>
    <w:p w14:paraId="66361D3F">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“三公”经费财政拨款支出决算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w:t>
      </w:r>
    </w:p>
    <w:p w14:paraId="35A33F8D">
      <w:pPr>
        <w:pStyle w:val="9"/>
        <w:rPr>
          <w:rFonts w:hint="eastAsia" w:ascii="思源黑体 CN Normal" w:hAnsi="思源黑体 CN Normal" w:eastAsia="思源黑体 CN Normal" w:cs="思源黑体 CN Normal"/>
        </w:rPr>
      </w:pPr>
      <w:r>
        <w:rPr>
          <w:rFonts w:hint="eastAsia" w:ascii="思源黑体 CN Normal" w:hAnsi="思源黑体 CN Normal" w:eastAsia="思源黑体 CN Normal" w:cs="思源黑体 CN Normal"/>
        </w:rPr>
        <w:drawing>
          <wp:inline distT="0" distB="0" distL="0" distR="0">
            <wp:extent cx="4259580" cy="1130300"/>
            <wp:effectExtent l="4445" t="4445" r="22225" b="825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E9D76AF">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1.因公出国（境）经费支出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rPr>
        <w:t xml:space="preserve"> </w:t>
      </w:r>
    </w:p>
    <w:p w14:paraId="2ED6A1A6">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2.公务用车购置及运行维护费支出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 xml:space="preserve">万元。  </w:t>
      </w:r>
    </w:p>
    <w:p w14:paraId="662C5F0F">
      <w:pPr>
        <w:spacing w:line="600" w:lineRule="exact"/>
        <w:ind w:firstLine="64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b/>
          <w:bCs/>
          <w:color w:val="000000"/>
          <w:sz w:val="32"/>
          <w:szCs w:val="32"/>
        </w:rPr>
        <w:t>3.公务接待费支出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p>
    <w:p w14:paraId="088EBB65">
      <w:pPr>
        <w:spacing w:line="600" w:lineRule="exact"/>
        <w:ind w:firstLine="321" w:firstLineChars="100"/>
        <w:rPr>
          <w:rStyle w:val="28"/>
          <w:rFonts w:ascii="黑体" w:eastAsia="黑体" w:cs="黑体"/>
          <w:b w:val="0"/>
        </w:rPr>
      </w:pPr>
      <w:r>
        <w:rPr>
          <w:rFonts w:hint="eastAsia" w:ascii="黑体" w:eastAsia="黑体" w:cs="黑体"/>
          <w:b/>
          <w:color w:val="000000"/>
          <w:sz w:val="32"/>
          <w:szCs w:val="32"/>
        </w:rPr>
        <w:t>八、</w:t>
      </w:r>
      <w:r>
        <w:rPr>
          <w:rStyle w:val="28"/>
          <w:rFonts w:hint="eastAsia" w:ascii="黑体" w:eastAsia="黑体" w:cs="黑体"/>
        </w:rPr>
        <w:t>政府性基金预算支出决算情况说明</w:t>
      </w:r>
      <w:bookmarkEnd w:id="79"/>
      <w:bookmarkEnd w:id="80"/>
      <w:bookmarkEnd w:id="81"/>
      <w:bookmarkEnd w:id="82"/>
    </w:p>
    <w:p w14:paraId="612591E4">
      <w:pPr>
        <w:spacing w:line="600" w:lineRule="exact"/>
        <w:ind w:firstLine="320" w:firstLineChars="100"/>
        <w:rPr>
          <w:rFonts w:ascii="仿宋_GB2312" w:eastAsia="仿宋_GB2312" w:cs="仿宋_GB2312"/>
          <w:sz w:val="32"/>
          <w:szCs w:val="32"/>
        </w:rPr>
      </w:pPr>
      <w:r>
        <w:rPr>
          <w:rFonts w:hint="eastAsia" w:ascii="仿宋_GB2312" w:eastAsia="仿宋_GB2312" w:cs="Times New Roman"/>
          <w:color w:val="000000"/>
          <w:sz w:val="32"/>
          <w:szCs w:val="32"/>
          <w:lang w:eastAsia="zh-CN"/>
        </w:rPr>
        <w:t>2025</w:t>
      </w:r>
      <w:r>
        <w:rPr>
          <w:rFonts w:ascii="仿宋_GB2312" w:hAnsi="Times New Roman" w:eastAsia="仿宋_GB2312" w:cs="Times New Roman"/>
          <w:color w:val="000000"/>
          <w:sz w:val="32"/>
          <w:szCs w:val="32"/>
        </w:rPr>
        <w:t>年政府性基金预算财政拨款支出</w:t>
      </w:r>
      <w:r>
        <w:rPr>
          <w:rFonts w:hint="eastAsia" w:ascii="仿宋" w:eastAsia="仿宋"/>
          <w:sz w:val="32"/>
          <w:szCs w:val="32"/>
          <w:lang w:val="en-US" w:eastAsia="zh-CN"/>
        </w:rPr>
        <w:t>0</w:t>
      </w:r>
      <w:r>
        <w:rPr>
          <w:rFonts w:ascii="仿宋_GB2312" w:hAnsi="Times New Roman" w:eastAsia="仿宋_GB2312" w:cs="Times New Roman"/>
          <w:color w:val="000000"/>
          <w:sz w:val="32"/>
          <w:szCs w:val="32"/>
        </w:rPr>
        <w:t>万元。</w:t>
      </w:r>
    </w:p>
    <w:p w14:paraId="185CAE28">
      <w:pPr>
        <w:numPr>
          <w:ilvl w:val="0"/>
          <w:numId w:val="0"/>
        </w:numPr>
        <w:spacing w:line="600" w:lineRule="exact"/>
        <w:ind w:firstLine="321" w:firstLineChars="100"/>
        <w:outlineLvl w:val="1"/>
        <w:rPr>
          <w:rStyle w:val="28"/>
          <w:rFonts w:ascii="黑体" w:eastAsia="黑体" w:cs="黑体"/>
        </w:rPr>
      </w:pPr>
      <w:bookmarkStart w:id="83" w:name="_Toc15377219"/>
      <w:bookmarkStart w:id="84" w:name="_Toc79163873"/>
      <w:bookmarkStart w:id="85" w:name="_Toc79163623"/>
      <w:bookmarkStart w:id="86" w:name="_Toc15396611"/>
      <w:r>
        <w:rPr>
          <w:rStyle w:val="28"/>
          <w:rFonts w:hint="eastAsia" w:ascii="黑体" w:eastAsia="黑体" w:cs="黑体"/>
        </w:rPr>
        <w:t>九、国有资本经营预算支出决算情况说明</w:t>
      </w:r>
      <w:bookmarkEnd w:id="83"/>
      <w:bookmarkEnd w:id="84"/>
      <w:bookmarkEnd w:id="85"/>
      <w:bookmarkEnd w:id="86"/>
    </w:p>
    <w:p w14:paraId="68C491DD">
      <w:pPr>
        <w:pStyle w:val="38"/>
        <w:pageBreakBefore w:val="0"/>
        <w:numPr>
          <w:ilvl w:val="0"/>
          <w:numId w:val="0"/>
        </w:numPr>
        <w:tabs>
          <w:tab w:val="right" w:leader="dot" w:pos="8306"/>
        </w:tabs>
        <w:kinsoku/>
        <w:wordWrap/>
        <w:overflowPunct/>
        <w:topLinePunct w:val="0"/>
        <w:bidi w:val="0"/>
        <w:spacing w:line="576" w:lineRule="exact"/>
        <w:ind w:firstLine="320" w:firstLineChars="100"/>
        <w:textAlignment w:val="auto"/>
        <w:rPr>
          <w:rFonts w:ascii="仿宋_GB2312" w:hAnsi="Times New Roman" w:eastAsia="仿宋_GB2312" w:cs="Times New Roman"/>
          <w:color w:val="000000"/>
          <w:kern w:val="2"/>
          <w:sz w:val="32"/>
          <w:szCs w:val="32"/>
          <w:lang w:val="en-US" w:eastAsia="zh-CN" w:bidi="ar-SA"/>
        </w:rPr>
      </w:pPr>
      <w:bookmarkStart w:id="87" w:name="_Toc15396612"/>
      <w:bookmarkStart w:id="88" w:name="_Toc79163624"/>
      <w:bookmarkStart w:id="89" w:name="_Toc79163874"/>
      <w:bookmarkStart w:id="90" w:name="_Toc15377221"/>
      <w:r>
        <w:rPr>
          <w:rFonts w:hint="eastAsia" w:ascii="仿宋_GB2312" w:eastAsia="仿宋_GB2312" w:cs="Times New Roman"/>
          <w:color w:val="000000"/>
          <w:kern w:val="2"/>
          <w:sz w:val="32"/>
          <w:szCs w:val="32"/>
          <w:lang w:val="en-US" w:eastAsia="zh-CN" w:bidi="ar-SA"/>
        </w:rPr>
        <w:t>2025</w:t>
      </w:r>
      <w:r>
        <w:rPr>
          <w:rFonts w:ascii="仿宋_GB2312" w:hAnsi="Times New Roman" w:eastAsia="仿宋_GB2312" w:cs="Times New Roman"/>
          <w:color w:val="000000"/>
          <w:kern w:val="2"/>
          <w:sz w:val="32"/>
          <w:szCs w:val="32"/>
          <w:lang w:val="en-US" w:eastAsia="zh-CN" w:bidi="ar-SA"/>
        </w:rPr>
        <w:t>年国有资本经营预算财政拨款支出</w:t>
      </w:r>
      <w:r>
        <w:rPr>
          <w:rFonts w:hint="eastAsia" w:ascii="仿宋" w:eastAsia="仿宋"/>
          <w:sz w:val="32"/>
          <w:szCs w:val="32"/>
          <w:lang w:val="en-US" w:eastAsia="zh-CN"/>
        </w:rPr>
        <w:t>0</w:t>
      </w:r>
      <w:r>
        <w:rPr>
          <w:rFonts w:ascii="仿宋_GB2312" w:hAnsi="Times New Roman" w:eastAsia="仿宋_GB2312" w:cs="Times New Roman"/>
          <w:color w:val="000000"/>
          <w:kern w:val="2"/>
          <w:sz w:val="32"/>
          <w:szCs w:val="32"/>
          <w:lang w:val="en-US" w:eastAsia="zh-CN" w:bidi="ar-SA"/>
        </w:rPr>
        <w:t>万元。</w:t>
      </w:r>
    </w:p>
    <w:p w14:paraId="1F828C2F">
      <w:pPr>
        <w:pStyle w:val="38"/>
        <w:pageBreakBefore w:val="0"/>
        <w:numPr>
          <w:ilvl w:val="0"/>
          <w:numId w:val="0"/>
        </w:numPr>
        <w:tabs>
          <w:tab w:val="right" w:leader="dot" w:pos="8306"/>
        </w:tabs>
        <w:kinsoku/>
        <w:wordWrap/>
        <w:overflowPunct/>
        <w:topLinePunct w:val="0"/>
        <w:bidi w:val="0"/>
        <w:spacing w:line="576" w:lineRule="exact"/>
        <w:ind w:firstLine="321" w:firstLineChars="100"/>
        <w:textAlignment w:val="auto"/>
        <w:rPr>
          <w:rStyle w:val="28"/>
          <w:rFonts w:hint="eastAsia" w:ascii="黑体" w:eastAsia="黑体" w:cs="黑体"/>
        </w:rPr>
      </w:pPr>
      <w:r>
        <w:rPr>
          <w:rStyle w:val="28"/>
          <w:rFonts w:hint="eastAsia" w:ascii="黑体" w:eastAsia="黑体" w:cs="黑体"/>
        </w:rPr>
        <w:t>十、其他重要事项的情况说明</w:t>
      </w:r>
      <w:bookmarkEnd w:id="87"/>
      <w:bookmarkEnd w:id="88"/>
      <w:bookmarkEnd w:id="89"/>
      <w:bookmarkEnd w:id="90"/>
    </w:p>
    <w:p w14:paraId="739D0BE6">
      <w:pPr>
        <w:spacing w:line="600" w:lineRule="exact"/>
        <w:ind w:firstLine="643" w:firstLineChars="200"/>
        <w:outlineLvl w:val="2"/>
        <w:rPr>
          <w:rFonts w:ascii="仿宋" w:hAnsi="仿宋" w:eastAsia="仿宋"/>
          <w:color w:val="auto"/>
          <w:sz w:val="32"/>
          <w:szCs w:val="32"/>
          <w:highlight w:val="none"/>
        </w:rPr>
      </w:pPr>
      <w:bookmarkStart w:id="91" w:name="_Toc79163878"/>
      <w:bookmarkStart w:id="92" w:name="_Toc79163628"/>
      <w:r>
        <w:rPr>
          <w:rFonts w:hint="eastAsia" w:ascii="仿宋" w:hAnsi="仿宋" w:eastAsia="仿宋"/>
          <w:b/>
          <w:color w:val="auto"/>
          <w:sz w:val="32"/>
          <w:szCs w:val="32"/>
          <w:highlight w:val="none"/>
        </w:rPr>
        <w:t>（一）机关运行经费支出情况</w:t>
      </w:r>
    </w:p>
    <w:p w14:paraId="4E1E4ACA">
      <w:pPr>
        <w:spacing w:line="60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进修校</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65954E12">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（二）政府采购支出情况</w:t>
      </w:r>
    </w:p>
    <w:p w14:paraId="25AAEE2E">
      <w:pPr>
        <w:spacing w:line="60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进修校</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13E410F1">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（三）国有资产占有使用情况</w:t>
      </w:r>
    </w:p>
    <w:p w14:paraId="23E632F8">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eastAsia="zh-CN"/>
        </w:rPr>
        <w:t>进修校</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p>
    <w:p w14:paraId="13F2C039">
      <w:pPr>
        <w:autoSpaceDE w:val="0"/>
        <w:autoSpaceDN w:val="0"/>
        <w:adjustRightInd w:val="0"/>
        <w:spacing w:line="600" w:lineRule="exact"/>
        <w:ind w:firstLine="643" w:firstLineChars="200"/>
        <w:jc w:val="left"/>
        <w:outlineLvl w:val="2"/>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rPr>
        <w:t>（四）预算绩效管理情况</w:t>
      </w:r>
    </w:p>
    <w:p w14:paraId="326DDA43">
      <w:pPr>
        <w:autoSpaceDE w:val="0"/>
        <w:autoSpaceDN w:val="0"/>
        <w:adjustRightInd w:val="0"/>
        <w:spacing w:line="600" w:lineRule="exact"/>
        <w:ind w:firstLine="640" w:firstLineChars="200"/>
        <w:jc w:val="left"/>
        <w:outlineLvl w:val="2"/>
        <w:rPr>
          <w:rFonts w:ascii="仿宋_GB2312" w:eastAsia="仿宋_GB2312" w:cs="仿宋_GB2312"/>
          <w:sz w:val="32"/>
          <w:szCs w:val="32"/>
        </w:rPr>
      </w:pPr>
      <w:bookmarkStart w:id="117" w:name="_GoBack"/>
      <w:bookmarkEnd w:id="117"/>
      <w:r>
        <w:rPr>
          <w:rFonts w:hint="eastAsia" w:ascii="楷体_GB2312" w:eastAsia="楷体_GB2312" w:cs="楷体_GB2312"/>
          <w:color w:val="000000"/>
          <w:sz w:val="32"/>
          <w:szCs w:val="32"/>
        </w:rPr>
        <w:t>预算绩效管理情况</w:t>
      </w:r>
      <w:bookmarkEnd w:id="91"/>
      <w:bookmarkEnd w:id="92"/>
      <w:r>
        <w:rPr>
          <w:rFonts w:hint="eastAsia" w:ascii="楷体_GB2312" w:eastAsia="楷体_GB2312" w:cs="楷体_GB2312"/>
          <w:color w:val="000000"/>
          <w:sz w:val="32"/>
          <w:szCs w:val="32"/>
        </w:rPr>
        <w:t>：</w:t>
      </w:r>
      <w:r>
        <w:rPr>
          <w:rFonts w:hint="eastAsia" w:ascii="仿宋_GB2312" w:eastAsia="仿宋_GB2312" w:cs="仿宋_GB2312"/>
          <w:sz w:val="32"/>
          <w:szCs w:val="32"/>
        </w:rPr>
        <w:t>本部门按要求对</w:t>
      </w:r>
      <w:r>
        <w:rPr>
          <w:rFonts w:hint="eastAsia" w:ascii="仿宋_GB2312" w:eastAsia="仿宋_GB2312" w:cs="仿宋_GB2312"/>
          <w:sz w:val="32"/>
          <w:szCs w:val="32"/>
          <w:lang w:eastAsia="zh-CN"/>
        </w:rPr>
        <w:t>2025</w:t>
      </w:r>
      <w:r>
        <w:rPr>
          <w:rFonts w:hint="eastAsia" w:ascii="仿宋_GB2312" w:eastAsia="仿宋_GB2312" w:cs="仿宋_GB2312"/>
          <w:sz w:val="32"/>
          <w:szCs w:val="32"/>
        </w:rPr>
        <w:t>年部门整体支出开展绩效自评，从评价情况来看，本部门整体支出绩效评价自查自评结果良好，全年基本支出保证了全县各学校正常运转和日常工作的正常有序开展，项目支出改善了各学校的办学条件，绩效目标得到了较好的实现，绩效管理水平不断提高，绩效指标体系不断丰富和完善。</w:t>
      </w:r>
    </w:p>
    <w:p w14:paraId="50B7381D">
      <w:pPr>
        <w:spacing w:line="330" w:lineRule="atLeast"/>
        <w:rPr>
          <w:rFonts w:ascii="仿宋_GB2312" w:eastAsia="仿宋_GB2312" w:cs="仿宋_GB2312"/>
          <w:sz w:val="24"/>
        </w:rPr>
      </w:pPr>
    </w:p>
    <w:p w14:paraId="652C1363">
      <w:pPr>
        <w:numPr>
          <w:ilvl w:val="0"/>
          <w:numId w:val="0"/>
        </w:numPr>
        <w:spacing w:line="600" w:lineRule="exact"/>
        <w:ind w:firstLine="1760" w:firstLineChars="400"/>
        <w:jc w:val="both"/>
        <w:outlineLvl w:val="0"/>
        <w:rPr>
          <w:rFonts w:hint="eastAsia" w:ascii="黑体" w:eastAsia="黑体"/>
          <w:color w:val="000000"/>
          <w:sz w:val="44"/>
          <w:szCs w:val="44"/>
          <w:lang w:eastAsia="zh-CN"/>
        </w:rPr>
      </w:pPr>
      <w:bookmarkStart w:id="93" w:name="_Toc79163629"/>
      <w:bookmarkStart w:id="94" w:name="_Toc15377225"/>
      <w:bookmarkStart w:id="95" w:name="_Toc79163879"/>
      <w:bookmarkStart w:id="96" w:name="_Toc15396613"/>
    </w:p>
    <w:p w14:paraId="682410AD">
      <w:pPr>
        <w:numPr>
          <w:ilvl w:val="0"/>
          <w:numId w:val="0"/>
        </w:numPr>
        <w:spacing w:line="600" w:lineRule="exact"/>
        <w:ind w:firstLine="2640" w:firstLineChars="600"/>
        <w:jc w:val="both"/>
        <w:outlineLvl w:val="0"/>
        <w:rPr>
          <w:rFonts w:hint="eastAsia" w:ascii="黑体" w:eastAsia="黑体"/>
          <w:color w:val="000000"/>
          <w:sz w:val="44"/>
          <w:szCs w:val="44"/>
          <w:lang w:eastAsia="zh-CN"/>
        </w:rPr>
      </w:pPr>
    </w:p>
    <w:p w14:paraId="444A0C2D">
      <w:pPr>
        <w:numPr>
          <w:ilvl w:val="0"/>
          <w:numId w:val="0"/>
        </w:numPr>
        <w:spacing w:line="600" w:lineRule="exact"/>
        <w:ind w:firstLine="2640" w:firstLineChars="600"/>
        <w:jc w:val="both"/>
        <w:outlineLvl w:val="0"/>
        <w:rPr>
          <w:rFonts w:hint="eastAsia" w:ascii="黑体" w:eastAsia="黑体"/>
          <w:color w:val="000000"/>
          <w:sz w:val="44"/>
          <w:szCs w:val="44"/>
          <w:lang w:eastAsia="zh-CN"/>
        </w:rPr>
      </w:pPr>
    </w:p>
    <w:p w14:paraId="6754E591">
      <w:pPr>
        <w:numPr>
          <w:ilvl w:val="0"/>
          <w:numId w:val="0"/>
        </w:numPr>
        <w:spacing w:line="600" w:lineRule="exact"/>
        <w:ind w:firstLine="2640" w:firstLineChars="600"/>
        <w:jc w:val="both"/>
        <w:outlineLvl w:val="0"/>
        <w:rPr>
          <w:rFonts w:hint="eastAsia" w:ascii="黑体" w:eastAsia="黑体"/>
          <w:color w:val="000000"/>
          <w:sz w:val="44"/>
          <w:szCs w:val="44"/>
          <w:lang w:eastAsia="zh-CN"/>
        </w:rPr>
      </w:pPr>
    </w:p>
    <w:p w14:paraId="65C5468F">
      <w:pPr>
        <w:numPr>
          <w:ilvl w:val="0"/>
          <w:numId w:val="0"/>
        </w:numPr>
        <w:spacing w:line="600" w:lineRule="exact"/>
        <w:ind w:firstLine="2640" w:firstLineChars="600"/>
        <w:jc w:val="both"/>
        <w:outlineLvl w:val="0"/>
        <w:rPr>
          <w:rFonts w:hint="eastAsia" w:ascii="黑体" w:eastAsia="黑体"/>
          <w:color w:val="000000"/>
          <w:sz w:val="44"/>
          <w:szCs w:val="44"/>
          <w:lang w:eastAsia="zh-CN"/>
        </w:rPr>
      </w:pPr>
    </w:p>
    <w:p w14:paraId="69D8AAB3">
      <w:pPr>
        <w:numPr>
          <w:ilvl w:val="0"/>
          <w:numId w:val="0"/>
        </w:numPr>
        <w:spacing w:line="600" w:lineRule="exact"/>
        <w:ind w:firstLine="2640" w:firstLineChars="600"/>
        <w:jc w:val="both"/>
        <w:outlineLvl w:val="0"/>
        <w:rPr>
          <w:rFonts w:hint="eastAsia" w:ascii="黑体" w:eastAsia="黑体"/>
          <w:color w:val="000000"/>
          <w:sz w:val="44"/>
          <w:szCs w:val="44"/>
          <w:lang w:eastAsia="zh-CN"/>
        </w:rPr>
      </w:pPr>
    </w:p>
    <w:p w14:paraId="25F67D8F">
      <w:pPr>
        <w:numPr>
          <w:ilvl w:val="0"/>
          <w:numId w:val="0"/>
        </w:numPr>
        <w:spacing w:line="600" w:lineRule="exact"/>
        <w:ind w:firstLine="2640" w:firstLineChars="600"/>
        <w:jc w:val="both"/>
        <w:outlineLvl w:val="0"/>
        <w:rPr>
          <w:rFonts w:hint="eastAsia" w:ascii="黑体" w:eastAsia="黑体"/>
          <w:color w:val="000000"/>
          <w:sz w:val="44"/>
          <w:szCs w:val="44"/>
          <w:lang w:eastAsia="zh-CN"/>
        </w:rPr>
      </w:pPr>
    </w:p>
    <w:p w14:paraId="39BED453">
      <w:pPr>
        <w:numPr>
          <w:ilvl w:val="0"/>
          <w:numId w:val="0"/>
        </w:numPr>
        <w:spacing w:line="600" w:lineRule="exact"/>
        <w:ind w:firstLine="2640" w:firstLineChars="600"/>
        <w:jc w:val="both"/>
        <w:outlineLvl w:val="0"/>
        <w:rPr>
          <w:rFonts w:hint="eastAsia" w:ascii="黑体" w:eastAsia="黑体"/>
          <w:color w:val="000000"/>
          <w:sz w:val="44"/>
          <w:szCs w:val="44"/>
          <w:lang w:eastAsia="zh-CN"/>
        </w:rPr>
      </w:pPr>
    </w:p>
    <w:p w14:paraId="3158CD18">
      <w:pPr>
        <w:numPr>
          <w:ilvl w:val="0"/>
          <w:numId w:val="0"/>
        </w:numPr>
        <w:spacing w:line="600" w:lineRule="exact"/>
        <w:ind w:firstLine="2640" w:firstLineChars="600"/>
        <w:jc w:val="both"/>
        <w:outlineLvl w:val="0"/>
        <w:rPr>
          <w:rFonts w:hint="eastAsia" w:ascii="黑体" w:eastAsia="黑体"/>
          <w:color w:val="000000"/>
          <w:sz w:val="44"/>
          <w:szCs w:val="44"/>
          <w:lang w:eastAsia="zh-CN"/>
        </w:rPr>
      </w:pPr>
    </w:p>
    <w:p w14:paraId="29845186">
      <w:pPr>
        <w:numPr>
          <w:ilvl w:val="0"/>
          <w:numId w:val="0"/>
        </w:numPr>
        <w:spacing w:line="600" w:lineRule="exact"/>
        <w:ind w:firstLine="2640" w:firstLineChars="600"/>
        <w:jc w:val="both"/>
        <w:outlineLvl w:val="0"/>
        <w:rPr>
          <w:rFonts w:hint="eastAsia" w:ascii="黑体" w:eastAsia="黑体"/>
          <w:color w:val="000000"/>
          <w:sz w:val="44"/>
          <w:szCs w:val="44"/>
          <w:lang w:eastAsia="zh-CN"/>
        </w:rPr>
      </w:pPr>
    </w:p>
    <w:p w14:paraId="730B370F">
      <w:pPr>
        <w:numPr>
          <w:ilvl w:val="0"/>
          <w:numId w:val="0"/>
        </w:numPr>
        <w:spacing w:line="600" w:lineRule="exact"/>
        <w:ind w:firstLine="2640" w:firstLineChars="600"/>
        <w:jc w:val="both"/>
        <w:outlineLvl w:val="0"/>
        <w:rPr>
          <w:rFonts w:hint="eastAsia" w:ascii="黑体" w:eastAsia="黑体"/>
          <w:color w:val="000000"/>
          <w:sz w:val="44"/>
          <w:szCs w:val="44"/>
          <w:lang w:eastAsia="zh-CN"/>
        </w:rPr>
      </w:pPr>
    </w:p>
    <w:p w14:paraId="0A4F7F83">
      <w:pPr>
        <w:numPr>
          <w:ilvl w:val="0"/>
          <w:numId w:val="0"/>
        </w:numPr>
        <w:spacing w:line="600" w:lineRule="exact"/>
        <w:ind w:firstLine="2640" w:firstLineChars="600"/>
        <w:jc w:val="both"/>
        <w:outlineLvl w:val="0"/>
        <w:rPr>
          <w:rFonts w:hint="eastAsia" w:ascii="黑体" w:eastAsia="黑体"/>
          <w:color w:val="000000"/>
          <w:sz w:val="44"/>
          <w:szCs w:val="44"/>
          <w:lang w:eastAsia="zh-CN"/>
        </w:rPr>
      </w:pPr>
    </w:p>
    <w:p w14:paraId="55D2E06C">
      <w:pPr>
        <w:numPr>
          <w:ilvl w:val="0"/>
          <w:numId w:val="0"/>
        </w:numPr>
        <w:spacing w:line="600" w:lineRule="exact"/>
        <w:ind w:firstLine="2640" w:firstLineChars="600"/>
        <w:jc w:val="both"/>
        <w:outlineLvl w:val="0"/>
        <w:rPr>
          <w:rFonts w:hint="eastAsia" w:ascii="黑体" w:eastAsia="黑体"/>
          <w:color w:val="000000"/>
          <w:sz w:val="44"/>
          <w:szCs w:val="44"/>
          <w:lang w:eastAsia="zh-CN"/>
        </w:rPr>
      </w:pPr>
    </w:p>
    <w:p w14:paraId="59EF1339">
      <w:pPr>
        <w:numPr>
          <w:ilvl w:val="0"/>
          <w:numId w:val="0"/>
        </w:numPr>
        <w:spacing w:line="600" w:lineRule="exact"/>
        <w:ind w:firstLine="2640" w:firstLineChars="600"/>
        <w:jc w:val="both"/>
        <w:outlineLvl w:val="0"/>
        <w:rPr>
          <w:rFonts w:hint="eastAsia" w:ascii="黑体" w:eastAsia="黑体"/>
          <w:color w:val="000000"/>
          <w:sz w:val="44"/>
          <w:szCs w:val="44"/>
          <w:lang w:eastAsia="zh-CN"/>
        </w:rPr>
      </w:pPr>
    </w:p>
    <w:p w14:paraId="1D498134">
      <w:pPr>
        <w:numPr>
          <w:ilvl w:val="0"/>
          <w:numId w:val="0"/>
        </w:numPr>
        <w:spacing w:line="600" w:lineRule="exact"/>
        <w:ind w:firstLine="2640" w:firstLineChars="600"/>
        <w:jc w:val="both"/>
        <w:outlineLvl w:val="0"/>
        <w:rPr>
          <w:rFonts w:ascii="黑体" w:eastAsia="黑体"/>
          <w:bCs/>
          <w:kern w:val="44"/>
          <w:sz w:val="44"/>
          <w:szCs w:val="44"/>
        </w:rPr>
      </w:pPr>
      <w:r>
        <w:rPr>
          <w:rFonts w:hint="eastAsia" w:ascii="黑体" w:eastAsia="黑体"/>
          <w:color w:val="000000"/>
          <w:sz w:val="44"/>
          <w:szCs w:val="44"/>
          <w:lang w:eastAsia="zh-CN"/>
        </w:rPr>
        <w:t>第三部分</w:t>
      </w:r>
      <w:r>
        <w:rPr>
          <w:rFonts w:hint="eastAsia" w:ascii="黑体" w:eastAsia="黑体"/>
          <w:color w:val="000000"/>
          <w:sz w:val="44"/>
          <w:szCs w:val="44"/>
        </w:rPr>
        <w:t>名</w:t>
      </w:r>
      <w:r>
        <w:rPr>
          <w:rStyle w:val="27"/>
          <w:rFonts w:hint="eastAsia" w:ascii="黑体" w:eastAsia="黑体"/>
          <w:b w:val="0"/>
        </w:rPr>
        <w:t>词解释</w:t>
      </w:r>
      <w:bookmarkEnd w:id="93"/>
      <w:bookmarkEnd w:id="94"/>
      <w:bookmarkEnd w:id="95"/>
      <w:bookmarkEnd w:id="96"/>
    </w:p>
    <w:p w14:paraId="07BE43FD">
      <w:pPr>
        <w:pStyle w:val="32"/>
        <w:spacing w:line="560" w:lineRule="exact"/>
        <w:ind w:firstLine="640" w:firstLineChars="200"/>
        <w:rPr>
          <w:rFonts w:hint="eastAsia" w:ascii="仿宋_GB2312" w:eastAsia="仿宋_GB2312" w:cs="仿宋_GB2312"/>
          <w:sz w:val="32"/>
          <w:szCs w:val="32"/>
        </w:rPr>
      </w:pPr>
    </w:p>
    <w:p w14:paraId="23337595">
      <w:pPr>
        <w:pStyle w:val="32"/>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1.财政拨款收入：指单位从同级财政部门取得的财政预算资金。</w:t>
      </w:r>
    </w:p>
    <w:p w14:paraId="76AECA14">
      <w:pPr>
        <w:pStyle w:val="32"/>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2.事业收入：指事业单位开展专业业务活动及辅助活动取得的收入。</w:t>
      </w:r>
    </w:p>
    <w:p w14:paraId="4754E70D">
      <w:pPr>
        <w:pStyle w:val="32"/>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3.经营收入：指事业单位在专业业务活动及其辅助活动之外开展非独立核算经营活动取得的收入。</w:t>
      </w:r>
    </w:p>
    <w:p w14:paraId="75488966">
      <w:pPr>
        <w:pStyle w:val="32"/>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4.其他收入：指单位取得的除上述收入以外的各项收入。      5.使用非财政拨款结余：指事业单位使用以前年度积累的非财政拨款结余弥补当年收支差额的金额。</w:t>
      </w:r>
    </w:p>
    <w:p w14:paraId="159E6635">
      <w:pPr>
        <w:pStyle w:val="32"/>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6.年初结转和结余：指以前年度尚未完成、结转到本年按有关规定继续使用的资金。</w:t>
      </w:r>
    </w:p>
    <w:p w14:paraId="180A3365">
      <w:pPr>
        <w:pStyle w:val="32"/>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7.结余分配：指事业单位按照会计制度规定缴纳的所得税、提取的专用结余以及转入非财政拨款结余的金额等。</w:t>
      </w:r>
    </w:p>
    <w:p w14:paraId="7044E8B3">
      <w:pPr>
        <w:pStyle w:val="32"/>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8</w:t>
      </w:r>
      <w:r>
        <w:rPr>
          <w:rFonts w:hint="eastAsia" w:ascii="仿宋_GB2312" w:eastAsia="仿宋_GB2312" w:cs="仿宋_GB2312"/>
          <w:sz w:val="32"/>
          <w:szCs w:val="32"/>
          <w:lang w:val="en-US" w:eastAsia="zh-CN"/>
        </w:rPr>
        <w:t>.</w:t>
      </w:r>
      <w:r>
        <w:rPr>
          <w:rFonts w:hint="eastAsia" w:ascii="仿宋_GB2312" w:eastAsia="仿宋_GB2312" w:cs="仿宋_GB2312"/>
          <w:sz w:val="32"/>
          <w:szCs w:val="32"/>
        </w:rPr>
        <w:t>年末结转和结余：指单位按有关规定结转到下年或以后年度继续使用的资金。</w:t>
      </w:r>
    </w:p>
    <w:p w14:paraId="7FC7E2F3">
      <w:pPr>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9.</w:t>
      </w:r>
      <w:r>
        <w:rPr>
          <w:rFonts w:hint="eastAsia" w:ascii="仿宋_GB2312" w:eastAsia="仿宋_GB2312" w:cs="仿宋_GB2312"/>
          <w:sz w:val="32"/>
          <w:szCs w:val="32"/>
        </w:rPr>
        <w:t>教育（</w:t>
      </w:r>
      <w:r>
        <w:rPr>
          <w:rFonts w:hint="eastAsia" w:ascii="仿宋_GB2312" w:eastAsia="仿宋_GB2312" w:cs="仿宋_GB2312"/>
          <w:color w:val="000000"/>
          <w:sz w:val="32"/>
          <w:szCs w:val="32"/>
        </w:rPr>
        <w:t>类</w:t>
      </w:r>
      <w:r>
        <w:rPr>
          <w:rFonts w:hint="eastAsia" w:ascii="仿宋_GB2312" w:eastAsia="仿宋_GB2312" w:cs="仿宋_GB2312"/>
          <w:sz w:val="32"/>
          <w:szCs w:val="32"/>
        </w:rPr>
        <w:t>）教育管理事务（款）行政运行（项）</w:t>
      </w:r>
      <w:r>
        <w:rPr>
          <w:rFonts w:hint="eastAsia" w:ascii="仿宋_GB2312" w:eastAsia="仿宋_GB2312" w:cs="仿宋_GB2312"/>
          <w:color w:val="000000"/>
          <w:sz w:val="32"/>
          <w:szCs w:val="32"/>
        </w:rPr>
        <w:t>：指反映行政单位（包括实行公务员管理的事业单位）的基本支出。</w:t>
      </w:r>
    </w:p>
    <w:p w14:paraId="57A3B4C0">
      <w:pPr>
        <w:ind w:firstLine="640" w:firstLineChars="200"/>
        <w:rPr>
          <w:rFonts w:ascii="仿宋_GB2312" w:eastAsia="仿宋_GB2312" w:cs="仿宋_GB2312"/>
          <w:sz w:val="32"/>
          <w:szCs w:val="32"/>
        </w:rPr>
      </w:pPr>
      <w:r>
        <w:rPr>
          <w:rFonts w:hint="eastAsia" w:ascii="仿宋_GB2312" w:eastAsia="仿宋_GB2312" w:cs="仿宋_GB2312"/>
          <w:sz w:val="32"/>
          <w:szCs w:val="32"/>
        </w:rPr>
        <w:t>10.教育（类）普通教育（款）学前教育（项）：反映各部门举办的学前教育支出。政府各部门对社会组织等举办的幼儿园的资助，如捐赠，补贴等，也在本科目反映。</w:t>
      </w:r>
    </w:p>
    <w:p w14:paraId="30E1B010">
      <w:pPr>
        <w:pStyle w:val="32"/>
        <w:spacing w:line="576"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11.教育（类）普通教育（款）小学教育（项）: 反映各部门举办的小学教育支出。政府各部门对社会组织等举办的幼儿园的资助，如捐赠，补贴等，也在本科目反映。</w:t>
      </w:r>
    </w:p>
    <w:p w14:paraId="724CDA24">
      <w:pPr>
        <w:pStyle w:val="32"/>
        <w:spacing w:line="576"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12.教育（类）普通教育（款）初中教育（项）: 反映各部门举办的初中教育支出。政府各部门对社会组织等举办的幼儿园的资助，如捐赠，补贴等，也在本科目反映。</w:t>
      </w:r>
    </w:p>
    <w:p w14:paraId="7A7D925A">
      <w:pPr>
        <w:pStyle w:val="32"/>
        <w:spacing w:line="576"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13.教育（类）普通教育（款）高中教育（项）: 反映各部门举办的高中教育支出。政府各部门对社会组织等举办的幼儿园的资助，如捐赠，补贴等，也在本科目反映。</w:t>
      </w:r>
    </w:p>
    <w:p w14:paraId="64477085">
      <w:pPr>
        <w:pStyle w:val="32"/>
        <w:spacing w:line="576"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14.教育（类）普通教育（款）其他普通教育支出（项）:反映除上述项目以外其他用于普通教育方面的支出。</w:t>
      </w:r>
    </w:p>
    <w:p w14:paraId="1631947A">
      <w:pPr>
        <w:pStyle w:val="32"/>
        <w:spacing w:line="576"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15.教育（类）职业教育（款）中等职业教育（项）: 反映各部门（不含人力资源社会保障部门）举办的中等职业教育支出。政府各部门对社会组织等举办的幼儿园的资助，如捐赠，补贴等，也在本科目反映。</w:t>
      </w:r>
    </w:p>
    <w:p w14:paraId="202680D4">
      <w:pPr>
        <w:pStyle w:val="32"/>
        <w:spacing w:line="576"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18.教育（类）进修及培训（款）教师进修（项）:反映教师进修、师资培训支出。</w:t>
      </w:r>
    </w:p>
    <w:p w14:paraId="66593255">
      <w:pPr>
        <w:pStyle w:val="32"/>
        <w:spacing w:line="576"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19.社会保障和就业（类）行政单位离退休（款）机关事业单位基本养老保险缴费支出（项）:反映机关事业单位实施养老保险制度由单位缴纳的基本养老保险费支出。</w:t>
      </w:r>
    </w:p>
    <w:p w14:paraId="5B3C4D57">
      <w:pPr>
        <w:pStyle w:val="32"/>
        <w:spacing w:line="576"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20.社会保障和就业（类）行政单位离退休（款）机关事业单位职业年金缴费支出（项）: 反映机关事业单位实施养老保险制度由单位缴纳的职业年金费支出。</w:t>
      </w:r>
    </w:p>
    <w:p w14:paraId="3790FBCD">
      <w:pPr>
        <w:pStyle w:val="32"/>
        <w:spacing w:line="576"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21.医疗卫生与计划生育（类）行政事业单位医疗（款）事业单位医疗（项）: 反映财政部门安排的事业单位基本医疗保险缴费经费，未参加医疗保险的行政单位的公费医疗经费，按国家规定享受离休人员待遇人员的医疗经费。</w:t>
      </w:r>
    </w:p>
    <w:p w14:paraId="3695CB68">
      <w:pPr>
        <w:pStyle w:val="32"/>
        <w:spacing w:line="576" w:lineRule="exact"/>
        <w:ind w:firstLine="640" w:firstLineChars="200"/>
        <w:rPr>
          <w:rStyle w:val="25"/>
          <w:rFonts w:ascii="仿宋_GB2312" w:eastAsia="仿宋_GB2312" w:cs="仿宋_GB2312"/>
          <w:bCs/>
          <w:sz w:val="32"/>
          <w:szCs w:val="32"/>
        </w:rPr>
      </w:pPr>
      <w:r>
        <w:rPr>
          <w:rStyle w:val="25"/>
          <w:rFonts w:hint="eastAsia" w:ascii="仿宋_GB2312" w:eastAsia="仿宋_GB2312" w:cs="仿宋_GB2312"/>
          <w:b w:val="0"/>
          <w:bCs/>
          <w:sz w:val="32"/>
          <w:szCs w:val="32"/>
        </w:rPr>
        <w:t>22</w:t>
      </w:r>
      <w:r>
        <w:rPr>
          <w:rStyle w:val="25"/>
          <w:rFonts w:hint="eastAsia" w:ascii="仿宋_GB2312" w:eastAsia="仿宋_GB2312" w:cs="仿宋_GB2312"/>
          <w:bCs/>
          <w:sz w:val="32"/>
          <w:szCs w:val="32"/>
        </w:rPr>
        <w:t>.</w:t>
      </w:r>
      <w:r>
        <w:rPr>
          <w:rFonts w:hint="eastAsia" w:ascii="仿宋_GB2312" w:eastAsia="仿宋_GB2312" w:cs="仿宋_GB2312"/>
          <w:sz w:val="32"/>
          <w:szCs w:val="32"/>
        </w:rPr>
        <w:t xml:space="preserve"> 卫生健康支出（类）公共卫生（款）重大公共服务（项）:反映重大疾病、重大传染病预防控制重大公共卫生服务项目支出。</w:t>
      </w:r>
    </w:p>
    <w:p w14:paraId="0C5B1680">
      <w:pPr>
        <w:pStyle w:val="32"/>
        <w:spacing w:line="576"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 xml:space="preserve">23. 农林水支出（类）扶贫（款）其他扶贫支出（项）:反映除上述项目以外其他用于扶贫方面的支出。 </w:t>
      </w:r>
    </w:p>
    <w:p w14:paraId="03FAD3C1">
      <w:pPr>
        <w:pStyle w:val="32"/>
        <w:spacing w:line="576"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24.住房保障支出（类）住房改革支出（款）住房公积金（项）:反映行政事业单位按人力资源和社会保障部、财政部规定的基本工资和津贴补贴以及规定比例为职工缴纳的住房公积金。</w:t>
      </w:r>
    </w:p>
    <w:p w14:paraId="7AF6D3FE">
      <w:pPr>
        <w:pStyle w:val="32"/>
        <w:spacing w:line="576"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25.住房保障支出（类）住房改革支出（款）购房补贴（项）: 反映按房改政策规定，行政事业单位向符合条件职工（含离退休人员）、军队（含武警）向转役复原离退休人员发放孙伟用于购买住房的补贴。</w:t>
      </w:r>
    </w:p>
    <w:p w14:paraId="5EBE5DC4">
      <w:pPr>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26.基本支出：指为保障机构正常运转、完成日常工作任务而发生的人员支出和公用支出。</w:t>
      </w:r>
    </w:p>
    <w:p w14:paraId="07A0C23A">
      <w:pPr>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27.项目支出：指在基本支出之外为完成特定行政任务和事业发展目标所发生的支出。</w:t>
      </w:r>
    </w:p>
    <w:p w14:paraId="256ADAC8">
      <w:pPr>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28.经营支出：指事业单位在专业业务活动及其辅助活动之外开展非独立核算经营活动发生的支出。</w:t>
      </w:r>
    </w:p>
    <w:p w14:paraId="08D5F2F6">
      <w:pPr>
        <w:pStyle w:val="32"/>
        <w:spacing w:line="56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29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97D8811">
      <w:pPr>
        <w:pStyle w:val="32"/>
        <w:spacing w:line="560" w:lineRule="exact"/>
        <w:ind w:firstLine="640" w:firstLineChars="200"/>
        <w:rPr>
          <w:rFonts w:ascii="黑体" w:eastAsia="黑体"/>
          <w:sz w:val="32"/>
          <w:szCs w:val="32"/>
        </w:rPr>
      </w:pPr>
      <w:r>
        <w:rPr>
          <w:rFonts w:hint="eastAsia" w:ascii="仿宋_GB2312" w:eastAsia="仿宋_GB2312" w:cs="仿宋_GB2312"/>
          <w:sz w:val="32"/>
          <w:szCs w:val="32"/>
        </w:rPr>
        <w:t>30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97" w:name="_Toc15396614"/>
      <w:bookmarkStart w:id="98" w:name="_Toc79163880"/>
      <w:bookmarkStart w:id="99" w:name="_Toc79163630"/>
      <w:bookmarkStart w:id="100" w:name="_Toc15377226"/>
    </w:p>
    <w:p w14:paraId="540C75EF">
      <w:pPr>
        <w:spacing w:line="600" w:lineRule="exact"/>
        <w:jc w:val="center"/>
        <w:outlineLvl w:val="0"/>
        <w:rPr>
          <w:rFonts w:ascii="黑体" w:eastAsia="黑体"/>
          <w:color w:val="000000"/>
          <w:sz w:val="44"/>
          <w:szCs w:val="44"/>
        </w:rPr>
      </w:pPr>
    </w:p>
    <w:bookmarkEnd w:id="97"/>
    <w:bookmarkEnd w:id="98"/>
    <w:bookmarkEnd w:id="99"/>
    <w:p w14:paraId="211B548C">
      <w:pPr>
        <w:spacing w:line="600" w:lineRule="exact"/>
        <w:jc w:val="left"/>
        <w:outlineLvl w:val="0"/>
        <w:rPr>
          <w:rFonts w:hint="eastAsia" w:ascii="黑体" w:eastAsia="黑体" w:cs="黑体"/>
          <w:sz w:val="32"/>
          <w:szCs w:val="32"/>
        </w:rPr>
      </w:pPr>
      <w:bookmarkStart w:id="101" w:name="_Toc79163631"/>
      <w:bookmarkStart w:id="102" w:name="_Toc79163881"/>
    </w:p>
    <w:p w14:paraId="5939BE8C">
      <w:pPr>
        <w:spacing w:line="600" w:lineRule="exact"/>
        <w:ind w:firstLine="440" w:firstLineChars="100"/>
        <w:jc w:val="both"/>
        <w:outlineLvl w:val="0"/>
        <w:rPr>
          <w:rFonts w:hint="eastAsia" w:ascii="黑体" w:eastAsia="黑体"/>
          <w:color w:val="000000"/>
          <w:sz w:val="44"/>
          <w:szCs w:val="44"/>
          <w:lang w:val="en-US" w:eastAsia="zh-CN"/>
        </w:rPr>
      </w:pPr>
      <w:r>
        <w:rPr>
          <w:rFonts w:hint="eastAsia" w:ascii="黑体" w:eastAsia="黑体"/>
          <w:color w:val="000000"/>
          <w:sz w:val="44"/>
          <w:szCs w:val="44"/>
          <w:lang w:val="en-US" w:eastAsia="zh-CN"/>
        </w:rPr>
        <w:t xml:space="preserve">          </w:t>
      </w:r>
    </w:p>
    <w:p w14:paraId="34AC9757">
      <w:pPr>
        <w:spacing w:line="600" w:lineRule="exact"/>
        <w:ind w:firstLine="440" w:firstLineChars="100"/>
        <w:jc w:val="both"/>
        <w:outlineLvl w:val="0"/>
        <w:rPr>
          <w:rFonts w:hint="eastAsia" w:ascii="黑体" w:eastAsia="黑体"/>
          <w:color w:val="000000"/>
          <w:sz w:val="44"/>
          <w:szCs w:val="44"/>
          <w:lang w:val="en-US" w:eastAsia="zh-CN"/>
        </w:rPr>
      </w:pPr>
    </w:p>
    <w:p w14:paraId="2D14CC86">
      <w:pPr>
        <w:spacing w:line="600" w:lineRule="exact"/>
        <w:ind w:firstLine="440" w:firstLineChars="100"/>
        <w:jc w:val="both"/>
        <w:outlineLvl w:val="0"/>
        <w:rPr>
          <w:rFonts w:hint="eastAsia" w:ascii="黑体" w:eastAsia="黑体"/>
          <w:color w:val="000000"/>
          <w:sz w:val="44"/>
          <w:szCs w:val="44"/>
          <w:lang w:val="en-US" w:eastAsia="zh-CN"/>
        </w:rPr>
      </w:pPr>
    </w:p>
    <w:p w14:paraId="29E63D8E">
      <w:pPr>
        <w:spacing w:line="600" w:lineRule="exact"/>
        <w:ind w:firstLine="440" w:firstLineChars="100"/>
        <w:jc w:val="both"/>
        <w:outlineLvl w:val="0"/>
        <w:rPr>
          <w:rFonts w:hint="eastAsia" w:ascii="黑体" w:eastAsia="黑体"/>
          <w:color w:val="000000"/>
          <w:sz w:val="44"/>
          <w:szCs w:val="44"/>
          <w:lang w:val="en-US" w:eastAsia="zh-CN"/>
        </w:rPr>
      </w:pPr>
    </w:p>
    <w:p w14:paraId="69C0283A">
      <w:pPr>
        <w:spacing w:line="600" w:lineRule="exact"/>
        <w:ind w:firstLine="440" w:firstLineChars="100"/>
        <w:jc w:val="both"/>
        <w:outlineLvl w:val="0"/>
        <w:rPr>
          <w:rFonts w:hint="eastAsia" w:ascii="黑体" w:eastAsia="黑体"/>
          <w:color w:val="000000"/>
          <w:sz w:val="44"/>
          <w:szCs w:val="44"/>
          <w:lang w:val="en-US" w:eastAsia="zh-CN"/>
        </w:rPr>
      </w:pPr>
    </w:p>
    <w:p w14:paraId="7007ACC5">
      <w:pPr>
        <w:spacing w:line="600" w:lineRule="exact"/>
        <w:ind w:firstLine="440" w:firstLineChars="100"/>
        <w:jc w:val="both"/>
        <w:outlineLvl w:val="0"/>
        <w:rPr>
          <w:rFonts w:hint="eastAsia" w:ascii="黑体" w:eastAsia="黑体"/>
          <w:color w:val="000000"/>
          <w:sz w:val="44"/>
          <w:szCs w:val="44"/>
          <w:lang w:val="en-US" w:eastAsia="zh-CN"/>
        </w:rPr>
      </w:pPr>
    </w:p>
    <w:p w14:paraId="4C692FAD">
      <w:pPr>
        <w:spacing w:line="600" w:lineRule="exact"/>
        <w:ind w:firstLine="440" w:firstLineChars="100"/>
        <w:jc w:val="both"/>
        <w:outlineLvl w:val="0"/>
        <w:rPr>
          <w:rFonts w:hint="eastAsia" w:ascii="黑体" w:eastAsia="黑体"/>
          <w:color w:val="000000"/>
          <w:sz w:val="44"/>
          <w:szCs w:val="44"/>
          <w:lang w:val="en-US" w:eastAsia="zh-CN"/>
        </w:rPr>
      </w:pPr>
    </w:p>
    <w:p w14:paraId="0DD80BB2">
      <w:pPr>
        <w:spacing w:line="600" w:lineRule="exact"/>
        <w:ind w:firstLine="440" w:firstLineChars="100"/>
        <w:jc w:val="both"/>
        <w:outlineLvl w:val="0"/>
        <w:rPr>
          <w:rFonts w:hint="eastAsia" w:ascii="黑体" w:eastAsia="黑体"/>
          <w:color w:val="000000"/>
          <w:sz w:val="44"/>
          <w:szCs w:val="44"/>
          <w:lang w:val="en-US" w:eastAsia="zh-CN"/>
        </w:rPr>
      </w:pPr>
    </w:p>
    <w:p w14:paraId="41C5660D">
      <w:pPr>
        <w:spacing w:line="600" w:lineRule="exact"/>
        <w:ind w:firstLine="440" w:firstLineChars="100"/>
        <w:jc w:val="both"/>
        <w:outlineLvl w:val="0"/>
        <w:rPr>
          <w:rFonts w:hint="eastAsia" w:ascii="黑体" w:eastAsia="黑体"/>
          <w:color w:val="000000"/>
          <w:sz w:val="44"/>
          <w:szCs w:val="44"/>
          <w:lang w:val="en-US" w:eastAsia="zh-CN"/>
        </w:rPr>
      </w:pPr>
    </w:p>
    <w:p w14:paraId="430B2195">
      <w:pPr>
        <w:spacing w:line="600" w:lineRule="exact"/>
        <w:ind w:firstLine="440" w:firstLineChars="100"/>
        <w:jc w:val="both"/>
        <w:outlineLvl w:val="0"/>
        <w:rPr>
          <w:rFonts w:hint="eastAsia" w:ascii="黑体" w:eastAsia="黑体"/>
          <w:color w:val="000000"/>
          <w:sz w:val="44"/>
          <w:szCs w:val="44"/>
          <w:lang w:val="en-US" w:eastAsia="zh-CN"/>
        </w:rPr>
      </w:pPr>
    </w:p>
    <w:p w14:paraId="51663963">
      <w:pPr>
        <w:spacing w:line="600" w:lineRule="exact"/>
        <w:ind w:firstLine="440" w:firstLineChars="100"/>
        <w:jc w:val="both"/>
        <w:outlineLvl w:val="0"/>
        <w:rPr>
          <w:rFonts w:hint="eastAsia" w:ascii="黑体" w:eastAsia="黑体"/>
          <w:color w:val="000000"/>
          <w:sz w:val="44"/>
          <w:szCs w:val="44"/>
          <w:lang w:val="en-US" w:eastAsia="zh-CN"/>
        </w:rPr>
      </w:pPr>
    </w:p>
    <w:p w14:paraId="15AF1DFB">
      <w:pPr>
        <w:spacing w:line="600" w:lineRule="exact"/>
        <w:ind w:firstLine="440" w:firstLineChars="100"/>
        <w:jc w:val="both"/>
        <w:outlineLvl w:val="0"/>
        <w:rPr>
          <w:rFonts w:hint="eastAsia" w:ascii="黑体" w:eastAsia="黑体"/>
          <w:color w:val="000000"/>
          <w:sz w:val="44"/>
          <w:szCs w:val="44"/>
          <w:lang w:val="en-US" w:eastAsia="zh-CN"/>
        </w:rPr>
      </w:pPr>
    </w:p>
    <w:p w14:paraId="0FB7A61E">
      <w:pPr>
        <w:spacing w:line="600" w:lineRule="exact"/>
        <w:ind w:firstLine="440" w:firstLineChars="100"/>
        <w:jc w:val="both"/>
        <w:outlineLvl w:val="0"/>
        <w:rPr>
          <w:rFonts w:hint="eastAsia" w:ascii="黑体" w:eastAsia="黑体"/>
          <w:color w:val="000000"/>
          <w:sz w:val="44"/>
          <w:szCs w:val="44"/>
          <w:lang w:val="en-US" w:eastAsia="zh-CN"/>
        </w:rPr>
      </w:pPr>
    </w:p>
    <w:p w14:paraId="1F9C7EE9">
      <w:pPr>
        <w:spacing w:line="600" w:lineRule="exact"/>
        <w:ind w:firstLine="440" w:firstLineChars="100"/>
        <w:jc w:val="center"/>
        <w:outlineLvl w:val="0"/>
        <w:rPr>
          <w:rFonts w:hint="eastAsia" w:ascii="黑体" w:eastAsia="黑体"/>
          <w:color w:val="000000"/>
          <w:sz w:val="44"/>
          <w:szCs w:val="44"/>
        </w:rPr>
      </w:pPr>
    </w:p>
    <w:p w14:paraId="69E9F654">
      <w:pPr>
        <w:spacing w:line="600" w:lineRule="exact"/>
        <w:ind w:firstLine="440" w:firstLineChars="100"/>
        <w:jc w:val="center"/>
        <w:outlineLvl w:val="0"/>
        <w:rPr>
          <w:rStyle w:val="27"/>
          <w:rFonts w:ascii="黑体" w:eastAsia="黑体"/>
          <w:b w:val="0"/>
        </w:rPr>
      </w:pPr>
      <w:r>
        <w:rPr>
          <w:rFonts w:hint="eastAsia" w:ascii="黑体" w:eastAsia="黑体"/>
          <w:color w:val="000000"/>
          <w:sz w:val="44"/>
          <w:szCs w:val="44"/>
        </w:rPr>
        <w:t>第</w:t>
      </w:r>
      <w:r>
        <w:rPr>
          <w:rStyle w:val="27"/>
          <w:rFonts w:hint="eastAsia" w:ascii="黑体" w:eastAsia="黑体"/>
          <w:b w:val="0"/>
        </w:rPr>
        <w:t>四部分</w:t>
      </w:r>
      <w:r>
        <w:rPr>
          <w:rStyle w:val="27"/>
          <w:rFonts w:hint="eastAsia" w:ascii="黑体" w:eastAsia="黑体"/>
          <w:b w:val="0"/>
          <w:lang w:val="en-US"/>
        </w:rPr>
        <w:t xml:space="preserve"> </w:t>
      </w:r>
      <w:r>
        <w:rPr>
          <w:rStyle w:val="27"/>
          <w:rFonts w:hint="eastAsia" w:ascii="黑体" w:eastAsia="黑体"/>
          <w:b w:val="0"/>
        </w:rPr>
        <w:t>附件</w:t>
      </w:r>
    </w:p>
    <w:bookmarkEnd w:id="101"/>
    <w:bookmarkEnd w:id="102"/>
    <w:p w14:paraId="4A29BF6D">
      <w:pPr>
        <w:spacing w:line="600" w:lineRule="exact"/>
        <w:ind w:firstLine="640" w:firstLineChars="200"/>
        <w:jc w:val="left"/>
        <w:outlineLvl w:val="0"/>
        <w:rPr>
          <w:rFonts w:hint="eastAsia" w:ascii="黑体" w:eastAsia="黑体"/>
          <w:color w:val="000000"/>
          <w:sz w:val="44"/>
          <w:szCs w:val="44"/>
        </w:rPr>
      </w:pPr>
      <w:bookmarkStart w:id="103" w:name="_Toc79163885"/>
      <w:bookmarkStart w:id="104" w:name="_Toc15396618"/>
      <w:bookmarkStart w:id="105" w:name="_Toc79163635"/>
      <w:r>
        <w:rPr>
          <w:rFonts w:hint="eastAsia" w:ascii="仿宋_GB2312" w:eastAsia="仿宋_GB2312" w:cs="仿宋_GB2312"/>
          <w:color w:val="000000"/>
          <w:sz w:val="32"/>
          <w:szCs w:val="32"/>
          <w:lang w:eastAsia="zh-CN"/>
        </w:rPr>
        <w:t>按照绩效自评工作安排，单位无预算项目支出绩效自评（</w:t>
      </w:r>
      <w:r>
        <w:rPr>
          <w:rFonts w:hint="eastAsia" w:ascii="仿宋_GB2312" w:eastAsia="仿宋_GB2312" w:cs="仿宋_GB2312"/>
          <w:color w:val="000000"/>
          <w:sz w:val="32"/>
          <w:szCs w:val="32"/>
          <w:lang w:val="en-US" w:eastAsia="zh-CN"/>
        </w:rPr>
        <w:t>2025年度</w:t>
      </w:r>
      <w:r>
        <w:rPr>
          <w:rFonts w:hint="eastAsia" w:ascii="仿宋_GB2312" w:eastAsia="仿宋_GB2312" w:cs="仿宋_GB2312"/>
          <w:color w:val="000000"/>
          <w:sz w:val="32"/>
          <w:szCs w:val="32"/>
          <w:lang w:eastAsia="zh-CN"/>
        </w:rPr>
        <w:t>）。</w:t>
      </w:r>
    </w:p>
    <w:p w14:paraId="5284A4A0">
      <w:pPr>
        <w:spacing w:line="600" w:lineRule="exact"/>
        <w:jc w:val="center"/>
        <w:outlineLvl w:val="0"/>
        <w:rPr>
          <w:rFonts w:hint="eastAsia" w:ascii="黑体" w:eastAsia="黑体"/>
          <w:color w:val="000000"/>
          <w:sz w:val="44"/>
          <w:szCs w:val="44"/>
        </w:rPr>
      </w:pPr>
    </w:p>
    <w:p w14:paraId="6366B624">
      <w:pPr>
        <w:spacing w:line="600" w:lineRule="exact"/>
        <w:jc w:val="center"/>
        <w:outlineLvl w:val="0"/>
        <w:rPr>
          <w:rFonts w:hint="eastAsia" w:ascii="黑体" w:eastAsia="黑体"/>
          <w:color w:val="000000"/>
          <w:sz w:val="44"/>
          <w:szCs w:val="44"/>
        </w:rPr>
      </w:pPr>
    </w:p>
    <w:p w14:paraId="4C720C72">
      <w:pPr>
        <w:spacing w:line="600" w:lineRule="exact"/>
        <w:jc w:val="center"/>
        <w:outlineLvl w:val="0"/>
        <w:rPr>
          <w:rFonts w:hint="eastAsia" w:ascii="黑体" w:eastAsia="黑体"/>
          <w:color w:val="000000"/>
          <w:sz w:val="44"/>
          <w:szCs w:val="44"/>
        </w:rPr>
      </w:pPr>
    </w:p>
    <w:p w14:paraId="309CA587">
      <w:pPr>
        <w:spacing w:line="600" w:lineRule="exact"/>
        <w:jc w:val="center"/>
        <w:outlineLvl w:val="0"/>
        <w:rPr>
          <w:rFonts w:hint="eastAsia" w:ascii="黑体" w:eastAsia="黑体"/>
          <w:color w:val="000000"/>
          <w:sz w:val="44"/>
          <w:szCs w:val="44"/>
        </w:rPr>
      </w:pPr>
    </w:p>
    <w:p w14:paraId="46F8DD2F">
      <w:pPr>
        <w:spacing w:line="600" w:lineRule="exact"/>
        <w:jc w:val="center"/>
        <w:outlineLvl w:val="0"/>
        <w:rPr>
          <w:rFonts w:hint="eastAsia" w:ascii="黑体" w:eastAsia="黑体"/>
          <w:color w:val="000000"/>
          <w:sz w:val="44"/>
          <w:szCs w:val="44"/>
        </w:rPr>
      </w:pPr>
    </w:p>
    <w:p w14:paraId="65BD8100">
      <w:pPr>
        <w:spacing w:line="600" w:lineRule="exact"/>
        <w:jc w:val="center"/>
        <w:outlineLvl w:val="0"/>
        <w:rPr>
          <w:rFonts w:hint="eastAsia" w:ascii="黑体" w:eastAsia="黑体"/>
          <w:color w:val="000000"/>
          <w:sz w:val="44"/>
          <w:szCs w:val="44"/>
        </w:rPr>
      </w:pPr>
    </w:p>
    <w:p w14:paraId="5D586C96">
      <w:pPr>
        <w:spacing w:line="600" w:lineRule="exact"/>
        <w:jc w:val="center"/>
        <w:outlineLvl w:val="0"/>
        <w:rPr>
          <w:rFonts w:hint="eastAsia" w:ascii="黑体" w:eastAsia="黑体"/>
          <w:color w:val="000000"/>
          <w:sz w:val="44"/>
          <w:szCs w:val="44"/>
        </w:rPr>
      </w:pPr>
    </w:p>
    <w:p w14:paraId="25E65966">
      <w:pPr>
        <w:spacing w:line="600" w:lineRule="exact"/>
        <w:jc w:val="center"/>
        <w:outlineLvl w:val="0"/>
        <w:rPr>
          <w:rFonts w:hint="eastAsia" w:ascii="黑体" w:eastAsia="黑体"/>
          <w:color w:val="000000"/>
          <w:sz w:val="44"/>
          <w:szCs w:val="44"/>
        </w:rPr>
      </w:pPr>
    </w:p>
    <w:p w14:paraId="2C2D54A6">
      <w:pPr>
        <w:spacing w:line="600" w:lineRule="exact"/>
        <w:jc w:val="center"/>
        <w:outlineLvl w:val="0"/>
        <w:rPr>
          <w:rFonts w:hint="eastAsia" w:ascii="黑体" w:eastAsia="黑体"/>
          <w:color w:val="000000"/>
          <w:sz w:val="44"/>
          <w:szCs w:val="44"/>
        </w:rPr>
      </w:pPr>
    </w:p>
    <w:p w14:paraId="120E61E8">
      <w:pPr>
        <w:spacing w:line="600" w:lineRule="exact"/>
        <w:jc w:val="center"/>
        <w:outlineLvl w:val="0"/>
        <w:rPr>
          <w:rFonts w:hint="eastAsia" w:ascii="黑体" w:eastAsia="黑体"/>
          <w:color w:val="000000"/>
          <w:sz w:val="44"/>
          <w:szCs w:val="44"/>
        </w:rPr>
      </w:pPr>
    </w:p>
    <w:p w14:paraId="46546CAF">
      <w:pPr>
        <w:spacing w:line="600" w:lineRule="exact"/>
        <w:jc w:val="center"/>
        <w:outlineLvl w:val="0"/>
        <w:rPr>
          <w:rFonts w:hint="eastAsia" w:ascii="黑体" w:eastAsia="黑体"/>
          <w:color w:val="000000"/>
          <w:sz w:val="44"/>
          <w:szCs w:val="44"/>
        </w:rPr>
      </w:pPr>
    </w:p>
    <w:p w14:paraId="507F3565">
      <w:pPr>
        <w:spacing w:line="600" w:lineRule="exact"/>
        <w:jc w:val="center"/>
        <w:outlineLvl w:val="0"/>
        <w:rPr>
          <w:rFonts w:hint="eastAsia" w:ascii="黑体" w:eastAsia="黑体"/>
          <w:color w:val="000000"/>
          <w:sz w:val="44"/>
          <w:szCs w:val="44"/>
        </w:rPr>
      </w:pPr>
    </w:p>
    <w:p w14:paraId="126F5889">
      <w:pPr>
        <w:spacing w:line="600" w:lineRule="exact"/>
        <w:jc w:val="center"/>
        <w:outlineLvl w:val="0"/>
        <w:rPr>
          <w:rFonts w:hint="eastAsia" w:ascii="黑体" w:eastAsia="黑体"/>
          <w:color w:val="000000"/>
          <w:sz w:val="44"/>
          <w:szCs w:val="44"/>
        </w:rPr>
      </w:pPr>
    </w:p>
    <w:p w14:paraId="21E6041E">
      <w:pPr>
        <w:spacing w:line="600" w:lineRule="exact"/>
        <w:jc w:val="center"/>
        <w:outlineLvl w:val="0"/>
        <w:rPr>
          <w:rFonts w:hint="eastAsia" w:ascii="黑体" w:eastAsia="黑体"/>
          <w:color w:val="000000"/>
          <w:sz w:val="44"/>
          <w:szCs w:val="44"/>
        </w:rPr>
      </w:pPr>
    </w:p>
    <w:p w14:paraId="039D8A6C">
      <w:pPr>
        <w:spacing w:line="600" w:lineRule="exact"/>
        <w:jc w:val="center"/>
        <w:outlineLvl w:val="0"/>
        <w:rPr>
          <w:rFonts w:hint="eastAsia" w:ascii="黑体" w:eastAsia="黑体"/>
          <w:color w:val="000000"/>
          <w:sz w:val="44"/>
          <w:szCs w:val="44"/>
        </w:rPr>
      </w:pPr>
    </w:p>
    <w:p w14:paraId="5BE342EB">
      <w:pPr>
        <w:spacing w:line="600" w:lineRule="exact"/>
        <w:jc w:val="center"/>
        <w:outlineLvl w:val="0"/>
        <w:rPr>
          <w:rFonts w:hint="eastAsia" w:ascii="黑体" w:eastAsia="黑体"/>
          <w:color w:val="000000"/>
          <w:sz w:val="44"/>
          <w:szCs w:val="44"/>
        </w:rPr>
      </w:pPr>
    </w:p>
    <w:p w14:paraId="7041286C">
      <w:pPr>
        <w:spacing w:line="600" w:lineRule="exact"/>
        <w:jc w:val="center"/>
        <w:outlineLvl w:val="0"/>
        <w:rPr>
          <w:rFonts w:hint="eastAsia" w:ascii="黑体" w:eastAsia="黑体"/>
          <w:color w:val="000000"/>
          <w:sz w:val="44"/>
          <w:szCs w:val="44"/>
        </w:rPr>
      </w:pPr>
    </w:p>
    <w:p w14:paraId="1BFABCDA">
      <w:pPr>
        <w:spacing w:line="600" w:lineRule="exact"/>
        <w:jc w:val="center"/>
        <w:outlineLvl w:val="0"/>
        <w:rPr>
          <w:rFonts w:hint="eastAsia" w:ascii="黑体" w:eastAsia="黑体"/>
          <w:color w:val="000000"/>
          <w:sz w:val="44"/>
          <w:szCs w:val="44"/>
        </w:rPr>
      </w:pPr>
    </w:p>
    <w:p w14:paraId="6F523F10">
      <w:pPr>
        <w:spacing w:line="600" w:lineRule="exact"/>
        <w:jc w:val="center"/>
        <w:outlineLvl w:val="0"/>
        <w:rPr>
          <w:rFonts w:hint="eastAsia" w:ascii="黑体" w:eastAsia="黑体"/>
          <w:color w:val="000000"/>
          <w:sz w:val="44"/>
          <w:szCs w:val="44"/>
        </w:rPr>
      </w:pPr>
    </w:p>
    <w:p w14:paraId="59251D60">
      <w:pPr>
        <w:spacing w:line="600" w:lineRule="exact"/>
        <w:jc w:val="center"/>
        <w:outlineLvl w:val="0"/>
        <w:rPr>
          <w:rFonts w:hint="eastAsia" w:ascii="黑体" w:eastAsia="黑体"/>
          <w:color w:val="000000"/>
          <w:sz w:val="44"/>
          <w:szCs w:val="44"/>
        </w:rPr>
      </w:pPr>
    </w:p>
    <w:p w14:paraId="382899CF">
      <w:pPr>
        <w:spacing w:line="600" w:lineRule="exact"/>
        <w:jc w:val="center"/>
        <w:outlineLvl w:val="0"/>
        <w:rPr>
          <w:rStyle w:val="27"/>
          <w:rFonts w:ascii="黑体" w:eastAsia="黑体"/>
          <w:b w:val="0"/>
        </w:rPr>
      </w:pPr>
      <w:r>
        <w:rPr>
          <w:rFonts w:hint="eastAsia" w:ascii="黑体" w:eastAsia="黑体"/>
          <w:color w:val="000000"/>
          <w:sz w:val="44"/>
          <w:szCs w:val="44"/>
        </w:rPr>
        <w:t>第</w:t>
      </w:r>
      <w:r>
        <w:rPr>
          <w:rStyle w:val="27"/>
          <w:rFonts w:hint="eastAsia" w:ascii="黑体" w:eastAsia="黑体"/>
          <w:b w:val="0"/>
        </w:rPr>
        <w:t>五部分</w:t>
      </w:r>
      <w:r>
        <w:rPr>
          <w:rStyle w:val="27"/>
          <w:rFonts w:hint="eastAsia" w:ascii="黑体" w:eastAsia="黑体"/>
          <w:b w:val="0"/>
          <w:lang w:val="en-US"/>
        </w:rPr>
        <w:t xml:space="preserve">  </w:t>
      </w:r>
      <w:r>
        <w:rPr>
          <w:rStyle w:val="27"/>
          <w:rFonts w:hint="eastAsia" w:ascii="黑体" w:eastAsia="黑体"/>
          <w:b w:val="0"/>
        </w:rPr>
        <w:t>附表</w:t>
      </w:r>
      <w:bookmarkEnd w:id="100"/>
      <w:bookmarkEnd w:id="103"/>
      <w:bookmarkEnd w:id="104"/>
      <w:bookmarkEnd w:id="105"/>
      <w:bookmarkStart w:id="106" w:name="_Toc79163636"/>
      <w:bookmarkStart w:id="107" w:name="_Toc15396619"/>
      <w:bookmarkStart w:id="108" w:name="_Toc79163886"/>
    </w:p>
    <w:p w14:paraId="3341AECB">
      <w:pPr>
        <w:numPr>
          <w:ilvl w:val="0"/>
          <w:numId w:val="3"/>
        </w:numPr>
        <w:spacing w:line="600" w:lineRule="exact"/>
        <w:outlineLvl w:val="0"/>
        <w:rPr>
          <w:rStyle w:val="28"/>
          <w:rFonts w:hint="eastAsia" w:ascii="仿宋_GB2312" w:hAnsi="仿宋_GB2312" w:eastAsia="仿宋_GB2312" w:cs="仿宋_GB2312"/>
          <w:b w:val="0"/>
          <w:bCs w:val="0"/>
        </w:rPr>
      </w:pPr>
      <w:r>
        <w:rPr>
          <w:rFonts w:hint="eastAsia" w:ascii="仿宋_GB2312" w:hAnsi="仿宋_GB2312" w:eastAsia="仿宋_GB2312" w:cs="仿宋_GB2312"/>
          <w:color w:val="000000"/>
          <w:sz w:val="32"/>
          <w:szCs w:val="32"/>
        </w:rPr>
        <w:t>收</w:t>
      </w:r>
      <w:r>
        <w:rPr>
          <w:rStyle w:val="28"/>
          <w:rFonts w:hint="eastAsia" w:ascii="仿宋_GB2312" w:hAnsi="仿宋_GB2312" w:eastAsia="仿宋_GB2312" w:cs="仿宋_GB2312"/>
          <w:b w:val="0"/>
          <w:bCs w:val="0"/>
        </w:rPr>
        <w:t>入支出决算总表</w:t>
      </w:r>
      <w:bookmarkEnd w:id="106"/>
      <w:bookmarkEnd w:id="107"/>
      <w:bookmarkEnd w:id="108"/>
    </w:p>
    <w:p w14:paraId="4740AC14">
      <w:pPr>
        <w:numPr>
          <w:ilvl w:val="0"/>
          <w:numId w:val="0"/>
        </w:numPr>
        <w:spacing w:line="600" w:lineRule="exact"/>
        <w:outlineLvl w:val="0"/>
        <w:rPr>
          <w:rStyle w:val="28"/>
          <w:rFonts w:hint="eastAsia" w:ascii="仿宋_GB2312" w:hAnsi="仿宋_GB2312" w:eastAsia="仿宋_GB2312" w:cs="仿宋_GB2312"/>
          <w:b w:val="0"/>
          <w:bCs w:val="0"/>
        </w:rPr>
      </w:pPr>
      <w:r>
        <w:rPr>
          <w:rStyle w:val="28"/>
          <w:rFonts w:hint="eastAsia" w:ascii="仿宋_GB2312" w:hAnsi="仿宋_GB2312" w:eastAsia="仿宋_GB2312" w:cs="仿宋_GB2312"/>
          <w:b w:val="0"/>
          <w:bCs w:val="0"/>
        </w:rPr>
        <w:t>二、收入决算表</w:t>
      </w:r>
    </w:p>
    <w:p w14:paraId="4B7E8BFF">
      <w:pPr>
        <w:spacing w:line="600" w:lineRule="exact"/>
        <w:outlineLvl w:val="0"/>
        <w:rPr>
          <w:rStyle w:val="28"/>
          <w:rFonts w:hint="eastAsia" w:ascii="仿宋_GB2312" w:hAnsi="仿宋_GB2312" w:eastAsia="仿宋_GB2312" w:cs="仿宋_GB2312"/>
          <w:b w:val="0"/>
          <w:bCs w:val="0"/>
        </w:rPr>
      </w:pPr>
      <w:r>
        <w:rPr>
          <w:rStyle w:val="28"/>
          <w:rFonts w:hint="eastAsia" w:ascii="仿宋_GB2312" w:hAnsi="仿宋_GB2312" w:eastAsia="仿宋_GB2312" w:cs="仿宋_GB2312"/>
          <w:b w:val="0"/>
          <w:bCs w:val="0"/>
        </w:rPr>
        <w:t>三、支出决算表</w:t>
      </w:r>
    </w:p>
    <w:p w14:paraId="1F77CD83">
      <w:pPr>
        <w:spacing w:line="600" w:lineRule="exact"/>
        <w:outlineLvl w:val="0"/>
        <w:rPr>
          <w:rStyle w:val="28"/>
          <w:rFonts w:hint="eastAsia" w:ascii="仿宋_GB2312" w:hAnsi="仿宋_GB2312" w:eastAsia="仿宋_GB2312" w:cs="仿宋_GB2312"/>
          <w:b w:val="0"/>
          <w:bCs w:val="0"/>
        </w:rPr>
      </w:pPr>
      <w:r>
        <w:rPr>
          <w:rStyle w:val="28"/>
          <w:rFonts w:hint="eastAsia" w:ascii="仿宋_GB2312" w:hAnsi="仿宋_GB2312" w:eastAsia="仿宋_GB2312" w:cs="仿宋_GB2312"/>
          <w:b w:val="0"/>
          <w:bCs w:val="0"/>
        </w:rPr>
        <w:t>四、财政拨款收入支出决算总表</w:t>
      </w:r>
    </w:p>
    <w:p w14:paraId="6D2BBFA2">
      <w:pPr>
        <w:spacing w:line="600" w:lineRule="exact"/>
        <w:outlineLvl w:val="0"/>
        <w:rPr>
          <w:rStyle w:val="28"/>
          <w:rFonts w:hint="eastAsia" w:ascii="仿宋_GB2312" w:hAnsi="仿宋_GB2312" w:eastAsia="仿宋_GB2312" w:cs="仿宋_GB2312"/>
          <w:b w:val="0"/>
          <w:bCs w:val="0"/>
        </w:rPr>
      </w:pPr>
      <w:r>
        <w:rPr>
          <w:rStyle w:val="28"/>
          <w:rFonts w:hint="eastAsia" w:ascii="仿宋_GB2312" w:hAnsi="仿宋_GB2312" w:eastAsia="仿宋_GB2312" w:cs="仿宋_GB2312"/>
          <w:b w:val="0"/>
          <w:bCs w:val="0"/>
        </w:rPr>
        <w:t>五、财政拨款支出决算明细表</w:t>
      </w:r>
    </w:p>
    <w:p w14:paraId="22680705">
      <w:pPr>
        <w:spacing w:line="600" w:lineRule="exact"/>
        <w:outlineLvl w:val="0"/>
        <w:rPr>
          <w:rStyle w:val="28"/>
          <w:rFonts w:hint="eastAsia" w:ascii="仿宋_GB2312" w:hAnsi="仿宋_GB2312" w:eastAsia="仿宋_GB2312" w:cs="仿宋_GB2312"/>
          <w:b w:val="0"/>
          <w:bCs w:val="0"/>
        </w:rPr>
      </w:pPr>
      <w:r>
        <w:rPr>
          <w:rStyle w:val="28"/>
          <w:rFonts w:hint="eastAsia" w:ascii="仿宋_GB2312" w:hAnsi="仿宋_GB2312" w:eastAsia="仿宋_GB2312" w:cs="仿宋_GB2312"/>
          <w:b w:val="0"/>
          <w:bCs w:val="0"/>
        </w:rPr>
        <w:t>六、一般公共预算财政拨款支出决算表</w:t>
      </w:r>
    </w:p>
    <w:p w14:paraId="553CA756">
      <w:pPr>
        <w:spacing w:line="600" w:lineRule="exact"/>
        <w:outlineLvl w:val="0"/>
        <w:rPr>
          <w:rStyle w:val="28"/>
          <w:rFonts w:hint="eastAsia" w:ascii="仿宋_GB2312" w:hAnsi="仿宋_GB2312" w:eastAsia="仿宋_GB2312" w:cs="仿宋_GB2312"/>
          <w:b w:val="0"/>
          <w:bCs w:val="0"/>
        </w:rPr>
      </w:pPr>
      <w:r>
        <w:rPr>
          <w:rStyle w:val="28"/>
          <w:rFonts w:hint="eastAsia" w:ascii="仿宋_GB2312" w:hAnsi="仿宋_GB2312" w:eastAsia="仿宋_GB2312" w:cs="仿宋_GB2312"/>
          <w:b w:val="0"/>
          <w:bCs w:val="0"/>
        </w:rPr>
        <w:t>七、一般公共预算财政拨款支出决算明细表</w:t>
      </w:r>
    </w:p>
    <w:p w14:paraId="7809A75C">
      <w:pPr>
        <w:spacing w:line="600" w:lineRule="exact"/>
        <w:outlineLvl w:val="0"/>
        <w:rPr>
          <w:rStyle w:val="28"/>
          <w:rFonts w:hint="eastAsia" w:ascii="仿宋_GB2312" w:hAnsi="仿宋_GB2312" w:eastAsia="仿宋_GB2312" w:cs="仿宋_GB2312"/>
          <w:b w:val="0"/>
          <w:bCs w:val="0"/>
        </w:rPr>
      </w:pPr>
      <w:r>
        <w:rPr>
          <w:rStyle w:val="28"/>
          <w:rFonts w:hint="eastAsia" w:ascii="仿宋_GB2312" w:hAnsi="仿宋_GB2312" w:eastAsia="仿宋_GB2312" w:cs="仿宋_GB2312"/>
          <w:b w:val="0"/>
          <w:bCs w:val="0"/>
        </w:rPr>
        <w:t>八、一般公共预算财政拨款基本支出决算表</w:t>
      </w:r>
    </w:p>
    <w:p w14:paraId="3AC1A2B0">
      <w:pPr>
        <w:spacing w:line="600" w:lineRule="exact"/>
        <w:outlineLvl w:val="0"/>
        <w:rPr>
          <w:rStyle w:val="28"/>
          <w:rFonts w:hint="eastAsia" w:ascii="仿宋_GB2312" w:hAnsi="仿宋_GB2312" w:eastAsia="仿宋_GB2312" w:cs="仿宋_GB2312"/>
          <w:b w:val="0"/>
          <w:bCs w:val="0"/>
        </w:rPr>
      </w:pPr>
      <w:r>
        <w:rPr>
          <w:rStyle w:val="28"/>
          <w:rFonts w:hint="eastAsia" w:ascii="仿宋_GB2312" w:hAnsi="仿宋_GB2312" w:eastAsia="仿宋_GB2312" w:cs="仿宋_GB2312"/>
          <w:b w:val="0"/>
          <w:bCs w:val="0"/>
        </w:rPr>
        <w:t>九、一般公共预算财政拨款项目支出决算表</w:t>
      </w:r>
    </w:p>
    <w:p w14:paraId="76344AB8">
      <w:pPr>
        <w:pStyle w:val="6"/>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109" w:name="_Toc20756"/>
      <w:bookmarkStart w:id="110" w:name="_Toc20056"/>
      <w:r>
        <w:rPr>
          <w:rFonts w:hint="eastAsia" w:ascii="仿宋" w:hAnsi="Cambria" w:eastAsia="仿宋" w:cs="Times New Roman"/>
          <w:b w:val="0"/>
          <w:color w:val="000000"/>
          <w:kern w:val="2"/>
          <w:sz w:val="32"/>
          <w:szCs w:val="32"/>
          <w:lang w:bidi="ar-SA"/>
        </w:rPr>
        <w:t>十、政府性基金预算财政拨款收入支出决算表</w:t>
      </w:r>
      <w:bookmarkEnd w:id="109"/>
      <w:bookmarkEnd w:id="110"/>
    </w:p>
    <w:p w14:paraId="7B055B64">
      <w:pPr>
        <w:pStyle w:val="6"/>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111" w:name="_Toc13849"/>
      <w:bookmarkStart w:id="112" w:name="_Toc21387"/>
      <w:r>
        <w:rPr>
          <w:rFonts w:hint="eastAsia" w:ascii="仿宋" w:hAnsi="Cambria" w:eastAsia="仿宋" w:cs="Times New Roman"/>
          <w:b w:val="0"/>
          <w:color w:val="000000"/>
          <w:kern w:val="2"/>
          <w:sz w:val="32"/>
          <w:szCs w:val="32"/>
          <w:lang w:bidi="ar-SA"/>
        </w:rPr>
        <w:t>十一、国有资本经营预算财政拨款收入支出决算表</w:t>
      </w:r>
      <w:bookmarkEnd w:id="111"/>
      <w:bookmarkEnd w:id="112"/>
    </w:p>
    <w:p w14:paraId="1CE586C2">
      <w:pPr>
        <w:pStyle w:val="6"/>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113" w:name="_Toc1140"/>
      <w:bookmarkStart w:id="114" w:name="_Toc13099"/>
      <w:r>
        <w:rPr>
          <w:rFonts w:hint="eastAsia" w:ascii="仿宋" w:hAnsi="Cambria" w:eastAsia="仿宋" w:cs="Times New Roman"/>
          <w:b w:val="0"/>
          <w:color w:val="000000"/>
          <w:kern w:val="2"/>
          <w:sz w:val="32"/>
          <w:szCs w:val="32"/>
          <w:lang w:bidi="ar-SA"/>
        </w:rPr>
        <w:t>十二、国有资本经营预算财政拨款支出决算表</w:t>
      </w:r>
      <w:bookmarkEnd w:id="113"/>
      <w:bookmarkEnd w:id="114"/>
    </w:p>
    <w:p w14:paraId="5F999509">
      <w:pPr>
        <w:pStyle w:val="6"/>
        <w:keepNext/>
        <w:keepLines/>
        <w:pageBreakBefore w:val="0"/>
        <w:kinsoku/>
        <w:wordWrap/>
        <w:overflowPunct/>
        <w:topLinePunct w:val="0"/>
        <w:bidi w:val="0"/>
        <w:spacing w:before="0" w:beforeAutospacing="0" w:after="0" w:afterAutospacing="0" w:line="240" w:lineRule="auto"/>
        <w:jc w:val="both"/>
        <w:textAlignment w:val="auto"/>
        <w:outlineLvl w:val="1"/>
        <w:rPr>
          <w:rStyle w:val="28"/>
          <w:rFonts w:hint="eastAsia" w:ascii="仿宋_GB2312" w:hAnsi="仿宋_GB2312" w:eastAsia="仿宋_GB2312" w:cs="仿宋_GB2312"/>
          <w:b w:val="0"/>
          <w:bCs w:val="0"/>
        </w:rPr>
      </w:pPr>
      <w:bookmarkStart w:id="115" w:name="_Toc25065"/>
      <w:bookmarkStart w:id="116" w:name="_Toc24957"/>
      <w:r>
        <w:rPr>
          <w:rFonts w:hint="eastAsia" w:ascii="仿宋" w:hAnsi="Cambria" w:eastAsia="仿宋" w:cs="Times New Roman"/>
          <w:b w:val="0"/>
          <w:color w:val="000000"/>
          <w:kern w:val="2"/>
          <w:sz w:val="32"/>
          <w:szCs w:val="32"/>
          <w:lang w:bidi="ar-SA"/>
        </w:rPr>
        <w:t>十三、财政拨款“三公”经费支出决算表</w:t>
      </w:r>
      <w:bookmarkEnd w:id="115"/>
      <w:bookmarkEnd w:id="116"/>
    </w:p>
    <w:sectPr>
      <w:headerReference r:id="rId3" w:type="default"/>
      <w:footerReference r:id="rId4" w:type="default"/>
      <w:pgSz w:w="11906" w:h="16838"/>
      <w:pgMar w:top="1440" w:right="1576" w:bottom="1440" w:left="1576" w:header="851" w:footer="992" w:gutter="0"/>
      <w:pgNumType w:start="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等线">
    <w:altName w:val="仿宋"/>
    <w:panose1 w:val="00000000000000000000"/>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等线 Light">
    <w:altName w:val="宋体"/>
    <w:panose1 w:val="00000000000000000000"/>
    <w:charset w:val="86"/>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Lucida Sans">
    <w:altName w:val="Lucida Sans Unicode"/>
    <w:panose1 w:val="00000000000000000000"/>
    <w:charset w:val="01"/>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思源黑体 CN Normal">
    <w:altName w:val="黑体"/>
    <w:panose1 w:val="020B0400000000000000"/>
    <w:charset w:val="86"/>
    <w:family w:val="auto"/>
    <w:pitch w:val="default"/>
    <w:sig w:usb0="00000000" w:usb1="00000000" w:usb2="00000016" w:usb3="00000000" w:csb0="60060107"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7B2C3">
    <w:pPr>
      <w:pStyle w:val="15"/>
      <w:jc w:val="center"/>
    </w:pPr>
    <w:r>
      <w:fldChar w:fldCharType="begin"/>
    </w:r>
    <w:r>
      <w:instrText xml:space="preserve">PAGE   \* MERGEFORMAT</w:instrText>
    </w:r>
    <w:r>
      <w:fldChar w:fldCharType="separate"/>
    </w:r>
    <w:r>
      <w:rPr>
        <w:lang w:val="zh-CN"/>
      </w:rPr>
      <w:t>3</w:t>
    </w:r>
    <w:r>
      <w:rPr>
        <w:lang w:val="zh-CN"/>
      </w:rPr>
      <w:fldChar w:fldCharType="end"/>
    </w:r>
  </w:p>
  <w:p w14:paraId="52DB81F3">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AC87C">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37E3A4"/>
    <w:multiLevelType w:val="singleLevel"/>
    <w:tmpl w:val="8D37E3A4"/>
    <w:lvl w:ilvl="0" w:tentative="0">
      <w:start w:val="1"/>
      <w:numFmt w:val="chineseCounting"/>
      <w:suff w:val="nothing"/>
      <w:lvlText w:val="%1、"/>
      <w:lvlJc w:val="left"/>
      <w:rPr>
        <w:rFonts w:hint="eastAsia"/>
      </w:rPr>
    </w:lvl>
  </w:abstractNum>
  <w:abstractNum w:abstractNumId="1">
    <w:nsid w:val="1272550B"/>
    <w:multiLevelType w:val="multilevel"/>
    <w:tmpl w:val="1272550B"/>
    <w:lvl w:ilvl="0" w:tentative="0">
      <w:start w:val="1"/>
      <w:numFmt w:val="japaneseCounting"/>
      <w:lvlText w:val="%1、"/>
      <w:lvlJc w:val="left"/>
      <w:pPr>
        <w:ind w:left="1429"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abstractNum w:abstractNumId="2">
    <w:nsid w:val="2D2A73E7"/>
    <w:multiLevelType w:val="singleLevel"/>
    <w:tmpl w:val="2D2A73E7"/>
    <w:lvl w:ilvl="0" w:tentative="0">
      <w:start w:val="1"/>
      <w:numFmt w:val="chineseCounting"/>
      <w:suff w:val="nothing"/>
      <w:lvlText w:val="%1、"/>
      <w:lvlJc w:val="left"/>
      <w:pPr>
        <w:ind w:left="0" w:firstLine="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wM2Y5ZjJjYTZiZTA4OTU4YjM4MGRlOTJmOTdmZDcifQ=="/>
  </w:docVars>
  <w:rsids>
    <w:rsidRoot w:val="00B75BF9"/>
    <w:rsid w:val="00193FD5"/>
    <w:rsid w:val="001E3395"/>
    <w:rsid w:val="00262459"/>
    <w:rsid w:val="002B7D15"/>
    <w:rsid w:val="0030344D"/>
    <w:rsid w:val="0032714D"/>
    <w:rsid w:val="004F7681"/>
    <w:rsid w:val="0050142B"/>
    <w:rsid w:val="00514DC0"/>
    <w:rsid w:val="005160D9"/>
    <w:rsid w:val="00523975"/>
    <w:rsid w:val="006B2010"/>
    <w:rsid w:val="0078636F"/>
    <w:rsid w:val="007A4656"/>
    <w:rsid w:val="00893FA0"/>
    <w:rsid w:val="008A01B8"/>
    <w:rsid w:val="00AC28C7"/>
    <w:rsid w:val="00B75BF9"/>
    <w:rsid w:val="00B87373"/>
    <w:rsid w:val="00BB6E0C"/>
    <w:rsid w:val="00C8053E"/>
    <w:rsid w:val="00F0481A"/>
    <w:rsid w:val="020852AB"/>
    <w:rsid w:val="02FD7A6A"/>
    <w:rsid w:val="0380407A"/>
    <w:rsid w:val="0387463D"/>
    <w:rsid w:val="03974DB0"/>
    <w:rsid w:val="042A20B2"/>
    <w:rsid w:val="04A12FE3"/>
    <w:rsid w:val="04D46AAD"/>
    <w:rsid w:val="06604E4C"/>
    <w:rsid w:val="06D05B2E"/>
    <w:rsid w:val="08586B97"/>
    <w:rsid w:val="08C017EA"/>
    <w:rsid w:val="09643837"/>
    <w:rsid w:val="09CB1C10"/>
    <w:rsid w:val="0A153664"/>
    <w:rsid w:val="0A7F59C4"/>
    <w:rsid w:val="0B2B7184"/>
    <w:rsid w:val="0B736B02"/>
    <w:rsid w:val="0B9104A1"/>
    <w:rsid w:val="0C806655"/>
    <w:rsid w:val="0C811679"/>
    <w:rsid w:val="0D81576A"/>
    <w:rsid w:val="0DCB194E"/>
    <w:rsid w:val="0E63372C"/>
    <w:rsid w:val="0FDE34DD"/>
    <w:rsid w:val="1165207D"/>
    <w:rsid w:val="11827642"/>
    <w:rsid w:val="11E1336E"/>
    <w:rsid w:val="13EE2F15"/>
    <w:rsid w:val="14E8525B"/>
    <w:rsid w:val="1589010E"/>
    <w:rsid w:val="15FA5234"/>
    <w:rsid w:val="165B3183"/>
    <w:rsid w:val="16971754"/>
    <w:rsid w:val="17B04713"/>
    <w:rsid w:val="191C3197"/>
    <w:rsid w:val="195C59ED"/>
    <w:rsid w:val="19973B38"/>
    <w:rsid w:val="19A42D90"/>
    <w:rsid w:val="19F4042D"/>
    <w:rsid w:val="1A177E3B"/>
    <w:rsid w:val="1CED4E8D"/>
    <w:rsid w:val="1E0A2E3D"/>
    <w:rsid w:val="1E632277"/>
    <w:rsid w:val="205B48A5"/>
    <w:rsid w:val="20706BC7"/>
    <w:rsid w:val="20937EA1"/>
    <w:rsid w:val="214D6CAA"/>
    <w:rsid w:val="23561957"/>
    <w:rsid w:val="25496D80"/>
    <w:rsid w:val="25CF1FA5"/>
    <w:rsid w:val="25EB29E3"/>
    <w:rsid w:val="25EF7694"/>
    <w:rsid w:val="25FD5D44"/>
    <w:rsid w:val="26554D69"/>
    <w:rsid w:val="27362C02"/>
    <w:rsid w:val="276E44E9"/>
    <w:rsid w:val="288A3F45"/>
    <w:rsid w:val="28946880"/>
    <w:rsid w:val="28A532C1"/>
    <w:rsid w:val="299C24CE"/>
    <w:rsid w:val="2AC20E10"/>
    <w:rsid w:val="2BC7752C"/>
    <w:rsid w:val="2C9E251F"/>
    <w:rsid w:val="2D99430C"/>
    <w:rsid w:val="2E126DF4"/>
    <w:rsid w:val="2E1B7F54"/>
    <w:rsid w:val="2E221675"/>
    <w:rsid w:val="2E790388"/>
    <w:rsid w:val="2EF064BE"/>
    <w:rsid w:val="2F94066A"/>
    <w:rsid w:val="309812CE"/>
    <w:rsid w:val="30B642A1"/>
    <w:rsid w:val="30E022C4"/>
    <w:rsid w:val="31986CAD"/>
    <w:rsid w:val="330F2DD7"/>
    <w:rsid w:val="343F686E"/>
    <w:rsid w:val="35C6441D"/>
    <w:rsid w:val="3623361D"/>
    <w:rsid w:val="3666797E"/>
    <w:rsid w:val="36BE0DB1"/>
    <w:rsid w:val="3C0961AF"/>
    <w:rsid w:val="3C1254BF"/>
    <w:rsid w:val="3C2A2068"/>
    <w:rsid w:val="3DE5069A"/>
    <w:rsid w:val="3DFD4B7D"/>
    <w:rsid w:val="3E101CD7"/>
    <w:rsid w:val="3E491F30"/>
    <w:rsid w:val="3E52593B"/>
    <w:rsid w:val="3F0155B0"/>
    <w:rsid w:val="3F5D0DBE"/>
    <w:rsid w:val="3F9966FE"/>
    <w:rsid w:val="400A2904"/>
    <w:rsid w:val="402A5ED7"/>
    <w:rsid w:val="402D3833"/>
    <w:rsid w:val="419D24D5"/>
    <w:rsid w:val="41A87742"/>
    <w:rsid w:val="41C374A4"/>
    <w:rsid w:val="43714237"/>
    <w:rsid w:val="43BF144D"/>
    <w:rsid w:val="448F39FE"/>
    <w:rsid w:val="4506536C"/>
    <w:rsid w:val="47B764AD"/>
    <w:rsid w:val="48AC49B9"/>
    <w:rsid w:val="49090450"/>
    <w:rsid w:val="49A23A7C"/>
    <w:rsid w:val="4A2E11F2"/>
    <w:rsid w:val="4C866985"/>
    <w:rsid w:val="4CBD3A2C"/>
    <w:rsid w:val="4CF62783"/>
    <w:rsid w:val="4D18686D"/>
    <w:rsid w:val="4DD5673F"/>
    <w:rsid w:val="4E271AF1"/>
    <w:rsid w:val="4F8767A5"/>
    <w:rsid w:val="500043B3"/>
    <w:rsid w:val="509A433A"/>
    <w:rsid w:val="512B0FCE"/>
    <w:rsid w:val="514827CE"/>
    <w:rsid w:val="51AF0938"/>
    <w:rsid w:val="52327C9F"/>
    <w:rsid w:val="53993CFE"/>
    <w:rsid w:val="54B422A9"/>
    <w:rsid w:val="551225AA"/>
    <w:rsid w:val="56CE0600"/>
    <w:rsid w:val="57A429DC"/>
    <w:rsid w:val="58044C05"/>
    <w:rsid w:val="595E2F7C"/>
    <w:rsid w:val="5A956A10"/>
    <w:rsid w:val="5AF6189E"/>
    <w:rsid w:val="5B72113C"/>
    <w:rsid w:val="5D055063"/>
    <w:rsid w:val="5DEA21A7"/>
    <w:rsid w:val="5E1E6B60"/>
    <w:rsid w:val="5F462A20"/>
    <w:rsid w:val="5FBA391A"/>
    <w:rsid w:val="609E7AD0"/>
    <w:rsid w:val="616532B3"/>
    <w:rsid w:val="616857AA"/>
    <w:rsid w:val="6222690D"/>
    <w:rsid w:val="62251F1F"/>
    <w:rsid w:val="63624820"/>
    <w:rsid w:val="63EE7191"/>
    <w:rsid w:val="645337EF"/>
    <w:rsid w:val="64E03C90"/>
    <w:rsid w:val="65A175B0"/>
    <w:rsid w:val="65FB3E5E"/>
    <w:rsid w:val="678F73AF"/>
    <w:rsid w:val="68CA48DC"/>
    <w:rsid w:val="690C0BFA"/>
    <w:rsid w:val="6A217D40"/>
    <w:rsid w:val="6B0573A4"/>
    <w:rsid w:val="6B403D4E"/>
    <w:rsid w:val="6B70523E"/>
    <w:rsid w:val="6BDF5E13"/>
    <w:rsid w:val="6C620943"/>
    <w:rsid w:val="6CF5576E"/>
    <w:rsid w:val="6ECD0CDA"/>
    <w:rsid w:val="6FAE36B9"/>
    <w:rsid w:val="70A1252C"/>
    <w:rsid w:val="711E1BC9"/>
    <w:rsid w:val="72005FE5"/>
    <w:rsid w:val="73903788"/>
    <w:rsid w:val="74442DCC"/>
    <w:rsid w:val="7483497A"/>
    <w:rsid w:val="749A021B"/>
    <w:rsid w:val="750D4925"/>
    <w:rsid w:val="756F11B3"/>
    <w:rsid w:val="75DA47AC"/>
    <w:rsid w:val="761B149C"/>
    <w:rsid w:val="76BF6CF4"/>
    <w:rsid w:val="76CB4CC0"/>
    <w:rsid w:val="76E535C5"/>
    <w:rsid w:val="77AC7C57"/>
    <w:rsid w:val="78865AFA"/>
    <w:rsid w:val="78C1233F"/>
    <w:rsid w:val="79086153"/>
    <w:rsid w:val="796926C2"/>
    <w:rsid w:val="7AA26F6F"/>
    <w:rsid w:val="7B042156"/>
    <w:rsid w:val="7C7925B8"/>
    <w:rsid w:val="7C881AE4"/>
    <w:rsid w:val="7DFE65C0"/>
    <w:rsid w:val="7E9C52E7"/>
    <w:rsid w:val="7EAF02C5"/>
    <w:rsid w:val="7FCF50BB"/>
    <w:rsid w:val="BDAFB117"/>
    <w:rsid w:val="FDE78C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iPriority="99" w:semiHidden="0" w:name="Normal Indent"/>
    <w:lsdException w:qFormat="1" w:unhideWhenUsed="0" w:uiPriority="0"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7"/>
    <w:qFormat/>
    <w:uiPriority w:val="0"/>
    <w:pPr>
      <w:keepNext/>
      <w:keepLines/>
      <w:spacing w:before="340" w:after="330" w:line="578" w:lineRule="auto"/>
      <w:outlineLvl w:val="0"/>
    </w:pPr>
    <w:rPr>
      <w:b/>
      <w:bCs/>
      <w:kern w:val="44"/>
      <w:sz w:val="44"/>
      <w:szCs w:val="44"/>
    </w:rPr>
  </w:style>
  <w:style w:type="paragraph" w:styleId="6">
    <w:name w:val="heading 2"/>
    <w:basedOn w:val="1"/>
    <w:next w:val="1"/>
    <w:link w:val="28"/>
    <w:qFormat/>
    <w:uiPriority w:val="0"/>
    <w:pPr>
      <w:keepNext/>
      <w:keepLines/>
      <w:spacing w:before="260" w:after="260" w:line="415" w:lineRule="auto"/>
      <w:outlineLvl w:val="1"/>
    </w:pPr>
    <w:rPr>
      <w:rFonts w:ascii="Cambria" w:hAnsi="Cambria"/>
      <w:b/>
      <w:bCs/>
      <w:sz w:val="32"/>
      <w:szCs w:val="32"/>
    </w:rPr>
  </w:style>
  <w:style w:type="paragraph" w:styleId="7">
    <w:name w:val="heading 3"/>
    <w:basedOn w:val="1"/>
    <w:next w:val="1"/>
    <w:qFormat/>
    <w:uiPriority w:val="0"/>
    <w:pPr>
      <w:keepNext/>
      <w:keepLines/>
      <w:spacing w:before="260" w:after="260" w:line="415" w:lineRule="auto"/>
      <w:outlineLvl w:val="2"/>
    </w:pPr>
    <w:rPr>
      <w:b/>
      <w:bCs/>
      <w:sz w:val="32"/>
      <w:szCs w:val="32"/>
    </w:rPr>
  </w:style>
  <w:style w:type="character" w:default="1" w:styleId="24">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toc 7"/>
    <w:basedOn w:val="1"/>
    <w:next w:val="1"/>
    <w:qFormat/>
    <w:uiPriority w:val="0"/>
    <w:pPr>
      <w:ind w:left="1260"/>
      <w:jc w:val="left"/>
    </w:pPr>
    <w:rPr>
      <w:rFonts w:ascii="等线" w:eastAsia="等线"/>
      <w:sz w:val="18"/>
      <w:szCs w:val="18"/>
    </w:rPr>
  </w:style>
  <w:style w:type="paragraph" w:styleId="9">
    <w:name w:val="Normal Indent"/>
    <w:basedOn w:val="1"/>
    <w:unhideWhenUsed/>
    <w:qFormat/>
    <w:uiPriority w:val="99"/>
    <w:pPr>
      <w:ind w:firstLine="680"/>
    </w:pPr>
  </w:style>
  <w:style w:type="paragraph" w:styleId="10">
    <w:name w:val="Body Text"/>
    <w:basedOn w:val="1"/>
    <w:qFormat/>
    <w:uiPriority w:val="0"/>
    <w:pPr>
      <w:spacing w:beforeLines="30"/>
    </w:pPr>
    <w:rPr>
      <w:rFonts w:ascii="仿宋_GB2312" w:eastAsia="仿宋_GB2312"/>
      <w:kern w:val="0"/>
      <w:sz w:val="24"/>
      <w:szCs w:val="20"/>
    </w:rPr>
  </w:style>
  <w:style w:type="paragraph" w:styleId="11">
    <w:name w:val="toc 5"/>
    <w:basedOn w:val="1"/>
    <w:next w:val="1"/>
    <w:qFormat/>
    <w:uiPriority w:val="0"/>
    <w:pPr>
      <w:ind w:left="840"/>
      <w:jc w:val="left"/>
    </w:pPr>
    <w:rPr>
      <w:rFonts w:ascii="等线" w:eastAsia="等线"/>
      <w:sz w:val="18"/>
      <w:szCs w:val="18"/>
    </w:rPr>
  </w:style>
  <w:style w:type="paragraph" w:styleId="12">
    <w:name w:val="toc 3"/>
    <w:basedOn w:val="1"/>
    <w:next w:val="1"/>
    <w:qFormat/>
    <w:uiPriority w:val="0"/>
    <w:pPr>
      <w:ind w:left="420"/>
      <w:jc w:val="left"/>
    </w:pPr>
    <w:rPr>
      <w:rFonts w:ascii="等线" w:eastAsia="等线"/>
      <w:i/>
      <w:iCs/>
      <w:sz w:val="20"/>
      <w:szCs w:val="20"/>
    </w:rPr>
  </w:style>
  <w:style w:type="paragraph" w:styleId="13">
    <w:name w:val="toc 8"/>
    <w:basedOn w:val="1"/>
    <w:next w:val="1"/>
    <w:qFormat/>
    <w:uiPriority w:val="0"/>
    <w:pPr>
      <w:ind w:left="1470"/>
      <w:jc w:val="left"/>
    </w:pPr>
    <w:rPr>
      <w:rFonts w:ascii="等线" w:eastAsia="等线"/>
      <w:sz w:val="18"/>
      <w:szCs w:val="18"/>
    </w:rPr>
  </w:style>
  <w:style w:type="paragraph" w:styleId="14">
    <w:name w:val="Balloon Text"/>
    <w:basedOn w:val="1"/>
    <w:qFormat/>
    <w:uiPriority w:val="0"/>
    <w:rPr>
      <w:sz w:val="18"/>
      <w:szCs w:val="18"/>
    </w:rPr>
  </w:style>
  <w:style w:type="paragraph" w:styleId="15">
    <w:name w:val="footer"/>
    <w:basedOn w:val="1"/>
    <w:qFormat/>
    <w:uiPriority w:val="0"/>
    <w:pPr>
      <w:tabs>
        <w:tab w:val="center" w:pos="4153"/>
        <w:tab w:val="right" w:pos="8306"/>
      </w:tabs>
      <w:snapToGrid w:val="0"/>
      <w:jc w:val="left"/>
    </w:pPr>
    <w:rPr>
      <w:rFonts w:ascii="Calibri" w:hAnsi="Calibri"/>
      <w:kern w:val="0"/>
      <w:sz w:val="18"/>
      <w:szCs w:val="20"/>
    </w:rPr>
  </w:style>
  <w:style w:type="paragraph" w:styleId="16">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7">
    <w:name w:val="toc 1"/>
    <w:basedOn w:val="1"/>
    <w:next w:val="1"/>
    <w:qFormat/>
    <w:uiPriority w:val="0"/>
    <w:pPr>
      <w:spacing w:before="120" w:after="120"/>
      <w:jc w:val="left"/>
    </w:pPr>
    <w:rPr>
      <w:rFonts w:ascii="等线" w:eastAsia="等线"/>
      <w:b/>
      <w:bCs/>
      <w:caps/>
      <w:sz w:val="20"/>
      <w:szCs w:val="20"/>
    </w:rPr>
  </w:style>
  <w:style w:type="paragraph" w:styleId="18">
    <w:name w:val="toc 4"/>
    <w:basedOn w:val="1"/>
    <w:next w:val="1"/>
    <w:qFormat/>
    <w:uiPriority w:val="0"/>
    <w:pPr>
      <w:ind w:left="630"/>
      <w:jc w:val="left"/>
    </w:pPr>
    <w:rPr>
      <w:rFonts w:ascii="等线" w:eastAsia="等线"/>
      <w:sz w:val="18"/>
      <w:szCs w:val="18"/>
    </w:rPr>
  </w:style>
  <w:style w:type="paragraph" w:styleId="19">
    <w:name w:val="toc 6"/>
    <w:basedOn w:val="1"/>
    <w:next w:val="1"/>
    <w:qFormat/>
    <w:uiPriority w:val="0"/>
    <w:pPr>
      <w:ind w:left="1050"/>
      <w:jc w:val="left"/>
    </w:pPr>
    <w:rPr>
      <w:rFonts w:ascii="等线" w:eastAsia="等线"/>
      <w:sz w:val="18"/>
      <w:szCs w:val="18"/>
    </w:rPr>
  </w:style>
  <w:style w:type="paragraph" w:styleId="20">
    <w:name w:val="toc 2"/>
    <w:basedOn w:val="1"/>
    <w:next w:val="1"/>
    <w:qFormat/>
    <w:uiPriority w:val="0"/>
    <w:pPr>
      <w:ind w:left="210"/>
      <w:jc w:val="left"/>
    </w:pPr>
    <w:rPr>
      <w:rFonts w:ascii="等线" w:eastAsia="等线"/>
      <w:smallCaps/>
      <w:sz w:val="20"/>
      <w:szCs w:val="20"/>
    </w:rPr>
  </w:style>
  <w:style w:type="paragraph" w:styleId="21">
    <w:name w:val="toc 9"/>
    <w:basedOn w:val="1"/>
    <w:next w:val="1"/>
    <w:qFormat/>
    <w:uiPriority w:val="0"/>
    <w:pPr>
      <w:ind w:left="1680"/>
      <w:jc w:val="left"/>
    </w:pPr>
    <w:rPr>
      <w:rFonts w:ascii="等线" w:eastAsia="等线"/>
      <w:sz w:val="18"/>
      <w:szCs w:val="18"/>
    </w:rPr>
  </w:style>
  <w:style w:type="paragraph" w:styleId="22">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25">
    <w:name w:val="Strong"/>
    <w:basedOn w:val="24"/>
    <w:qFormat/>
    <w:uiPriority w:val="0"/>
    <w:rPr>
      <w:rFonts w:cs="Times New Roman"/>
      <w:b/>
    </w:rPr>
  </w:style>
  <w:style w:type="character" w:styleId="26">
    <w:name w:val="Hyperlink"/>
    <w:basedOn w:val="24"/>
    <w:qFormat/>
    <w:uiPriority w:val="0"/>
    <w:rPr>
      <w:rFonts w:cs="Times New Roman"/>
      <w:color w:val="0000FF"/>
      <w:u w:val="single"/>
    </w:rPr>
  </w:style>
  <w:style w:type="character" w:customStyle="1" w:styleId="27">
    <w:name w:val="标题 1 Char"/>
    <w:basedOn w:val="24"/>
    <w:link w:val="5"/>
    <w:qFormat/>
    <w:uiPriority w:val="0"/>
    <w:rPr>
      <w:rFonts w:ascii="Times New Roman" w:hAnsi="Times New Roman" w:eastAsia="宋体" w:cs="Times New Roman"/>
      <w:b/>
      <w:bCs/>
      <w:kern w:val="44"/>
      <w:sz w:val="44"/>
      <w:szCs w:val="44"/>
      <w:lang w:val="en-US" w:eastAsia="zh-CN" w:bidi="ar-SA"/>
    </w:rPr>
  </w:style>
  <w:style w:type="character" w:customStyle="1" w:styleId="28">
    <w:name w:val="标题 2 Char"/>
    <w:basedOn w:val="24"/>
    <w:link w:val="6"/>
    <w:qFormat/>
    <w:uiPriority w:val="0"/>
    <w:rPr>
      <w:rFonts w:ascii="Cambria" w:hAnsi="Cambria" w:eastAsia="宋体" w:cs="Times New Roman"/>
      <w:b/>
      <w:bCs/>
      <w:kern w:val="2"/>
      <w:sz w:val="32"/>
      <w:szCs w:val="32"/>
      <w:lang w:val="en-US" w:eastAsia="zh-CN" w:bidi="ar-SA"/>
    </w:rPr>
  </w:style>
  <w:style w:type="character" w:customStyle="1" w:styleId="29">
    <w:name w:val="Body Text Char"/>
    <w:basedOn w:val="24"/>
    <w:qFormat/>
    <w:uiPriority w:val="0"/>
    <w:rPr>
      <w:rFonts w:ascii="Times New Roman" w:hAnsi="Times New Roman" w:cs="Times New Roman"/>
      <w:sz w:val="24"/>
      <w:szCs w:val="24"/>
    </w:rPr>
  </w:style>
  <w:style w:type="character" w:customStyle="1" w:styleId="30">
    <w:name w:val="Footer Char"/>
    <w:basedOn w:val="24"/>
    <w:qFormat/>
    <w:uiPriority w:val="0"/>
    <w:rPr>
      <w:rFonts w:ascii="Times New Roman" w:hAnsi="Times New Roman" w:cs="Times New Roman"/>
      <w:sz w:val="18"/>
      <w:szCs w:val="18"/>
    </w:rPr>
  </w:style>
  <w:style w:type="character" w:customStyle="1" w:styleId="31">
    <w:name w:val="Header Char"/>
    <w:basedOn w:val="24"/>
    <w:qFormat/>
    <w:uiPriority w:val="0"/>
    <w:rPr>
      <w:rFonts w:ascii="Times New Roman" w:hAnsi="Times New Roman" w:cs="Times New Roman"/>
      <w:sz w:val="18"/>
      <w:szCs w:val="18"/>
    </w:rPr>
  </w:style>
  <w:style w:type="paragraph" w:customStyle="1" w:styleId="32">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33">
    <w:name w:val="列表段落1"/>
    <w:basedOn w:val="1"/>
    <w:qFormat/>
    <w:uiPriority w:val="0"/>
    <w:pPr>
      <w:ind w:firstLine="200" w:firstLineChars="200"/>
    </w:pPr>
  </w:style>
  <w:style w:type="paragraph" w:customStyle="1" w:styleId="34">
    <w:name w:val="TOC 标题1"/>
    <w:basedOn w:val="5"/>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35">
    <w:name w:val="TOC Heading1"/>
    <w:basedOn w:val="5"/>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36">
    <w:name w:val="TOC 标题2"/>
    <w:basedOn w:val="5"/>
    <w:next w:val="1"/>
    <w:qFormat/>
    <w:uiPriority w:val="0"/>
    <w:pPr>
      <w:widowControl/>
      <w:spacing w:before="240" w:after="0" w:line="259" w:lineRule="auto"/>
      <w:jc w:val="left"/>
      <w:outlineLvl w:val="9"/>
    </w:pPr>
    <w:rPr>
      <w:rFonts w:ascii="等线 Light" w:eastAsia="等线 Light"/>
      <w:b w:val="0"/>
      <w:bCs w:val="0"/>
      <w:color w:val="2F5496"/>
      <w:kern w:val="0"/>
      <w:sz w:val="32"/>
      <w:szCs w:val="32"/>
    </w:rPr>
  </w:style>
  <w:style w:type="paragraph" w:styleId="37">
    <w:name w:val="List Paragraph"/>
    <w:basedOn w:val="1"/>
    <w:qFormat/>
    <w:uiPriority w:val="0"/>
    <w:pPr>
      <w:ind w:firstLine="200" w:firstLineChars="200"/>
    </w:pPr>
  </w:style>
  <w:style w:type="paragraph" w:customStyle="1" w:styleId="38">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200" b="0" i="0" u="none" strike="noStrike" kern="1200" baseline="0">
              <a:solidFill>
                <a:schemeClr val="accent1"/>
              </a:solidFill>
              <a:latin typeface="Times New Roman" panose="02020603050405020304"/>
              <a:ea typeface="宋体" panose="02010600030101010101" charset="-122"/>
              <a:cs typeface="Lucida Sans"/>
            </a:defRPr>
          </a:pPr>
        </a:p>
      </c:txPr>
    </c:title>
    <c:autoTitleDeleted val="0"/>
    <c:plotArea>
      <c:layout>
        <c:manualLayout>
          <c:layoutTarget val="inner"/>
          <c:xMode val="edge"/>
          <c:yMode val="edge"/>
          <c:x val="0.0106640125124413"/>
          <c:y val="0.149811853245532"/>
          <c:w val="0.969714204464667"/>
          <c:h val="0.617356538099718"/>
        </c:manualLayout>
      </c:layout>
      <c:barChart>
        <c:barDir val="col"/>
        <c:grouping val="clustered"/>
        <c:varyColors val="0"/>
        <c:ser>
          <c:idx val="1"/>
          <c:order val="0"/>
          <c:tx>
            <c:strRef>
              <c:f>Sheet1!$B$1</c:f>
              <c:strCache>
                <c:ptCount val="1"/>
                <c:pt idx="0">
                  <c:v>收支总计（万元）</c:v>
                </c:pt>
              </c:strCache>
            </c:strRef>
          </c:tx>
          <c:invertIfNegative val="0"/>
          <c:dLbls>
            <c:dLbl>
              <c:idx val="1"/>
              <c:layout>
                <c:manualLayout>
                  <c:x val="0.00426560500497654"/>
                  <c:y val="0.014812376563528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accent1"/>
                        </a:solidFill>
                        <a:latin typeface="Times New Roman" panose="02020603050405020304"/>
                        <a:ea typeface="宋体" panose="02010600030101010101" charset="-122"/>
                        <a:cs typeface="Lucida Sans"/>
                      </a:defRPr>
                    </a:pPr>
                    <a:r>
                      <a:rPr lang="en-US" altLang="zh-CN"/>
                      <a:t>762.22</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accent1"/>
                    </a:solidFill>
                    <a:latin typeface="Times New Roman" panose="02020603050405020304"/>
                    <a:ea typeface="宋体" panose="02010600030101010101" charset="-122"/>
                    <a:cs typeface="Lucida San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val>
            <c:numRef>
              <c:f>Sheet1!$B$2:$B$3</c:f>
              <c:numCache>
                <c:formatCode>General</c:formatCode>
                <c:ptCount val="2"/>
                <c:pt idx="0">
                  <c:v>643.6</c:v>
                </c:pt>
                <c:pt idx="1">
                  <c:v>762.22</c:v>
                </c:pt>
              </c:numCache>
            </c:numRef>
          </c:val>
        </c:ser>
        <c:dLbls>
          <c:showLegendKey val="0"/>
          <c:showVal val="1"/>
          <c:showCatName val="0"/>
          <c:showSerName val="0"/>
          <c:showPercent val="0"/>
          <c:showBubbleSize val="0"/>
        </c:dLbls>
        <c:gapWidth val="150"/>
        <c:overlap val="-25"/>
        <c:axId val="175091072"/>
        <c:axId val="175127552"/>
      </c:barChart>
      <c:catAx>
        <c:axId val="175091072"/>
        <c:scaling>
          <c:orientation val="minMax"/>
        </c:scaling>
        <c:delete val="1"/>
        <c:axPos val="b"/>
        <c:numFmt formatCode="General" sourceLinked="1"/>
        <c:majorTickMark val="out"/>
        <c:minorTickMark val="none"/>
        <c:tickLblPos val="none"/>
        <c:txPr>
          <a:bodyPr rot="-60000000" spcFirstLastPara="0" vertOverflow="ellipsis" vert="horz" wrap="square" anchor="ctr" anchorCtr="1"/>
          <a:lstStyle/>
          <a:p>
            <a:pPr>
              <a:defRPr lang="zh-CN" sz="1000" b="0" i="0" u="none" strike="noStrike" kern="1200" baseline="0">
                <a:solidFill>
                  <a:schemeClr val="accent1"/>
                </a:solidFill>
                <a:latin typeface="Times New Roman" panose="02020603050405020304"/>
                <a:ea typeface="宋体" panose="02010600030101010101" charset="-122"/>
                <a:cs typeface="Lucida Sans"/>
              </a:defRPr>
            </a:pPr>
          </a:p>
        </c:txPr>
        <c:crossAx val="175127552"/>
        <c:crosses val="autoZero"/>
        <c:auto val="1"/>
        <c:lblAlgn val="ctr"/>
        <c:lblOffset val="100"/>
        <c:noMultiLvlLbl val="0"/>
      </c:catAx>
      <c:valAx>
        <c:axId val="175127552"/>
        <c:scaling>
          <c:orientation val="minMax"/>
        </c:scaling>
        <c:delete val="1"/>
        <c:axPos val="l"/>
        <c:numFmt formatCode="General" sourceLinked="1"/>
        <c:majorTickMark val="out"/>
        <c:minorTickMark val="none"/>
        <c:tickLblPos val="none"/>
        <c:txPr>
          <a:bodyPr rot="-60000000" spcFirstLastPara="0" vertOverflow="ellipsis" vert="horz" wrap="square" anchor="ctr" anchorCtr="1"/>
          <a:lstStyle/>
          <a:p>
            <a:pPr>
              <a:defRPr lang="zh-CN" sz="1000" b="0" i="0" u="none" strike="noStrike" kern="1200" baseline="0">
                <a:solidFill>
                  <a:schemeClr val="accent1"/>
                </a:solidFill>
                <a:latin typeface="Times New Roman" panose="02020603050405020304"/>
                <a:ea typeface="宋体" panose="02010600030101010101" charset="-122"/>
                <a:cs typeface="Lucida Sans"/>
              </a:defRPr>
            </a:pPr>
          </a:p>
        </c:txPr>
        <c:crossAx val="175091072"/>
        <c:crosses val="autoZero"/>
        <c:crossBetween val="between"/>
      </c:valAx>
      <c:spPr>
        <a:solidFill>
          <a:srgbClr val="FFFFFF"/>
        </a:solidFill>
      </c:spPr>
    </c:plotArea>
    <c:plotVisOnly val="1"/>
    <c:dispBlanksAs val="gap"/>
    <c:showDLblsOverMax val="0"/>
    <c:extLst>
      <c:ext uri="{0b15fc19-7d7d-44ad-8c2d-2c3a37ce22c3}">
        <chartProps xmlns="https://web.wps.cn/et/2018/main" chartId="{b6944b11-7a40-4b7f-ba2f-d5c8664999bc}"/>
      </c:ext>
    </c:extLst>
  </c:chart>
  <c:txPr>
    <a:bodyPr/>
    <a:lstStyle/>
    <a:p>
      <a:pPr>
        <a:defRPr lang="zh-CN" sz="1000" b="0" i="0" u="none" strike="noStrike" baseline="0">
          <a:solidFill>
            <a:schemeClr val="accent1"/>
          </a:solidFill>
          <a:latin typeface="Times New Roman" panose="02020603050405020304"/>
          <a:ea typeface="宋体" panose="02010600030101010101" charset="-122"/>
          <a:cs typeface="Lucida Sans"/>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10600574353852"/>
          <c:y val="0.0629315989064026"/>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 (2)'!$B$1</c:f>
              <c:strCache>
                <c:ptCount val="1"/>
                <c:pt idx="0">
                  <c:v>收入（万元）</c:v>
                </c:pt>
              </c:strCache>
            </c:strRef>
          </c:tx>
          <c:explosion val="0"/>
          <c:dPt>
            <c:idx val="0"/>
            <c:bubble3D val="0"/>
            <c:spPr>
              <a:solidFill>
                <a:schemeClr val="accent1">
                  <a:shade val="76667"/>
                </a:schemeClr>
              </a:solidFill>
              <a:ln w="19050">
                <a:solidFill>
                  <a:schemeClr val="lt1"/>
                </a:solidFill>
              </a:ln>
              <a:effectLst/>
            </c:spPr>
          </c:dPt>
          <c:dPt>
            <c:idx val="1"/>
            <c:bubble3D val="0"/>
            <c:spPr>
              <a:solidFill>
                <a:schemeClr val="accent2">
                  <a:shade val="76667"/>
                </a:schemeClr>
              </a:solidFill>
              <a:ln w="19050">
                <a:solidFill>
                  <a:schemeClr val="lt1"/>
                </a:solidFill>
              </a:ln>
              <a:effectLst/>
            </c:spPr>
          </c:dPt>
          <c:dPt>
            <c:idx val="2"/>
            <c:bubble3D val="0"/>
            <c:spPr>
              <a:solidFill>
                <a:schemeClr val="accent3">
                  <a:shade val="76667"/>
                </a:schemeClr>
              </a:solidFill>
              <a:ln w="19050">
                <a:solidFill>
                  <a:schemeClr val="lt1"/>
                </a:solidFill>
              </a:ln>
              <a:effectLst/>
            </c:spPr>
          </c:dPt>
          <c:dPt>
            <c:idx val="3"/>
            <c:bubble3D val="0"/>
            <c:spPr>
              <a:solidFill>
                <a:schemeClr val="accent4">
                  <a:shade val="76667"/>
                </a:schemeClr>
              </a:solidFill>
              <a:ln w="19050">
                <a:solidFill>
                  <a:schemeClr val="lt1"/>
                </a:solidFill>
              </a:ln>
              <a:effectLst/>
            </c:spPr>
          </c:dPt>
          <c:dPt>
            <c:idx val="4"/>
            <c:bubble3D val="0"/>
            <c:spPr>
              <a:solidFill>
                <a:schemeClr val="accent5">
                  <a:shade val="76667"/>
                </a:schemeClr>
              </a:solidFill>
              <a:ln w="19050">
                <a:solidFill>
                  <a:schemeClr val="lt1"/>
                </a:solidFill>
              </a:ln>
              <a:effectLst/>
            </c:spPr>
          </c:dPt>
          <c:dPt>
            <c:idx val="5"/>
            <c:bubble3D val="0"/>
            <c:spPr>
              <a:solidFill>
                <a:schemeClr val="accent6">
                  <a:shade val="76667"/>
                </a:schemeClr>
              </a:solidFill>
              <a:ln w="19050">
                <a:solidFill>
                  <a:schemeClr val="lt1"/>
                </a:solidFill>
              </a:ln>
              <a:effectLst/>
            </c:spPr>
          </c:dPt>
          <c:dPt>
            <c:idx val="6"/>
            <c:bubble3D val="0"/>
            <c:spPr>
              <a:solidFill>
                <a:schemeClr val="accent1">
                  <a:tint val="76667"/>
                </a:schemeClr>
              </a:solidFill>
              <a:ln w="19050">
                <a:solidFill>
                  <a:schemeClr val="lt1"/>
                </a:solidFill>
              </a:ln>
              <a:effectLst/>
            </c:spPr>
          </c:dPt>
          <c:dLbls>
            <c:dLbl>
              <c:idx val="0"/>
              <c:layout>
                <c:manualLayout>
                  <c:x val="0.326420321055374"/>
                  <c:y val="-0.253992547227893"/>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a:t>一般公共预算财政收入
</a:t>
                    </a:r>
                    <a:r>
                      <a:rPr lang="en-US" altLang="zh-CN"/>
                      <a:t>753.7</a:t>
                    </a:r>
                    <a:r>
                      <a:rPr lang="zh-CN" altLang="en-US"/>
                      <a:t>万元</a:t>
                    </a:r>
                    <a:endParaRPr lang="zh-CN" altLang="en-US"/>
                  </a:p>
                </c:rich>
              </c:tx>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408904320561561"/>
                  <c:y val="0.0013246492"/>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a:t>事业收入
</a:t>
                    </a:r>
                    <a:r>
                      <a:rPr lang="en-US" altLang="zh-CN"/>
                      <a:t>8.52</a:t>
                    </a:r>
                    <a:r>
                      <a:rPr lang="zh-CN" altLang="en-US"/>
                      <a:t>万元</a:t>
                    </a:r>
                    <a:endParaRPr lang="zh-CN" altLang="en-US"/>
                  </a:p>
                </c:rich>
              </c:tx>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delete val="1"/>
            </c:dLbl>
            <c:dLbl>
              <c:idx val="3"/>
              <c:delete val="1"/>
            </c:dLbl>
            <c:dLbl>
              <c:idx val="4"/>
              <c:delete val="1"/>
            </c:dLbl>
            <c:dLbl>
              <c:idx val="5"/>
              <c:delete val="1"/>
            </c:dLbl>
            <c:dLbl>
              <c:idx val="6"/>
              <c:delete val="1"/>
            </c:dLbl>
            <c:numFmt formatCode="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 (2)'!$A$2:$A$8</c:f>
              <c:strCache>
                <c:ptCount val="7"/>
                <c:pt idx="0">
                  <c:v>一般公共预算财政收入</c:v>
                </c:pt>
                <c:pt idx="1">
                  <c:v>政府性基金收入</c:v>
                </c:pt>
                <c:pt idx="2">
                  <c:v>上级补助收入</c:v>
                </c:pt>
                <c:pt idx="3">
                  <c:v>事业收入</c:v>
                </c:pt>
                <c:pt idx="4">
                  <c:v>经营收入</c:v>
                </c:pt>
                <c:pt idx="5">
                  <c:v>其他收入</c:v>
                </c:pt>
                <c:pt idx="6">
                  <c:v>附属单位上缴收入</c:v>
                </c:pt>
              </c:strCache>
            </c:strRef>
          </c:cat>
          <c:val>
            <c:numRef>
              <c:f>'Sheet1 (2)'!$B$2:$B$8</c:f>
              <c:numCache>
                <c:formatCode>General</c:formatCode>
                <c:ptCount val="7"/>
                <c:pt idx="0">
                  <c:v>753.7</c:v>
                </c:pt>
                <c:pt idx="1">
                  <c:v>0</c:v>
                </c:pt>
                <c:pt idx="2">
                  <c:v>0</c:v>
                </c:pt>
                <c:pt idx="3">
                  <c:v>8.52</c:v>
                </c:pt>
                <c:pt idx="4">
                  <c:v>0</c:v>
                </c:pt>
                <c:pt idx="5">
                  <c:v>0</c:v>
                </c:pt>
                <c:pt idx="6">
                  <c:v>0</c:v>
                </c:pt>
              </c:numCache>
            </c:numRef>
          </c:val>
        </c:ser>
        <c:dLbls>
          <c:showLegendKey val="0"/>
          <c:showVal val="0"/>
          <c:showCatName val="1"/>
          <c:showSerName val="0"/>
          <c:showPercent val="1"/>
          <c:showBubbleSize val="0"/>
          <c:showLeaderLines val="1"/>
        </c:dLbls>
        <c:firstSliceAng val="0"/>
      </c:pieChart>
      <c:spPr>
        <a:noFill/>
        <a:ln>
          <a:noFill/>
        </a:ln>
        <a:effectLst/>
      </c:spPr>
    </c:plotArea>
    <c:legend>
      <c:legendPos val="b"/>
      <c:layout>
        <c:manualLayout>
          <c:xMode val="edge"/>
          <c:yMode val="edge"/>
          <c:x val="0.166687476588837"/>
          <c:y val="0.76805001366097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f493f07e-7bc2-4ac8-8db8-5672925df92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本年支出</a:t>
            </a:r>
            <a:r>
              <a:rPr lang="en-US" altLang="zh-CN"/>
              <a:t>762.22</a:t>
            </a:r>
            <a:r>
              <a:rPr lang="zh-CN" altLang="en-US"/>
              <a:t>（万元）</a:t>
            </a:r>
            <a:endParaRPr lang="zh-CN" altLang="en-US"/>
          </a:p>
        </c:rich>
      </c:tx>
      <c:layout>
        <c:manualLayout>
          <c:xMode val="edge"/>
          <c:yMode val="edge"/>
          <c:x val="0.362592430264835"/>
          <c:y val="0.0715468340344966"/>
        </c:manualLayout>
      </c:layout>
      <c:overlay val="0"/>
      <c:spPr>
        <a:noFill/>
        <a:ln>
          <a:noFill/>
        </a:ln>
        <a:effectLst/>
      </c:spPr>
    </c:title>
    <c:autoTitleDeleted val="0"/>
    <c:plotArea>
      <c:layout>
        <c:manualLayout>
          <c:layoutTarget val="inner"/>
          <c:xMode val="edge"/>
          <c:yMode val="edge"/>
          <c:x val="0.294625850340136"/>
          <c:y val="0.166026654619381"/>
          <c:w val="0.406666666666667"/>
          <c:h val="0.675175062118816"/>
        </c:manualLayout>
      </c:layout>
      <c:pieChart>
        <c:varyColors val="1"/>
        <c:ser>
          <c:idx val="0"/>
          <c:order val="0"/>
          <c:tx>
            <c:strRef>
              <c:f>'Sheet1 (2)'!$B$1</c:f>
              <c:strCache>
                <c:ptCount val="1"/>
                <c:pt idx="0">
                  <c:v>支出（万元）</c:v>
                </c:pt>
              </c:strCache>
            </c:strRef>
          </c:tx>
          <c:explosion val="0"/>
          <c:dPt>
            <c:idx val="0"/>
            <c:bubble3D val="0"/>
            <c:spPr>
              <a:solidFill>
                <a:schemeClr val="accent1">
                  <a:shade val="76667"/>
                </a:schemeClr>
              </a:solidFill>
              <a:ln w="19050">
                <a:solidFill>
                  <a:schemeClr val="lt1"/>
                </a:solidFill>
              </a:ln>
              <a:effectLst/>
            </c:spPr>
          </c:dPt>
          <c:dPt>
            <c:idx val="1"/>
            <c:bubble3D val="0"/>
            <c:spPr>
              <a:solidFill>
                <a:schemeClr val="accent2">
                  <a:shade val="76667"/>
                </a:schemeClr>
              </a:solidFill>
              <a:ln w="19050">
                <a:solidFill>
                  <a:schemeClr val="lt1"/>
                </a:solidFill>
              </a:ln>
              <a:effectLst/>
            </c:spPr>
          </c:dPt>
          <c:dLbls>
            <c:delete val="1"/>
          </c:dLbls>
          <c:cat>
            <c:strRef>
              <c:extLst>
                <c:ext xmlns:c15="http://schemas.microsoft.com/office/drawing/2012/chart" uri="{02D57815-91ED-43cb-92C2-25804820EDAC}">
                  <c15:fullRef>
                    <c15:sqref>'Sheet1 (2)'!$A$2:$A$8</c15:sqref>
                  </c15:fullRef>
                </c:ext>
              </c:extLst>
              <c:f>('Sheet1 (2)'!$A$2,'Sheet1 (2)'!$A$8)</c:f>
              <c:strCache>
                <c:ptCount val="2"/>
                <c:pt idx="0">
                  <c:v>基本支出</c:v>
                </c:pt>
                <c:pt idx="1">
                  <c:v>附属单位上缴收入</c:v>
                </c:pt>
              </c:strCache>
            </c:strRef>
          </c:cat>
          <c:val>
            <c:numRef>
              <c:extLst>
                <c:ext xmlns:c15="http://schemas.microsoft.com/office/drawing/2012/chart" uri="{02D57815-91ED-43cb-92C2-25804820EDAC}">
                  <c15:fullRef>
                    <c15:sqref>'Sheet1 (2)'!$B$2:$B$8</c15:sqref>
                  </c15:fullRef>
                </c:ext>
              </c:extLst>
              <c:f>('Sheet1 (2)'!$B$2,'Sheet1 (2)'!$B$8)</c:f>
              <c:numCache>
                <c:formatCode>General</c:formatCode>
                <c:ptCount val="2"/>
                <c:pt idx="0">
                  <c:v>762.22</c:v>
                </c:pt>
                <c:pt idx="1">
                  <c:v>0</c:v>
                </c:pt>
              </c:numCache>
            </c:numRef>
          </c:val>
        </c:ser>
        <c:dLbls>
          <c:showLegendKey val="0"/>
          <c:showVal val="0"/>
          <c:showCatName val="1"/>
          <c:showSerName val="0"/>
          <c:showPercent val="1"/>
          <c:showBubbleSize val="0"/>
          <c:showLeaderLines val="1"/>
        </c:dLbls>
        <c:firstSliceAng val="0"/>
      </c:pieChart>
      <c:spPr>
        <a:noFill/>
        <a:ln>
          <a:noFill/>
        </a:ln>
        <a:effectLst/>
      </c:spPr>
    </c:plotArea>
    <c:legend>
      <c:legendPos val="b"/>
      <c:legendEntry>
        <c:idx val="1"/>
        <c:delete val="1"/>
      </c:legendEntry>
      <c:layout>
        <c:manualLayout>
          <c:xMode val="edge"/>
          <c:yMode val="edge"/>
          <c:x val="0.00408942202835333"/>
          <c:y val="0.83949685534591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2d358d18-59f5-4d65-983a-557b718600f9}"/>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447418738049713"/>
          <c:y val="0.204071246819338"/>
          <c:w val="0.951434034416826"/>
          <c:h val="0.676081424936387"/>
        </c:manualLayout>
      </c:layout>
      <c:barChart>
        <c:barDir val="col"/>
        <c:grouping val="clustered"/>
        <c:varyColors val="0"/>
        <c:ser>
          <c:idx val="0"/>
          <c:order val="0"/>
          <c:tx>
            <c:strRef>
              <c:f>Sheet1!$B$1</c:f>
              <c:strCache>
                <c:ptCount val="1"/>
                <c:pt idx="0">
                  <c:v>收支总计（万元）</c:v>
                </c:pt>
              </c:strCache>
            </c:strRef>
          </c:tx>
          <c:spPr>
            <a:solidFill>
              <a:srgbClr val="4472C4"/>
            </a:solidFill>
            <a:ln>
              <a:noFill/>
            </a:ln>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643.6</c:v>
                </c:pt>
                <c:pt idx="1">
                  <c:v>762.22</c:v>
                </c:pt>
              </c:numCache>
            </c:numRef>
          </c:val>
        </c:ser>
        <c:dLbls>
          <c:showLegendKey val="0"/>
          <c:showVal val="1"/>
          <c:showCatName val="0"/>
          <c:showSerName val="0"/>
          <c:showPercent val="0"/>
          <c:showBubbleSize val="0"/>
        </c:dLbls>
        <c:gapWidth val="150"/>
        <c:overlap val="-25"/>
        <c:axId val="109908352"/>
        <c:axId val="109910272"/>
      </c:barChart>
      <c:catAx>
        <c:axId val="109908352"/>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a:defRPr>
            </a:pPr>
          </a:p>
        </c:txPr>
        <c:crossAx val="109910272"/>
        <c:crosses val="autoZero"/>
        <c:auto val="1"/>
        <c:lblAlgn val="ctr"/>
        <c:lblOffset val="100"/>
        <c:noMultiLvlLbl val="0"/>
      </c:catAx>
      <c:valAx>
        <c:axId val="109910272"/>
        <c:scaling>
          <c:orientation val="minMax"/>
        </c:scaling>
        <c:delete val="1"/>
        <c:axPos val="l"/>
        <c:numFmt formatCode="General" sourceLinked="1"/>
        <c:majorTickMark val="none"/>
        <c:minorTickMark val="none"/>
        <c:tickLblPos val="none"/>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a:defRPr>
            </a:pPr>
          </a:p>
        </c:txPr>
        <c:crossAx val="109908352"/>
        <c:crossesAt val="1"/>
        <c:crossBetween val="between"/>
      </c:valAx>
      <c:spPr>
        <a:solidFill>
          <a:srgbClr val="FFFFFF"/>
        </a:solidFill>
      </c:spPr>
    </c:plotArea>
    <c:legend>
      <c:legendPos val="t"/>
      <c:legendEntry>
        <c:idx val="0"/>
        <c:txPr>
          <a:bodyPr rot="0" spcFirstLastPara="0" vertOverflow="ellipsis" vert="horz" wrap="square" anchor="ctr" anchorCtr="1"/>
          <a:lstStyle/>
          <a:p>
            <a:pPr>
              <a:defRPr lang="zh-CN" sz="1800" b="0" i="0" u="none" strike="noStrike" kern="1200" baseline="0">
                <a:solidFill>
                  <a:srgbClr val="000000"/>
                </a:solidFill>
                <a:latin typeface="Times New Roman" panose="02020603050405020304"/>
                <a:ea typeface="宋体" panose="02010600030101010101" charset="-122"/>
                <a:cs typeface="Lucida Sans"/>
              </a:defRPr>
            </a:pPr>
          </a:p>
        </c:txPr>
      </c:legendEntry>
      <c:layout/>
      <c:overlay val="0"/>
      <c:spPr>
        <a:noFill/>
        <a:ln>
          <a:noFill/>
        </a:ln>
      </c:spPr>
      <c:txPr>
        <a:bodyPr rot="0" spcFirstLastPara="0" vertOverflow="ellipsis" vert="horz" wrap="square" anchor="ctr" anchorCtr="1"/>
        <a:lstStyle/>
        <a:p>
          <a:pPr>
            <a:defRPr lang="zh-CN" sz="1800" b="0" i="0" u="none" strike="noStrike" kern="1200" baseline="0">
              <a:solidFill>
                <a:srgbClr val="000000"/>
              </a:solidFill>
              <a:latin typeface="Times New Roman" panose="02020603050405020304"/>
              <a:ea typeface="宋体" panose="02010600030101010101" charset="-122"/>
              <a:cs typeface="Lucida Sans"/>
            </a:defRPr>
          </a:pPr>
        </a:p>
      </c:txPr>
    </c:legend>
    <c:plotVisOnly val="1"/>
    <c:dispBlanksAs val="gap"/>
    <c:showDLblsOverMax val="0"/>
    <c:extLst>
      <c:ext uri="{0b15fc19-7d7d-44ad-8c2d-2c3a37ce22c3}">
        <chartProps xmlns="https://web.wps.cn/et/2018/main" chartId="{9c28aac1-2e19-4280-bfb5-1761171a78c5}"/>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200" b="0" i="0" u="none" strike="noStrike" kern="1200" baseline="0">
              <a:solidFill>
                <a:srgbClr val="000000"/>
              </a:solidFill>
              <a:latin typeface="Times New Roman" panose="02020603050405020304"/>
              <a:ea typeface="宋体" panose="02010600030101010101" charset="-122"/>
              <a:cs typeface="Lucida Sans"/>
            </a:defRPr>
          </a:pPr>
        </a:p>
      </c:txPr>
    </c:title>
    <c:autoTitleDeleted val="0"/>
    <c:plotArea>
      <c:layout>
        <c:manualLayout>
          <c:layoutTarget val="inner"/>
          <c:xMode val="edge"/>
          <c:yMode val="edge"/>
          <c:x val="0.0962249208025343"/>
          <c:y val="0.246336651624753"/>
          <c:w val="0.531546990496304"/>
          <c:h val="0.608846761453397"/>
        </c:manualLayout>
      </c:layout>
      <c:barChart>
        <c:barDir val="col"/>
        <c:grouping val="clustered"/>
        <c:varyColors val="0"/>
        <c:ser>
          <c:idx val="0"/>
          <c:order val="0"/>
          <c:tx>
            <c:strRef>
              <c:f>'Sheet1 (4)'!$B$1</c:f>
              <c:strCache>
                <c:ptCount val="1"/>
                <c:pt idx="0">
                  <c:v>一般公共预算财政拨款支出（万元）</c:v>
                </c:pt>
              </c:strCache>
            </c:strRef>
          </c:tx>
          <c:spPr>
            <a:solidFill>
              <a:srgbClr val="4472C4"/>
            </a:solidFill>
          </c:spPr>
          <c:invertIfNegative val="0"/>
          <c:dLbls>
            <c:delete val="1"/>
          </c:dLbls>
          <c:cat>
            <c:numRef>
              <c:f>'Sheet1 (4)'!$A$2:$A$3</c:f>
              <c:numCache>
                <c:formatCode>General</c:formatCode>
                <c:ptCount val="2"/>
                <c:pt idx="0">
                  <c:v>2024</c:v>
                </c:pt>
                <c:pt idx="1">
                  <c:v>2025</c:v>
                </c:pt>
              </c:numCache>
            </c:numRef>
          </c:cat>
          <c:val>
            <c:numRef>
              <c:f>'Sheet1 (4)'!$B$2:$B$3</c:f>
              <c:numCache>
                <c:formatCode>General</c:formatCode>
                <c:ptCount val="2"/>
                <c:pt idx="0">
                  <c:v>643.6</c:v>
                </c:pt>
                <c:pt idx="1">
                  <c:v>762.22</c:v>
                </c:pt>
              </c:numCache>
            </c:numRef>
          </c:val>
        </c:ser>
        <c:dLbls>
          <c:showLegendKey val="0"/>
          <c:showVal val="0"/>
          <c:showCatName val="0"/>
          <c:showSerName val="0"/>
          <c:showPercent val="0"/>
          <c:showBubbleSize val="0"/>
        </c:dLbls>
        <c:gapWidth val="150"/>
        <c:axId val="196559616"/>
        <c:axId val="196561152"/>
      </c:barChart>
      <c:catAx>
        <c:axId val="196559616"/>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a:defRPr>
            </a:pPr>
          </a:p>
        </c:txPr>
        <c:crossAx val="196561152"/>
        <c:crosses val="autoZero"/>
        <c:auto val="1"/>
        <c:lblAlgn val="ctr"/>
        <c:lblOffset val="100"/>
        <c:noMultiLvlLbl val="0"/>
      </c:catAx>
      <c:valAx>
        <c:axId val="19656115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a:defRPr>
            </a:pPr>
          </a:p>
        </c:txPr>
        <c:crossAx val="196559616"/>
        <c:crosses val="autoZero"/>
        <c:crossBetween val="between"/>
      </c:valAx>
      <c:spPr>
        <a:solidFill>
          <a:srgbClr val="FFFFFF"/>
        </a:solidFill>
      </c:spPr>
    </c:plotArea>
    <c:legend>
      <c:legendPos val="r"/>
      <c:layout/>
      <c:overlay val="0"/>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a:defRPr>
          </a:pPr>
        </a:p>
      </c:txPr>
    </c:legend>
    <c:plotVisOnly val="1"/>
    <c:dispBlanksAs val="gap"/>
    <c:showDLblsOverMax val="0"/>
    <c:extLst>
      <c:ext uri="{0b15fc19-7d7d-44ad-8c2d-2c3a37ce22c3}">
        <chartProps xmlns="https://web.wps.cn/et/2018/main" chartId="{7c42412e-0c89-4d12-8093-5a0eb3c31931}"/>
      </c:ext>
    </c:extLst>
  </c:chart>
  <c:spPr>
    <a:ln w="0" cap="flat" cmpd="sng" algn="ctr">
      <a:solidFill>
        <a:schemeClr val="accent1"/>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200" b="0" i="0" u="none" strike="noStrike" kern="1200" baseline="0">
                <a:solidFill>
                  <a:srgbClr val="000000"/>
                </a:solidFill>
                <a:latin typeface="Times New Roman" panose="02020603050405020304"/>
                <a:ea typeface="宋体" panose="02010600030101010101" charset="-122"/>
                <a:cs typeface="Lucida Sans"/>
              </a:defRPr>
            </a:pPr>
            <a:r>
              <a:rPr lang="zh-CN" altLang="en-US" sz="1400"/>
              <a:t>一般公共预算财政拨款支出（万元）</a:t>
            </a:r>
            <a:endParaRPr lang="zh-CN" altLang="en-US" sz="1400"/>
          </a:p>
        </c:rich>
      </c:tx>
      <c:layout>
        <c:manualLayout>
          <c:xMode val="edge"/>
          <c:yMode val="edge"/>
          <c:x val="0.22019651947437"/>
          <c:y val="0.0279639635562796"/>
        </c:manualLayout>
      </c:layout>
      <c:overlay val="0"/>
    </c:title>
    <c:autoTitleDeleted val="0"/>
    <c:plotArea>
      <c:layout>
        <c:manualLayout>
          <c:layoutTarget val="inner"/>
          <c:xMode val="edge"/>
          <c:yMode val="edge"/>
          <c:x val="0.259561542513845"/>
          <c:y val="0.199167933607843"/>
          <c:w val="0.38841364"/>
          <c:h val="0.6658749"/>
        </c:manualLayout>
      </c:layout>
      <c:pieChart>
        <c:varyColors val="1"/>
        <c:ser>
          <c:idx val="0"/>
          <c:order val="0"/>
          <c:tx>
            <c:strRef>
              <c:f>'Sheet1 (5)'!$B$1</c:f>
              <c:strCache>
                <c:ptCount val="1"/>
                <c:pt idx="0">
                  <c:v>一般公共预算财政拨款支出（万元）</c:v>
                </c:pt>
              </c:strCache>
            </c:strRef>
          </c:tx>
          <c:spPr>
            <a:solidFill>
              <a:srgbClr val="4F81BD"/>
            </a:solidFill>
          </c:spPr>
          <c:explosion val="8"/>
          <c:dPt>
            <c:idx val="0"/>
            <c:bubble3D val="0"/>
            <c:spPr>
              <a:solidFill>
                <a:srgbClr val="4572A7"/>
              </a:solidFill>
            </c:spPr>
          </c:dPt>
          <c:dPt>
            <c:idx val="1"/>
            <c:bubble3D val="0"/>
            <c:spPr>
              <a:solidFill>
                <a:srgbClr val="AA4643"/>
              </a:solidFill>
            </c:spPr>
          </c:dPt>
          <c:dPt>
            <c:idx val="2"/>
            <c:bubble3D val="0"/>
            <c:spPr>
              <a:solidFill>
                <a:srgbClr val="89A54E"/>
              </a:solidFill>
            </c:spPr>
          </c:dPt>
          <c:dPt>
            <c:idx val="3"/>
            <c:bubble3D val="0"/>
            <c:spPr>
              <a:solidFill>
                <a:srgbClr val="71588F"/>
              </a:solidFill>
            </c:spPr>
          </c:dPt>
          <c:dLbls>
            <c:dLbl>
              <c:idx val="0"/>
              <c:layout>
                <c:manualLayout>
                  <c:x val="-0.0353045070507205"/>
                  <c:y val="0.0430386902153037"/>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a:defRPr>
                    </a:pPr>
                    <a:r>
                      <a:rPr lang="zh-CN" altLang="en-US"/>
                      <a:t>教育支出</a:t>
                    </a:r>
                    <a:endParaRPr lang="zh-CN" altLang="en-US"/>
                  </a:p>
                  <a:p>
                    <a:pPr>
                      <a:defRPr lang="zh-CN" sz="1000" b="0" i="0" u="none" strike="noStrike" kern="1200" baseline="0">
                        <a:solidFill>
                          <a:srgbClr val="000000"/>
                        </a:solidFill>
                        <a:latin typeface="Times New Roman" panose="02020603050405020304"/>
                        <a:ea typeface="宋体" panose="02010600030101010101" charset="-122"/>
                        <a:cs typeface="Lucida Sans"/>
                      </a:defRPr>
                    </a:pPr>
                    <a:r>
                      <a:rPr lang="en-US" altLang="zh-CN"/>
                      <a:t>76.8%</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945850028765188"/>
                  <c:y val="-0.0073782587309395"/>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a:defRPr>
                    </a:pPr>
                    <a:r>
                      <a:rPr lang="zh-CN" altLang="en-US"/>
                      <a:t>卫生健康支出</a:t>
                    </a:r>
                    <a:endParaRPr lang="zh-CN" altLang="en-US"/>
                  </a:p>
                  <a:p>
                    <a:pPr>
                      <a:defRPr lang="zh-CN" sz="1000" b="0" i="0" u="none" strike="noStrike" kern="1200" baseline="0">
                        <a:solidFill>
                          <a:srgbClr val="000000"/>
                        </a:solidFill>
                        <a:latin typeface="Times New Roman" panose="02020603050405020304"/>
                        <a:ea typeface="宋体" panose="02010600030101010101" charset="-122"/>
                        <a:cs typeface="Lucida Sans"/>
                      </a:defRPr>
                    </a:pPr>
                    <a:r>
                      <a:rPr lang="en-US" altLang="zh-CN"/>
                      <a:t>5.1%</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318015670703016"/>
                  <c:y val="0.0427480260215584"/>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a:defRPr>
                    </a:pPr>
                    <a:r>
                      <a:rPr lang="zh-CN" sz="1000" b="0" i="0" u="none" strike="noStrike" baseline="0">
                        <a:solidFill>
                          <a:srgbClr val="000000"/>
                        </a:solidFill>
                        <a:latin typeface="Times New Roman" panose="02020603050405020304"/>
                        <a:ea typeface="宋体" panose="02010600030101010101" charset="-122"/>
                        <a:cs typeface="Lucida Sans"/>
                      </a:rPr>
                      <a:t>社会保障和就业支出
</a:t>
                    </a:r>
                    <a:r>
                      <a:rPr lang="en-US" altLang="zh-CN" sz="1000" b="0" i="0" u="none" strike="noStrike" baseline="0">
                        <a:solidFill>
                          <a:srgbClr val="000000"/>
                        </a:solidFill>
                        <a:latin typeface="Times New Roman" panose="02020603050405020304"/>
                        <a:ea typeface="宋体" panose="02010600030101010101" charset="-122"/>
                        <a:cs typeface="Lucida Sans"/>
                      </a:rPr>
                      <a:t>11.8</a:t>
                    </a:r>
                    <a:r>
                      <a:rPr lang="zh-CN" sz="1000" b="0" i="0" u="none" strike="noStrike" baseline="0">
                        <a:solidFill>
                          <a:srgbClr val="000000"/>
                        </a:solidFill>
                        <a:latin typeface="Times New Roman" panose="02020603050405020304"/>
                        <a:ea typeface="宋体" panose="02010600030101010101" charset="-122"/>
                        <a:cs typeface="Lucida Sans"/>
                      </a:rPr>
                      <a:t>%</a:t>
                    </a:r>
                    <a:endParaRPr lang="zh-CN" sz="1000" b="0" i="0" u="none" strike="noStrike" baseline="0">
                      <a:solidFill>
                        <a:srgbClr val="000000"/>
                      </a:solidFill>
                      <a:latin typeface="Times New Roman" panose="02020603050405020304"/>
                      <a:ea typeface="宋体" panose="02010600030101010101" charset="-122"/>
                      <a:cs typeface="Lucida Sans"/>
                    </a:endParaRPr>
                  </a:p>
                </c:rich>
              </c:tx>
              <c:numFmt formatCode="General" sourceLinked="1"/>
              <c:spPr>
                <a:noFill/>
                <a:ln w="12700" cmpd="sng">
                  <a:solidFill>
                    <a:schemeClr val="accent1"/>
                  </a:solidFill>
                  <a:prstDash val="solid"/>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61719218319146"/>
                      <c:h val="0.177570093457944"/>
                    </c:manualLayout>
                  </c15:layout>
                </c:ext>
              </c:extLst>
            </c:dLbl>
            <c:dLbl>
              <c:idx val="3"/>
              <c:layout>
                <c:manualLayout>
                  <c:x val="-0.00692280527510345"/>
                  <c:y val="0.00286820258400053"/>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a:defRPr>
                    </a:pPr>
                    <a:r>
                      <a:rPr lang="zh-CN" sz="1000" b="0" i="0" u="none" strike="noStrike" baseline="0">
                        <a:solidFill>
                          <a:srgbClr val="000000"/>
                        </a:solidFill>
                        <a:latin typeface="Times New Roman" panose="02020603050405020304"/>
                        <a:ea typeface="宋体" panose="02010600030101010101" charset="-122"/>
                        <a:cs typeface="Lucida Sans"/>
                      </a:rPr>
                      <a:t>住房保障支出
</a:t>
                    </a:r>
                    <a:r>
                      <a:rPr lang="en-US" altLang="zh-CN" sz="1000" b="0" i="0" u="none" strike="noStrike" baseline="0">
                        <a:solidFill>
                          <a:srgbClr val="000000"/>
                        </a:solidFill>
                        <a:latin typeface="Times New Roman" panose="02020603050405020304"/>
                        <a:ea typeface="宋体" panose="02010600030101010101" charset="-122"/>
                        <a:cs typeface="Lucida Sans"/>
                      </a:rPr>
                      <a:t>6.3</a:t>
                    </a:r>
                    <a:r>
                      <a:rPr lang="zh-CN" sz="1000" b="0" i="0" u="none" strike="noStrike" baseline="0">
                        <a:solidFill>
                          <a:srgbClr val="000000"/>
                        </a:solidFill>
                        <a:latin typeface="Times New Roman" panose="02020603050405020304"/>
                        <a:ea typeface="宋体" panose="02010600030101010101" charset="-122"/>
                        <a:cs typeface="Lucida Sans"/>
                      </a:rPr>
                      <a:t>%</a:t>
                    </a:r>
                    <a:endParaRPr lang="zh-CN" sz="1000" b="0" i="0" u="none" strike="noStrike" baseline="0">
                      <a:solidFill>
                        <a:srgbClr val="000000"/>
                      </a:solidFill>
                      <a:latin typeface="Times New Roman" panose="02020603050405020304"/>
                      <a:ea typeface="宋体" panose="02010600030101010101" charset="-122"/>
                      <a:cs typeface="Lucida Sans"/>
                    </a:endParaRPr>
                  </a:p>
                </c:rich>
              </c:tx>
              <c:numFmt formatCode="General" sourceLinked="1"/>
              <c:spPr>
                <a:noFill/>
                <a:ln w="12700" cmpd="sng">
                  <a:solidFill>
                    <a:schemeClr val="accent1"/>
                  </a:solidFill>
                  <a:prstDash val="solid"/>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 sourceLinked="0"/>
            <c:spPr>
              <a:noFill/>
              <a:ln w="12700" cmpd="sng">
                <a:solidFill>
                  <a:schemeClr val="accent1"/>
                </a:solidFill>
                <a:prstDash val="solid"/>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extLst>
                <c:ext xmlns:c15="http://schemas.microsoft.com/office/drawing/2012/chart" uri="{02D57815-91ED-43cb-92C2-25804820EDAC}">
                  <c15:fullRef>
                    <c15:sqref>'Sheet1 (5)'!$A$2:$A$7</c15:sqref>
                  </c15:fullRef>
                </c:ext>
              </c:extLst>
              <c:f>('Sheet1 (5)'!$A$2:$A$3,'Sheet1 (5)'!$A$6:$A$7)</c:f>
              <c:strCache>
                <c:ptCount val="4"/>
                <c:pt idx="0">
                  <c:v>社会保障和就业支出</c:v>
                </c:pt>
                <c:pt idx="1">
                  <c:v>卫生健康支出</c:v>
                </c:pt>
                <c:pt idx="2">
                  <c:v>教育支出</c:v>
                </c:pt>
                <c:pt idx="3">
                  <c:v>住房保障支出</c:v>
                </c:pt>
              </c:strCache>
            </c:strRef>
          </c:cat>
          <c:val>
            <c:numRef>
              <c:extLst>
                <c:ext xmlns:c15="http://schemas.microsoft.com/office/drawing/2012/chart" uri="{02D57815-91ED-43cb-92C2-25804820EDAC}">
                  <c15:fullRef>
                    <c15:sqref>'Sheet1 (5)'!$B$2:$B$7</c15:sqref>
                  </c15:fullRef>
                </c:ext>
              </c:extLst>
              <c:f>('Sheet1 (5)'!$B$2:$B$3,'Sheet1 (5)'!$B$6:$B$7)</c:f>
              <c:numCache>
                <c:formatCode>General</c:formatCode>
                <c:ptCount val="4"/>
                <c:pt idx="0">
                  <c:v>89.84</c:v>
                </c:pt>
                <c:pt idx="1">
                  <c:v>38.96</c:v>
                </c:pt>
                <c:pt idx="2">
                  <c:v>48.14</c:v>
                </c:pt>
                <c:pt idx="3">
                  <c:v>42.94</c:v>
                </c:pt>
              </c:numCache>
            </c:numRef>
          </c:val>
        </c:ser>
        <c:dLbls>
          <c:showLegendKey val="0"/>
          <c:showVal val="0"/>
          <c:showCatName val="1"/>
          <c:showSerName val="0"/>
          <c:showPercent val="1"/>
          <c:showBubbleSize val="0"/>
          <c:showLeaderLines val="1"/>
        </c:dLbls>
        <c:firstSliceAng val="0"/>
      </c:pieChart>
      <c:spPr>
        <a:noFill/>
      </c:spPr>
    </c:plotArea>
    <c:legend>
      <c:legendPos val="r"/>
      <c:layout>
        <c:manualLayout>
          <c:xMode val="edge"/>
          <c:yMode val="edge"/>
          <c:x val="0.686161251504212"/>
          <c:y val="0.670344827586207"/>
        </c:manualLayout>
      </c:layout>
      <c:overlay val="0"/>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a:defRPr>
          </a:pPr>
        </a:p>
      </c:txPr>
    </c:legend>
    <c:plotVisOnly val="1"/>
    <c:dispBlanksAs val="zero"/>
    <c:showDLblsOverMax val="0"/>
    <c:extLst>
      <c:ext uri="{0b15fc19-7d7d-44ad-8c2d-2c3a37ce22c3}">
        <chartProps xmlns="https://web.wps.cn/et/2018/main" chartId="{45cc1ed7-9fa1-4841-9635-e8abe3006575}"/>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三公经费</a:t>
            </a:r>
            <a:endParaRPr lang="en-US" sz="1100"/>
          </a:p>
        </c:rich>
      </c:tx>
      <c:layout/>
      <c:overlay val="0"/>
    </c:title>
    <c:autoTitleDeleted val="0"/>
    <c:plotArea>
      <c:layout/>
      <c:pieChart>
        <c:varyColors val="1"/>
        <c:ser>
          <c:idx val="1"/>
          <c:order val="0"/>
          <c:explosion val="0"/>
          <c:dPt>
            <c:idx val="0"/>
            <c:bubble3D val="0"/>
          </c:dPt>
          <c:dPt>
            <c:idx val="1"/>
            <c:bubble3D val="0"/>
          </c:dPt>
          <c:dPt>
            <c:idx val="2"/>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{"因公出国（境）费","公务用车购置及运行维护费","公务接待费"}</c:f>
              <c:strCache>
                <c:ptCount val="3"/>
                <c:pt idx="0">
                  <c:v>因公出国（境）费</c:v>
                </c:pt>
                <c:pt idx="1">
                  <c:v>公务用车购置及运行维护费</c:v>
                </c:pt>
                <c:pt idx="2">
                  <c:v>公务接待费</c:v>
                </c:pt>
              </c:strCache>
            </c:strRef>
          </c:cat>
          <c:val>
            <c:numRef>
              <c:f>{0,0,0}</c:f>
              <c:numCache>
                <c:formatCode>General</c:formatCode>
                <c:ptCount val="3"/>
                <c:pt idx="0">
                  <c:v>0</c:v>
                </c:pt>
                <c:pt idx="1">
                  <c:v>0</c:v>
                </c:pt>
                <c:pt idx="2">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25c7f3fb-64f9-4c45-9ac8-a841c7b3b897}"/>
      </c:ext>
    </c:extLst>
  </c:chart>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16</Pages>
  <Words>4113</Words>
  <Characters>4438</Characters>
  <Lines>82</Lines>
  <Paragraphs>23</Paragraphs>
  <TotalTime>0</TotalTime>
  <ScaleCrop>false</ScaleCrop>
  <LinksUpToDate>false</LinksUpToDate>
  <CharactersWithSpaces>7257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2021-10-09T16:24:00Z</dcterms:created>
  <dc:creator>曹颖</dc:creator>
  <cp:lastModifiedBy>侑點採拐</cp:lastModifiedBy>
  <cp:lastPrinted>2026-09-03T06:58:00Z</cp:lastPrinted>
  <dcterms:modified xsi:type="dcterms:W3CDTF">2026-09-04T02:52:25Z</dcterms:modified>
  <dc:title>阿坝州部门决算说明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0D575221024D4CC2B692B920E5D0ABCF_13</vt:lpwstr>
  </property>
  <property fmtid="{D5CDD505-2E9C-101B-9397-08002B2CF9AE}" pid="4" name="KSOTemplateDocerSaveRecord">
    <vt:lpwstr>eyJoZGlkIjoiYWEzM2FlMTY4ZmY3YWQzNDJjMzY0N2EzYzQ5YWUwNWUiLCJ1c2VySWQiOiI0NDI4OTAyNTYifQ==</vt:lpwstr>
  </property>
</Properties>
</file>