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BB698">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7193"/>
      <w:bookmarkStart w:id="1" w:name="_Toc15396475"/>
      <w:bookmarkStart w:id="2" w:name="_Toc15396597"/>
      <w:bookmarkStart w:id="3" w:name="_Toc15377425"/>
      <w:bookmarkStart w:id="4" w:name="_Toc15378441"/>
      <w:bookmarkStart w:id="5" w:name="_Toc15306267"/>
    </w:p>
    <w:p w14:paraId="761E0820">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0D8C8ECD">
      <w:pPr>
        <w:pStyle w:val="10"/>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End w:id="0"/>
      <w:bookmarkEnd w:id="1"/>
      <w:bookmarkEnd w:id="2"/>
      <w:bookmarkEnd w:id="3"/>
      <w:bookmarkEnd w:id="4"/>
    </w:p>
    <w:bookmarkEnd w:id="5"/>
    <w:p w14:paraId="69A3CA66">
      <w:pPr>
        <w:pStyle w:val="10"/>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bookmarkStart w:id="6" w:name="_Toc15396598"/>
      <w:bookmarkStart w:id="7" w:name="_Toc15377194"/>
      <w:bookmarkStart w:id="8" w:name="_Toc15306268"/>
      <w:bookmarkStart w:id="9" w:name="_Toc15396476"/>
      <w:bookmarkStart w:id="10" w:name="_Toc15377426"/>
      <w:bookmarkStart w:id="11" w:name="_Toc15378442"/>
      <w:r>
        <w:rPr>
          <w:rFonts w:hint="eastAsia" w:ascii="方正小标宋简体" w:hAnsi="宋体" w:eastAsia="方正小标宋简体" w:cs="Times New Roman"/>
          <w:color w:val="auto"/>
          <w:kern w:val="2"/>
          <w:sz w:val="44"/>
          <w:szCs w:val="44"/>
          <w:highlight w:val="none"/>
          <w:lang w:val="en-US" w:eastAsia="zh-CN" w:bidi="ar-SA"/>
        </w:rPr>
        <w:t>四川省阿坝藏族羌族自治州</w:t>
      </w:r>
    </w:p>
    <w:p w14:paraId="1B518D22">
      <w:pPr>
        <w:pStyle w:val="10"/>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茂县凤仪镇幼儿园单位决算</w:t>
      </w:r>
      <w:bookmarkEnd w:id="6"/>
      <w:bookmarkEnd w:id="7"/>
      <w:bookmarkEnd w:id="8"/>
      <w:bookmarkEnd w:id="9"/>
      <w:bookmarkEnd w:id="10"/>
      <w:bookmarkEnd w:id="11"/>
    </w:p>
    <w:p w14:paraId="42990DF6">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2F7E8A3C">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432CE58A">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21269FFD">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DD79E13">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E000795">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543EF567">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0907CCE0">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640578C">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18FB2A1E">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32FD18B0">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14:paraId="0B139671">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14:paraId="4341E319">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508B2CFA">
      <w:pPr>
        <w:pStyle w:val="1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37D52823">
      <w:pPr>
        <w:pStyle w:val="15"/>
        <w:tabs>
          <w:tab w:val="right" w:leader="dot" w:pos="8306"/>
          <w:tab w:val="clear" w:pos="8296"/>
        </w:tabs>
        <w:rPr>
          <w:rFonts w:hint="eastAsia" w:ascii="宋体" w:hAnsi="宋体" w:eastAsia="宋体" w:cs="宋体"/>
          <w:color w:val="000000" w:themeColor="text1"/>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第一部分 单位概况</w:t>
      </w:r>
      <w:r>
        <w:rPr>
          <w:rFonts w:hint="eastAsia" w:ascii="黑体" w:hAnsi="黑体" w:eastAsia="黑体" w:cs="黑体"/>
          <w:smallCaps/>
          <w:color w:val="000000" w:themeColor="text1"/>
          <w:sz w:val="32"/>
          <w:szCs w:val="32"/>
          <w14:textFill>
            <w14:solidFill>
              <w14:schemeClr w14:val="tx1"/>
            </w14:solidFill>
          </w14:textFill>
        </w:rPr>
        <w:tab/>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100DC8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mallCaps/>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一、</w:t>
      </w:r>
      <w:r>
        <w:rPr>
          <w:rFonts w:hint="eastAsia" w:ascii="仿宋" w:hAnsi="仿宋" w:eastAsia="仿宋" w:cs="仿宋"/>
          <w:smallCaps/>
          <w:color w:val="000000" w:themeColor="text1"/>
          <w:sz w:val="32"/>
          <w:szCs w:val="32"/>
          <w:lang w:val="en-US" w:eastAsia="zh-CN"/>
          <w14:textFill>
            <w14:solidFill>
              <w14:schemeClr w14:val="tx1"/>
            </w14:solidFill>
          </w14:textFill>
        </w:rPr>
        <w:t>主要职责</w:t>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1</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27B9DC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二、机构设置</w:t>
      </w:r>
      <w:r>
        <w:rPr>
          <w:rFonts w:hint="eastAsia" w:ascii="仿宋" w:hAnsi="仿宋" w:eastAsia="仿宋" w:cs="仿宋"/>
          <w:smallCaps/>
          <w:color w:val="000000" w:themeColor="text1"/>
          <w:sz w:val="32"/>
          <w:szCs w:val="32"/>
          <w14:textFill>
            <w14:solidFill>
              <w14:schemeClr w14:val="tx1"/>
            </w14:solidFill>
          </w14:textFill>
        </w:rPr>
        <w:tab/>
      </w: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smallCaps/>
          <w:color w:val="000000" w:themeColor="text1"/>
          <w:sz w:val="32"/>
          <w:szCs w:val="32"/>
          <w14:textFill>
            <w14:solidFill>
              <w14:schemeClr w14:val="tx1"/>
            </w14:solidFill>
          </w14:textFill>
        </w:rPr>
        <w:t>1</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8021B5E">
      <w:pPr>
        <w:pStyle w:val="15"/>
        <w:tabs>
          <w:tab w:val="right" w:leader="dot" w:pos="8306"/>
          <w:tab w:val="clear" w:pos="8296"/>
        </w:tabs>
        <w:rPr>
          <w:rFonts w:hint="eastAsia" w:ascii="黑体" w:hAnsi="黑体" w:eastAsia="黑体" w:cs="黑体"/>
          <w:smallCaps/>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t xml:space="preserve">第二部分 </w:t>
      </w:r>
      <w:r>
        <w:rPr>
          <w:rFonts w:hint="eastAsia" w:ascii="黑体" w:hAnsi="黑体" w:eastAsia="黑体" w:cs="黑体"/>
          <w:smallCaps/>
          <w:color w:val="000000" w:themeColor="text1"/>
          <w:sz w:val="32"/>
          <w:szCs w:val="32"/>
          <w:lang w:eastAsia="zh-CN"/>
          <w14:textFill>
            <w14:solidFill>
              <w14:schemeClr w14:val="tx1"/>
            </w14:solidFill>
          </w14:textFill>
        </w:rPr>
        <w:t>2025年</w:t>
      </w:r>
      <w:r>
        <w:rPr>
          <w:rFonts w:hint="eastAsia" w:ascii="黑体" w:hAnsi="黑体" w:eastAsia="黑体" w:cs="黑体"/>
          <w:smallCaps/>
          <w:color w:val="000000" w:themeColor="text1"/>
          <w:sz w:val="32"/>
          <w:szCs w:val="32"/>
          <w14:textFill>
            <w14:solidFill>
              <w14:schemeClr w14:val="tx1"/>
            </w14:solidFill>
          </w14:textFill>
        </w:rPr>
        <w:t>度</w:t>
      </w:r>
      <w:r>
        <w:rPr>
          <w:rFonts w:hint="eastAsia" w:ascii="黑体" w:hAnsi="黑体" w:eastAsia="黑体" w:cs="黑体"/>
          <w:smallCaps/>
          <w:color w:val="000000" w:themeColor="text1"/>
          <w:sz w:val="32"/>
          <w:szCs w:val="32"/>
          <w:lang w:val="en-US" w:eastAsia="zh-CN"/>
          <w14:textFill>
            <w14:solidFill>
              <w14:schemeClr w14:val="tx1"/>
            </w14:solidFill>
          </w14:textFill>
        </w:rPr>
        <w:t>单位</w:t>
      </w:r>
      <w:r>
        <w:rPr>
          <w:rFonts w:hint="eastAsia" w:ascii="黑体" w:hAnsi="黑体" w:eastAsia="黑体" w:cs="黑体"/>
          <w:smallCaps/>
          <w:color w:val="000000" w:themeColor="text1"/>
          <w:sz w:val="32"/>
          <w:szCs w:val="32"/>
          <w14:textFill>
            <w14:solidFill>
              <w14:schemeClr w14:val="tx1"/>
            </w14:solidFill>
          </w14:textFill>
        </w:rPr>
        <w:t>决算情况说明</w:t>
      </w:r>
      <w:r>
        <w:rPr>
          <w:rFonts w:hint="eastAsia" w:ascii="黑体" w:hAnsi="黑体" w:eastAsia="黑体" w:cs="黑体"/>
          <w:smallCaps/>
          <w:color w:val="000000" w:themeColor="text1"/>
          <w:sz w:val="32"/>
          <w:szCs w:val="32"/>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_Toc19710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2</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38137F28">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_Toc19710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一、收入支出决算总体情况说明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_Toc19710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2</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3FDD2247">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_Toc8125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二、收入决算情况说明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_Toc8125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2</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0F99B905">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_Toc28283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三、支出决算情况说明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_Toc28283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3</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5286C4DC">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_Toc19521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四、财政拨款收入支出决算总体情况说明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_Toc19521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4</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BE459EB">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_Toc14368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五、一般公共预算财政拨款支出决算情况说明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_Toc14368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4</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7A938BF9">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_Toc31578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六、一般公共预算财政拨款基本支出决算情况说明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_Toc31578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6</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65F003D0">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_Toc6614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七、“三公”经费财政拨款支出决算情况说明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_Toc6614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7</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bookmarkStart w:id="91" w:name="_GoBack"/>
      <w:bookmarkEnd w:id="91"/>
    </w:p>
    <w:p w14:paraId="204AD965">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_Toc20439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八、政府性基金预算支出决算情况说明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_Toc18455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08FC3FAD">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_Toc23467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九、国有资本经营预算支出决算情况说明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_Toc23467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68F686F">
      <w:pPr>
        <w:pStyle w:val="15"/>
        <w:tabs>
          <w:tab w:val="right" w:leader="dot" w:pos="8306"/>
          <w:tab w:val="clear" w:pos="8296"/>
        </w:tabs>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_Toc18455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十、其他重要事项的情况说明</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_Toc18455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1E4B1768">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Cs w:val="20"/>
          <w:lang w:val="en-US" w:eastAsia="zh-CN"/>
          <w14:textFill>
            <w14:solidFill>
              <w14:schemeClr w14:val="tx1"/>
            </w14:solidFill>
          </w14:textFill>
        </w:rPr>
        <w:t>0</w:t>
      </w:r>
    </w:p>
    <w:p w14:paraId="416DA72B">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PAGEREF _Toc28283 \h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3</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p>
    <w:p w14:paraId="5646B5B8">
      <w:pPr>
        <w:pStyle w:val="15"/>
        <w:tabs>
          <w:tab w:val="right" w:leader="dot" w:pos="8306"/>
          <w:tab w:val="clear" w:pos="8296"/>
        </w:tabs>
        <w:rPr>
          <w:rFonts w:hint="default" w:ascii="宋体" w:hAnsi="宋体" w:eastAsia="宋体" w:cs="宋体"/>
          <w:color w:val="000000" w:themeColor="text1"/>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Cs w:val="20"/>
          <w:lang w:val="en-US" w:eastAsia="zh-CN"/>
          <w14:textFill>
            <w14:solidFill>
              <w14:schemeClr w14:val="tx1"/>
            </w14:solidFill>
          </w14:textFill>
        </w:rPr>
        <w:t>29</w:t>
      </w:r>
    </w:p>
    <w:p w14:paraId="2F1C4D6C">
      <w:pPr>
        <w:pStyle w:val="15"/>
        <w:tabs>
          <w:tab w:val="right" w:leader="dot" w:pos="8306"/>
          <w:tab w:val="clear" w:pos="8296"/>
        </w:tabs>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instrText xml:space="preserve"> HYPERLINK \l _Toc16431 </w:instrTex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一、收入支出决算总表</w:t>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Cs w:val="0"/>
          <w:color w:val="000000" w:themeColor="text1"/>
          <w:kern w:val="2"/>
          <w:sz w:val="32"/>
          <w:szCs w:val="32"/>
          <w:lang w:val="en-US" w:eastAsia="zh-CN" w:bidi="ar-SA"/>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7B8C471C">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7191C2AF">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1AA3AB14">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582AE5DF">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700C1AA2">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6361F692">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7E05BEC8">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172F54F3">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06C48B38">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5F42779D">
      <w:pPr>
        <w:pStyle w:val="15"/>
        <w:tabs>
          <w:tab w:val="right" w:leader="dot" w:pos="8306"/>
          <w:tab w:val="clear" w:pos="8296"/>
        </w:tabs>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768CC95C">
      <w:pPr>
        <w:pStyle w:val="15"/>
        <w:tabs>
          <w:tab w:val="right" w:leader="dot" w:pos="8306"/>
          <w:tab w:val="clear" w:pos="8296"/>
        </w:tabs>
        <w:rPr>
          <w:rFonts w:hint="eastAsia"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0BA46A68">
      <w:pPr>
        <w:pStyle w:val="15"/>
        <w:tabs>
          <w:tab w:val="right" w:leader="dot" w:pos="8306"/>
          <w:tab w:val="clear" w:pos="8296"/>
        </w:tabs>
        <w:rPr>
          <w:rFonts w:hint="default"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tab/>
      </w:r>
      <w:r>
        <w:rPr>
          <w:rFonts w:hint="eastAsia" w:ascii="宋体" w:hAnsi="宋体" w:eastAsia="宋体" w:cs="宋体"/>
          <w:smallCaps/>
          <w:color w:val="000000" w:themeColor="text1"/>
          <w:szCs w:val="20"/>
          <w:lang w:val="en-US" w:eastAsia="zh-CN"/>
          <w14:textFill>
            <w14:solidFill>
              <w14:schemeClr w14:val="tx1"/>
            </w14:solidFill>
          </w14:textFill>
        </w:rPr>
        <w:t>29</w:t>
      </w:r>
    </w:p>
    <w:p w14:paraId="03A31C9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p>
    <w:p w14:paraId="13D15CC9">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0D9D1F24">
      <w:pPr>
        <w:pStyle w:val="5"/>
        <w:jc w:val="center"/>
        <w:rPr>
          <w:rFonts w:hint="default" w:ascii="宋体" w:hAnsi="宋体" w:eastAsia="宋体" w:cs="宋体"/>
          <w:b w:val="0"/>
          <w:bCs w:val="0"/>
          <w:smallCaps/>
          <w:color w:val="000000" w:themeColor="text1"/>
          <w:kern w:val="2"/>
          <w:sz w:val="28"/>
          <w:szCs w:val="20"/>
          <w:lang w:val="en-US" w:eastAsia="zh-CN" w:bidi="ar-SA"/>
          <w14:textFill>
            <w14:solidFill>
              <w14:schemeClr w14:val="tx1"/>
            </w14:solidFill>
          </w14:textFill>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14:paraId="11D72B95">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14:paraId="79FBA2D1">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15" w:name="_Toc15377197"/>
      <w:bookmarkStart w:id="16" w:name="_Toc113981010"/>
      <w:bookmarkStart w:id="17" w:name="_Toc28564"/>
      <w:bookmarkStart w:id="18" w:name="_Toc111208496"/>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8445"/>
      <w:bookmarkStart w:id="21" w:name="_Toc15377198"/>
      <w:r>
        <w:rPr>
          <w:rFonts w:hint="eastAsia" w:ascii="黑体" w:hAnsi="黑体" w:eastAsia="黑体" w:cs="黑体"/>
          <w:b w:val="0"/>
          <w:bCs/>
          <w:color w:val="000000"/>
          <w:lang w:val="en-US" w:eastAsia="zh-CN"/>
        </w:rPr>
        <w:t>主要职责</w:t>
      </w:r>
    </w:p>
    <w:bookmarkEnd w:id="20"/>
    <w:bookmarkEnd w:id="21"/>
    <w:p w14:paraId="159B05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lang w:val="en-US" w:eastAsia="zh-CN"/>
        </w:rPr>
      </w:pPr>
      <w:bookmarkStart w:id="22" w:name="_Toc111208497"/>
      <w:bookmarkStart w:id="23" w:name="_Toc15377200"/>
      <w:bookmarkStart w:id="24" w:name="_Toc22056"/>
      <w:bookmarkStart w:id="25" w:name="_Toc113981011"/>
      <w:r>
        <w:rPr>
          <w:rFonts w:hint="eastAsia" w:ascii="仿宋_GB2312" w:hAnsi="仿宋_GB2312" w:eastAsia="仿宋_GB2312" w:cs="仿宋_GB2312"/>
          <w:color w:val="000000"/>
          <w:sz w:val="32"/>
          <w:szCs w:val="32"/>
          <w:lang w:val="en-US" w:eastAsia="zh-CN"/>
        </w:rPr>
        <w:t>茂县凤仪镇幼儿园主要职责：贯彻执行学前教育相关法律法规及政策，为3-6岁学龄前儿童提供普惠性保育、教育服务，规范开展幼儿一日保教活动，保障幼儿身心健康、安全成长；负责单位预算编制、财政资金管理、国有资产管理、人事管理、校园安全及后勤保障工作，完成县教育局交办的各项学前教育工作任务。</w:t>
      </w:r>
    </w:p>
    <w:p w14:paraId="294C52C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二、机构设置</w:t>
      </w:r>
      <w:bookmarkEnd w:id="22"/>
      <w:bookmarkEnd w:id="23"/>
      <w:bookmarkEnd w:id="24"/>
      <w:bookmarkEnd w:id="25"/>
    </w:p>
    <w:p w14:paraId="4A7D14CB">
      <w:pPr>
        <w:widowControl/>
        <w:ind w:firstLine="640" w:firstLineChars="200"/>
        <w:jc w:val="left"/>
        <w:rPr>
          <w:rFonts w:hint="eastAsia" w:ascii="思源黑体 CN Normal" w:hAnsi="思源黑体 CN Normal" w:eastAsia="思源黑体 CN Normal" w:cs="思源黑体 CN Normal"/>
          <w:b/>
          <w:bCs/>
          <w:color w:val="000000"/>
          <w:kern w:val="44"/>
          <w:sz w:val="44"/>
          <w:szCs w:val="44"/>
        </w:rPr>
      </w:pPr>
      <w:r>
        <w:rPr>
          <w:rFonts w:hint="eastAsia" w:ascii="仿宋_GB2312" w:hAnsi="仿宋_GB2312" w:eastAsia="仿宋_GB2312" w:cs="仿宋_GB2312"/>
          <w:color w:val="000000"/>
          <w:sz w:val="32"/>
          <w:szCs w:val="32"/>
        </w:rPr>
        <w:t>茂县</w:t>
      </w:r>
      <w:r>
        <w:rPr>
          <w:rFonts w:hint="eastAsia" w:ascii="仿宋_GB2312" w:hAnsi="仿宋_GB2312" w:eastAsia="仿宋_GB2312" w:cs="仿宋_GB2312"/>
          <w:color w:val="000000"/>
          <w:sz w:val="32"/>
          <w:szCs w:val="32"/>
          <w:lang w:eastAsia="zh-CN"/>
        </w:rPr>
        <w:t>凤仪镇</w:t>
      </w:r>
      <w:r>
        <w:rPr>
          <w:rFonts w:hint="eastAsia" w:ascii="仿宋_GB2312" w:hAnsi="仿宋_GB2312" w:eastAsia="仿宋_GB2312" w:cs="仿宋_GB2312"/>
          <w:color w:val="000000"/>
          <w:sz w:val="32"/>
          <w:szCs w:val="32"/>
        </w:rPr>
        <w:t>幼儿园</w:t>
      </w:r>
      <w:r>
        <w:rPr>
          <w:rFonts w:hint="eastAsia" w:ascii="仿宋_GB2312" w:hAnsi="仿宋_GB2312" w:eastAsia="仿宋_GB2312" w:cs="仿宋_GB2312"/>
          <w:color w:val="000000"/>
          <w:sz w:val="32"/>
          <w:szCs w:val="32"/>
          <w:lang w:val="en-US" w:eastAsia="zh-CN"/>
        </w:rPr>
        <w:t>是</w:t>
      </w:r>
      <w:r>
        <w:rPr>
          <w:rFonts w:hint="eastAsia" w:ascii="仿宋_GB2312" w:hAnsi="仿宋_GB2312" w:eastAsia="仿宋_GB2312" w:cs="仿宋_GB2312"/>
          <w:color w:val="000000"/>
          <w:sz w:val="32"/>
          <w:szCs w:val="32"/>
        </w:rPr>
        <w:t>县教育局下属</w:t>
      </w:r>
      <w:r>
        <w:rPr>
          <w:rFonts w:hint="eastAsia" w:ascii="仿宋_GB2312" w:hAnsi="仿宋_GB2312" w:eastAsia="仿宋_GB2312" w:cs="仿宋_GB2312"/>
          <w:color w:val="000000"/>
          <w:sz w:val="32"/>
          <w:szCs w:val="32"/>
          <w:lang w:eastAsia="zh-CN"/>
        </w:rPr>
        <w:t>二级预算单位</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其中参照公务员法管理的事业单位</w:t>
      </w:r>
      <w:r>
        <w:rPr>
          <w:rFonts w:hint="eastAsia" w:ascii="仿宋_GB2312" w:hAnsi="仿宋_GB2312" w:eastAsia="仿宋_GB2312" w:cs="仿宋_GB2312"/>
          <w:color w:val="000000"/>
          <w:sz w:val="32"/>
          <w:szCs w:val="32"/>
          <w:lang w:val="en-US" w:eastAsia="zh-CN"/>
        </w:rPr>
        <w:t>0个，其他事业单位0个。</w:t>
      </w:r>
      <w:r>
        <w:rPr>
          <w:rFonts w:hint="eastAsia" w:ascii="仿宋" w:hAnsi="仿宋" w:eastAsia="仿宋" w:cs="仿宋"/>
          <w:color w:val="000000"/>
          <w:sz w:val="32"/>
          <w:szCs w:val="32"/>
          <w:lang w:val="en-US" w:eastAsia="zh-CN"/>
        </w:rPr>
        <w:t xml:space="preserve"> </w:t>
      </w:r>
      <w:r>
        <w:rPr>
          <w:rFonts w:hint="eastAsia" w:ascii="思源黑体 CN Normal" w:hAnsi="思源黑体 CN Normal" w:eastAsia="思源黑体 CN Normal" w:cs="思源黑体 CN Normal"/>
          <w:color w:val="000000"/>
        </w:rPr>
        <w:br w:type="page"/>
      </w:r>
    </w:p>
    <w:p w14:paraId="7CBD4C51">
      <w:pPr>
        <w:pStyle w:val="5"/>
        <w:jc w:val="center"/>
        <w:rPr>
          <w:rFonts w:hint="eastAsia" w:ascii="黑体" w:hAnsi="黑体" w:eastAsia="黑体" w:cs="黑体"/>
          <w:b w:val="0"/>
          <w:bCs w:val="0"/>
        </w:rPr>
      </w:pPr>
      <w:bookmarkStart w:id="26" w:name="_Toc9058"/>
      <w:bookmarkStart w:id="27" w:name="_Toc11120849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14:paraId="681CB66A">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28" w:name="_Toc15377205"/>
      <w:bookmarkStart w:id="29" w:name="_Toc111208499"/>
      <w:bookmarkStart w:id="30" w:name="_Toc19710"/>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14:paraId="035F13E5">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t xml:space="preserve">2025年度收、支总计均为750.85万元。与2024年度相比，收、支总计各增加40.22万元，增长5.66%。主要变动原因是：本年财政预算收入增加。 </w:t>
      </w:r>
    </w:p>
    <w:p w14:paraId="3653B3CA">
      <w:pPr>
        <w:spacing w:line="600" w:lineRule="exact"/>
        <w:ind w:firstLine="640" w:firstLineChars="200"/>
        <w:jc w:val="center"/>
        <w:rPr>
          <w:rFonts w:hint="eastAsia" w:ascii="思源黑体 CN Normal" w:hAnsi="思源黑体 CN Normal" w:eastAsia="思源黑体 CN Normal" w:cs="思源黑体 CN Normal"/>
          <w:lang w:val="en-US" w:eastAsia="zh-CN"/>
        </w:rPr>
      </w:pPr>
      <w:r>
        <w:rPr>
          <w:rFonts w:hint="eastAsia" w:ascii="仿宋" w:eastAsia="仿宋"/>
          <w:color w:val="000000"/>
          <w:sz w:val="32"/>
          <w:szCs w:val="32"/>
        </w:rPr>
        <w:drawing>
          <wp:anchor distT="0" distB="0" distL="114300" distR="114300" simplePos="0" relativeHeight="251661312" behindDoc="0" locked="0" layoutInCell="1" allowOverlap="1">
            <wp:simplePos x="0" y="0"/>
            <wp:positionH relativeFrom="column">
              <wp:posOffset>344805</wp:posOffset>
            </wp:positionH>
            <wp:positionV relativeFrom="paragraph">
              <wp:posOffset>287655</wp:posOffset>
            </wp:positionV>
            <wp:extent cx="4981575" cy="2495550"/>
            <wp:effectExtent l="4445" t="4445" r="5080" b="1460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思源黑体 CN Normal" w:hAnsi="思源黑体 CN Normal" w:eastAsia="思源黑体 CN Normal" w:cs="思源黑体 CN Normal"/>
          <w:lang w:val="en-US" w:eastAsia="zh-CN"/>
        </w:rPr>
        <w:t xml:space="preserve">     </w:t>
      </w:r>
      <w:bookmarkStart w:id="31" w:name="_Toc111208500"/>
      <w:bookmarkStart w:id="32" w:name="_Toc15377206"/>
      <w:bookmarkStart w:id="33" w:name="_Toc8125"/>
    </w:p>
    <w:p w14:paraId="538DC9B7">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二、收入决算情况说明</w:t>
      </w:r>
      <w:bookmarkEnd w:id="31"/>
      <w:bookmarkEnd w:id="32"/>
      <w:bookmarkEnd w:id="33"/>
    </w:p>
    <w:p w14:paraId="6F5D9CE8">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u w:color="auto"/>
          <w:lang w:val="en-US" w:eastAsia="zh-CN"/>
        </w:rPr>
        <w:t>750.85</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，其中:一般公共预算财政拨款收入750.85万元，占100%</w:t>
      </w:r>
      <w:r>
        <w:rPr>
          <w:rFonts w:hint="eastAsia" w:ascii="仿宋_GB2312" w:hAnsi="仿宋_GB2312" w:eastAsia="仿宋_GB2312" w:cs="仿宋_GB2312"/>
          <w:color w:val="000000"/>
          <w:sz w:val="32"/>
          <w:szCs w:val="32"/>
        </w:rPr>
        <w:t>。</w:t>
      </w:r>
    </w:p>
    <w:p w14:paraId="6D1B69AF">
      <w:pPr>
        <w:pStyle w:val="16"/>
        <w:ind w:left="1060" w:hanging="640"/>
        <w:jc w:val="center"/>
        <w:rPr>
          <w:rFonts w:hint="eastAsia" w:ascii="仿宋" w:hAnsi="仿宋" w:eastAsia="仿宋" w:cs="仿宋"/>
        </w:rPr>
      </w:pPr>
      <w:r>
        <w:rPr>
          <w:rFonts w:hint="eastAsia" w:ascii="思源黑体 CN Normal" w:hAnsi="思源黑体 CN Normal" w:eastAsia="思源黑体 CN Normal" w:cs="思源黑体 CN Normal"/>
          <w:color w:val="FF0000"/>
          <w:sz w:val="32"/>
          <w:szCs w:val="32"/>
        </w:rPr>
        <w:drawing>
          <wp:inline distT="0" distB="0" distL="114300" distR="114300">
            <wp:extent cx="5267325" cy="3191510"/>
            <wp:effectExtent l="4445" t="4445" r="5080" b="234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76B7F3">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34" w:name="_Toc15377207"/>
      <w:bookmarkStart w:id="35" w:name="_Toc28283"/>
      <w:bookmarkStart w:id="36" w:name="_Toc111208501"/>
    </w:p>
    <w:p w14:paraId="6E0A41C7">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r>
        <w:rPr>
          <w:rFonts w:hint="eastAsia" w:ascii="黑体" w:hAnsi="黑体" w:eastAsia="黑体" w:cs="黑体"/>
          <w:b w:val="0"/>
          <w:bCs/>
          <w:color w:val="000000"/>
          <w:lang w:val="en-US" w:eastAsia="zh-CN"/>
        </w:rPr>
        <w:t>三、支出决算情况说明</w:t>
      </w:r>
      <w:bookmarkEnd w:id="34"/>
      <w:bookmarkEnd w:id="35"/>
      <w:bookmarkEnd w:id="36"/>
    </w:p>
    <w:p w14:paraId="48816F38">
      <w:pPr>
        <w:pStyle w:val="6"/>
        <w:pageBreakBefore w:val="0"/>
        <w:numPr>
          <w:ilvl w:val="0"/>
          <w:numId w:val="0"/>
        </w:numPr>
        <w:kinsoku/>
        <w:wordWrap/>
        <w:overflowPunct/>
        <w:topLinePunct w:val="0"/>
        <w:autoSpaceDE/>
        <w:autoSpaceDN/>
        <w:bidi w:val="0"/>
        <w:adjustRightInd/>
        <w:snapToGrid/>
        <w:spacing w:before="0" w:after="0"/>
        <w:ind w:firstLine="640" w:firstLineChars="200"/>
        <w:rPr>
          <w:rFonts w:hint="eastAsia" w:ascii="仿宋" w:hAnsi="仿宋" w:eastAsia="仿宋" w:cs="仿宋"/>
          <w:color w:val="000000"/>
          <w:sz w:val="32"/>
          <w:szCs w:val="32"/>
        </w:rPr>
      </w:pPr>
      <w:r>
        <w:rPr>
          <w:rFonts w:hint="eastAsia" w:ascii="仿宋_GB2312" w:hAnsi="仿宋_GB2312" w:eastAsia="仿宋_GB2312" w:cs="仿宋_GB2312"/>
          <w:b w:val="0"/>
          <w:bCs w:val="0"/>
          <w:color w:val="000000"/>
          <w:kern w:val="2"/>
          <w:sz w:val="32"/>
          <w:szCs w:val="32"/>
          <w:lang w:val="en-US" w:eastAsia="zh-CN" w:bidi="ar-SA"/>
        </w:rPr>
        <w:t>2025年度本年支出合计750.85万元，其中:基本支出699.17万元，占93.11%；项目支出51.68万元，占6.89%。</w:t>
      </w:r>
    </w:p>
    <w:p w14:paraId="36954313">
      <w:pPr>
        <w:spacing w:line="600" w:lineRule="exact"/>
        <w:ind w:firstLine="640" w:firstLineChars="200"/>
        <w:jc w:val="center"/>
        <w:rPr>
          <w:rFonts w:hint="eastAsia" w:ascii="仿宋" w:hAnsi="仿宋" w:eastAsia="仿宋" w:cs="仿宋"/>
          <w:color w:val="000000"/>
          <w:sz w:val="32"/>
          <w:szCs w:val="32"/>
        </w:rPr>
      </w:pPr>
      <w:r>
        <w:rPr>
          <w:rFonts w:hint="eastAsia" w:asci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235585</wp:posOffset>
            </wp:positionH>
            <wp:positionV relativeFrom="paragraph">
              <wp:posOffset>181610</wp:posOffset>
            </wp:positionV>
            <wp:extent cx="4938395" cy="2248535"/>
            <wp:effectExtent l="4445" t="4445" r="10160" b="1397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7CE8E16">
      <w:pPr>
        <w:jc w:val="center"/>
        <w:rPr>
          <w:rFonts w:hint="eastAsia" w:ascii="思源黑体 CN Normal" w:hAnsi="思源黑体 CN Normal" w:eastAsia="思源黑体 CN Normal" w:cs="思源黑体 CN Normal"/>
          <w:color w:val="FF0000"/>
          <w:sz w:val="32"/>
          <w:szCs w:val="32"/>
        </w:rPr>
      </w:pPr>
    </w:p>
    <w:p w14:paraId="6A129DC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37" w:name="_Toc15377208"/>
      <w:bookmarkStart w:id="38" w:name="_Toc19521"/>
      <w:bookmarkStart w:id="39" w:name="_Toc111208502"/>
      <w:r>
        <w:rPr>
          <w:rFonts w:hint="eastAsia" w:ascii="黑体" w:hAnsi="黑体" w:eastAsia="黑体" w:cs="黑体"/>
          <w:b w:val="0"/>
          <w:bCs/>
          <w:color w:val="000000"/>
          <w:lang w:val="en-US" w:eastAsia="zh-CN"/>
        </w:rPr>
        <w:t>四、财政拨款收入支出决算总体情况说明</w:t>
      </w:r>
      <w:bookmarkEnd w:id="37"/>
      <w:bookmarkEnd w:id="38"/>
      <w:bookmarkEnd w:id="39"/>
    </w:p>
    <w:p w14:paraId="76977B46">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财政拨款收、支总计均为</w:t>
      </w:r>
      <w:r>
        <w:rPr>
          <w:rFonts w:hint="eastAsia" w:ascii="仿宋_GB2312" w:hAnsi="仿宋_GB2312" w:eastAsia="仿宋_GB2312" w:cs="仿宋_GB2312"/>
          <w:color w:val="000000"/>
          <w:sz w:val="32"/>
          <w:u w:color="auto"/>
          <w:lang w:val="en-US" w:eastAsia="zh-CN"/>
        </w:rPr>
        <w:t>750.85</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相比，财政拨款收、支总计各</w:t>
      </w:r>
      <w:r>
        <w:rPr>
          <w:rFonts w:hint="eastAsia" w:ascii="仿宋_GB2312" w:hAnsi="仿宋_GB2312" w:eastAsia="仿宋_GB2312" w:cs="仿宋_GB2312"/>
          <w:color w:val="000000"/>
          <w:sz w:val="32"/>
          <w:u w:color="auto"/>
          <w:lang w:val="en-US" w:eastAsia="zh-CN"/>
        </w:rPr>
        <w:t>增加40.22</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增长5.66</w:t>
      </w:r>
      <w:r>
        <w:rPr>
          <w:rFonts w:hint="eastAsia" w:ascii="仿宋_GB2312" w:hAnsi="仿宋_GB2312" w:eastAsia="仿宋_GB2312" w:cs="仿宋_GB2312"/>
          <w:color w:val="000000"/>
          <w:sz w:val="32"/>
          <w:u w:color="auto"/>
        </w:rPr>
        <w:t>%。</w:t>
      </w:r>
    </w:p>
    <w:p w14:paraId="59E9E6DC">
      <w:pPr>
        <w:pStyle w:val="8"/>
        <w:ind w:left="0" w:leftChars="0" w:firstLine="0" w:firstLineChars="0"/>
        <w:jc w:val="left"/>
        <w:rPr>
          <w:rFonts w:hint="eastAsia" w:ascii="仿宋" w:hAnsi="仿宋" w:eastAsia="仿宋" w:cs="仿宋"/>
          <w:color w:val="000000"/>
          <w:sz w:val="32"/>
          <w:szCs w:val="32"/>
        </w:rPr>
      </w:pP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本年总</w:t>
      </w:r>
      <w:r>
        <w:rPr>
          <w:rFonts w:hint="eastAsia" w:ascii="仿宋_GB2312" w:hAnsi="仿宋_GB2312" w:eastAsia="仿宋_GB2312" w:cs="仿宋_GB2312"/>
          <w:color w:val="000000"/>
          <w:sz w:val="32"/>
          <w:szCs w:val="32"/>
          <w:lang w:val="en-US" w:eastAsia="zh-CN"/>
        </w:rPr>
        <w:t>收入增加</w:t>
      </w:r>
      <w:r>
        <w:rPr>
          <w:rFonts w:hint="eastAsia" w:ascii="仿宋_GB2312" w:hAnsi="仿宋_GB2312" w:eastAsia="仿宋_GB2312" w:cs="仿宋_GB2312"/>
          <w:color w:val="000000"/>
          <w:sz w:val="32"/>
          <w:szCs w:val="32"/>
        </w:rPr>
        <w:t>。</w:t>
      </w:r>
      <w:r>
        <w:rPr>
          <w:rFonts w:hint="eastAsia" w:ascii="仿宋" w:hAnsi="仿宋" w:eastAsia="仿宋" w:cs="仿宋"/>
          <w:color w:val="000000"/>
          <w:sz w:val="32"/>
          <w:szCs w:val="32"/>
        </w:rPr>
        <w:t xml:space="preserve"> </w:t>
      </w:r>
    </w:p>
    <w:p w14:paraId="132E302A">
      <w:pPr>
        <w:pStyle w:val="8"/>
        <w:jc w:val="left"/>
        <w:rPr>
          <w:rFonts w:hint="eastAsia" w:ascii="仿宋" w:hAnsi="仿宋" w:eastAsia="仿宋" w:cs="仿宋"/>
        </w:rPr>
      </w:pPr>
      <w:r>
        <w:rPr>
          <w:rFonts w:hint="eastAsia" w:ascii="仿宋" w:eastAsia="仿宋"/>
          <w:color w:val="000000"/>
          <w:sz w:val="32"/>
          <w:szCs w:val="32"/>
        </w:rPr>
        <w:drawing>
          <wp:anchor distT="0" distB="0" distL="114300" distR="114300" simplePos="0" relativeHeight="251663360" behindDoc="0" locked="0" layoutInCell="1" allowOverlap="1">
            <wp:simplePos x="0" y="0"/>
            <wp:positionH relativeFrom="column">
              <wp:posOffset>165735</wp:posOffset>
            </wp:positionH>
            <wp:positionV relativeFrom="paragraph">
              <wp:posOffset>114300</wp:posOffset>
            </wp:positionV>
            <wp:extent cx="4981575" cy="2495550"/>
            <wp:effectExtent l="4445" t="4445" r="5080" b="1460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s="仿宋"/>
          <w:color w:val="000000"/>
          <w:sz w:val="32"/>
          <w:szCs w:val="32"/>
          <w:lang w:val="en-US" w:eastAsia="zh-CN"/>
        </w:rPr>
        <w:t xml:space="preserve">    </w:t>
      </w:r>
    </w:p>
    <w:p w14:paraId="4B626A65">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lang w:val="en-US" w:eastAsia="zh-CN"/>
        </w:rPr>
      </w:pPr>
      <w:bookmarkStart w:id="40" w:name="_Toc15377209"/>
      <w:bookmarkStart w:id="41" w:name="_Toc111208503"/>
      <w:bookmarkStart w:id="42" w:name="_Toc14368"/>
      <w:r>
        <w:rPr>
          <w:rFonts w:hint="eastAsia" w:ascii="黑体" w:hAnsi="黑体" w:eastAsia="黑体" w:cs="黑体"/>
          <w:b w:val="0"/>
          <w:bCs/>
          <w:color w:val="000000"/>
          <w:lang w:val="en-US" w:eastAsia="zh-CN"/>
        </w:rPr>
        <w:t>五、一般公共预算财政拨款支出决算情况说</w:t>
      </w:r>
      <w:bookmarkEnd w:id="40"/>
      <w:r>
        <w:rPr>
          <w:rFonts w:hint="eastAsia" w:ascii="黑体" w:hAnsi="黑体" w:eastAsia="黑体" w:cs="黑体"/>
          <w:b w:val="0"/>
          <w:bCs/>
          <w:color w:val="000000"/>
          <w:lang w:val="en-US" w:eastAsia="zh-CN"/>
        </w:rPr>
        <w:t>明</w:t>
      </w:r>
      <w:bookmarkEnd w:id="41"/>
      <w:bookmarkEnd w:id="42"/>
    </w:p>
    <w:p w14:paraId="3CD68686">
      <w:pPr>
        <w:spacing w:line="600" w:lineRule="exact"/>
        <w:ind w:firstLine="643"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14:paraId="796E6D72">
      <w:pPr>
        <w:spacing w:line="600" w:lineRule="exact"/>
        <w:ind w:firstLine="640" w:firstLineChars="200"/>
        <w:rPr>
          <w:rFonts w:hint="eastAsia" w:ascii="仿宋_GB2312" w:hAnsi="仿宋_GB2312" w:eastAsia="仿宋_GB2312" w:cs="仿宋_GB2312"/>
          <w:b/>
          <w:color w:val="000000"/>
          <w:sz w:val="32"/>
          <w:szCs w:val="32"/>
          <w:lang w:val="en-US" w:eastAsia="zh-CN"/>
        </w:rPr>
      </w:pPr>
      <w:bookmarkStart w:id="44" w:name="_Toc15377211"/>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750.85</w:t>
      </w:r>
      <w:r>
        <w:rPr>
          <w:rFonts w:hint="eastAsia" w:ascii="仿宋_GB2312" w:hAnsi="仿宋_GB2312" w:eastAsia="仿宋_GB2312" w:cs="仿宋_GB2312"/>
          <w:color w:val="000000"/>
          <w:sz w:val="32"/>
          <w:u w:color="auto"/>
        </w:rPr>
        <w:t>万元，占本年支出合计的10</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lang w:val="en-US" w:eastAsia="zh-CN"/>
        </w:rPr>
        <w:t>增加40.22</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增长5.66</w:t>
      </w:r>
      <w:r>
        <w:rPr>
          <w:rFonts w:hint="eastAsia" w:ascii="仿宋_GB2312" w:hAnsi="仿宋_GB2312" w:eastAsia="仿宋_GB2312" w:cs="仿宋_GB2312"/>
          <w:color w:val="000000"/>
          <w:sz w:val="32"/>
          <w:u w:color="auto"/>
        </w:rPr>
        <w:t xml:space="preserve"> %。主要变动原因是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本年总</w:t>
      </w:r>
      <w:r>
        <w:rPr>
          <w:rFonts w:hint="eastAsia" w:ascii="仿宋_GB2312" w:hAnsi="仿宋_GB2312" w:eastAsia="仿宋_GB2312" w:cs="仿宋_GB2312"/>
          <w:color w:val="000000"/>
          <w:sz w:val="32"/>
          <w:u w:color="auto"/>
          <w:lang w:val="en-US" w:eastAsia="zh-CN"/>
        </w:rPr>
        <w:t>收入增加</w:t>
      </w:r>
      <w:r>
        <w:rPr>
          <w:rFonts w:hint="eastAsia" w:ascii="仿宋_GB2312" w:hAnsi="仿宋_GB2312" w:eastAsia="仿宋_GB2312" w:cs="仿宋_GB2312"/>
          <w:color w:val="000000"/>
          <w:sz w:val="32"/>
          <w:u w:color="auto"/>
        </w:rPr>
        <w:t xml:space="preserve">。 </w:t>
      </w:r>
    </w:p>
    <w:p w14:paraId="301ECF05">
      <w:pPr>
        <w:pStyle w:val="8"/>
        <w:ind w:firstLine="0"/>
        <w:rPr>
          <w:rFonts w:hint="eastAsia" w:ascii="思源黑体 CN Normal" w:hAnsi="思源黑体 CN Normal" w:eastAsia="思源黑体 CN Normal" w:cs="思源黑体 CN Normal"/>
          <w:b/>
          <w:color w:val="000000"/>
          <w:sz w:val="32"/>
          <w:szCs w:val="32"/>
        </w:rPr>
      </w:pPr>
    </w:p>
    <w:p w14:paraId="01BA4ED1">
      <w:pPr>
        <w:pStyle w:val="8"/>
        <w:ind w:firstLine="0"/>
        <w:rPr>
          <w:rFonts w:hint="eastAsia" w:ascii="思源黑体 CN Normal" w:hAnsi="思源黑体 CN Normal" w:eastAsia="思源黑体 CN Normal" w:cs="思源黑体 CN Normal"/>
          <w:b/>
          <w:color w:val="000000"/>
          <w:sz w:val="32"/>
          <w:szCs w:val="32"/>
        </w:rPr>
      </w:pPr>
    </w:p>
    <w:p w14:paraId="2FE03BB6">
      <w:pPr>
        <w:pStyle w:val="8"/>
        <w:ind w:firstLine="0"/>
        <w:rPr>
          <w:rFonts w:hint="eastAsia" w:ascii="思源黑体 CN Normal" w:hAnsi="思源黑体 CN Normal" w:eastAsia="思源黑体 CN Normal" w:cs="思源黑体 CN Normal"/>
          <w:b/>
          <w:color w:val="000000"/>
          <w:sz w:val="32"/>
          <w:szCs w:val="32"/>
        </w:rPr>
      </w:pPr>
    </w:p>
    <w:p w14:paraId="725377AF">
      <w:pPr>
        <w:pStyle w:val="8"/>
        <w:ind w:firstLine="0"/>
        <w:rPr>
          <w:rFonts w:hint="eastAsia" w:ascii="思源黑体 CN Normal" w:hAnsi="思源黑体 CN Normal" w:eastAsia="思源黑体 CN Normal" w:cs="思源黑体 CN Normal"/>
          <w:b/>
          <w:color w:val="000000"/>
          <w:sz w:val="32"/>
          <w:szCs w:val="32"/>
        </w:rPr>
      </w:pPr>
    </w:p>
    <w:p w14:paraId="11C6D3F7">
      <w:pPr>
        <w:pStyle w:val="8"/>
        <w:ind w:firstLine="0"/>
        <w:rPr>
          <w:rFonts w:hint="eastAsia" w:ascii="思源黑体 CN Normal" w:hAnsi="思源黑体 CN Normal" w:eastAsia="思源黑体 CN Normal" w:cs="思源黑体 CN Normal"/>
          <w:b/>
          <w:color w:val="000000"/>
          <w:sz w:val="32"/>
          <w:szCs w:val="32"/>
        </w:rPr>
      </w:pPr>
    </w:p>
    <w:p w14:paraId="6CFF663E">
      <w:pPr>
        <w:pStyle w:val="8"/>
        <w:ind w:firstLine="0"/>
        <w:rPr>
          <w:rFonts w:hint="eastAsia" w:ascii="思源黑体 CN Normal" w:hAnsi="思源黑体 CN Normal" w:eastAsia="思源黑体 CN Normal" w:cs="思源黑体 CN Normal"/>
          <w:b/>
          <w:color w:val="000000"/>
          <w:sz w:val="32"/>
          <w:szCs w:val="32"/>
        </w:rPr>
      </w:pPr>
      <w:r>
        <w:rPr>
          <w:rFonts w:hint="eastAsia" w:ascii="仿宋" w:eastAsia="仿宋"/>
          <w:color w:val="000000"/>
          <w:sz w:val="32"/>
          <w:szCs w:val="32"/>
        </w:rPr>
        <w:drawing>
          <wp:anchor distT="0" distB="0" distL="114300" distR="114300" simplePos="0" relativeHeight="251664384" behindDoc="1" locked="0" layoutInCell="1" allowOverlap="1">
            <wp:simplePos x="0" y="0"/>
            <wp:positionH relativeFrom="column">
              <wp:posOffset>101600</wp:posOffset>
            </wp:positionH>
            <wp:positionV relativeFrom="paragraph">
              <wp:posOffset>377190</wp:posOffset>
            </wp:positionV>
            <wp:extent cx="5317490" cy="2158365"/>
            <wp:effectExtent l="4445" t="4445" r="12065" b="8890"/>
            <wp:wrapNone/>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4F32D00">
      <w:pPr>
        <w:pStyle w:val="8"/>
        <w:ind w:firstLine="0"/>
        <w:rPr>
          <w:rFonts w:hint="eastAsia" w:ascii="思源黑体 CN Normal" w:hAnsi="思源黑体 CN Normal" w:eastAsia="思源黑体 CN Normal" w:cs="思源黑体 CN Normal"/>
          <w:b/>
          <w:color w:val="000000"/>
          <w:sz w:val="32"/>
          <w:szCs w:val="32"/>
        </w:rPr>
      </w:pPr>
    </w:p>
    <w:p w14:paraId="14EB52FB">
      <w:pPr>
        <w:pStyle w:val="8"/>
        <w:ind w:firstLine="0"/>
        <w:rPr>
          <w:rFonts w:hint="eastAsia" w:ascii="思源黑体 CN Normal" w:hAnsi="思源黑体 CN Normal" w:eastAsia="思源黑体 CN Normal" w:cs="思源黑体 CN Normal"/>
          <w:b/>
          <w:color w:val="000000"/>
          <w:sz w:val="32"/>
          <w:szCs w:val="32"/>
        </w:rPr>
      </w:pPr>
    </w:p>
    <w:p w14:paraId="424FEEED">
      <w:pPr>
        <w:pStyle w:val="8"/>
        <w:ind w:firstLine="0"/>
        <w:rPr>
          <w:rFonts w:hint="eastAsia" w:ascii="思源黑体 CN Normal" w:hAnsi="思源黑体 CN Normal" w:eastAsia="思源黑体 CN Normal" w:cs="思源黑体 CN Normal"/>
          <w:b/>
          <w:color w:val="000000"/>
          <w:sz w:val="32"/>
          <w:szCs w:val="32"/>
        </w:rPr>
      </w:pPr>
    </w:p>
    <w:p w14:paraId="77F37C35">
      <w:pPr>
        <w:pStyle w:val="8"/>
        <w:ind w:firstLine="0"/>
        <w:rPr>
          <w:rFonts w:hint="eastAsia" w:ascii="思源黑体 CN Normal" w:hAnsi="思源黑体 CN Normal" w:eastAsia="思源黑体 CN Normal" w:cs="思源黑体 CN Normal"/>
          <w:b/>
          <w:color w:val="000000"/>
          <w:sz w:val="32"/>
          <w:szCs w:val="32"/>
        </w:rPr>
      </w:pPr>
    </w:p>
    <w:p w14:paraId="2EB365FF">
      <w:pPr>
        <w:pStyle w:val="8"/>
        <w:ind w:firstLine="0"/>
        <w:rPr>
          <w:rFonts w:hint="default" w:ascii="思源黑体 CN Normal" w:hAnsi="思源黑体 CN Normal" w:eastAsia="思源黑体 CN Normal" w:cs="思源黑体 CN Normal"/>
          <w:b/>
          <w:color w:val="000000"/>
          <w:sz w:val="32"/>
          <w:szCs w:val="32"/>
          <w:lang w:val="en-US" w:eastAsia="zh-CN"/>
        </w:rPr>
      </w:pPr>
      <w:r>
        <w:rPr>
          <w:rFonts w:hint="eastAsia" w:ascii="思源黑体 CN Normal" w:hAnsi="思源黑体 CN Normal" w:eastAsia="思源黑体 CN Normal" w:cs="思源黑体 CN Normal"/>
          <w:b/>
          <w:color w:val="000000"/>
          <w:sz w:val="32"/>
          <w:szCs w:val="32"/>
          <w:lang w:val="en-US" w:eastAsia="zh-CN"/>
        </w:rPr>
        <w:t xml:space="preserve">    </w:t>
      </w:r>
    </w:p>
    <w:p w14:paraId="486A7C4D">
      <w:pPr>
        <w:spacing w:line="600" w:lineRule="exact"/>
        <w:ind w:firstLine="643" w:firstLineChars="200"/>
        <w:outlineLvl w:val="2"/>
        <w:rPr>
          <w:rFonts w:hint="eastAsia" w:ascii="仿宋" w:hAnsi="仿宋" w:eastAsia="仿宋" w:cs="仿宋"/>
          <w:b/>
          <w:color w:val="000000"/>
          <w:sz w:val="32"/>
          <w:szCs w:val="32"/>
        </w:rPr>
      </w:pPr>
    </w:p>
    <w:p w14:paraId="79D4685A">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14:paraId="302A7AB3">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750.85</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571.57</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76.12</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92.51</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12.32</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35.51</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4.73</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51.25</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6.83</w:t>
      </w:r>
      <w:r>
        <w:rPr>
          <w:rFonts w:hint="eastAsia" w:ascii="仿宋_GB2312" w:hAnsi="仿宋_GB2312" w:eastAsia="仿宋_GB2312" w:cs="仿宋_GB2312"/>
          <w:color w:val="000000"/>
          <w:sz w:val="32"/>
          <w:u w:color="auto"/>
        </w:rPr>
        <w:t>%。</w:t>
      </w:r>
    </w:p>
    <w:p w14:paraId="20EEAAD8">
      <w:pPr>
        <w:spacing w:line="600" w:lineRule="exact"/>
        <w:ind w:firstLine="960" w:firstLineChars="300"/>
        <w:jc w:val="both"/>
        <w:rPr>
          <w:rFonts w:hint="eastAsia" w:ascii="仿宋" w:hAnsi="仿宋" w:eastAsia="仿宋" w:cs="仿宋"/>
          <w:color w:val="000000"/>
          <w:sz w:val="32"/>
          <w:szCs w:val="32"/>
        </w:rPr>
      </w:pPr>
      <w:bookmarkStart w:id="45" w:name="_Toc15377212"/>
      <w:r>
        <w:rPr>
          <w:rFonts w:hint="eastAsia" w:ascii="仿宋" w:eastAsia="仿宋"/>
          <w:color w:val="000000"/>
          <w:sz w:val="32"/>
          <w:szCs w:val="32"/>
        </w:rPr>
        <w:drawing>
          <wp:anchor distT="0" distB="0" distL="114300" distR="114300" simplePos="0" relativeHeight="251665408" behindDoc="0" locked="0" layoutInCell="1" allowOverlap="1">
            <wp:simplePos x="0" y="0"/>
            <wp:positionH relativeFrom="column">
              <wp:posOffset>219710</wp:posOffset>
            </wp:positionH>
            <wp:positionV relativeFrom="paragraph">
              <wp:posOffset>232410</wp:posOffset>
            </wp:positionV>
            <wp:extent cx="4969510" cy="2259330"/>
            <wp:effectExtent l="4445" t="4445" r="17145" b="2222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8D38306">
      <w:pPr>
        <w:pStyle w:val="2"/>
        <w:rPr>
          <w:rFonts w:hint="eastAsia"/>
        </w:rPr>
      </w:pPr>
    </w:p>
    <w:p w14:paraId="727A7E9E">
      <w:pPr>
        <w:spacing w:line="600" w:lineRule="exact"/>
        <w:ind w:firstLine="643" w:firstLineChars="200"/>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（三）一般公共预算财政拨款支出决算具体情况</w:t>
      </w:r>
      <w:bookmarkEnd w:id="45"/>
    </w:p>
    <w:p w14:paraId="1246B0CC">
      <w:pPr>
        <w:spacing w:line="600" w:lineRule="exact"/>
        <w:ind w:firstLine="640"/>
        <w:rPr>
          <w:rFonts w:hint="eastAsia" w:ascii="仿宋_GB2312" w:hAnsi="仿宋_GB2312" w:eastAsia="仿宋_GB2312" w:cs="仿宋_GB2312"/>
          <w:color w:val="000000"/>
          <w:sz w:val="32"/>
          <w:szCs w:val="32"/>
        </w:rPr>
      </w:pPr>
      <w:bookmarkStart w:id="46" w:name="_Toc15377444"/>
      <w:bookmarkStart w:id="47" w:name="_Toc15378460"/>
      <w:bookmarkStart w:id="48" w:name="_Toc15377213"/>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750.85</w:t>
      </w:r>
      <w:r>
        <w:rPr>
          <w:rFonts w:hint="eastAsia" w:ascii="仿宋_GB2312" w:hAnsi="仿宋_GB2312" w:eastAsia="仿宋_GB2312" w:cs="仿宋_GB2312"/>
          <w:color w:val="000000"/>
          <w:sz w:val="32"/>
          <w:u w:color="auto"/>
        </w:rPr>
        <w:t>万元，完成预算100%。其中：</w:t>
      </w:r>
      <w:bookmarkEnd w:id="46"/>
      <w:bookmarkEnd w:id="47"/>
      <w:bookmarkEnd w:id="48"/>
    </w:p>
    <w:p w14:paraId="70A03524">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1.教育支出（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）普通教育（</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）学前教育（</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u w:color="auto"/>
          <w:lang w:val="en-US" w:eastAsia="zh-CN"/>
        </w:rPr>
        <w:t>519.89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2.教育支出（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）教育费附加安排的支出（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）其他教育费附加安排的支出（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51.68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3.社会保障和就业支出（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）行政事业单位养老支出（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）机关事业单位基本养老保险缴费支出（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61.68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4.社会保障和就业支出（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）行政事业单位养老支出（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）机关事业单位职业年金缴费支出（</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30.84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5.卫生健康支出（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）行政事业单位医疗（</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）事业单位医疗（</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35.51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b/>
          <w:bCs/>
          <w:color w:val="000000"/>
          <w:sz w:val="32"/>
          <w:szCs w:val="32"/>
        </w:rPr>
        <w:t xml:space="preserve"> 6.住房保障支出（</w:t>
      </w:r>
      <w:r>
        <w:rPr>
          <w:rFonts w:hint="eastAsia" w:ascii="仿宋_GB2312" w:hAnsi="仿宋_GB2312" w:eastAsia="仿宋_GB2312" w:cs="仿宋_GB2312"/>
          <w:b/>
          <w:bCs/>
          <w:color w:val="000000"/>
          <w:sz w:val="32"/>
          <w:szCs w:val="32"/>
          <w:lang w:val="en-US" w:eastAsia="zh-CN"/>
        </w:rPr>
        <w:t>类</w:t>
      </w:r>
      <w:r>
        <w:rPr>
          <w:rFonts w:hint="eastAsia" w:ascii="仿宋_GB2312" w:hAnsi="仿宋_GB2312" w:eastAsia="仿宋_GB2312" w:cs="仿宋_GB2312"/>
          <w:b/>
          <w:bCs/>
          <w:color w:val="000000"/>
          <w:sz w:val="32"/>
          <w:szCs w:val="32"/>
        </w:rPr>
        <w:t>）住房改革支出（</w:t>
      </w:r>
      <w:r>
        <w:rPr>
          <w:rFonts w:hint="eastAsia" w:ascii="仿宋_GB2312" w:hAnsi="仿宋_GB2312" w:eastAsia="仿宋_GB2312" w:cs="仿宋_GB2312"/>
          <w:b/>
          <w:bCs/>
          <w:color w:val="000000"/>
          <w:sz w:val="32"/>
          <w:szCs w:val="32"/>
          <w:lang w:val="en-US" w:eastAsia="zh-CN"/>
        </w:rPr>
        <w:t>款</w:t>
      </w:r>
      <w:r>
        <w:rPr>
          <w:rFonts w:hint="eastAsia" w:ascii="仿宋_GB2312" w:hAnsi="仿宋_GB2312" w:eastAsia="仿宋_GB2312" w:cs="仿宋_GB2312"/>
          <w:b/>
          <w:bCs/>
          <w:color w:val="000000"/>
          <w:sz w:val="32"/>
          <w:szCs w:val="32"/>
        </w:rPr>
        <w:t>）住房公积金（</w:t>
      </w:r>
      <w:r>
        <w:rPr>
          <w:rFonts w:hint="eastAsia" w:ascii="仿宋_GB2312" w:hAnsi="仿宋_GB2312" w:eastAsia="仿宋_GB2312" w:cs="仿宋_GB2312"/>
          <w:b/>
          <w:bCs/>
          <w:color w:val="000000"/>
          <w:sz w:val="32"/>
          <w:szCs w:val="32"/>
          <w:lang w:val="en-US" w:eastAsia="zh-CN"/>
        </w:rPr>
        <w:t>项</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51.25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t xml:space="preserve">   </w:t>
      </w:r>
    </w:p>
    <w:p w14:paraId="3EAAE78E">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49" w:name="_Toc15377214"/>
      <w:bookmarkStart w:id="50" w:name="_Toc111208504"/>
      <w:bookmarkStart w:id="51" w:name="_Toc31578"/>
      <w:r>
        <w:rPr>
          <w:rFonts w:hint="eastAsia" w:ascii="黑体" w:hAnsi="黑体" w:eastAsia="黑体" w:cs="黑体"/>
          <w:b w:val="0"/>
          <w:bCs/>
          <w:color w:val="000000"/>
        </w:rPr>
        <w:t>六、一般公共预算财政拨款基本支出决算情况说</w:t>
      </w:r>
      <w:bookmarkEnd w:id="49"/>
      <w:r>
        <w:rPr>
          <w:rFonts w:hint="eastAsia" w:ascii="黑体" w:hAnsi="黑体" w:eastAsia="黑体" w:cs="黑体"/>
          <w:b w:val="0"/>
          <w:bCs/>
          <w:color w:val="000000"/>
        </w:rPr>
        <w:t>明</w:t>
      </w:r>
      <w:bookmarkEnd w:id="50"/>
      <w:bookmarkEnd w:id="51"/>
    </w:p>
    <w:p w14:paraId="6BFE65E2">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u w:color="auto"/>
          <w:lang w:val="en-US" w:eastAsia="zh-CN"/>
        </w:rPr>
        <w:t>699.17</w:t>
      </w:r>
      <w:r>
        <w:rPr>
          <w:rFonts w:hint="eastAsia" w:ascii="仿宋_GB2312" w:hAnsi="仿宋_GB2312" w:eastAsia="仿宋_GB2312" w:cs="仿宋_GB2312"/>
          <w:color w:val="000000"/>
          <w:sz w:val="32"/>
          <w:u w:color="auto"/>
        </w:rPr>
        <w:t>万元，其中：</w:t>
      </w:r>
    </w:p>
    <w:p w14:paraId="38896DB1">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u w:color="auto"/>
          <w:lang w:val="en-US" w:eastAsia="zh-CN"/>
        </w:rPr>
        <w:t>636.44</w:t>
      </w:r>
      <w:r>
        <w:rPr>
          <w:rFonts w:hint="eastAsia" w:ascii="仿宋_GB2312" w:hAnsi="仿宋_GB2312" w:eastAsia="仿宋_GB2312" w:cs="仿宋_GB2312"/>
          <w:color w:val="000000"/>
          <w:sz w:val="32"/>
          <w:u w:color="auto"/>
        </w:rPr>
        <w:t>万元，主要包括：基本工资元、津贴补贴、绩效工资、机关事业单位基本养老保险缴费、职业年金缴费、职工基本医疗保险缴费、其他社会保障缴费、住房公积金、医疗费。</w:t>
      </w:r>
    </w:p>
    <w:p w14:paraId="74F7FF40">
      <w:pPr>
        <w:spacing w:line="600" w:lineRule="exact"/>
        <w:ind w:firstLine="64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u w:color="auto"/>
          <w:lang w:val="en-US" w:eastAsia="zh-CN"/>
        </w:rPr>
        <w:t>62.71</w:t>
      </w:r>
      <w:r>
        <w:rPr>
          <w:rFonts w:hint="eastAsia" w:ascii="仿宋_GB2312" w:hAnsi="仿宋_GB2312" w:eastAsia="仿宋_GB2312" w:cs="仿宋_GB2312"/>
          <w:color w:val="000000"/>
          <w:sz w:val="32"/>
          <w:u w:color="auto"/>
        </w:rPr>
        <w:t>万元，主要包括：办公费、</w:t>
      </w:r>
      <w:r>
        <w:rPr>
          <w:rFonts w:hint="eastAsia" w:ascii="仿宋_GB2312" w:hAnsi="仿宋_GB2312" w:eastAsia="仿宋_GB2312" w:cs="仿宋_GB2312"/>
          <w:color w:val="000000"/>
          <w:sz w:val="32"/>
          <w:u w:color="auto"/>
          <w:lang w:eastAsia="zh-CN"/>
        </w:rPr>
        <w:t>水费</w:t>
      </w:r>
      <w:r>
        <w:rPr>
          <w:rFonts w:hint="eastAsia" w:ascii="仿宋_GB2312" w:hAnsi="仿宋_GB2312" w:eastAsia="仿宋_GB2312" w:cs="仿宋_GB2312"/>
          <w:color w:val="000000"/>
          <w:sz w:val="32"/>
          <w:u w:color="auto"/>
          <w:lang w:val="en-US" w:eastAsia="zh-CN"/>
        </w:rPr>
        <w:t>、</w:t>
      </w:r>
      <w:r>
        <w:rPr>
          <w:rFonts w:hint="eastAsia" w:ascii="仿宋_GB2312" w:hAnsi="仿宋_GB2312" w:eastAsia="仿宋_GB2312" w:cs="仿宋_GB2312"/>
          <w:color w:val="000000"/>
          <w:sz w:val="32"/>
          <w:u w:color="auto"/>
        </w:rPr>
        <w:t>电费、维修（护）费</w:t>
      </w:r>
      <w:r>
        <w:rPr>
          <w:rFonts w:hint="eastAsia" w:ascii="仿宋_GB2312" w:hAnsi="仿宋_GB2312" w:eastAsia="仿宋_GB2312" w:cs="仿宋_GB2312"/>
          <w:color w:val="000000"/>
          <w:sz w:val="32"/>
          <w:u w:color="auto"/>
          <w:lang w:val="en-US" w:eastAsia="zh-CN"/>
        </w:rPr>
        <w:t>、劳务费、其他商品和服务支出。</w:t>
      </w:r>
    </w:p>
    <w:p w14:paraId="151B178E">
      <w:pPr>
        <w:ind w:firstLine="640" w:firstLineChars="200"/>
        <w:jc w:val="both"/>
        <w:rPr>
          <w:rFonts w:hint="eastAsia" w:ascii="黑体" w:hAnsi="黑体" w:eastAsia="黑体" w:cs="黑体"/>
          <w:color w:val="000000"/>
          <w:sz w:val="32"/>
          <w:szCs w:val="32"/>
        </w:rPr>
      </w:pPr>
      <w:bookmarkStart w:id="52" w:name="_Toc111208505"/>
      <w:bookmarkStart w:id="53" w:name="_Toc6614"/>
      <w:bookmarkStart w:id="54" w:name="_Toc15377215"/>
      <w:r>
        <w:rPr>
          <w:rFonts w:hint="eastAsia" w:ascii="黑体" w:hAnsi="黑体" w:eastAsia="黑体" w:cs="黑体"/>
          <w:color w:val="000000"/>
          <w:sz w:val="32"/>
          <w:szCs w:val="32"/>
        </w:rPr>
        <w:t>七、财政拨款“三公”经费支出决算情况说明</w:t>
      </w:r>
      <w:bookmarkEnd w:id="52"/>
      <w:bookmarkEnd w:id="53"/>
      <w:bookmarkEnd w:id="54"/>
    </w:p>
    <w:p w14:paraId="613FE387">
      <w:pPr>
        <w:ind w:firstLine="643" w:firstLineChars="200"/>
        <w:jc w:val="both"/>
        <w:rPr>
          <w:rFonts w:hint="eastAsia" w:ascii="仿宋_GB2312" w:hAnsi="仿宋_GB2312" w:eastAsia="仿宋_GB2312" w:cs="仿宋_GB2312"/>
          <w:color w:val="000000"/>
          <w:sz w:val="32"/>
          <w:szCs w:val="32"/>
        </w:rPr>
      </w:pPr>
      <w:bookmarkStart w:id="55" w:name="_Toc15377216"/>
      <w:r>
        <w:rPr>
          <w:rFonts w:hint="eastAsia" w:ascii="仿宋" w:hAnsi="仿宋" w:eastAsia="仿宋" w:cs="仿宋"/>
          <w:b/>
          <w:color w:val="000000"/>
          <w:sz w:val="32"/>
          <w:szCs w:val="32"/>
        </w:rPr>
        <w:t>（一）财政拨款“三公”经费支出决算总体情况说明</w:t>
      </w:r>
      <w:bookmarkEnd w:id="55"/>
    </w:p>
    <w:p w14:paraId="0C6B4B9F">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财政拨款“三公”经费支出决算为0万元。</w:t>
      </w:r>
      <w:bookmarkStart w:id="56" w:name="_Toc15377217"/>
    </w:p>
    <w:p w14:paraId="5BC57BE3">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56"/>
    </w:p>
    <w:p w14:paraId="3F323677">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支出决算0万元；公务用车购置及运行维护费支出决算0万元；公务接待费支出决算0万元。具体情况如下：</w:t>
      </w:r>
    </w:p>
    <w:p w14:paraId="0D35FFFD">
      <w:pPr>
        <w:pStyle w:val="2"/>
        <w:rPr>
          <w:rFonts w:hint="eastAsia" w:ascii="仿宋_GB2312" w:hAnsi="仿宋_GB2312" w:eastAsia="仿宋_GB2312" w:cs="仿宋_GB2312"/>
          <w:color w:val="000000"/>
          <w:sz w:val="32"/>
          <w:u w:color="auto"/>
        </w:rPr>
      </w:pPr>
    </w:p>
    <w:p w14:paraId="5BA497B5">
      <w:pPr>
        <w:pStyle w:val="3"/>
        <w:rPr>
          <w:rFonts w:hint="eastAsia" w:ascii="仿宋_GB2312" w:hAnsi="仿宋_GB2312" w:eastAsia="仿宋_GB2312" w:cs="仿宋_GB2312"/>
          <w:color w:val="000000"/>
          <w:sz w:val="32"/>
          <w:u w:color="auto"/>
        </w:rPr>
      </w:pPr>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D76AF">
      <w:pPr>
        <w:spacing w:line="600" w:lineRule="exact"/>
        <w:ind w:firstLine="640"/>
        <w:rPr>
          <w:rFonts w:hint="eastAsia" w:ascii="仿宋_GB2312" w:hAnsi="仿宋_GB2312" w:eastAsia="仿宋_GB2312" w:cs="仿宋_GB2312"/>
          <w:color w:val="000000"/>
          <w:sz w:val="32"/>
          <w:szCs w:val="32"/>
        </w:rPr>
      </w:pPr>
      <w:bookmarkStart w:id="57" w:name="_Toc15377218"/>
      <w:bookmarkStart w:id="58" w:name="_Toc20439"/>
      <w:bookmarkStart w:id="59" w:name="_Toc111208506"/>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14:paraId="2ED6A1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14:paraId="662C5F0F">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20335E8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八、政府性基金预算支出决算情况说明</w:t>
      </w:r>
      <w:bookmarkEnd w:id="57"/>
      <w:bookmarkEnd w:id="58"/>
      <w:bookmarkEnd w:id="59"/>
    </w:p>
    <w:p w14:paraId="403D27F3">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bookmarkStart w:id="60" w:name="_Toc15377219"/>
    </w:p>
    <w:p w14:paraId="56D9007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1" w:name="_Toc23467"/>
      <w:bookmarkStart w:id="62" w:name="_Toc111208507"/>
      <w:r>
        <w:rPr>
          <w:rFonts w:hint="eastAsia" w:ascii="黑体" w:hAnsi="黑体" w:eastAsia="黑体" w:cs="黑体"/>
          <w:b w:val="0"/>
          <w:bCs/>
          <w:color w:val="000000"/>
        </w:rPr>
        <w:t>九、国有资本经营预算支出决算情况说明</w:t>
      </w:r>
      <w:bookmarkEnd w:id="60"/>
      <w:bookmarkEnd w:id="61"/>
      <w:bookmarkEnd w:id="62"/>
    </w:p>
    <w:p w14:paraId="0029DBFB">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p>
    <w:p w14:paraId="1F363F08">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3" w:name="_Toc15377221"/>
      <w:bookmarkStart w:id="64" w:name="_Toc111208508"/>
      <w:bookmarkStart w:id="65" w:name="_Toc18455"/>
      <w:r>
        <w:rPr>
          <w:rFonts w:hint="eastAsia" w:ascii="黑体" w:hAnsi="黑体" w:eastAsia="黑体" w:cs="黑体"/>
          <w:b w:val="0"/>
          <w:bCs/>
          <w:color w:val="000000"/>
        </w:rPr>
        <w:t>十、其他重要事项的情况说明</w:t>
      </w:r>
      <w:bookmarkEnd w:id="63"/>
      <w:bookmarkEnd w:id="64"/>
      <w:bookmarkEnd w:id="65"/>
    </w:p>
    <w:p w14:paraId="7D2F09B0">
      <w:pPr>
        <w:spacing w:line="600" w:lineRule="exact"/>
        <w:ind w:firstLine="643" w:firstLineChars="200"/>
        <w:outlineLvl w:val="2"/>
        <w:rPr>
          <w:rFonts w:hint="eastAsia" w:ascii="仿宋" w:hAnsi="仿宋" w:eastAsia="仿宋" w:cs="仿宋"/>
          <w:b/>
          <w:color w:val="000000"/>
          <w:sz w:val="32"/>
          <w:szCs w:val="32"/>
        </w:rPr>
      </w:pPr>
      <w:bookmarkStart w:id="66" w:name="_Toc15377222"/>
      <w:r>
        <w:rPr>
          <w:rFonts w:hint="eastAsia" w:ascii="仿宋" w:hAnsi="仿宋" w:eastAsia="仿宋" w:cs="仿宋"/>
          <w:b/>
          <w:color w:val="000000"/>
          <w:sz w:val="32"/>
          <w:szCs w:val="32"/>
        </w:rPr>
        <w:t>（一）机关运行经费支出情况</w:t>
      </w:r>
      <w:bookmarkEnd w:id="66"/>
    </w:p>
    <w:p w14:paraId="2053BF2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p>
    <w:p w14:paraId="24F14440">
      <w:pPr>
        <w:spacing w:line="600" w:lineRule="exact"/>
        <w:ind w:firstLine="643" w:firstLineChars="200"/>
        <w:outlineLvl w:val="2"/>
        <w:rPr>
          <w:rFonts w:hint="eastAsia" w:ascii="仿宋" w:hAnsi="仿宋" w:eastAsia="仿宋" w:cs="仿宋"/>
          <w:b/>
          <w:color w:val="000000"/>
          <w:sz w:val="32"/>
          <w:szCs w:val="32"/>
        </w:rPr>
      </w:pPr>
      <w:bookmarkStart w:id="67" w:name="_Toc15377223"/>
      <w:r>
        <w:rPr>
          <w:rFonts w:hint="eastAsia" w:ascii="仿宋" w:hAnsi="仿宋" w:eastAsia="仿宋" w:cs="仿宋"/>
          <w:b/>
          <w:color w:val="000000"/>
          <w:sz w:val="32"/>
          <w:szCs w:val="32"/>
        </w:rPr>
        <w:t>（二）政府采购支出情况</w:t>
      </w:r>
      <w:bookmarkEnd w:id="67"/>
    </w:p>
    <w:p w14:paraId="1E4AE3EB">
      <w:pPr>
        <w:spacing w:line="600" w:lineRule="exact"/>
        <w:ind w:firstLine="640"/>
        <w:rPr>
          <w:rFonts w:hint="default" w:ascii="仿宋" w:hAnsi="仿宋" w:eastAsia="仿宋" w:cs="仿宋"/>
          <w:color w:val="000000"/>
          <w:sz w:val="32"/>
          <w:szCs w:val="32"/>
          <w:lang w:val="en-US" w:eastAsia="zh-CN"/>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其中：政府采购货物支出0万元、政府采购工程支出0万元、政府采购服务支出0万元。</w:t>
      </w:r>
    </w:p>
    <w:p w14:paraId="3FFF0F9D">
      <w:pPr>
        <w:spacing w:line="600" w:lineRule="exact"/>
        <w:ind w:firstLine="643" w:firstLineChars="200"/>
        <w:outlineLvl w:val="2"/>
        <w:rPr>
          <w:rFonts w:hint="eastAsia" w:ascii="仿宋" w:hAnsi="仿宋" w:eastAsia="仿宋" w:cs="仿宋"/>
          <w:b/>
          <w:color w:val="000000"/>
          <w:sz w:val="32"/>
          <w:szCs w:val="32"/>
        </w:rPr>
      </w:pPr>
      <w:bookmarkStart w:id="68" w:name="_Toc15377224"/>
      <w:r>
        <w:rPr>
          <w:rFonts w:hint="eastAsia" w:ascii="仿宋" w:hAnsi="仿宋" w:eastAsia="仿宋" w:cs="仿宋"/>
          <w:b/>
          <w:color w:val="000000"/>
          <w:sz w:val="32"/>
          <w:szCs w:val="32"/>
        </w:rPr>
        <w:t>（三）国有资产占有使用情况</w:t>
      </w:r>
      <w:bookmarkEnd w:id="68"/>
    </w:p>
    <w:p w14:paraId="2353327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7C99A9C4">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（四）预算绩效管理情况</w:t>
      </w:r>
    </w:p>
    <w:p w14:paraId="62D9C24E">
      <w:pPr>
        <w:pStyle w:val="8"/>
        <w:ind w:left="0" w:leftChars="0" w:firstLine="640" w:firstLineChars="200"/>
        <w:rPr>
          <w:rFonts w:hint="eastAsia" w:ascii="仿宋" w:hAnsi="仿宋" w:eastAsia="仿宋" w:cs="仿宋"/>
          <w:sz w:val="32"/>
          <w:szCs w:val="32"/>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eastAsia="仿宋_GB2312" w:cs="Times New Roman"/>
          <w:color w:val="auto"/>
          <w:sz w:val="32"/>
          <w:szCs w:val="32"/>
          <w:highlight w:val="none"/>
          <w:lang w:val="en-US" w:eastAsia="zh-CN"/>
        </w:rPr>
        <w:t>2025年</w:t>
      </w:r>
      <w:r>
        <w:rPr>
          <w:rFonts w:hint="eastAsia" w:ascii="仿宋_GB2312" w:hAnsi="Times New Roman" w:eastAsia="仿宋_GB2312" w:cs="Times New Roman"/>
          <w:color w:val="auto"/>
          <w:sz w:val="32"/>
          <w:szCs w:val="32"/>
          <w:highlight w:val="none"/>
          <w:lang w:val="en-US" w:eastAsia="zh-CN"/>
        </w:rPr>
        <w:t>度</w:t>
      </w:r>
      <w:r>
        <w:rPr>
          <w:rFonts w:hint="eastAsia" w:ascii="仿宋_GB2312" w:hAnsi="Times New Roman" w:eastAsia="仿宋_GB2312" w:cs="Times New Roman"/>
          <w:color w:val="auto"/>
          <w:sz w:val="32"/>
          <w:szCs w:val="32"/>
          <w:highlight w:val="none"/>
          <w:lang w:eastAsia="zh-CN"/>
        </w:rPr>
        <w:t>预算编制阶段，组织对学前幼儿午餐补助</w:t>
      </w:r>
      <w:r>
        <w:rPr>
          <w:rFonts w:hint="eastAsia" w:ascii="仿宋_GB2312" w:eastAsia="仿宋_GB2312" w:cs="Times New Roman"/>
          <w:color w:val="auto"/>
          <w:sz w:val="32"/>
          <w:szCs w:val="32"/>
          <w:highlight w:val="none"/>
          <w:lang w:eastAsia="zh-CN"/>
        </w:rPr>
        <w:t>、</w:t>
      </w:r>
      <w:r>
        <w:rPr>
          <w:rFonts w:hint="eastAsia" w:ascii="仿宋_GB2312" w:eastAsia="仿宋_GB2312" w:cs="Times New Roman"/>
          <w:color w:val="auto"/>
          <w:sz w:val="32"/>
          <w:szCs w:val="32"/>
          <w:highlight w:val="none"/>
          <w:lang w:val="en-US" w:eastAsia="zh-CN"/>
        </w:rPr>
        <w:t>生均公用经费、茂县凤仪镇幼儿园保教费等8个项目开展了预算事前绩效评估，对23个项目编制绩效目标。预算执行过程中，选取23个项目开展绩效监控；决算阶段完成相关项目绩效自评，</w:t>
      </w:r>
      <w:r>
        <w:rPr>
          <w:rFonts w:hint="eastAsia" w:ascii="仿宋_GB2312" w:hAnsi="Times New Roman" w:eastAsia="仿宋_GB2312" w:cs="Times New Roman"/>
          <w:color w:val="auto"/>
          <w:sz w:val="32"/>
          <w:szCs w:val="32"/>
          <w:highlight w:val="none"/>
          <w:lang w:val="en-US" w:eastAsia="zh-CN"/>
        </w:rPr>
        <w:t>绩效自评表详见第四部分附件。</w:t>
      </w:r>
    </w:p>
    <w:p w14:paraId="24D3A5F9">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74D19FC2">
      <w:pPr>
        <w:pStyle w:val="5"/>
        <w:jc w:val="center"/>
        <w:rPr>
          <w:rFonts w:hint="eastAsia" w:ascii="黑体" w:hAnsi="黑体" w:eastAsia="黑体" w:cs="黑体"/>
          <w:b w:val="0"/>
          <w:bCs w:val="0"/>
        </w:rPr>
      </w:pPr>
      <w:bookmarkStart w:id="69" w:name="_Toc18122"/>
      <w:bookmarkStart w:id="70" w:name="_Toc15377225"/>
      <w:bookmarkStart w:id="71" w:name="_Toc111208509"/>
      <w:r>
        <w:rPr>
          <w:rFonts w:hint="eastAsia" w:ascii="黑体" w:hAnsi="黑体" w:eastAsia="黑体" w:cs="黑体"/>
          <w:b w:val="0"/>
          <w:bCs w:val="0"/>
        </w:rPr>
        <w:t>第三部分 名词解释</w:t>
      </w:r>
      <w:bookmarkEnd w:id="69"/>
      <w:bookmarkEnd w:id="70"/>
      <w:bookmarkEnd w:id="71"/>
    </w:p>
    <w:p w14:paraId="791C9CE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14:paraId="1DD5FB16">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14:paraId="2F57F0E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14:paraId="083C6EAE">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14:paraId="731FBA2C">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14:paraId="35BB5CEF">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14:paraId="71865930">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14:paraId="0C4EA6D9">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14:paraId="6BCCF716">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9.教育支出（类）普通教育（款）学前教育（项）:反映各部门举办的学前教育支出。政府各部门对社会组织等举办的幼儿园的资助，如捐赠、补贴等，也在本科目中反映。</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10.教育支出（类）教育费附加安排的支出（款）其他教育费附加安排的支出（项）:反映除上述项目以外的教育费附加支出。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15.住房保障支出（类）住房改革支出（款）购房补贴（项）:反映按房改政策规定，行政事业单位向符合条件职工（含离退休人员）、军队（含武警）向转役复员离退休人员发放的用于购买住房的补贴。</w:t>
      </w:r>
    </w:p>
    <w:p w14:paraId="76D41AEC">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16</w:t>
      </w:r>
      <w:r>
        <w:rPr>
          <w:rFonts w:ascii="仿宋" w:hAnsi="仿宋" w:eastAsia="仿宋" w:cs="仿宋"/>
          <w:color w:val="000000"/>
          <w:sz w:val="32"/>
          <w:u w:color="auto"/>
        </w:rPr>
        <w:t>.基本支出：指为保障机构正常运转、完成日常工作任务而发生的人员支出和公用支出。</w:t>
      </w:r>
    </w:p>
    <w:p w14:paraId="58A03DE8">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17</w:t>
      </w:r>
      <w:r>
        <w:rPr>
          <w:rFonts w:ascii="仿宋" w:hAnsi="仿宋" w:eastAsia="仿宋" w:cs="仿宋"/>
          <w:color w:val="000000"/>
          <w:sz w:val="32"/>
          <w:u w:color="auto"/>
        </w:rPr>
        <w:t xml:space="preserve">.项目支出：指在基本支出之外为完成特定行政任务和事业发展目标所发生的支出。 </w:t>
      </w:r>
    </w:p>
    <w:p w14:paraId="53ABC69B">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18</w:t>
      </w:r>
      <w:r>
        <w:rPr>
          <w:rFonts w:ascii="仿宋" w:hAnsi="仿宋" w:eastAsia="仿宋" w:cs="仿宋"/>
          <w:color w:val="000000"/>
          <w:sz w:val="32"/>
          <w:u w:color="auto"/>
        </w:rPr>
        <w:t>.经营支出：指事业单位在专业业务活动及其辅助活动之外开展非独立核算经营活动发生的支出。</w:t>
      </w:r>
    </w:p>
    <w:p w14:paraId="65E78F6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19</w:t>
      </w:r>
      <w:r>
        <w:rPr>
          <w:rFonts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4ADA45">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20</w:t>
      </w:r>
      <w:r>
        <w:rPr>
          <w:rFonts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57C498">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21</w:t>
      </w:r>
      <w:r>
        <w:rPr>
          <w:rFonts w:ascii="仿宋" w:hAnsi="仿宋" w:eastAsia="仿宋" w:cs="仿宋"/>
          <w:color w:val="000000"/>
          <w:sz w:val="32"/>
          <w:u w:color="auto"/>
        </w:rPr>
        <w:t>.财政应返还额度：为行政事业单位会计核算科目，用于核算实行国库集中支付的行政事业单位应收财政返还的资金额度。</w:t>
      </w:r>
    </w:p>
    <w:p w14:paraId="65DC6C7E">
      <w:pPr>
        <w:widowControl/>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14:paraId="4876B75C">
      <w:pPr>
        <w:pStyle w:val="5"/>
        <w:numPr>
          <w:ilvl w:val="0"/>
          <w:numId w:val="1"/>
        </w:numPr>
        <w:jc w:val="center"/>
        <w:rPr>
          <w:rFonts w:hint="eastAsia" w:ascii="黑体" w:hAnsi="黑体" w:eastAsia="黑体" w:cs="黑体"/>
          <w:b w:val="0"/>
          <w:bCs w:val="0"/>
        </w:rPr>
      </w:pPr>
      <w:bookmarkStart w:id="72" w:name="_Toc25539"/>
      <w:bookmarkStart w:id="73" w:name="_Toc111208510"/>
      <w:r>
        <w:rPr>
          <w:rFonts w:hint="eastAsia" w:ascii="黑体" w:hAnsi="黑体" w:eastAsia="黑体" w:cs="黑体"/>
          <w:b w:val="0"/>
          <w:bCs w:val="0"/>
        </w:rPr>
        <w:t>附件</w:t>
      </w:r>
      <w:bookmarkEnd w:id="72"/>
      <w:bookmarkEnd w:id="73"/>
    </w:p>
    <w:tbl>
      <w:tblPr>
        <w:tblStyle w:val="19"/>
        <w:tblW w:w="84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8"/>
        <w:gridCol w:w="1039"/>
        <w:gridCol w:w="875"/>
        <w:gridCol w:w="1222"/>
        <w:gridCol w:w="511"/>
        <w:gridCol w:w="756"/>
        <w:gridCol w:w="431"/>
        <w:gridCol w:w="846"/>
        <w:gridCol w:w="486"/>
        <w:gridCol w:w="486"/>
        <w:gridCol w:w="845"/>
      </w:tblGrid>
      <w:tr w14:paraId="6533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718E7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74" w:name="_Toc79163635"/>
            <w:bookmarkStart w:id="75" w:name="_Toc21200"/>
            <w:bookmarkStart w:id="76" w:name="_Toc111208512"/>
            <w:bookmarkStart w:id="77" w:name="_Toc79163885"/>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3C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28B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E8AA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51322322T000006786130-凤仪镇幼儿园学前保教费</w:t>
            </w:r>
          </w:p>
        </w:tc>
      </w:tr>
      <w:tr w14:paraId="78FD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E47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F2F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63D99D7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B1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2144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6DA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F79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08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1838B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14D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46BC">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304BE">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2500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保障幼儿园保育、教育工作正常开展。</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9E7A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通过保教费项目实施，保障幼儿园保育教育正常运转，保障幼儿教育教学有序开展，改善办园条件。</w:t>
            </w:r>
          </w:p>
        </w:tc>
      </w:tr>
      <w:tr w14:paraId="277F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6B77">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C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1D65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落实学前保教费项目资金，保障幼儿园保育、教育各项业务正常开展，维持幼儿园日常运行。</w:t>
            </w:r>
          </w:p>
        </w:tc>
      </w:tr>
      <w:tr w14:paraId="56F2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04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3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D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7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B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C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3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7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5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8E3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5498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2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E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9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C9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A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E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0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5A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7C5C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7B5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C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5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6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20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7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6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9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F66B2">
            <w:pPr>
              <w:jc w:val="center"/>
              <w:rPr>
                <w:rFonts w:hint="eastAsia" w:ascii="宋体" w:hAnsi="宋体" w:eastAsia="宋体" w:cs="宋体"/>
                <w:i w:val="0"/>
                <w:iCs w:val="0"/>
                <w:color w:val="000000"/>
                <w:sz w:val="18"/>
                <w:szCs w:val="18"/>
                <w:u w:val="none"/>
              </w:rPr>
            </w:pPr>
          </w:p>
        </w:tc>
      </w:tr>
      <w:tr w14:paraId="3374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9E6E2">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D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9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F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E6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6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E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B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9D87">
            <w:pPr>
              <w:jc w:val="center"/>
              <w:rPr>
                <w:rFonts w:hint="eastAsia" w:ascii="宋体" w:hAnsi="宋体" w:eastAsia="宋体" w:cs="宋体"/>
                <w:i w:val="0"/>
                <w:iCs w:val="0"/>
                <w:color w:val="000000"/>
                <w:sz w:val="18"/>
                <w:szCs w:val="18"/>
                <w:u w:val="none"/>
              </w:rPr>
            </w:pPr>
          </w:p>
        </w:tc>
      </w:tr>
      <w:tr w14:paraId="4B0B8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0A6D4">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E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2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2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3B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3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5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B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157D4">
            <w:pPr>
              <w:jc w:val="center"/>
              <w:rPr>
                <w:rFonts w:hint="eastAsia" w:ascii="宋体" w:hAnsi="宋体" w:eastAsia="宋体" w:cs="宋体"/>
                <w:i w:val="0"/>
                <w:iCs w:val="0"/>
                <w:color w:val="000000"/>
                <w:sz w:val="18"/>
                <w:szCs w:val="18"/>
                <w:u w:val="none"/>
              </w:rPr>
            </w:pPr>
          </w:p>
        </w:tc>
      </w:tr>
      <w:tr w14:paraId="1A3AF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7D09">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8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9D5A">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2D5E">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C978F">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9220">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2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5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22734">
            <w:pPr>
              <w:jc w:val="center"/>
              <w:rPr>
                <w:rFonts w:hint="eastAsia" w:ascii="宋体" w:hAnsi="宋体" w:eastAsia="宋体" w:cs="宋体"/>
                <w:i w:val="0"/>
                <w:iCs w:val="0"/>
                <w:color w:val="000000"/>
                <w:sz w:val="18"/>
                <w:szCs w:val="18"/>
                <w:u w:val="none"/>
              </w:rPr>
            </w:pPr>
          </w:p>
        </w:tc>
      </w:tr>
      <w:tr w14:paraId="6772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30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7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0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9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6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5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7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9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1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7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8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6B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887B5">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13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3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9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380名在园幼儿</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4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3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E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B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F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C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FA3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16003">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7843A">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6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9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6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7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E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4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75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B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DB2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CB314">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E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4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B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保教费保障我园正常办公等</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2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8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3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F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1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E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A8E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17B6E">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E104A">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3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F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2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7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4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7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6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6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8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74E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862A5">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7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B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7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1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E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A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F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4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D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4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2BAE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AACB">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E7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A1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E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3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E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5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5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A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6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08A0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75194">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DE9CD">
            <w:pPr>
              <w:jc w:val="center"/>
              <w:rPr>
                <w:rFonts w:hint="eastAsia" w:ascii="宋体" w:hAnsi="宋体" w:eastAsia="宋体" w:cs="宋体"/>
                <w:i w:val="0"/>
                <w:iCs w:val="0"/>
                <w:color w:val="000000"/>
                <w:sz w:val="18"/>
                <w:szCs w:val="18"/>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BDEE9">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1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3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A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C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5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2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9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1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FC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D42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9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F8F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34C9">
            <w:pPr>
              <w:jc w:val="center"/>
              <w:rPr>
                <w:rFonts w:hint="eastAsia" w:ascii="宋体" w:hAnsi="宋体" w:eastAsia="宋体" w:cs="宋体"/>
                <w:i w:val="0"/>
                <w:iCs w:val="0"/>
                <w:color w:val="000000"/>
                <w:sz w:val="18"/>
                <w:szCs w:val="18"/>
                <w:u w:val="none"/>
              </w:rPr>
            </w:pPr>
          </w:p>
        </w:tc>
      </w:tr>
      <w:tr w14:paraId="5F937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8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7FDD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本项目自评得分100分。项目预算执行到位，保教费资金足额落实，保障幼儿园保育教育各项业务正常运转，幼儿及家长满意度达标，圆满完成项目绩效目标。</w:t>
            </w:r>
          </w:p>
        </w:tc>
      </w:tr>
      <w:tr w14:paraId="1928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6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65B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项目执行总体较好，无突出问题。</w:t>
            </w:r>
          </w:p>
        </w:tc>
      </w:tr>
      <w:tr w14:paraId="7FE1B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463F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进一步规范保教费资金使用管理，强化资金绩效监管，持续提升幼儿园保教质量，不断提高幼儿及家长满意度。</w:t>
            </w:r>
          </w:p>
        </w:tc>
      </w:tr>
      <w:tr w14:paraId="0050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382F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B344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48AC9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3A92EDFA">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764AACE0">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26283C80">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1CAF313E">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ADB4DE8">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9DAE581">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220ADB06">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39B41B63">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59997605">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5FB95937">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5C09F3F6">
            <w:pPr>
              <w:rPr>
                <w:rFonts w:hint="eastAsia" w:ascii="宋体" w:hAnsi="宋体" w:eastAsia="宋体" w:cs="宋体"/>
                <w:i w:val="0"/>
                <w:iCs w:val="0"/>
                <w:color w:val="000000"/>
                <w:sz w:val="18"/>
                <w:szCs w:val="18"/>
                <w:u w:val="none"/>
              </w:rPr>
            </w:pPr>
          </w:p>
          <w:p w14:paraId="2A76BCC5">
            <w:pPr>
              <w:pStyle w:val="2"/>
              <w:rPr>
                <w:rFonts w:hint="eastAsia" w:ascii="宋体" w:hAnsi="宋体" w:eastAsia="宋体" w:cs="宋体"/>
                <w:i w:val="0"/>
                <w:iCs w:val="0"/>
                <w:color w:val="000000"/>
                <w:sz w:val="18"/>
                <w:szCs w:val="18"/>
                <w:u w:val="none"/>
              </w:rPr>
            </w:pPr>
          </w:p>
          <w:p w14:paraId="7113F8ED">
            <w:pPr>
              <w:pStyle w:val="3"/>
              <w:rPr>
                <w:rFonts w:hint="eastAsia" w:ascii="宋体" w:hAnsi="宋体" w:eastAsia="宋体" w:cs="宋体"/>
                <w:i w:val="0"/>
                <w:iCs w:val="0"/>
                <w:color w:val="000000"/>
                <w:sz w:val="18"/>
                <w:szCs w:val="18"/>
                <w:u w:val="none"/>
              </w:rPr>
            </w:pPr>
          </w:p>
          <w:p w14:paraId="59BE4CC1">
            <w:pPr>
              <w:pStyle w:val="3"/>
              <w:rPr>
                <w:rFonts w:hint="eastAsia" w:ascii="宋体" w:hAnsi="宋体" w:eastAsia="宋体" w:cs="宋体"/>
                <w:i w:val="0"/>
                <w:iCs w:val="0"/>
                <w:color w:val="000000"/>
                <w:sz w:val="18"/>
                <w:szCs w:val="18"/>
                <w:u w:val="none"/>
              </w:rPr>
            </w:pPr>
          </w:p>
          <w:p w14:paraId="69C5652C">
            <w:pPr>
              <w:pStyle w:val="3"/>
              <w:rPr>
                <w:rFonts w:hint="eastAsia" w:ascii="宋体" w:hAnsi="宋体" w:eastAsia="宋体" w:cs="宋体"/>
                <w:i w:val="0"/>
                <w:iCs w:val="0"/>
                <w:color w:val="000000"/>
                <w:sz w:val="18"/>
                <w:szCs w:val="18"/>
                <w:u w:val="none"/>
              </w:rPr>
            </w:pPr>
          </w:p>
          <w:p w14:paraId="261BAD5F">
            <w:pPr>
              <w:pStyle w:val="3"/>
              <w:rPr>
                <w:rFonts w:hint="eastAsia" w:ascii="宋体" w:hAnsi="宋体" w:eastAsia="宋体" w:cs="宋体"/>
                <w:i w:val="0"/>
                <w:iCs w:val="0"/>
                <w:color w:val="000000"/>
                <w:sz w:val="18"/>
                <w:szCs w:val="18"/>
                <w:u w:val="none"/>
              </w:rPr>
            </w:pPr>
          </w:p>
          <w:p w14:paraId="0718AA7C">
            <w:pPr>
              <w:pStyle w:val="3"/>
              <w:rPr>
                <w:rFonts w:hint="eastAsia" w:ascii="宋体" w:hAnsi="宋体" w:eastAsia="宋体" w:cs="宋体"/>
                <w:i w:val="0"/>
                <w:iCs w:val="0"/>
                <w:color w:val="000000"/>
                <w:sz w:val="18"/>
                <w:szCs w:val="18"/>
                <w:u w:val="none"/>
              </w:rPr>
            </w:pPr>
          </w:p>
          <w:p w14:paraId="544416DA">
            <w:pPr>
              <w:pStyle w:val="3"/>
              <w:rPr>
                <w:rFonts w:hint="eastAsia" w:ascii="宋体" w:hAnsi="宋体" w:eastAsia="宋体" w:cs="宋体"/>
                <w:i w:val="0"/>
                <w:iCs w:val="0"/>
                <w:color w:val="000000"/>
                <w:sz w:val="18"/>
                <w:szCs w:val="18"/>
                <w:u w:val="none"/>
              </w:rPr>
            </w:pPr>
          </w:p>
          <w:p w14:paraId="2BC19858">
            <w:pPr>
              <w:pStyle w:val="3"/>
              <w:rPr>
                <w:rFonts w:hint="eastAsia" w:ascii="宋体" w:hAnsi="宋体" w:eastAsia="宋体" w:cs="宋体"/>
                <w:i w:val="0"/>
                <w:iCs w:val="0"/>
                <w:color w:val="000000"/>
                <w:sz w:val="18"/>
                <w:szCs w:val="18"/>
                <w:u w:val="none"/>
              </w:rPr>
            </w:pPr>
          </w:p>
          <w:p w14:paraId="00BEB2E8">
            <w:pPr>
              <w:pStyle w:val="3"/>
              <w:rPr>
                <w:rFonts w:hint="eastAsia" w:ascii="宋体" w:hAnsi="宋体" w:eastAsia="宋体" w:cs="宋体"/>
                <w:i w:val="0"/>
                <w:iCs w:val="0"/>
                <w:color w:val="000000"/>
                <w:sz w:val="18"/>
                <w:szCs w:val="18"/>
                <w:u w:val="none"/>
              </w:rPr>
            </w:pPr>
          </w:p>
          <w:p w14:paraId="7D6F8A2B">
            <w:pPr>
              <w:pStyle w:val="3"/>
              <w:rPr>
                <w:rFonts w:hint="eastAsia" w:ascii="宋体" w:hAnsi="宋体" w:eastAsia="宋体" w:cs="宋体"/>
                <w:i w:val="0"/>
                <w:iCs w:val="0"/>
                <w:color w:val="000000"/>
                <w:sz w:val="18"/>
                <w:szCs w:val="18"/>
                <w:u w:val="none"/>
              </w:rPr>
            </w:pPr>
          </w:p>
          <w:p w14:paraId="4EB488C9">
            <w:pPr>
              <w:pStyle w:val="3"/>
              <w:rPr>
                <w:rFonts w:hint="eastAsia" w:ascii="宋体" w:hAnsi="宋体" w:eastAsia="宋体" w:cs="宋体"/>
                <w:i w:val="0"/>
                <w:iCs w:val="0"/>
                <w:color w:val="000000"/>
                <w:sz w:val="18"/>
                <w:szCs w:val="18"/>
                <w:u w:val="none"/>
              </w:rPr>
            </w:pPr>
          </w:p>
          <w:p w14:paraId="39806441">
            <w:pPr>
              <w:pStyle w:val="3"/>
              <w:rPr>
                <w:rFonts w:hint="eastAsia" w:ascii="宋体" w:hAnsi="宋体" w:eastAsia="宋体" w:cs="宋体"/>
                <w:i w:val="0"/>
                <w:iCs w:val="0"/>
                <w:color w:val="000000"/>
                <w:sz w:val="18"/>
                <w:szCs w:val="18"/>
                <w:u w:val="none"/>
              </w:rPr>
            </w:pPr>
          </w:p>
          <w:p w14:paraId="40CA4387">
            <w:pPr>
              <w:pStyle w:val="3"/>
              <w:rPr>
                <w:rFonts w:hint="eastAsia" w:ascii="宋体" w:hAnsi="宋体" w:eastAsia="宋体" w:cs="宋体"/>
                <w:i w:val="0"/>
                <w:iCs w:val="0"/>
                <w:color w:val="000000"/>
                <w:sz w:val="18"/>
                <w:szCs w:val="18"/>
                <w:u w:val="none"/>
              </w:rPr>
            </w:pPr>
          </w:p>
          <w:p w14:paraId="1802F4FE">
            <w:pPr>
              <w:pStyle w:val="3"/>
              <w:rPr>
                <w:rFonts w:hint="eastAsia" w:ascii="宋体" w:hAnsi="宋体" w:eastAsia="宋体" w:cs="宋体"/>
                <w:i w:val="0"/>
                <w:iCs w:val="0"/>
                <w:color w:val="000000"/>
                <w:sz w:val="18"/>
                <w:szCs w:val="18"/>
                <w:u w:val="none"/>
              </w:rPr>
            </w:pPr>
          </w:p>
          <w:p w14:paraId="47FE5EC1">
            <w:pPr>
              <w:pStyle w:val="3"/>
              <w:rPr>
                <w:rFonts w:hint="eastAsia" w:ascii="宋体" w:hAnsi="宋体" w:eastAsia="宋体" w:cs="宋体"/>
                <w:i w:val="0"/>
                <w:iCs w:val="0"/>
                <w:color w:val="000000"/>
                <w:sz w:val="18"/>
                <w:szCs w:val="18"/>
                <w:u w:val="none"/>
              </w:rPr>
            </w:pPr>
          </w:p>
          <w:p w14:paraId="346FE64F">
            <w:pPr>
              <w:pStyle w:val="3"/>
              <w:rPr>
                <w:rFonts w:hint="eastAsia" w:ascii="宋体" w:hAnsi="宋体" w:eastAsia="宋体" w:cs="宋体"/>
                <w:i w:val="0"/>
                <w:iCs w:val="0"/>
                <w:color w:val="000000"/>
                <w:sz w:val="18"/>
                <w:szCs w:val="18"/>
                <w:u w:val="none"/>
              </w:rPr>
            </w:pPr>
          </w:p>
          <w:p w14:paraId="29235A0E">
            <w:pPr>
              <w:pStyle w:val="3"/>
              <w:rPr>
                <w:rFonts w:hint="eastAsia" w:ascii="宋体" w:hAnsi="宋体" w:eastAsia="宋体" w:cs="宋体"/>
                <w:i w:val="0"/>
                <w:iCs w:val="0"/>
                <w:color w:val="000000"/>
                <w:sz w:val="18"/>
                <w:szCs w:val="18"/>
                <w:u w:val="none"/>
              </w:rPr>
            </w:pPr>
          </w:p>
          <w:p w14:paraId="4021CD59">
            <w:pPr>
              <w:pStyle w:val="3"/>
              <w:rPr>
                <w:rFonts w:hint="eastAsia" w:ascii="宋体" w:hAnsi="宋体" w:eastAsia="宋体" w:cs="宋体"/>
                <w:i w:val="0"/>
                <w:iCs w:val="0"/>
                <w:color w:val="000000"/>
                <w:sz w:val="18"/>
                <w:szCs w:val="18"/>
                <w:u w:val="none"/>
              </w:rPr>
            </w:pPr>
          </w:p>
          <w:p w14:paraId="33DCD47C">
            <w:pPr>
              <w:pStyle w:val="3"/>
              <w:rPr>
                <w:rFonts w:hint="eastAsia" w:ascii="宋体" w:hAnsi="宋体" w:eastAsia="宋体" w:cs="宋体"/>
                <w:i w:val="0"/>
                <w:iCs w:val="0"/>
                <w:color w:val="000000"/>
                <w:sz w:val="18"/>
                <w:szCs w:val="18"/>
                <w:u w:val="none"/>
              </w:rPr>
            </w:pPr>
          </w:p>
        </w:tc>
      </w:tr>
      <w:tr w14:paraId="01F3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F962D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735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924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DA75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51322322T000006926637-凤仪镇幼儿园州级补助学前保教费</w:t>
            </w:r>
          </w:p>
        </w:tc>
      </w:tr>
      <w:tr w14:paraId="0A2A6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61A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635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4933E2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EC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67F0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E92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8D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8E1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18843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32D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EED79">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B231C">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47B3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B769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通过州级保教费项目实施，保障幼儿园保育教育业务正常开展，保障幼儿教学活动有序运行，改善办园条件。</w:t>
            </w:r>
          </w:p>
        </w:tc>
      </w:tr>
      <w:tr w14:paraId="5168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36F15">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0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EA4E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本项目为年度财政追加专项资金，年初部门预算未安排，根据财政资金追加文件执行。落实州级保教费专项资金，用于幼儿园保育教育运行支出，保障幼儿园保教工作正常开展。</w:t>
            </w:r>
          </w:p>
        </w:tc>
      </w:tr>
      <w:tr w14:paraId="1A48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46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0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E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4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D7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9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9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1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A16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A3E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2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5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E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44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C6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C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C7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721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CA68">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6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6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E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44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4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0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7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AD200">
            <w:pPr>
              <w:jc w:val="center"/>
              <w:rPr>
                <w:rFonts w:hint="eastAsia" w:ascii="宋体" w:hAnsi="宋体" w:eastAsia="宋体" w:cs="宋体"/>
                <w:i w:val="0"/>
                <w:iCs w:val="0"/>
                <w:color w:val="000000"/>
                <w:sz w:val="18"/>
                <w:szCs w:val="18"/>
                <w:u w:val="none"/>
              </w:rPr>
            </w:pPr>
          </w:p>
        </w:tc>
      </w:tr>
      <w:tr w14:paraId="35F4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ECC3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5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A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2F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7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A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C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89EC6">
            <w:pPr>
              <w:jc w:val="center"/>
              <w:rPr>
                <w:rFonts w:hint="eastAsia" w:ascii="宋体" w:hAnsi="宋体" w:eastAsia="宋体" w:cs="宋体"/>
                <w:i w:val="0"/>
                <w:iCs w:val="0"/>
                <w:color w:val="000000"/>
                <w:sz w:val="18"/>
                <w:szCs w:val="18"/>
                <w:u w:val="none"/>
              </w:rPr>
            </w:pPr>
          </w:p>
        </w:tc>
      </w:tr>
      <w:tr w14:paraId="5877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9394D">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B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C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B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C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2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F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2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3ED90">
            <w:pPr>
              <w:jc w:val="center"/>
              <w:rPr>
                <w:rFonts w:hint="eastAsia" w:ascii="宋体" w:hAnsi="宋体" w:eastAsia="宋体" w:cs="宋体"/>
                <w:i w:val="0"/>
                <w:iCs w:val="0"/>
                <w:color w:val="000000"/>
                <w:sz w:val="18"/>
                <w:szCs w:val="18"/>
                <w:u w:val="none"/>
              </w:rPr>
            </w:pPr>
          </w:p>
        </w:tc>
      </w:tr>
      <w:tr w14:paraId="249D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17EBB">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2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0870">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0C82">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B38F0">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91C5">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1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7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6FB60">
            <w:pPr>
              <w:jc w:val="center"/>
              <w:rPr>
                <w:rFonts w:hint="eastAsia" w:ascii="宋体" w:hAnsi="宋体" w:eastAsia="宋体" w:cs="宋体"/>
                <w:i w:val="0"/>
                <w:iCs w:val="0"/>
                <w:color w:val="000000"/>
                <w:sz w:val="18"/>
                <w:szCs w:val="18"/>
                <w:u w:val="none"/>
              </w:rPr>
            </w:pPr>
          </w:p>
        </w:tc>
      </w:tr>
      <w:tr w14:paraId="58E0B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4F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4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D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1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E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E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B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4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6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7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BCE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FCD99">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0C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F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7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在园幼儿人数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D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E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5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2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2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8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3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94FF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326C0">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FAD2">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0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0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9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6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5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D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1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9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281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C90C3">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1FB7">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E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8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C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F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8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E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5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D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AF4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DBA47">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E5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C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5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提高教育质量，确保幼儿得到全面、均衡发展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6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7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C687">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4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6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D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5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609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89C0">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A59EB">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3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3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保障幼儿在园健康生长</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E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E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9091">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4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3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F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7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1F8C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F9FE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C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1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幼儿及家长满意度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A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C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A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2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3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1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707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7C0C9">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B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B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1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4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4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75430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3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7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75430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9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1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2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DE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270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1EB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5965">
            <w:pPr>
              <w:rPr>
                <w:rFonts w:hint="eastAsia" w:ascii="宋体" w:hAnsi="宋体" w:eastAsia="宋体" w:cs="宋体"/>
                <w:i w:val="0"/>
                <w:iCs w:val="0"/>
                <w:color w:val="000000"/>
                <w:sz w:val="18"/>
                <w:szCs w:val="18"/>
                <w:u w:val="none"/>
              </w:rPr>
            </w:pPr>
          </w:p>
        </w:tc>
      </w:tr>
      <w:tr w14:paraId="7DF5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1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84F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本项目自评得分100分。项目预算执行到位，保教费资金足额落实，保障幼儿园保育教育各项业务正常运转，幼儿及家长满意度达标，圆满完成项目绩效目标。</w:t>
            </w:r>
          </w:p>
        </w:tc>
      </w:tr>
      <w:tr w14:paraId="4A75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7D70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项目执行总体较好，无突出问题。</w:t>
            </w:r>
          </w:p>
        </w:tc>
      </w:tr>
      <w:tr w14:paraId="3EB9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7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168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进一步规范保教费资金使用管理，强化资金绩效监管，持续提升幼儿园保教质量，不断提高幼儿及家长满意度。</w:t>
            </w:r>
          </w:p>
        </w:tc>
      </w:tr>
      <w:tr w14:paraId="2883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67F3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8621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7663E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41637B61">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3B5340A5">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40C86DAC">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38DA583D">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668BE06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5CC1BA5">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30220300">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2083FC58">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44CB4E97">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35DCD19F">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66ED91F4">
            <w:pPr>
              <w:rPr>
                <w:rFonts w:hint="eastAsia" w:ascii="宋体" w:hAnsi="宋体" w:eastAsia="宋体" w:cs="宋体"/>
                <w:i w:val="0"/>
                <w:iCs w:val="0"/>
                <w:color w:val="000000"/>
                <w:sz w:val="18"/>
                <w:szCs w:val="18"/>
                <w:u w:val="none"/>
              </w:rPr>
            </w:pPr>
          </w:p>
          <w:p w14:paraId="3C2857B3">
            <w:pPr>
              <w:pStyle w:val="2"/>
              <w:rPr>
                <w:rFonts w:hint="eastAsia" w:ascii="宋体" w:hAnsi="宋体" w:eastAsia="宋体" w:cs="宋体"/>
                <w:i w:val="0"/>
                <w:iCs w:val="0"/>
                <w:color w:val="000000"/>
                <w:sz w:val="18"/>
                <w:szCs w:val="18"/>
                <w:u w:val="none"/>
              </w:rPr>
            </w:pPr>
          </w:p>
          <w:p w14:paraId="75AC7087">
            <w:pPr>
              <w:pStyle w:val="3"/>
              <w:rPr>
                <w:rFonts w:hint="eastAsia" w:ascii="宋体" w:hAnsi="宋体" w:eastAsia="宋体" w:cs="宋体"/>
                <w:i w:val="0"/>
                <w:iCs w:val="0"/>
                <w:color w:val="000000"/>
                <w:sz w:val="18"/>
                <w:szCs w:val="18"/>
                <w:u w:val="none"/>
              </w:rPr>
            </w:pPr>
          </w:p>
          <w:p w14:paraId="13554268">
            <w:pPr>
              <w:pStyle w:val="3"/>
              <w:rPr>
                <w:rFonts w:hint="eastAsia" w:ascii="宋体" w:hAnsi="宋体" w:eastAsia="宋体" w:cs="宋体"/>
                <w:i w:val="0"/>
                <w:iCs w:val="0"/>
                <w:color w:val="000000"/>
                <w:sz w:val="18"/>
                <w:szCs w:val="18"/>
                <w:u w:val="none"/>
              </w:rPr>
            </w:pPr>
          </w:p>
          <w:p w14:paraId="26C0D40E">
            <w:pPr>
              <w:pStyle w:val="3"/>
              <w:rPr>
                <w:rFonts w:hint="eastAsia" w:ascii="宋体" w:hAnsi="宋体" w:eastAsia="宋体" w:cs="宋体"/>
                <w:i w:val="0"/>
                <w:iCs w:val="0"/>
                <w:color w:val="000000"/>
                <w:sz w:val="18"/>
                <w:szCs w:val="18"/>
                <w:u w:val="none"/>
              </w:rPr>
            </w:pPr>
          </w:p>
          <w:p w14:paraId="2C716B88">
            <w:pPr>
              <w:pStyle w:val="3"/>
              <w:rPr>
                <w:rFonts w:hint="eastAsia" w:ascii="宋体" w:hAnsi="宋体" w:eastAsia="宋体" w:cs="宋体"/>
                <w:i w:val="0"/>
                <w:iCs w:val="0"/>
                <w:color w:val="000000"/>
                <w:sz w:val="18"/>
                <w:szCs w:val="18"/>
                <w:u w:val="none"/>
              </w:rPr>
            </w:pPr>
          </w:p>
          <w:p w14:paraId="28119741">
            <w:pPr>
              <w:pStyle w:val="3"/>
              <w:rPr>
                <w:rFonts w:hint="eastAsia" w:ascii="宋体" w:hAnsi="宋体" w:eastAsia="宋体" w:cs="宋体"/>
                <w:i w:val="0"/>
                <w:iCs w:val="0"/>
                <w:color w:val="000000"/>
                <w:sz w:val="18"/>
                <w:szCs w:val="18"/>
                <w:u w:val="none"/>
              </w:rPr>
            </w:pPr>
          </w:p>
          <w:p w14:paraId="1F4C345C">
            <w:pPr>
              <w:pStyle w:val="3"/>
              <w:rPr>
                <w:rFonts w:hint="eastAsia" w:ascii="宋体" w:hAnsi="宋体" w:eastAsia="宋体" w:cs="宋体"/>
                <w:i w:val="0"/>
                <w:iCs w:val="0"/>
                <w:color w:val="000000"/>
                <w:sz w:val="18"/>
                <w:szCs w:val="18"/>
                <w:u w:val="none"/>
              </w:rPr>
            </w:pPr>
          </w:p>
          <w:p w14:paraId="5CBACE8E">
            <w:pPr>
              <w:pStyle w:val="3"/>
              <w:rPr>
                <w:rFonts w:hint="eastAsia" w:ascii="宋体" w:hAnsi="宋体" w:eastAsia="宋体" w:cs="宋体"/>
                <w:i w:val="0"/>
                <w:iCs w:val="0"/>
                <w:color w:val="000000"/>
                <w:sz w:val="18"/>
                <w:szCs w:val="18"/>
                <w:u w:val="none"/>
              </w:rPr>
            </w:pPr>
          </w:p>
          <w:p w14:paraId="5B7C81E4">
            <w:pPr>
              <w:pStyle w:val="3"/>
              <w:rPr>
                <w:rFonts w:hint="eastAsia" w:ascii="宋体" w:hAnsi="宋体" w:eastAsia="宋体" w:cs="宋体"/>
                <w:i w:val="0"/>
                <w:iCs w:val="0"/>
                <w:color w:val="000000"/>
                <w:sz w:val="18"/>
                <w:szCs w:val="18"/>
                <w:u w:val="none"/>
              </w:rPr>
            </w:pPr>
          </w:p>
          <w:p w14:paraId="7BC61326">
            <w:pPr>
              <w:pStyle w:val="3"/>
              <w:rPr>
                <w:rFonts w:hint="eastAsia" w:ascii="宋体" w:hAnsi="宋体" w:eastAsia="宋体" w:cs="宋体"/>
                <w:i w:val="0"/>
                <w:iCs w:val="0"/>
                <w:color w:val="000000"/>
                <w:sz w:val="18"/>
                <w:szCs w:val="18"/>
                <w:u w:val="none"/>
              </w:rPr>
            </w:pPr>
          </w:p>
          <w:p w14:paraId="6F3F0354">
            <w:pPr>
              <w:pStyle w:val="3"/>
              <w:rPr>
                <w:rFonts w:hint="eastAsia" w:ascii="宋体" w:hAnsi="宋体" w:eastAsia="宋体" w:cs="宋体"/>
                <w:i w:val="0"/>
                <w:iCs w:val="0"/>
                <w:color w:val="000000"/>
                <w:sz w:val="18"/>
                <w:szCs w:val="18"/>
                <w:u w:val="none"/>
              </w:rPr>
            </w:pPr>
          </w:p>
          <w:p w14:paraId="48C653CB">
            <w:pPr>
              <w:pStyle w:val="3"/>
              <w:rPr>
                <w:rFonts w:hint="eastAsia" w:ascii="宋体" w:hAnsi="宋体" w:eastAsia="宋体" w:cs="宋体"/>
                <w:i w:val="0"/>
                <w:iCs w:val="0"/>
                <w:color w:val="000000"/>
                <w:sz w:val="18"/>
                <w:szCs w:val="18"/>
                <w:u w:val="none"/>
              </w:rPr>
            </w:pPr>
          </w:p>
          <w:p w14:paraId="4D84F8F4">
            <w:pPr>
              <w:pStyle w:val="3"/>
              <w:rPr>
                <w:rFonts w:hint="eastAsia" w:ascii="宋体" w:hAnsi="宋体" w:eastAsia="宋体" w:cs="宋体"/>
                <w:i w:val="0"/>
                <w:iCs w:val="0"/>
                <w:color w:val="000000"/>
                <w:sz w:val="18"/>
                <w:szCs w:val="18"/>
                <w:u w:val="none"/>
              </w:rPr>
            </w:pPr>
          </w:p>
          <w:p w14:paraId="46B4CF1F">
            <w:pPr>
              <w:pStyle w:val="3"/>
              <w:rPr>
                <w:rFonts w:hint="eastAsia" w:ascii="宋体" w:hAnsi="宋体" w:eastAsia="宋体" w:cs="宋体"/>
                <w:i w:val="0"/>
                <w:iCs w:val="0"/>
                <w:color w:val="000000"/>
                <w:sz w:val="18"/>
                <w:szCs w:val="18"/>
                <w:u w:val="none"/>
              </w:rPr>
            </w:pPr>
          </w:p>
          <w:p w14:paraId="73ACAB13">
            <w:pPr>
              <w:pStyle w:val="3"/>
              <w:rPr>
                <w:rFonts w:hint="eastAsia" w:ascii="宋体" w:hAnsi="宋体" w:eastAsia="宋体" w:cs="宋体"/>
                <w:i w:val="0"/>
                <w:iCs w:val="0"/>
                <w:color w:val="000000"/>
                <w:sz w:val="18"/>
                <w:szCs w:val="18"/>
                <w:u w:val="none"/>
              </w:rPr>
            </w:pPr>
          </w:p>
          <w:p w14:paraId="55BD597D">
            <w:pPr>
              <w:pStyle w:val="3"/>
              <w:rPr>
                <w:rFonts w:hint="eastAsia" w:ascii="宋体" w:hAnsi="宋体" w:eastAsia="宋体" w:cs="宋体"/>
                <w:i w:val="0"/>
                <w:iCs w:val="0"/>
                <w:color w:val="000000"/>
                <w:sz w:val="18"/>
                <w:szCs w:val="18"/>
                <w:u w:val="none"/>
              </w:rPr>
            </w:pPr>
          </w:p>
          <w:p w14:paraId="41A70E6C">
            <w:pPr>
              <w:pStyle w:val="3"/>
              <w:rPr>
                <w:rFonts w:hint="eastAsia" w:ascii="宋体" w:hAnsi="宋体" w:eastAsia="宋体" w:cs="宋体"/>
                <w:i w:val="0"/>
                <w:iCs w:val="0"/>
                <w:color w:val="000000"/>
                <w:sz w:val="18"/>
                <w:szCs w:val="18"/>
                <w:u w:val="none"/>
              </w:rPr>
            </w:pPr>
          </w:p>
          <w:p w14:paraId="2EDD6891">
            <w:pPr>
              <w:pStyle w:val="3"/>
              <w:rPr>
                <w:rFonts w:hint="eastAsia" w:ascii="宋体" w:hAnsi="宋体" w:eastAsia="宋体" w:cs="宋体"/>
                <w:i w:val="0"/>
                <w:iCs w:val="0"/>
                <w:color w:val="000000"/>
                <w:sz w:val="18"/>
                <w:szCs w:val="18"/>
                <w:u w:val="none"/>
              </w:rPr>
            </w:pPr>
          </w:p>
          <w:p w14:paraId="3072B39E">
            <w:pPr>
              <w:pStyle w:val="3"/>
              <w:rPr>
                <w:rFonts w:hint="eastAsia" w:ascii="宋体" w:hAnsi="宋体" w:eastAsia="宋体" w:cs="宋体"/>
                <w:i w:val="0"/>
                <w:iCs w:val="0"/>
                <w:color w:val="000000"/>
                <w:sz w:val="18"/>
                <w:szCs w:val="18"/>
                <w:u w:val="none"/>
              </w:rPr>
            </w:pPr>
          </w:p>
          <w:p w14:paraId="102AB86A">
            <w:pPr>
              <w:pStyle w:val="3"/>
              <w:rPr>
                <w:rFonts w:hint="eastAsia" w:ascii="宋体" w:hAnsi="宋体" w:eastAsia="宋体" w:cs="宋体"/>
                <w:i w:val="0"/>
                <w:iCs w:val="0"/>
                <w:color w:val="000000"/>
                <w:sz w:val="18"/>
                <w:szCs w:val="18"/>
                <w:u w:val="none"/>
              </w:rPr>
            </w:pPr>
          </w:p>
          <w:p w14:paraId="38DFB6FA">
            <w:pPr>
              <w:pStyle w:val="3"/>
              <w:rPr>
                <w:rFonts w:hint="eastAsia" w:ascii="宋体" w:hAnsi="宋体" w:eastAsia="宋体" w:cs="宋体"/>
                <w:i w:val="0"/>
                <w:iCs w:val="0"/>
                <w:color w:val="000000"/>
                <w:sz w:val="18"/>
                <w:szCs w:val="18"/>
                <w:u w:val="none"/>
              </w:rPr>
            </w:pPr>
          </w:p>
        </w:tc>
      </w:tr>
      <w:tr w14:paraId="298C4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AF4F6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7F44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170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DCC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51322325T000012185506-茂县凤仪镇幼儿园校园餐经费</w:t>
            </w:r>
          </w:p>
        </w:tc>
      </w:tr>
      <w:tr w14:paraId="56D5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339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D50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6697E1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D1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3AE54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5A9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27B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109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6992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E21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652F">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FFC03">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7D85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茂县凤仪镇幼儿园2025年春季学期校园餐幼儿自缴生活费221700元，教师陪餐费6440元，合计金额228200元，落实校园餐经费148675元，保障幼儿与陪餐教师在园午餐，促进幼儿身体健康成长。</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5B8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2025年春季学期落实校园餐经费148675元，保障幼儿及陪餐教师在园午餐，顺利完成项目目标，促进幼儿身体健康成长。</w:t>
            </w:r>
          </w:p>
        </w:tc>
      </w:tr>
      <w:tr w14:paraId="3C46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F3ED3">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D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5399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本项目为年度财政追加专项资金，年初部门预算未安排，根据财政资金追加文件执行。落实幼儿园校园餐经费，保障在园幼儿、陪餐教师午餐供给，做好就餐管理，保障幼儿身体健康成长。</w:t>
            </w:r>
          </w:p>
        </w:tc>
      </w:tr>
      <w:tr w14:paraId="5248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E9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6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F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7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F4C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1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9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7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7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4D5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3C64">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0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5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B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54.13</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FE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A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7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0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431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无</w:t>
            </w:r>
          </w:p>
        </w:tc>
      </w:tr>
      <w:tr w14:paraId="1A35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01A75">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5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E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C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29.64</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5D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5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3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6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CDFF8">
            <w:pPr>
              <w:jc w:val="center"/>
              <w:rPr>
                <w:rFonts w:hint="eastAsia" w:ascii="黑体" w:hAnsi="黑体" w:eastAsia="黑体" w:cs="黑体"/>
                <w:i w:val="0"/>
                <w:iCs w:val="0"/>
                <w:color w:val="000000"/>
                <w:sz w:val="18"/>
                <w:szCs w:val="18"/>
                <w:u w:val="none"/>
              </w:rPr>
            </w:pPr>
          </w:p>
        </w:tc>
      </w:tr>
      <w:tr w14:paraId="45F7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A5A65">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0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F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C1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1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C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A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D5228">
            <w:pPr>
              <w:jc w:val="center"/>
              <w:rPr>
                <w:rFonts w:hint="eastAsia" w:ascii="黑体" w:hAnsi="黑体" w:eastAsia="黑体" w:cs="黑体"/>
                <w:i w:val="0"/>
                <w:iCs w:val="0"/>
                <w:color w:val="000000"/>
                <w:sz w:val="18"/>
                <w:szCs w:val="18"/>
                <w:u w:val="none"/>
              </w:rPr>
            </w:pPr>
          </w:p>
        </w:tc>
      </w:tr>
      <w:tr w14:paraId="6AD4E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BB99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2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6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C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24.49</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69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24.49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3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5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C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D8584">
            <w:pPr>
              <w:jc w:val="center"/>
              <w:rPr>
                <w:rFonts w:hint="eastAsia" w:ascii="黑体" w:hAnsi="黑体" w:eastAsia="黑体" w:cs="黑体"/>
                <w:i w:val="0"/>
                <w:iCs w:val="0"/>
                <w:color w:val="000000"/>
                <w:sz w:val="18"/>
                <w:szCs w:val="18"/>
                <w:u w:val="none"/>
              </w:rPr>
            </w:pPr>
          </w:p>
        </w:tc>
      </w:tr>
      <w:tr w14:paraId="6534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A8DB3">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F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349B">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FCB4">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DD4FA">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2A24">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B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6C653">
            <w:pPr>
              <w:jc w:val="center"/>
              <w:rPr>
                <w:rFonts w:hint="eastAsia" w:ascii="黑体" w:hAnsi="黑体" w:eastAsia="黑体" w:cs="黑体"/>
                <w:i w:val="0"/>
                <w:iCs w:val="0"/>
                <w:color w:val="000000"/>
                <w:sz w:val="18"/>
                <w:szCs w:val="18"/>
                <w:u w:val="none"/>
              </w:rPr>
            </w:pPr>
          </w:p>
        </w:tc>
      </w:tr>
      <w:tr w14:paraId="7D73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4B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C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8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5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1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F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D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4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A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8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F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34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4ADBD">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9D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4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幼儿及陪餐人员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1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1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D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8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6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5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71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4DD5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AC9DF">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7221C">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5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F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C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D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F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9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5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71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D5B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0A906">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1995C">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A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C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A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8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9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7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9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7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87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E5C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61ED1">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69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8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3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保障幼儿在园营养搭配</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8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3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E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6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1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C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47D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886D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4FCCA">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16375">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7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7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幼儿生活费及陪餐费保障师生生活</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5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F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5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1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A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6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3E8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FFD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D6FF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3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F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6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家长幼儿满意度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3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5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7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0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3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750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426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DEEF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7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F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收取幼儿生活费及陪餐费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7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3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148675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6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4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148675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C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1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9D6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5E93C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A51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6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893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A2EE">
            <w:pPr>
              <w:rPr>
                <w:rFonts w:hint="eastAsia" w:ascii="宋体" w:hAnsi="宋体" w:eastAsia="宋体" w:cs="宋体"/>
                <w:i w:val="0"/>
                <w:iCs w:val="0"/>
                <w:color w:val="000000"/>
                <w:sz w:val="18"/>
                <w:szCs w:val="18"/>
                <w:u w:val="none"/>
              </w:rPr>
            </w:pPr>
          </w:p>
        </w:tc>
      </w:tr>
      <w:tr w14:paraId="4387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7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21CE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本项目绩效自评得分100分。项目按预算全部执行到位，足额落实校园餐相关经费，保障幼儿、陪餐教师在园午餐，就餐工作有序开展，家长、学生满意度较高，圆满完成项目既定绩效目标。</w:t>
            </w:r>
          </w:p>
        </w:tc>
      </w:tr>
      <w:tr w14:paraId="1F53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7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1D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无本项目执行总体较好，无突出问题。</w:t>
            </w:r>
          </w:p>
        </w:tc>
      </w:tr>
      <w:tr w14:paraId="616BC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D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0E77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持续做好校园餐经费保障，加强资金监管，进一步提升供餐质量，做好就餐安全管理，不断提高学生、家长满意度。</w:t>
            </w:r>
          </w:p>
        </w:tc>
      </w:tr>
      <w:tr w14:paraId="51629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B365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3E57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568D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199C0604">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68137A7E">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479500D5">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1D0DF5B3">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EB60EB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35AF2DE">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14752ED4">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1B1FD204">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7EA8255D">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57A34306">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38546B23">
            <w:pPr>
              <w:rPr>
                <w:rFonts w:hint="eastAsia" w:ascii="宋体" w:hAnsi="宋体" w:eastAsia="宋体" w:cs="宋体"/>
                <w:i w:val="0"/>
                <w:iCs w:val="0"/>
                <w:color w:val="000000"/>
                <w:sz w:val="18"/>
                <w:szCs w:val="18"/>
                <w:u w:val="none"/>
              </w:rPr>
            </w:pPr>
          </w:p>
          <w:p w14:paraId="0356332A">
            <w:pPr>
              <w:pStyle w:val="2"/>
              <w:rPr>
                <w:rFonts w:hint="eastAsia" w:ascii="宋体" w:hAnsi="宋体" w:eastAsia="宋体" w:cs="宋体"/>
                <w:i w:val="0"/>
                <w:iCs w:val="0"/>
                <w:color w:val="000000"/>
                <w:sz w:val="18"/>
                <w:szCs w:val="18"/>
                <w:u w:val="none"/>
              </w:rPr>
            </w:pPr>
          </w:p>
          <w:p w14:paraId="01F6BBAE">
            <w:pPr>
              <w:pStyle w:val="3"/>
              <w:rPr>
                <w:rFonts w:hint="eastAsia" w:ascii="宋体" w:hAnsi="宋体" w:eastAsia="宋体" w:cs="宋体"/>
                <w:i w:val="0"/>
                <w:iCs w:val="0"/>
                <w:color w:val="000000"/>
                <w:sz w:val="18"/>
                <w:szCs w:val="18"/>
                <w:u w:val="none"/>
              </w:rPr>
            </w:pPr>
          </w:p>
          <w:p w14:paraId="5F9DB577">
            <w:pPr>
              <w:pStyle w:val="3"/>
              <w:rPr>
                <w:rFonts w:hint="eastAsia" w:ascii="宋体" w:hAnsi="宋体" w:eastAsia="宋体" w:cs="宋体"/>
                <w:i w:val="0"/>
                <w:iCs w:val="0"/>
                <w:color w:val="000000"/>
                <w:sz w:val="18"/>
                <w:szCs w:val="18"/>
                <w:u w:val="none"/>
              </w:rPr>
            </w:pPr>
          </w:p>
          <w:p w14:paraId="1F7CB347">
            <w:pPr>
              <w:pStyle w:val="3"/>
              <w:rPr>
                <w:rFonts w:hint="eastAsia" w:ascii="宋体" w:hAnsi="宋体" w:eastAsia="宋体" w:cs="宋体"/>
                <w:i w:val="0"/>
                <w:iCs w:val="0"/>
                <w:color w:val="000000"/>
                <w:sz w:val="18"/>
                <w:szCs w:val="18"/>
                <w:u w:val="none"/>
              </w:rPr>
            </w:pPr>
          </w:p>
          <w:p w14:paraId="3A5ED17B">
            <w:pPr>
              <w:pStyle w:val="3"/>
              <w:rPr>
                <w:rFonts w:hint="eastAsia" w:ascii="宋体" w:hAnsi="宋体" w:eastAsia="宋体" w:cs="宋体"/>
                <w:i w:val="0"/>
                <w:iCs w:val="0"/>
                <w:color w:val="000000"/>
                <w:sz w:val="18"/>
                <w:szCs w:val="18"/>
                <w:u w:val="none"/>
              </w:rPr>
            </w:pPr>
          </w:p>
          <w:p w14:paraId="4C0EF473">
            <w:pPr>
              <w:pStyle w:val="3"/>
              <w:rPr>
                <w:rFonts w:hint="eastAsia" w:ascii="宋体" w:hAnsi="宋体" w:eastAsia="宋体" w:cs="宋体"/>
                <w:i w:val="0"/>
                <w:iCs w:val="0"/>
                <w:color w:val="000000"/>
                <w:sz w:val="18"/>
                <w:szCs w:val="18"/>
                <w:u w:val="none"/>
              </w:rPr>
            </w:pPr>
          </w:p>
          <w:p w14:paraId="46D3604F">
            <w:pPr>
              <w:pStyle w:val="3"/>
              <w:rPr>
                <w:rFonts w:hint="eastAsia" w:ascii="宋体" w:hAnsi="宋体" w:eastAsia="宋体" w:cs="宋体"/>
                <w:i w:val="0"/>
                <w:iCs w:val="0"/>
                <w:color w:val="000000"/>
                <w:sz w:val="18"/>
                <w:szCs w:val="18"/>
                <w:u w:val="none"/>
              </w:rPr>
            </w:pPr>
          </w:p>
          <w:p w14:paraId="4284AF0D">
            <w:pPr>
              <w:pStyle w:val="3"/>
              <w:rPr>
                <w:rFonts w:hint="eastAsia" w:ascii="宋体" w:hAnsi="宋体" w:eastAsia="宋体" w:cs="宋体"/>
                <w:i w:val="0"/>
                <w:iCs w:val="0"/>
                <w:color w:val="000000"/>
                <w:sz w:val="18"/>
                <w:szCs w:val="18"/>
                <w:u w:val="none"/>
              </w:rPr>
            </w:pPr>
          </w:p>
          <w:p w14:paraId="0CEA44DC">
            <w:pPr>
              <w:pStyle w:val="3"/>
              <w:rPr>
                <w:rFonts w:hint="eastAsia" w:ascii="宋体" w:hAnsi="宋体" w:eastAsia="宋体" w:cs="宋体"/>
                <w:i w:val="0"/>
                <w:iCs w:val="0"/>
                <w:color w:val="000000"/>
                <w:sz w:val="18"/>
                <w:szCs w:val="18"/>
                <w:u w:val="none"/>
              </w:rPr>
            </w:pPr>
          </w:p>
          <w:p w14:paraId="4D31238B">
            <w:pPr>
              <w:pStyle w:val="3"/>
              <w:rPr>
                <w:rFonts w:hint="eastAsia" w:ascii="宋体" w:hAnsi="宋体" w:eastAsia="宋体" w:cs="宋体"/>
                <w:i w:val="0"/>
                <w:iCs w:val="0"/>
                <w:color w:val="000000"/>
                <w:sz w:val="18"/>
                <w:szCs w:val="18"/>
                <w:u w:val="none"/>
              </w:rPr>
            </w:pPr>
          </w:p>
          <w:p w14:paraId="5FE647A7">
            <w:pPr>
              <w:pStyle w:val="3"/>
              <w:rPr>
                <w:rFonts w:hint="eastAsia" w:ascii="宋体" w:hAnsi="宋体" w:eastAsia="宋体" w:cs="宋体"/>
                <w:i w:val="0"/>
                <w:iCs w:val="0"/>
                <w:color w:val="000000"/>
                <w:sz w:val="18"/>
                <w:szCs w:val="18"/>
                <w:u w:val="none"/>
              </w:rPr>
            </w:pPr>
          </w:p>
          <w:p w14:paraId="674981B1">
            <w:pPr>
              <w:pStyle w:val="3"/>
              <w:rPr>
                <w:rFonts w:hint="eastAsia" w:ascii="宋体" w:hAnsi="宋体" w:eastAsia="宋体" w:cs="宋体"/>
                <w:i w:val="0"/>
                <w:iCs w:val="0"/>
                <w:color w:val="000000"/>
                <w:sz w:val="18"/>
                <w:szCs w:val="18"/>
                <w:u w:val="none"/>
              </w:rPr>
            </w:pPr>
          </w:p>
          <w:p w14:paraId="5C14B752">
            <w:pPr>
              <w:pStyle w:val="3"/>
              <w:rPr>
                <w:rFonts w:hint="eastAsia" w:ascii="宋体" w:hAnsi="宋体" w:eastAsia="宋体" w:cs="宋体"/>
                <w:i w:val="0"/>
                <w:iCs w:val="0"/>
                <w:color w:val="000000"/>
                <w:sz w:val="18"/>
                <w:szCs w:val="18"/>
                <w:u w:val="none"/>
              </w:rPr>
            </w:pPr>
          </w:p>
          <w:p w14:paraId="6277E8A7">
            <w:pPr>
              <w:pStyle w:val="3"/>
              <w:rPr>
                <w:rFonts w:hint="eastAsia" w:ascii="宋体" w:hAnsi="宋体" w:eastAsia="宋体" w:cs="宋体"/>
                <w:i w:val="0"/>
                <w:iCs w:val="0"/>
                <w:color w:val="000000"/>
                <w:sz w:val="18"/>
                <w:szCs w:val="18"/>
                <w:u w:val="none"/>
              </w:rPr>
            </w:pPr>
          </w:p>
          <w:p w14:paraId="5803F458">
            <w:pPr>
              <w:pStyle w:val="3"/>
              <w:rPr>
                <w:rFonts w:hint="eastAsia" w:ascii="宋体" w:hAnsi="宋体" w:eastAsia="宋体" w:cs="宋体"/>
                <w:i w:val="0"/>
                <w:iCs w:val="0"/>
                <w:color w:val="000000"/>
                <w:sz w:val="18"/>
                <w:szCs w:val="18"/>
                <w:u w:val="none"/>
              </w:rPr>
            </w:pPr>
          </w:p>
          <w:p w14:paraId="16BB6F6D">
            <w:pPr>
              <w:pStyle w:val="3"/>
              <w:rPr>
                <w:rFonts w:hint="eastAsia" w:ascii="宋体" w:hAnsi="宋体" w:eastAsia="宋体" w:cs="宋体"/>
                <w:i w:val="0"/>
                <w:iCs w:val="0"/>
                <w:color w:val="000000"/>
                <w:sz w:val="18"/>
                <w:szCs w:val="18"/>
                <w:u w:val="none"/>
              </w:rPr>
            </w:pPr>
          </w:p>
          <w:p w14:paraId="1BE7723C">
            <w:pPr>
              <w:pStyle w:val="3"/>
              <w:rPr>
                <w:rFonts w:hint="eastAsia" w:ascii="宋体" w:hAnsi="宋体" w:eastAsia="宋体" w:cs="宋体"/>
                <w:i w:val="0"/>
                <w:iCs w:val="0"/>
                <w:color w:val="000000"/>
                <w:sz w:val="18"/>
                <w:szCs w:val="18"/>
                <w:u w:val="none"/>
              </w:rPr>
            </w:pPr>
          </w:p>
          <w:p w14:paraId="41689F2D">
            <w:pPr>
              <w:pStyle w:val="3"/>
              <w:rPr>
                <w:rFonts w:hint="eastAsia" w:ascii="宋体" w:hAnsi="宋体" w:eastAsia="宋体" w:cs="宋体"/>
                <w:i w:val="0"/>
                <w:iCs w:val="0"/>
                <w:color w:val="000000"/>
                <w:sz w:val="18"/>
                <w:szCs w:val="18"/>
                <w:u w:val="none"/>
              </w:rPr>
            </w:pPr>
          </w:p>
          <w:p w14:paraId="096B22F9">
            <w:pPr>
              <w:pStyle w:val="3"/>
              <w:rPr>
                <w:rFonts w:hint="eastAsia" w:ascii="宋体" w:hAnsi="宋体" w:eastAsia="宋体" w:cs="宋体"/>
                <w:i w:val="0"/>
                <w:iCs w:val="0"/>
                <w:color w:val="000000"/>
                <w:sz w:val="18"/>
                <w:szCs w:val="18"/>
                <w:u w:val="none"/>
              </w:rPr>
            </w:pPr>
          </w:p>
          <w:p w14:paraId="60B20B10">
            <w:pPr>
              <w:pStyle w:val="3"/>
              <w:rPr>
                <w:rFonts w:hint="eastAsia" w:ascii="宋体" w:hAnsi="宋体" w:eastAsia="宋体" w:cs="宋体"/>
                <w:i w:val="0"/>
                <w:iCs w:val="0"/>
                <w:color w:val="000000"/>
                <w:sz w:val="18"/>
                <w:szCs w:val="18"/>
                <w:u w:val="none"/>
              </w:rPr>
            </w:pPr>
          </w:p>
        </w:tc>
      </w:tr>
      <w:tr w14:paraId="148D4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00671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36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137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15F9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51322325T000012341758-茂县凤仪镇幼儿园生均经费</w:t>
            </w:r>
          </w:p>
        </w:tc>
      </w:tr>
      <w:tr w14:paraId="3B66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0DC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3BF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6346D7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22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1B74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638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AAF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FE8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1D9A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9D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C7C5">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29CBB">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F49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公办幼儿园生均公用经费保障幼儿园保教教育工作正常运转。</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7DC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通过学前生均公用经费项目实施，足额保障幼儿园保教工作运转，保障幼儿教育教学正常开展，办园条件得到保障。</w:t>
            </w:r>
          </w:p>
        </w:tc>
      </w:tr>
      <w:tr w14:paraId="14FF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15D9">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3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2F83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落实学前教育生均公用经费，用于幼儿园保教业务运转，保障幼儿园教育教学活动正常开展。</w:t>
            </w:r>
          </w:p>
        </w:tc>
      </w:tr>
      <w:tr w14:paraId="69B9C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35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7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6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A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BD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3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8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1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6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58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AC32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A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4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6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22.04</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56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3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F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2A7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无</w:t>
            </w:r>
          </w:p>
        </w:tc>
      </w:tr>
      <w:tr w14:paraId="1946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6E65A">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3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D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8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22.04</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DAF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6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C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9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6154E">
            <w:pPr>
              <w:jc w:val="center"/>
              <w:rPr>
                <w:rFonts w:hint="eastAsia" w:ascii="黑体" w:hAnsi="黑体" w:eastAsia="黑体" w:cs="黑体"/>
                <w:i w:val="0"/>
                <w:iCs w:val="0"/>
                <w:color w:val="000000"/>
                <w:sz w:val="18"/>
                <w:szCs w:val="18"/>
                <w:u w:val="none"/>
              </w:rPr>
            </w:pPr>
          </w:p>
        </w:tc>
      </w:tr>
      <w:tr w14:paraId="535C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DEC8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7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6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D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65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1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7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3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4CC16">
            <w:pPr>
              <w:jc w:val="center"/>
              <w:rPr>
                <w:rFonts w:hint="eastAsia" w:ascii="黑体" w:hAnsi="黑体" w:eastAsia="黑体" w:cs="黑体"/>
                <w:i w:val="0"/>
                <w:iCs w:val="0"/>
                <w:color w:val="000000"/>
                <w:sz w:val="18"/>
                <w:szCs w:val="18"/>
                <w:u w:val="none"/>
              </w:rPr>
            </w:pPr>
          </w:p>
        </w:tc>
      </w:tr>
      <w:tr w14:paraId="7509E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04D2C">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B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8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1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E6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6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C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1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A65C8">
            <w:pPr>
              <w:jc w:val="center"/>
              <w:rPr>
                <w:rFonts w:hint="eastAsia" w:ascii="黑体" w:hAnsi="黑体" w:eastAsia="黑体" w:cs="黑体"/>
                <w:i w:val="0"/>
                <w:iCs w:val="0"/>
                <w:color w:val="000000"/>
                <w:sz w:val="18"/>
                <w:szCs w:val="18"/>
                <w:u w:val="none"/>
              </w:rPr>
            </w:pPr>
          </w:p>
        </w:tc>
      </w:tr>
      <w:tr w14:paraId="21CA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CC14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D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16B9">
            <w:pPr>
              <w:jc w:val="center"/>
              <w:rPr>
                <w:rFonts w:hint="eastAsia" w:ascii="微软雅黑" w:hAnsi="微软雅黑" w:eastAsia="微软雅黑" w:cs="微软雅黑"/>
                <w:i w:val="0"/>
                <w:iCs w:val="0"/>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DDA4">
            <w:pPr>
              <w:jc w:val="center"/>
              <w:rPr>
                <w:rFonts w:hint="eastAsia" w:ascii="微软雅黑" w:hAnsi="微软雅黑" w:eastAsia="微软雅黑" w:cs="微软雅黑"/>
                <w:i w:val="0"/>
                <w:iCs w:val="0"/>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A993A">
            <w:pPr>
              <w:jc w:val="center"/>
              <w:rPr>
                <w:rFonts w:hint="eastAsia" w:ascii="微软雅黑" w:hAnsi="微软雅黑" w:eastAsia="微软雅黑" w:cs="微软雅黑"/>
                <w:i w:val="0"/>
                <w:iCs w:val="0"/>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8256">
            <w:pPr>
              <w:jc w:val="center"/>
              <w:rPr>
                <w:rFonts w:hint="eastAsia" w:ascii="微软雅黑" w:hAnsi="微软雅黑" w:eastAsia="微软雅黑" w:cs="微软雅黑"/>
                <w:i w:val="0"/>
                <w:iCs w:val="0"/>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0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7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20CFB">
            <w:pPr>
              <w:jc w:val="center"/>
              <w:rPr>
                <w:rFonts w:hint="eastAsia" w:ascii="黑体" w:hAnsi="黑体" w:eastAsia="黑体" w:cs="黑体"/>
                <w:i w:val="0"/>
                <w:iCs w:val="0"/>
                <w:color w:val="000000"/>
                <w:sz w:val="18"/>
                <w:szCs w:val="18"/>
                <w:u w:val="none"/>
              </w:rPr>
            </w:pPr>
          </w:p>
        </w:tc>
      </w:tr>
      <w:tr w14:paraId="13CC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27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6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8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7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F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7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C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2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3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7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460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1FACA">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A2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6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1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380名在园幼儿</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6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A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7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C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41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065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88D84">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D012">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0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E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4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5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7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3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4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7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D3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F2ED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163E1">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7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1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7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生均经费保障学校运转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C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E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0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1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3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C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AE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22AB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5F8AE">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77FA0">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6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7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保障学校工作正常运行</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E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C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E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4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7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D8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6E5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60F9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D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5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B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8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A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C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E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1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F710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C9E7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9796A">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C8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B6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E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F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B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7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A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9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5C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45EC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EB412">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18FA8">
            <w:pPr>
              <w:jc w:val="center"/>
              <w:rPr>
                <w:rFonts w:hint="eastAsia" w:ascii="宋体" w:hAnsi="宋体" w:eastAsia="宋体" w:cs="宋体"/>
                <w:i w:val="0"/>
                <w:iCs w:val="0"/>
                <w:color w:val="000000"/>
                <w:sz w:val="18"/>
                <w:szCs w:val="18"/>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C33C7">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4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2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F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7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9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4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13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7B2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C1E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C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94A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0C74">
            <w:pPr>
              <w:rPr>
                <w:rFonts w:hint="eastAsia" w:ascii="宋体" w:hAnsi="宋体" w:eastAsia="宋体" w:cs="宋体"/>
                <w:i w:val="0"/>
                <w:iCs w:val="0"/>
                <w:color w:val="000000"/>
                <w:sz w:val="18"/>
                <w:szCs w:val="18"/>
                <w:u w:val="none"/>
              </w:rPr>
            </w:pPr>
          </w:p>
        </w:tc>
      </w:tr>
      <w:tr w14:paraId="4313A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6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B529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本项目自评得分100分。项目预算执行到位，生均公用经费足额保障幼儿园保教业务运转，保障幼儿园教育教学活动有序开展，幼儿满意度达标，全面完成项目绩效目标。</w:t>
            </w:r>
          </w:p>
        </w:tc>
      </w:tr>
      <w:tr w14:paraId="34C9D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C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29240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项目执行总体较好，无突出问题。</w:t>
            </w:r>
          </w:p>
        </w:tc>
      </w:tr>
      <w:tr w14:paraId="660E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4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1F99F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继续规范生均公用经费使用管理，强化资金绩效监管，不断提升幼儿园保教质量，持续提高幼儿及家长满意度。</w:t>
            </w:r>
          </w:p>
        </w:tc>
      </w:tr>
      <w:tr w14:paraId="31A0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EE0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D1D5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7C75A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04B2BFE9">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7D439EC0">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3154EBFE">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3CDEAFD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154558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D849604">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0DE5BC03">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73461651">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3DAFF2D0">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76D587BA">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4139CDEC">
            <w:pPr>
              <w:rPr>
                <w:rFonts w:hint="eastAsia" w:ascii="宋体" w:hAnsi="宋体" w:eastAsia="宋体" w:cs="宋体"/>
                <w:i w:val="0"/>
                <w:iCs w:val="0"/>
                <w:color w:val="000000"/>
                <w:sz w:val="18"/>
                <w:szCs w:val="18"/>
                <w:u w:val="none"/>
              </w:rPr>
            </w:pPr>
          </w:p>
          <w:p w14:paraId="563F4F48">
            <w:pPr>
              <w:pStyle w:val="2"/>
              <w:rPr>
                <w:rFonts w:hint="eastAsia" w:ascii="宋体" w:hAnsi="宋体" w:eastAsia="宋体" w:cs="宋体"/>
                <w:i w:val="0"/>
                <w:iCs w:val="0"/>
                <w:color w:val="000000"/>
                <w:sz w:val="18"/>
                <w:szCs w:val="18"/>
                <w:u w:val="none"/>
              </w:rPr>
            </w:pPr>
          </w:p>
          <w:p w14:paraId="089BF8D8">
            <w:pPr>
              <w:pStyle w:val="3"/>
              <w:rPr>
                <w:rFonts w:hint="eastAsia" w:ascii="宋体" w:hAnsi="宋体" w:eastAsia="宋体" w:cs="宋体"/>
                <w:i w:val="0"/>
                <w:iCs w:val="0"/>
                <w:color w:val="000000"/>
                <w:sz w:val="18"/>
                <w:szCs w:val="18"/>
                <w:u w:val="none"/>
              </w:rPr>
            </w:pPr>
          </w:p>
          <w:p w14:paraId="1D73DC41">
            <w:pPr>
              <w:pStyle w:val="3"/>
              <w:rPr>
                <w:rFonts w:hint="eastAsia" w:ascii="宋体" w:hAnsi="宋体" w:eastAsia="宋体" w:cs="宋体"/>
                <w:i w:val="0"/>
                <w:iCs w:val="0"/>
                <w:color w:val="000000"/>
                <w:sz w:val="18"/>
                <w:szCs w:val="18"/>
                <w:u w:val="none"/>
              </w:rPr>
            </w:pPr>
          </w:p>
          <w:p w14:paraId="6E493621">
            <w:pPr>
              <w:pStyle w:val="3"/>
              <w:rPr>
                <w:rFonts w:hint="eastAsia" w:ascii="宋体" w:hAnsi="宋体" w:eastAsia="宋体" w:cs="宋体"/>
                <w:i w:val="0"/>
                <w:iCs w:val="0"/>
                <w:color w:val="000000"/>
                <w:sz w:val="18"/>
                <w:szCs w:val="18"/>
                <w:u w:val="none"/>
              </w:rPr>
            </w:pPr>
          </w:p>
          <w:p w14:paraId="538159E4">
            <w:pPr>
              <w:pStyle w:val="3"/>
              <w:rPr>
                <w:rFonts w:hint="eastAsia" w:ascii="宋体" w:hAnsi="宋体" w:eastAsia="宋体" w:cs="宋体"/>
                <w:i w:val="0"/>
                <w:iCs w:val="0"/>
                <w:color w:val="000000"/>
                <w:sz w:val="18"/>
                <w:szCs w:val="18"/>
                <w:u w:val="none"/>
              </w:rPr>
            </w:pPr>
          </w:p>
          <w:p w14:paraId="73AFD760">
            <w:pPr>
              <w:pStyle w:val="3"/>
              <w:rPr>
                <w:rFonts w:hint="eastAsia" w:ascii="宋体" w:hAnsi="宋体" w:eastAsia="宋体" w:cs="宋体"/>
                <w:i w:val="0"/>
                <w:iCs w:val="0"/>
                <w:color w:val="000000"/>
                <w:sz w:val="18"/>
                <w:szCs w:val="18"/>
                <w:u w:val="none"/>
              </w:rPr>
            </w:pPr>
          </w:p>
          <w:p w14:paraId="3FB08DA6">
            <w:pPr>
              <w:pStyle w:val="3"/>
              <w:rPr>
                <w:rFonts w:hint="eastAsia" w:ascii="宋体" w:hAnsi="宋体" w:eastAsia="宋体" w:cs="宋体"/>
                <w:i w:val="0"/>
                <w:iCs w:val="0"/>
                <w:color w:val="000000"/>
                <w:sz w:val="18"/>
                <w:szCs w:val="18"/>
                <w:u w:val="none"/>
              </w:rPr>
            </w:pPr>
          </w:p>
          <w:p w14:paraId="40309E83">
            <w:pPr>
              <w:pStyle w:val="3"/>
              <w:rPr>
                <w:rFonts w:hint="eastAsia" w:ascii="宋体" w:hAnsi="宋体" w:eastAsia="宋体" w:cs="宋体"/>
                <w:i w:val="0"/>
                <w:iCs w:val="0"/>
                <w:color w:val="000000"/>
                <w:sz w:val="18"/>
                <w:szCs w:val="18"/>
                <w:u w:val="none"/>
              </w:rPr>
            </w:pPr>
          </w:p>
          <w:p w14:paraId="350C524A">
            <w:pPr>
              <w:pStyle w:val="3"/>
              <w:rPr>
                <w:rFonts w:hint="eastAsia" w:ascii="宋体" w:hAnsi="宋体" w:eastAsia="宋体" w:cs="宋体"/>
                <w:i w:val="0"/>
                <w:iCs w:val="0"/>
                <w:color w:val="000000"/>
                <w:sz w:val="18"/>
                <w:szCs w:val="18"/>
                <w:u w:val="none"/>
              </w:rPr>
            </w:pPr>
          </w:p>
          <w:p w14:paraId="47CC380E">
            <w:pPr>
              <w:pStyle w:val="3"/>
              <w:rPr>
                <w:rFonts w:hint="eastAsia" w:ascii="宋体" w:hAnsi="宋体" w:eastAsia="宋体" w:cs="宋体"/>
                <w:i w:val="0"/>
                <w:iCs w:val="0"/>
                <w:color w:val="000000"/>
                <w:sz w:val="18"/>
                <w:szCs w:val="18"/>
                <w:u w:val="none"/>
              </w:rPr>
            </w:pPr>
          </w:p>
          <w:p w14:paraId="17BA9CA0">
            <w:pPr>
              <w:pStyle w:val="3"/>
              <w:rPr>
                <w:rFonts w:hint="eastAsia" w:ascii="宋体" w:hAnsi="宋体" w:eastAsia="宋体" w:cs="宋体"/>
                <w:i w:val="0"/>
                <w:iCs w:val="0"/>
                <w:color w:val="000000"/>
                <w:sz w:val="18"/>
                <w:szCs w:val="18"/>
                <w:u w:val="none"/>
              </w:rPr>
            </w:pPr>
          </w:p>
          <w:p w14:paraId="30806724">
            <w:pPr>
              <w:pStyle w:val="3"/>
              <w:rPr>
                <w:rFonts w:hint="eastAsia" w:ascii="宋体" w:hAnsi="宋体" w:eastAsia="宋体" w:cs="宋体"/>
                <w:i w:val="0"/>
                <w:iCs w:val="0"/>
                <w:color w:val="000000"/>
                <w:sz w:val="18"/>
                <w:szCs w:val="18"/>
                <w:u w:val="none"/>
              </w:rPr>
            </w:pPr>
          </w:p>
          <w:p w14:paraId="4D83D2E6">
            <w:pPr>
              <w:pStyle w:val="3"/>
              <w:rPr>
                <w:rFonts w:hint="eastAsia" w:ascii="宋体" w:hAnsi="宋体" w:eastAsia="宋体" w:cs="宋体"/>
                <w:i w:val="0"/>
                <w:iCs w:val="0"/>
                <w:color w:val="000000"/>
                <w:sz w:val="18"/>
                <w:szCs w:val="18"/>
                <w:u w:val="none"/>
              </w:rPr>
            </w:pPr>
          </w:p>
          <w:p w14:paraId="63E591B2">
            <w:pPr>
              <w:pStyle w:val="3"/>
              <w:rPr>
                <w:rFonts w:hint="eastAsia" w:ascii="宋体" w:hAnsi="宋体" w:eastAsia="宋体" w:cs="宋体"/>
                <w:i w:val="0"/>
                <w:iCs w:val="0"/>
                <w:color w:val="000000"/>
                <w:sz w:val="18"/>
                <w:szCs w:val="18"/>
                <w:u w:val="none"/>
              </w:rPr>
            </w:pPr>
          </w:p>
          <w:p w14:paraId="2D3BB11B">
            <w:pPr>
              <w:pStyle w:val="3"/>
              <w:rPr>
                <w:rFonts w:hint="eastAsia" w:ascii="宋体" w:hAnsi="宋体" w:eastAsia="宋体" w:cs="宋体"/>
                <w:i w:val="0"/>
                <w:iCs w:val="0"/>
                <w:color w:val="000000"/>
                <w:sz w:val="18"/>
                <w:szCs w:val="18"/>
                <w:u w:val="none"/>
              </w:rPr>
            </w:pPr>
          </w:p>
          <w:p w14:paraId="58AED53E">
            <w:pPr>
              <w:pStyle w:val="3"/>
              <w:rPr>
                <w:rFonts w:hint="eastAsia" w:ascii="宋体" w:hAnsi="宋体" w:eastAsia="宋体" w:cs="宋体"/>
                <w:i w:val="0"/>
                <w:iCs w:val="0"/>
                <w:color w:val="000000"/>
                <w:sz w:val="18"/>
                <w:szCs w:val="18"/>
                <w:u w:val="none"/>
              </w:rPr>
            </w:pPr>
          </w:p>
          <w:p w14:paraId="0F43C28C">
            <w:pPr>
              <w:pStyle w:val="3"/>
              <w:rPr>
                <w:rFonts w:hint="eastAsia" w:ascii="宋体" w:hAnsi="宋体" w:eastAsia="宋体" w:cs="宋体"/>
                <w:i w:val="0"/>
                <w:iCs w:val="0"/>
                <w:color w:val="000000"/>
                <w:sz w:val="18"/>
                <w:szCs w:val="18"/>
                <w:u w:val="none"/>
              </w:rPr>
            </w:pPr>
          </w:p>
          <w:p w14:paraId="29A02CCC">
            <w:pPr>
              <w:pStyle w:val="3"/>
              <w:rPr>
                <w:rFonts w:hint="eastAsia" w:ascii="宋体" w:hAnsi="宋体" w:eastAsia="宋体" w:cs="宋体"/>
                <w:i w:val="0"/>
                <w:iCs w:val="0"/>
                <w:color w:val="000000"/>
                <w:sz w:val="18"/>
                <w:szCs w:val="18"/>
                <w:u w:val="none"/>
              </w:rPr>
            </w:pPr>
          </w:p>
          <w:p w14:paraId="35B3F2DD">
            <w:pPr>
              <w:pStyle w:val="3"/>
              <w:rPr>
                <w:rFonts w:hint="eastAsia" w:ascii="宋体" w:hAnsi="宋体" w:eastAsia="宋体" w:cs="宋体"/>
                <w:i w:val="0"/>
                <w:iCs w:val="0"/>
                <w:color w:val="000000"/>
                <w:sz w:val="18"/>
                <w:szCs w:val="18"/>
                <w:u w:val="none"/>
              </w:rPr>
            </w:pPr>
          </w:p>
          <w:p w14:paraId="1E1087AC">
            <w:pPr>
              <w:pStyle w:val="3"/>
              <w:rPr>
                <w:rFonts w:hint="eastAsia" w:ascii="宋体" w:hAnsi="宋体" w:eastAsia="宋体" w:cs="宋体"/>
                <w:i w:val="0"/>
                <w:iCs w:val="0"/>
                <w:color w:val="000000"/>
                <w:sz w:val="18"/>
                <w:szCs w:val="18"/>
                <w:u w:val="none"/>
              </w:rPr>
            </w:pPr>
          </w:p>
          <w:p w14:paraId="045A21D1">
            <w:pPr>
              <w:pStyle w:val="3"/>
              <w:rPr>
                <w:rFonts w:hint="eastAsia" w:ascii="宋体" w:hAnsi="宋体" w:eastAsia="宋体" w:cs="宋体"/>
                <w:i w:val="0"/>
                <w:iCs w:val="0"/>
                <w:color w:val="000000"/>
                <w:sz w:val="18"/>
                <w:szCs w:val="18"/>
                <w:u w:val="none"/>
              </w:rPr>
            </w:pPr>
          </w:p>
          <w:p w14:paraId="0296B1FB">
            <w:pPr>
              <w:pStyle w:val="3"/>
              <w:rPr>
                <w:rFonts w:hint="eastAsia" w:ascii="宋体" w:hAnsi="宋体" w:eastAsia="宋体" w:cs="宋体"/>
                <w:i w:val="0"/>
                <w:iCs w:val="0"/>
                <w:color w:val="000000"/>
                <w:sz w:val="18"/>
                <w:szCs w:val="18"/>
                <w:u w:val="none"/>
              </w:rPr>
            </w:pPr>
          </w:p>
          <w:p w14:paraId="17739317">
            <w:pPr>
              <w:pStyle w:val="3"/>
              <w:rPr>
                <w:rFonts w:hint="eastAsia" w:ascii="宋体" w:hAnsi="宋体" w:eastAsia="宋体" w:cs="宋体"/>
                <w:i w:val="0"/>
                <w:iCs w:val="0"/>
                <w:color w:val="000000"/>
                <w:sz w:val="18"/>
                <w:szCs w:val="18"/>
                <w:u w:val="none"/>
              </w:rPr>
            </w:pPr>
          </w:p>
        </w:tc>
      </w:tr>
      <w:tr w14:paraId="11CEB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F902D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8F6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B3C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D14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51322325T000012346223-茂县凤仪镇幼儿园教师节慰问金</w:t>
            </w:r>
          </w:p>
        </w:tc>
      </w:tr>
      <w:tr w14:paraId="6AC2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24A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221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180217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40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704DD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9C5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6A3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2C7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1BC90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44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AFA79">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FA67">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B7B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根据茂府教【2025】64号文，茂县凤仪镇幼儿园2025年教师节慰问34人共计13600元。</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4E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按文件要求完成34名在岗教师教师节慰问金发放，落实节日关怀，全部慰问任务落实到位。</w:t>
            </w:r>
          </w:p>
        </w:tc>
      </w:tr>
      <w:tr w14:paraId="43C4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47589">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A1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81B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本项目为年度财政追加专项资金，年初部门预算未安排，根据财政资金追加文件执行。依据文件规定，开展教师节慰问工作，对幼儿园在岗34名教师发放教师节慰问金，传递组织关怀。</w:t>
            </w:r>
          </w:p>
        </w:tc>
      </w:tr>
      <w:tr w14:paraId="0FA28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02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B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5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87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B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0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2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7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E7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3B918">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5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1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C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1B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F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7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8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9CFA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无</w:t>
            </w:r>
          </w:p>
        </w:tc>
      </w:tr>
      <w:tr w14:paraId="36CFD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A355B">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8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0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3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61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B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2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2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539C">
            <w:pPr>
              <w:jc w:val="center"/>
              <w:rPr>
                <w:rFonts w:hint="eastAsia" w:ascii="黑体" w:hAnsi="黑体" w:eastAsia="黑体" w:cs="黑体"/>
                <w:i w:val="0"/>
                <w:iCs w:val="0"/>
                <w:color w:val="000000"/>
                <w:sz w:val="18"/>
                <w:szCs w:val="18"/>
                <w:u w:val="none"/>
              </w:rPr>
            </w:pPr>
          </w:p>
        </w:tc>
      </w:tr>
      <w:tr w14:paraId="2C87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F43B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5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D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FD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1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E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888E">
            <w:pPr>
              <w:jc w:val="center"/>
              <w:rPr>
                <w:rFonts w:hint="eastAsia" w:ascii="黑体" w:hAnsi="黑体" w:eastAsia="黑体" w:cs="黑体"/>
                <w:i w:val="0"/>
                <w:iCs w:val="0"/>
                <w:color w:val="000000"/>
                <w:sz w:val="18"/>
                <w:szCs w:val="18"/>
                <w:u w:val="none"/>
              </w:rPr>
            </w:pPr>
          </w:p>
        </w:tc>
      </w:tr>
      <w:tr w14:paraId="1E60B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9FE5">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E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8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3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D0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A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4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1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1E85">
            <w:pPr>
              <w:jc w:val="center"/>
              <w:rPr>
                <w:rFonts w:hint="eastAsia" w:ascii="黑体" w:hAnsi="黑体" w:eastAsia="黑体" w:cs="黑体"/>
                <w:i w:val="0"/>
                <w:iCs w:val="0"/>
                <w:color w:val="000000"/>
                <w:sz w:val="18"/>
                <w:szCs w:val="18"/>
                <w:u w:val="none"/>
              </w:rPr>
            </w:pPr>
          </w:p>
        </w:tc>
      </w:tr>
      <w:tr w14:paraId="2D532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1B6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2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BF81">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4A85">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F7F05">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FB3E">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E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2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CC2E2">
            <w:pPr>
              <w:jc w:val="center"/>
              <w:rPr>
                <w:rFonts w:hint="eastAsia" w:ascii="黑体" w:hAnsi="黑体" w:eastAsia="黑体" w:cs="黑体"/>
                <w:i w:val="0"/>
                <w:iCs w:val="0"/>
                <w:color w:val="000000"/>
                <w:sz w:val="18"/>
                <w:szCs w:val="18"/>
                <w:u w:val="none"/>
              </w:rPr>
            </w:pPr>
          </w:p>
        </w:tc>
      </w:tr>
      <w:tr w14:paraId="594B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C2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D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D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D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A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8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6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C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0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F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C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99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B4F09">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E2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0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D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1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6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A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3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7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B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07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F31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F9E4">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C4724">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A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A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E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3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9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F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8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6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29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D58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38126">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FB7AF">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B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2025年9月完成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3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8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2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5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1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D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3D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117D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B3A35">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B7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A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6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保障在岗在职享用</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4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2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A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1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3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E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C7D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97E6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F5099">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7D623">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1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4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保障教师节正常开展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B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D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8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D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B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D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9F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4D06F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4019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A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0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2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C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1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A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B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4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D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36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EEE3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9DDA7">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9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4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1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D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2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8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B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C3D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5232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C2C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9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3CD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6A42">
            <w:pPr>
              <w:rPr>
                <w:rFonts w:hint="eastAsia" w:ascii="宋体" w:hAnsi="宋体" w:eastAsia="宋体" w:cs="宋体"/>
                <w:i w:val="0"/>
                <w:iCs w:val="0"/>
                <w:color w:val="000000"/>
                <w:sz w:val="18"/>
                <w:szCs w:val="18"/>
                <w:u w:val="none"/>
              </w:rPr>
            </w:pPr>
          </w:p>
        </w:tc>
      </w:tr>
      <w:tr w14:paraId="3316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8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DEB9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本项目自评得分100分。严格按照文件要求，足额完成35名在岗及退休教师教师节慰问金发放，资金使用合规，教师满意度达标，圆满完成项目全部绩效目标。</w:t>
            </w:r>
          </w:p>
        </w:tc>
      </w:tr>
      <w:tr w14:paraId="774C0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E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033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项目执行情况良好，未发现突出问题。</w:t>
            </w:r>
          </w:p>
        </w:tc>
      </w:tr>
      <w:tr w14:paraId="749E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6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3996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今后继续落实教师节日慰问相关政策，严格执行资金发放标准，规范专项资金管理，切实保障教职工的切身权益。</w:t>
            </w:r>
          </w:p>
        </w:tc>
      </w:tr>
      <w:tr w14:paraId="76DA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50B2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B934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3D53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5092B199">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726D526C">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302EDE88">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4E39AB5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45D05EFF">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4EE9007">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7DB0C189">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08256705">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4140A137">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41786E84">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05AC07CA">
            <w:pPr>
              <w:rPr>
                <w:rFonts w:hint="eastAsia" w:ascii="宋体" w:hAnsi="宋体" w:eastAsia="宋体" w:cs="宋体"/>
                <w:i w:val="0"/>
                <w:iCs w:val="0"/>
                <w:color w:val="000000"/>
                <w:sz w:val="18"/>
                <w:szCs w:val="18"/>
                <w:u w:val="none"/>
              </w:rPr>
            </w:pPr>
          </w:p>
          <w:p w14:paraId="3AC1F40E">
            <w:pPr>
              <w:pStyle w:val="2"/>
              <w:rPr>
                <w:rFonts w:hint="eastAsia" w:ascii="宋体" w:hAnsi="宋体" w:eastAsia="宋体" w:cs="宋体"/>
                <w:i w:val="0"/>
                <w:iCs w:val="0"/>
                <w:color w:val="000000"/>
                <w:sz w:val="18"/>
                <w:szCs w:val="18"/>
                <w:u w:val="none"/>
              </w:rPr>
            </w:pPr>
          </w:p>
          <w:p w14:paraId="41102C19">
            <w:pPr>
              <w:pStyle w:val="3"/>
              <w:rPr>
                <w:rFonts w:hint="eastAsia" w:ascii="宋体" w:hAnsi="宋体" w:eastAsia="宋体" w:cs="宋体"/>
                <w:i w:val="0"/>
                <w:iCs w:val="0"/>
                <w:color w:val="000000"/>
                <w:sz w:val="18"/>
                <w:szCs w:val="18"/>
                <w:u w:val="none"/>
              </w:rPr>
            </w:pPr>
          </w:p>
          <w:p w14:paraId="3AFA2804">
            <w:pPr>
              <w:pStyle w:val="3"/>
              <w:rPr>
                <w:rFonts w:hint="eastAsia" w:ascii="宋体" w:hAnsi="宋体" w:eastAsia="宋体" w:cs="宋体"/>
                <w:i w:val="0"/>
                <w:iCs w:val="0"/>
                <w:color w:val="000000"/>
                <w:sz w:val="18"/>
                <w:szCs w:val="18"/>
                <w:u w:val="none"/>
              </w:rPr>
            </w:pPr>
          </w:p>
          <w:p w14:paraId="4A1A2CF3">
            <w:pPr>
              <w:pStyle w:val="3"/>
              <w:rPr>
                <w:rFonts w:hint="eastAsia" w:ascii="宋体" w:hAnsi="宋体" w:eastAsia="宋体" w:cs="宋体"/>
                <w:i w:val="0"/>
                <w:iCs w:val="0"/>
                <w:color w:val="000000"/>
                <w:sz w:val="18"/>
                <w:szCs w:val="18"/>
                <w:u w:val="none"/>
              </w:rPr>
            </w:pPr>
          </w:p>
          <w:p w14:paraId="05429845">
            <w:pPr>
              <w:pStyle w:val="3"/>
              <w:rPr>
                <w:rFonts w:hint="eastAsia" w:ascii="宋体" w:hAnsi="宋体" w:eastAsia="宋体" w:cs="宋体"/>
                <w:i w:val="0"/>
                <w:iCs w:val="0"/>
                <w:color w:val="000000"/>
                <w:sz w:val="18"/>
                <w:szCs w:val="18"/>
                <w:u w:val="none"/>
              </w:rPr>
            </w:pPr>
          </w:p>
          <w:p w14:paraId="610945DD">
            <w:pPr>
              <w:pStyle w:val="3"/>
              <w:rPr>
                <w:rFonts w:hint="eastAsia" w:ascii="宋体" w:hAnsi="宋体" w:eastAsia="宋体" w:cs="宋体"/>
                <w:i w:val="0"/>
                <w:iCs w:val="0"/>
                <w:color w:val="000000"/>
                <w:sz w:val="18"/>
                <w:szCs w:val="18"/>
                <w:u w:val="none"/>
              </w:rPr>
            </w:pPr>
          </w:p>
          <w:p w14:paraId="0837AB2C">
            <w:pPr>
              <w:pStyle w:val="3"/>
              <w:rPr>
                <w:rFonts w:hint="eastAsia" w:ascii="宋体" w:hAnsi="宋体" w:eastAsia="宋体" w:cs="宋体"/>
                <w:i w:val="0"/>
                <w:iCs w:val="0"/>
                <w:color w:val="000000"/>
                <w:sz w:val="18"/>
                <w:szCs w:val="18"/>
                <w:u w:val="none"/>
              </w:rPr>
            </w:pPr>
          </w:p>
          <w:p w14:paraId="1A23DD41">
            <w:pPr>
              <w:pStyle w:val="3"/>
              <w:rPr>
                <w:rFonts w:hint="eastAsia" w:ascii="宋体" w:hAnsi="宋体" w:eastAsia="宋体" w:cs="宋体"/>
                <w:i w:val="0"/>
                <w:iCs w:val="0"/>
                <w:color w:val="000000"/>
                <w:sz w:val="18"/>
                <w:szCs w:val="18"/>
                <w:u w:val="none"/>
              </w:rPr>
            </w:pPr>
          </w:p>
          <w:p w14:paraId="5DA6B6DC">
            <w:pPr>
              <w:pStyle w:val="3"/>
              <w:rPr>
                <w:rFonts w:hint="eastAsia" w:ascii="宋体" w:hAnsi="宋体" w:eastAsia="宋体" w:cs="宋体"/>
                <w:i w:val="0"/>
                <w:iCs w:val="0"/>
                <w:color w:val="000000"/>
                <w:sz w:val="18"/>
                <w:szCs w:val="18"/>
                <w:u w:val="none"/>
              </w:rPr>
            </w:pPr>
          </w:p>
          <w:p w14:paraId="2832DCD6">
            <w:pPr>
              <w:pStyle w:val="3"/>
              <w:rPr>
                <w:rFonts w:hint="eastAsia" w:ascii="宋体" w:hAnsi="宋体" w:eastAsia="宋体" w:cs="宋体"/>
                <w:i w:val="0"/>
                <w:iCs w:val="0"/>
                <w:color w:val="000000"/>
                <w:sz w:val="18"/>
                <w:szCs w:val="18"/>
                <w:u w:val="none"/>
              </w:rPr>
            </w:pPr>
          </w:p>
          <w:p w14:paraId="52F8BC68">
            <w:pPr>
              <w:pStyle w:val="3"/>
              <w:rPr>
                <w:rFonts w:hint="eastAsia" w:ascii="宋体" w:hAnsi="宋体" w:eastAsia="宋体" w:cs="宋体"/>
                <w:i w:val="0"/>
                <w:iCs w:val="0"/>
                <w:color w:val="000000"/>
                <w:sz w:val="18"/>
                <w:szCs w:val="18"/>
                <w:u w:val="none"/>
              </w:rPr>
            </w:pPr>
          </w:p>
          <w:p w14:paraId="2E6B9988">
            <w:pPr>
              <w:pStyle w:val="3"/>
              <w:rPr>
                <w:rFonts w:hint="eastAsia" w:ascii="宋体" w:hAnsi="宋体" w:eastAsia="宋体" w:cs="宋体"/>
                <w:i w:val="0"/>
                <w:iCs w:val="0"/>
                <w:color w:val="000000"/>
                <w:sz w:val="18"/>
                <w:szCs w:val="18"/>
                <w:u w:val="none"/>
              </w:rPr>
            </w:pPr>
          </w:p>
          <w:p w14:paraId="20818C99">
            <w:pPr>
              <w:pStyle w:val="3"/>
              <w:rPr>
                <w:rFonts w:hint="eastAsia" w:ascii="宋体" w:hAnsi="宋体" w:eastAsia="宋体" w:cs="宋体"/>
                <w:i w:val="0"/>
                <w:iCs w:val="0"/>
                <w:color w:val="000000"/>
                <w:sz w:val="18"/>
                <w:szCs w:val="18"/>
                <w:u w:val="none"/>
              </w:rPr>
            </w:pPr>
          </w:p>
          <w:p w14:paraId="417D7822">
            <w:pPr>
              <w:pStyle w:val="3"/>
              <w:rPr>
                <w:rFonts w:hint="eastAsia" w:ascii="宋体" w:hAnsi="宋体" w:eastAsia="宋体" w:cs="宋体"/>
                <w:i w:val="0"/>
                <w:iCs w:val="0"/>
                <w:color w:val="000000"/>
                <w:sz w:val="18"/>
                <w:szCs w:val="18"/>
                <w:u w:val="none"/>
              </w:rPr>
            </w:pPr>
          </w:p>
          <w:p w14:paraId="16DA89E9">
            <w:pPr>
              <w:pStyle w:val="3"/>
              <w:rPr>
                <w:rFonts w:hint="eastAsia" w:ascii="宋体" w:hAnsi="宋体" w:eastAsia="宋体" w:cs="宋体"/>
                <w:i w:val="0"/>
                <w:iCs w:val="0"/>
                <w:color w:val="000000"/>
                <w:sz w:val="18"/>
                <w:szCs w:val="18"/>
                <w:u w:val="none"/>
              </w:rPr>
            </w:pPr>
          </w:p>
          <w:p w14:paraId="5FE19C4C">
            <w:pPr>
              <w:pStyle w:val="3"/>
              <w:rPr>
                <w:rFonts w:hint="eastAsia" w:ascii="宋体" w:hAnsi="宋体" w:eastAsia="宋体" w:cs="宋体"/>
                <w:i w:val="0"/>
                <w:iCs w:val="0"/>
                <w:color w:val="000000"/>
                <w:sz w:val="18"/>
                <w:szCs w:val="18"/>
                <w:u w:val="none"/>
              </w:rPr>
            </w:pPr>
          </w:p>
          <w:p w14:paraId="05A5D760">
            <w:pPr>
              <w:pStyle w:val="3"/>
              <w:rPr>
                <w:rFonts w:hint="eastAsia" w:ascii="宋体" w:hAnsi="宋体" w:eastAsia="宋体" w:cs="宋体"/>
                <w:i w:val="0"/>
                <w:iCs w:val="0"/>
                <w:color w:val="000000"/>
                <w:sz w:val="18"/>
                <w:szCs w:val="18"/>
                <w:u w:val="none"/>
              </w:rPr>
            </w:pPr>
          </w:p>
          <w:p w14:paraId="6032FA20">
            <w:pPr>
              <w:pStyle w:val="3"/>
              <w:rPr>
                <w:rFonts w:hint="eastAsia" w:ascii="宋体" w:hAnsi="宋体" w:eastAsia="宋体" w:cs="宋体"/>
                <w:i w:val="0"/>
                <w:iCs w:val="0"/>
                <w:color w:val="000000"/>
                <w:sz w:val="18"/>
                <w:szCs w:val="18"/>
                <w:u w:val="none"/>
              </w:rPr>
            </w:pPr>
          </w:p>
          <w:p w14:paraId="089D7825">
            <w:pPr>
              <w:pStyle w:val="3"/>
              <w:rPr>
                <w:rFonts w:hint="eastAsia" w:ascii="宋体" w:hAnsi="宋体" w:eastAsia="宋体" w:cs="宋体"/>
                <w:i w:val="0"/>
                <w:iCs w:val="0"/>
                <w:color w:val="000000"/>
                <w:sz w:val="18"/>
                <w:szCs w:val="18"/>
                <w:u w:val="none"/>
              </w:rPr>
            </w:pPr>
          </w:p>
          <w:p w14:paraId="0E35CAED">
            <w:pPr>
              <w:pStyle w:val="3"/>
              <w:rPr>
                <w:rFonts w:hint="eastAsia" w:ascii="宋体" w:hAnsi="宋体" w:eastAsia="宋体" w:cs="宋体"/>
                <w:i w:val="0"/>
                <w:iCs w:val="0"/>
                <w:color w:val="000000"/>
                <w:sz w:val="18"/>
                <w:szCs w:val="18"/>
                <w:u w:val="none"/>
              </w:rPr>
            </w:pPr>
          </w:p>
          <w:p w14:paraId="437E0CBE">
            <w:pPr>
              <w:pStyle w:val="3"/>
              <w:rPr>
                <w:rFonts w:hint="eastAsia" w:ascii="宋体" w:hAnsi="宋体" w:eastAsia="宋体" w:cs="宋体"/>
                <w:i w:val="0"/>
                <w:iCs w:val="0"/>
                <w:color w:val="000000"/>
                <w:sz w:val="18"/>
                <w:szCs w:val="18"/>
                <w:u w:val="none"/>
              </w:rPr>
            </w:pPr>
          </w:p>
          <w:p w14:paraId="17A3D7B0">
            <w:pPr>
              <w:pStyle w:val="3"/>
              <w:rPr>
                <w:rFonts w:hint="eastAsia" w:ascii="宋体" w:hAnsi="宋体" w:eastAsia="宋体" w:cs="宋体"/>
                <w:i w:val="0"/>
                <w:iCs w:val="0"/>
                <w:color w:val="000000"/>
                <w:sz w:val="18"/>
                <w:szCs w:val="18"/>
                <w:u w:val="none"/>
              </w:rPr>
            </w:pPr>
          </w:p>
          <w:p w14:paraId="5959756B">
            <w:pPr>
              <w:pStyle w:val="3"/>
              <w:rPr>
                <w:rFonts w:hint="eastAsia" w:ascii="宋体" w:hAnsi="宋体" w:eastAsia="宋体" w:cs="宋体"/>
                <w:i w:val="0"/>
                <w:iCs w:val="0"/>
                <w:color w:val="000000"/>
                <w:sz w:val="18"/>
                <w:szCs w:val="18"/>
                <w:u w:val="none"/>
              </w:rPr>
            </w:pPr>
          </w:p>
        </w:tc>
      </w:tr>
      <w:tr w14:paraId="34A6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AE857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B6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46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8B09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51322325T000012347289-茂县凤仪镇幼儿园保教费</w:t>
            </w:r>
          </w:p>
        </w:tc>
      </w:tr>
      <w:tr w14:paraId="6B0D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23F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8E3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0AA94B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7E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16B1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62F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569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4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681C0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505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C67C">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1B9E7">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D9A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阿州财教【2025】9号文件西藏等地区教育特殊补助资金（涉藏州县十五年免费教育补助资金）（学前保教费）保教资金238200元，保障幼儿园正常运转。</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089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落实涉藏州县学前保教费补助，保障幼儿园保育教育正常运转，保障幼儿教学有序开展，改善办园条件。</w:t>
            </w:r>
          </w:p>
        </w:tc>
      </w:tr>
      <w:tr w14:paraId="4E592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ED14C">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CF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6276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本项目为年度财政追加专项资金，年初部门预算未安排，根据财政资金追加文件执行。执行涉藏州县教育补助学前保教费政策，补助资金用于幼儿园保教运行开支，保障幼儿园保教业务正常开展。</w:t>
            </w:r>
          </w:p>
        </w:tc>
      </w:tr>
      <w:tr w14:paraId="1E7E3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77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9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A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9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4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1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1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9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5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8ABD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EECAF">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4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0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A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31.16</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BE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1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6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7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83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AADE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50DE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9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9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3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31.16</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C5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3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9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E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F69D">
            <w:pPr>
              <w:jc w:val="center"/>
              <w:rPr>
                <w:rFonts w:hint="eastAsia" w:ascii="宋体" w:hAnsi="宋体" w:eastAsia="宋体" w:cs="宋体"/>
                <w:i w:val="0"/>
                <w:iCs w:val="0"/>
                <w:color w:val="000000"/>
                <w:sz w:val="18"/>
                <w:szCs w:val="18"/>
                <w:u w:val="none"/>
              </w:rPr>
            </w:pPr>
          </w:p>
        </w:tc>
      </w:tr>
      <w:tr w14:paraId="33BFF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6DD5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B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6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D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F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8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B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8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B0C50">
            <w:pPr>
              <w:jc w:val="center"/>
              <w:rPr>
                <w:rFonts w:hint="eastAsia" w:ascii="宋体" w:hAnsi="宋体" w:eastAsia="宋体" w:cs="宋体"/>
                <w:i w:val="0"/>
                <w:iCs w:val="0"/>
                <w:color w:val="000000"/>
                <w:sz w:val="18"/>
                <w:szCs w:val="18"/>
                <w:u w:val="none"/>
              </w:rPr>
            </w:pPr>
          </w:p>
        </w:tc>
      </w:tr>
      <w:tr w14:paraId="5765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B8970">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7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9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1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AA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0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D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3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4C79">
            <w:pPr>
              <w:jc w:val="center"/>
              <w:rPr>
                <w:rFonts w:hint="eastAsia" w:ascii="宋体" w:hAnsi="宋体" w:eastAsia="宋体" w:cs="宋体"/>
                <w:i w:val="0"/>
                <w:iCs w:val="0"/>
                <w:color w:val="000000"/>
                <w:sz w:val="18"/>
                <w:szCs w:val="18"/>
                <w:u w:val="none"/>
              </w:rPr>
            </w:pPr>
          </w:p>
        </w:tc>
      </w:tr>
      <w:tr w14:paraId="7285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5D418">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3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5C2A">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9E2A">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51B35">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E9A0">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8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D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CBAC">
            <w:pPr>
              <w:jc w:val="center"/>
              <w:rPr>
                <w:rFonts w:hint="eastAsia" w:ascii="宋体" w:hAnsi="宋体" w:eastAsia="宋体" w:cs="宋体"/>
                <w:i w:val="0"/>
                <w:iCs w:val="0"/>
                <w:color w:val="000000"/>
                <w:sz w:val="18"/>
                <w:szCs w:val="18"/>
                <w:u w:val="none"/>
              </w:rPr>
            </w:pPr>
          </w:p>
        </w:tc>
      </w:tr>
      <w:tr w14:paraId="2C8B3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55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B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2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2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3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E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0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5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F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05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8C876">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C2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D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B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在园幼儿人数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A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8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D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2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3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B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8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15EF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9E9DF">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B27FB">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1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5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C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E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1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B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4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4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3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23515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D60D4">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34EB">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2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E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6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B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E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2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F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E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B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44A6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9374">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AC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F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A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提高教育质量，确保幼儿得到全面，均衡发展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4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7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E7B7">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1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0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C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F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51E3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32EEC">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BBE43">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B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2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保障幼儿在园健康成长</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2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A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15EA">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6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C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7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F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4C50E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EC465">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B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0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4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幼儿及家长满意度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0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9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1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0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3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6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18D27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B007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8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2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C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3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4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238200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A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2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238200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9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5B74D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424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0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F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F7EB">
            <w:pPr>
              <w:rPr>
                <w:rFonts w:hint="eastAsia" w:ascii="宋体" w:hAnsi="宋体" w:eastAsia="宋体" w:cs="宋体"/>
                <w:i w:val="0"/>
                <w:iCs w:val="0"/>
                <w:color w:val="000000"/>
                <w:sz w:val="18"/>
                <w:szCs w:val="18"/>
                <w:u w:val="none"/>
              </w:rPr>
            </w:pPr>
          </w:p>
        </w:tc>
      </w:tr>
      <w:tr w14:paraId="0A68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0252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项目自评得分100分。涉藏州县学前保教费补助资金足额执行，保障幼儿园保育教育正常运转，经费支出合规，家长及师生满意度达标，全面完成绩效目标。</w:t>
            </w:r>
          </w:p>
        </w:tc>
      </w:tr>
      <w:tr w14:paraId="6A439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9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7BB8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项目执行总体较好，无突出问题。</w:t>
            </w:r>
          </w:p>
        </w:tc>
      </w:tr>
      <w:tr w14:paraId="05D1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D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714D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严格落实涉藏州县学前保教费补助政策，规范专项资金管理，强化绩效监管，不断提升幼儿园保教服务水平。</w:t>
            </w:r>
          </w:p>
        </w:tc>
      </w:tr>
      <w:tr w14:paraId="22071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603D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FE1C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19D0C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3150665C">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41FCD417">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53F977A7">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223A2BB4">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0E2C76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6536C18">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05AB727C">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24544923">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5E5DF17D">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01FACCEF">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40720B88">
            <w:pPr>
              <w:rPr>
                <w:rFonts w:hint="eastAsia" w:ascii="宋体" w:hAnsi="宋体" w:eastAsia="宋体" w:cs="宋体"/>
                <w:i w:val="0"/>
                <w:iCs w:val="0"/>
                <w:color w:val="000000"/>
                <w:sz w:val="18"/>
                <w:szCs w:val="18"/>
                <w:u w:val="none"/>
              </w:rPr>
            </w:pPr>
          </w:p>
          <w:p w14:paraId="26AEF1D6">
            <w:pPr>
              <w:pStyle w:val="2"/>
              <w:rPr>
                <w:rFonts w:hint="eastAsia" w:ascii="宋体" w:hAnsi="宋体" w:eastAsia="宋体" w:cs="宋体"/>
                <w:i w:val="0"/>
                <w:iCs w:val="0"/>
                <w:color w:val="000000"/>
                <w:sz w:val="18"/>
                <w:szCs w:val="18"/>
                <w:u w:val="none"/>
              </w:rPr>
            </w:pPr>
          </w:p>
          <w:p w14:paraId="34F29E21">
            <w:pPr>
              <w:pStyle w:val="3"/>
              <w:rPr>
                <w:rFonts w:hint="eastAsia" w:ascii="宋体" w:hAnsi="宋体" w:eastAsia="宋体" w:cs="宋体"/>
                <w:i w:val="0"/>
                <w:iCs w:val="0"/>
                <w:color w:val="000000"/>
                <w:sz w:val="18"/>
                <w:szCs w:val="18"/>
                <w:u w:val="none"/>
              </w:rPr>
            </w:pPr>
          </w:p>
          <w:p w14:paraId="0EAD0D55">
            <w:pPr>
              <w:pStyle w:val="3"/>
              <w:rPr>
                <w:rFonts w:hint="eastAsia" w:ascii="宋体" w:hAnsi="宋体" w:eastAsia="宋体" w:cs="宋体"/>
                <w:i w:val="0"/>
                <w:iCs w:val="0"/>
                <w:color w:val="000000"/>
                <w:sz w:val="18"/>
                <w:szCs w:val="18"/>
                <w:u w:val="none"/>
              </w:rPr>
            </w:pPr>
          </w:p>
          <w:p w14:paraId="4DC9D31E">
            <w:pPr>
              <w:pStyle w:val="3"/>
              <w:rPr>
                <w:rFonts w:hint="eastAsia" w:ascii="宋体" w:hAnsi="宋体" w:eastAsia="宋体" w:cs="宋体"/>
                <w:i w:val="0"/>
                <w:iCs w:val="0"/>
                <w:color w:val="000000"/>
                <w:sz w:val="18"/>
                <w:szCs w:val="18"/>
                <w:u w:val="none"/>
              </w:rPr>
            </w:pPr>
          </w:p>
          <w:p w14:paraId="21D16BCA">
            <w:pPr>
              <w:pStyle w:val="3"/>
              <w:rPr>
                <w:rFonts w:hint="eastAsia" w:ascii="宋体" w:hAnsi="宋体" w:eastAsia="宋体" w:cs="宋体"/>
                <w:i w:val="0"/>
                <w:iCs w:val="0"/>
                <w:color w:val="000000"/>
                <w:sz w:val="18"/>
                <w:szCs w:val="18"/>
                <w:u w:val="none"/>
              </w:rPr>
            </w:pPr>
          </w:p>
          <w:p w14:paraId="4AD49FD9">
            <w:pPr>
              <w:pStyle w:val="3"/>
              <w:rPr>
                <w:rFonts w:hint="eastAsia" w:ascii="宋体" w:hAnsi="宋体" w:eastAsia="宋体" w:cs="宋体"/>
                <w:i w:val="0"/>
                <w:iCs w:val="0"/>
                <w:color w:val="000000"/>
                <w:sz w:val="18"/>
                <w:szCs w:val="18"/>
                <w:u w:val="none"/>
              </w:rPr>
            </w:pPr>
          </w:p>
          <w:p w14:paraId="67F0D6DC">
            <w:pPr>
              <w:pStyle w:val="3"/>
              <w:rPr>
                <w:rFonts w:hint="eastAsia" w:ascii="宋体" w:hAnsi="宋体" w:eastAsia="宋体" w:cs="宋体"/>
                <w:i w:val="0"/>
                <w:iCs w:val="0"/>
                <w:color w:val="000000"/>
                <w:sz w:val="18"/>
                <w:szCs w:val="18"/>
                <w:u w:val="none"/>
              </w:rPr>
            </w:pPr>
          </w:p>
          <w:p w14:paraId="2CE700B9">
            <w:pPr>
              <w:pStyle w:val="3"/>
              <w:rPr>
                <w:rFonts w:hint="eastAsia" w:ascii="宋体" w:hAnsi="宋体" w:eastAsia="宋体" w:cs="宋体"/>
                <w:i w:val="0"/>
                <w:iCs w:val="0"/>
                <w:color w:val="000000"/>
                <w:sz w:val="18"/>
                <w:szCs w:val="18"/>
                <w:u w:val="none"/>
              </w:rPr>
            </w:pPr>
          </w:p>
          <w:p w14:paraId="2E390715">
            <w:pPr>
              <w:pStyle w:val="3"/>
              <w:rPr>
                <w:rFonts w:hint="eastAsia" w:ascii="宋体" w:hAnsi="宋体" w:eastAsia="宋体" w:cs="宋体"/>
                <w:i w:val="0"/>
                <w:iCs w:val="0"/>
                <w:color w:val="000000"/>
                <w:sz w:val="18"/>
                <w:szCs w:val="18"/>
                <w:u w:val="none"/>
              </w:rPr>
            </w:pPr>
          </w:p>
          <w:p w14:paraId="42EC903F">
            <w:pPr>
              <w:pStyle w:val="3"/>
              <w:rPr>
                <w:rFonts w:hint="eastAsia" w:ascii="宋体" w:hAnsi="宋体" w:eastAsia="宋体" w:cs="宋体"/>
                <w:i w:val="0"/>
                <w:iCs w:val="0"/>
                <w:color w:val="000000"/>
                <w:sz w:val="18"/>
                <w:szCs w:val="18"/>
                <w:u w:val="none"/>
              </w:rPr>
            </w:pPr>
          </w:p>
          <w:p w14:paraId="291E364A">
            <w:pPr>
              <w:pStyle w:val="3"/>
              <w:rPr>
                <w:rFonts w:hint="eastAsia" w:ascii="宋体" w:hAnsi="宋体" w:eastAsia="宋体" w:cs="宋体"/>
                <w:i w:val="0"/>
                <w:iCs w:val="0"/>
                <w:color w:val="000000"/>
                <w:sz w:val="18"/>
                <w:szCs w:val="18"/>
                <w:u w:val="none"/>
              </w:rPr>
            </w:pPr>
          </w:p>
          <w:p w14:paraId="44D73638">
            <w:pPr>
              <w:pStyle w:val="3"/>
              <w:rPr>
                <w:rFonts w:hint="eastAsia" w:ascii="宋体" w:hAnsi="宋体" w:eastAsia="宋体" w:cs="宋体"/>
                <w:i w:val="0"/>
                <w:iCs w:val="0"/>
                <w:color w:val="000000"/>
                <w:sz w:val="18"/>
                <w:szCs w:val="18"/>
                <w:u w:val="none"/>
              </w:rPr>
            </w:pPr>
          </w:p>
          <w:p w14:paraId="5B77F15D">
            <w:pPr>
              <w:pStyle w:val="3"/>
              <w:rPr>
                <w:rFonts w:hint="eastAsia" w:ascii="宋体" w:hAnsi="宋体" w:eastAsia="宋体" w:cs="宋体"/>
                <w:i w:val="0"/>
                <w:iCs w:val="0"/>
                <w:color w:val="000000"/>
                <w:sz w:val="18"/>
                <w:szCs w:val="18"/>
                <w:u w:val="none"/>
              </w:rPr>
            </w:pPr>
          </w:p>
          <w:p w14:paraId="0B0D09DA">
            <w:pPr>
              <w:pStyle w:val="3"/>
              <w:rPr>
                <w:rFonts w:hint="eastAsia" w:ascii="宋体" w:hAnsi="宋体" w:eastAsia="宋体" w:cs="宋体"/>
                <w:i w:val="0"/>
                <w:iCs w:val="0"/>
                <w:color w:val="000000"/>
                <w:sz w:val="18"/>
                <w:szCs w:val="18"/>
                <w:u w:val="none"/>
              </w:rPr>
            </w:pPr>
          </w:p>
          <w:p w14:paraId="6078383F">
            <w:pPr>
              <w:pStyle w:val="3"/>
              <w:rPr>
                <w:rFonts w:hint="eastAsia" w:ascii="宋体" w:hAnsi="宋体" w:eastAsia="宋体" w:cs="宋体"/>
                <w:i w:val="0"/>
                <w:iCs w:val="0"/>
                <w:color w:val="000000"/>
                <w:sz w:val="18"/>
                <w:szCs w:val="18"/>
                <w:u w:val="none"/>
              </w:rPr>
            </w:pPr>
          </w:p>
          <w:p w14:paraId="1752AA95">
            <w:pPr>
              <w:pStyle w:val="3"/>
              <w:rPr>
                <w:rFonts w:hint="eastAsia" w:ascii="宋体" w:hAnsi="宋体" w:eastAsia="宋体" w:cs="宋体"/>
                <w:i w:val="0"/>
                <w:iCs w:val="0"/>
                <w:color w:val="000000"/>
                <w:sz w:val="18"/>
                <w:szCs w:val="18"/>
                <w:u w:val="none"/>
              </w:rPr>
            </w:pPr>
          </w:p>
          <w:p w14:paraId="5A78EDD6">
            <w:pPr>
              <w:pStyle w:val="3"/>
              <w:rPr>
                <w:rFonts w:hint="eastAsia" w:ascii="宋体" w:hAnsi="宋体" w:eastAsia="宋体" w:cs="宋体"/>
                <w:i w:val="0"/>
                <w:iCs w:val="0"/>
                <w:color w:val="000000"/>
                <w:sz w:val="18"/>
                <w:szCs w:val="18"/>
                <w:u w:val="none"/>
              </w:rPr>
            </w:pPr>
          </w:p>
          <w:p w14:paraId="3E4CFAD7">
            <w:pPr>
              <w:pStyle w:val="3"/>
              <w:rPr>
                <w:rFonts w:hint="eastAsia" w:ascii="宋体" w:hAnsi="宋体" w:eastAsia="宋体" w:cs="宋体"/>
                <w:i w:val="0"/>
                <w:iCs w:val="0"/>
                <w:color w:val="000000"/>
                <w:sz w:val="18"/>
                <w:szCs w:val="18"/>
                <w:u w:val="none"/>
              </w:rPr>
            </w:pPr>
          </w:p>
          <w:p w14:paraId="5760CC4C">
            <w:pPr>
              <w:pStyle w:val="3"/>
              <w:rPr>
                <w:rFonts w:hint="eastAsia" w:ascii="宋体" w:hAnsi="宋体" w:eastAsia="宋体" w:cs="宋体"/>
                <w:i w:val="0"/>
                <w:iCs w:val="0"/>
                <w:color w:val="000000"/>
                <w:sz w:val="18"/>
                <w:szCs w:val="18"/>
                <w:u w:val="none"/>
              </w:rPr>
            </w:pPr>
          </w:p>
          <w:p w14:paraId="2436EAD2">
            <w:pPr>
              <w:pStyle w:val="3"/>
              <w:rPr>
                <w:rFonts w:hint="eastAsia" w:ascii="宋体" w:hAnsi="宋体" w:eastAsia="宋体" w:cs="宋体"/>
                <w:i w:val="0"/>
                <w:iCs w:val="0"/>
                <w:color w:val="000000"/>
                <w:sz w:val="18"/>
                <w:szCs w:val="18"/>
                <w:u w:val="none"/>
              </w:rPr>
            </w:pPr>
          </w:p>
          <w:p w14:paraId="26C0FF91">
            <w:pPr>
              <w:pStyle w:val="3"/>
              <w:rPr>
                <w:rFonts w:hint="eastAsia" w:ascii="宋体" w:hAnsi="宋体" w:eastAsia="宋体" w:cs="宋体"/>
                <w:i w:val="0"/>
                <w:iCs w:val="0"/>
                <w:color w:val="000000"/>
                <w:sz w:val="18"/>
                <w:szCs w:val="18"/>
                <w:u w:val="none"/>
              </w:rPr>
            </w:pPr>
          </w:p>
          <w:p w14:paraId="71A705D8">
            <w:pPr>
              <w:pStyle w:val="3"/>
              <w:rPr>
                <w:rFonts w:hint="eastAsia" w:ascii="宋体" w:hAnsi="宋体" w:eastAsia="宋体" w:cs="宋体"/>
                <w:i w:val="0"/>
                <w:iCs w:val="0"/>
                <w:color w:val="000000"/>
                <w:sz w:val="18"/>
                <w:szCs w:val="18"/>
                <w:u w:val="none"/>
              </w:rPr>
            </w:pPr>
          </w:p>
        </w:tc>
      </w:tr>
      <w:tr w14:paraId="52A5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B9061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EF9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97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B647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51322325T000012433011-茂县凤幼代管资金（幼儿生活费、教师陪餐费））</w:t>
            </w:r>
          </w:p>
        </w:tc>
      </w:tr>
      <w:tr w14:paraId="43538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2E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553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4E605D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2B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6BEA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15B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641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CD3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A76A9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E46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B81CC">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B5044">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3752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2024年秋季学期在园幼儿380人，收取在园幼儿生活费379人计238770元及教师陪餐费27人计7080元，代管资金共计245850.00元。落实代管经费149669元，保障幼儿与陪餐教师在园午餐，促进幼儿身体健康成长。</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F37A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2024年秋季学期落实代管经费149669元，保障幼儿及陪餐教师在园午餐，顺利完成项目目标，促进幼儿身体健康成长。</w:t>
            </w:r>
          </w:p>
        </w:tc>
      </w:tr>
      <w:tr w14:paraId="0E502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078A0">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0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863D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本项目为年度财政追加专项资金，年初部门预算未安排，根据财政资金追加文件执行。落实幼儿园校园餐经费，保障在园幼儿、陪餐教师午餐供给，做好就餐管理，保障幼儿身体健康成长。</w:t>
            </w:r>
          </w:p>
        </w:tc>
      </w:tr>
      <w:tr w14:paraId="7703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32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8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9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8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66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4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9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2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B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D20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D5EB8">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0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C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14.97</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16E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2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B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5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A99A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无</w:t>
            </w:r>
          </w:p>
        </w:tc>
      </w:tr>
      <w:tr w14:paraId="4312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1A023">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F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3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4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26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1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3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63099">
            <w:pPr>
              <w:jc w:val="center"/>
              <w:rPr>
                <w:rFonts w:hint="eastAsia" w:ascii="黑体" w:hAnsi="黑体" w:eastAsia="黑体" w:cs="黑体"/>
                <w:i w:val="0"/>
                <w:iCs w:val="0"/>
                <w:color w:val="000000"/>
                <w:sz w:val="18"/>
                <w:szCs w:val="18"/>
                <w:u w:val="none"/>
              </w:rPr>
            </w:pPr>
          </w:p>
        </w:tc>
      </w:tr>
      <w:tr w14:paraId="4FE0E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B3FB3">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2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2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C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C0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7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B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5392">
            <w:pPr>
              <w:jc w:val="center"/>
              <w:rPr>
                <w:rFonts w:hint="eastAsia" w:ascii="黑体" w:hAnsi="黑体" w:eastAsia="黑体" w:cs="黑体"/>
                <w:i w:val="0"/>
                <w:iCs w:val="0"/>
                <w:color w:val="000000"/>
                <w:sz w:val="18"/>
                <w:szCs w:val="18"/>
                <w:u w:val="none"/>
              </w:rPr>
            </w:pPr>
          </w:p>
        </w:tc>
      </w:tr>
      <w:tr w14:paraId="36B9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6D357">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1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B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9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14.97</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FB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6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C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F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701A5">
            <w:pPr>
              <w:jc w:val="center"/>
              <w:rPr>
                <w:rFonts w:hint="eastAsia" w:ascii="黑体" w:hAnsi="黑体" w:eastAsia="黑体" w:cs="黑体"/>
                <w:i w:val="0"/>
                <w:iCs w:val="0"/>
                <w:color w:val="000000"/>
                <w:sz w:val="18"/>
                <w:szCs w:val="18"/>
                <w:u w:val="none"/>
              </w:rPr>
            </w:pPr>
          </w:p>
        </w:tc>
      </w:tr>
      <w:tr w14:paraId="4BDC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B1CCB">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0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2117">
            <w:pPr>
              <w:jc w:val="center"/>
              <w:rPr>
                <w:rFonts w:hint="eastAsia" w:ascii="微软雅黑" w:hAnsi="微软雅黑" w:eastAsia="微软雅黑" w:cs="微软雅黑"/>
                <w:i/>
                <w:iCs/>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161F">
            <w:pPr>
              <w:jc w:val="center"/>
              <w:rPr>
                <w:rFonts w:hint="eastAsia" w:ascii="微软雅黑" w:hAnsi="微软雅黑" w:eastAsia="微软雅黑" w:cs="微软雅黑"/>
                <w:i/>
                <w:iCs/>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D065C">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404B">
            <w:pPr>
              <w:jc w:val="center"/>
              <w:rPr>
                <w:rFonts w:hint="eastAsia" w:ascii="微软雅黑" w:hAnsi="微软雅黑" w:eastAsia="微软雅黑" w:cs="微软雅黑"/>
                <w:i/>
                <w:iCs/>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B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6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C970E">
            <w:pPr>
              <w:jc w:val="center"/>
              <w:rPr>
                <w:rFonts w:hint="eastAsia" w:ascii="黑体" w:hAnsi="黑体" w:eastAsia="黑体" w:cs="黑体"/>
                <w:i w:val="0"/>
                <w:iCs w:val="0"/>
                <w:color w:val="000000"/>
                <w:sz w:val="18"/>
                <w:szCs w:val="18"/>
                <w:u w:val="none"/>
              </w:rPr>
            </w:pPr>
          </w:p>
        </w:tc>
      </w:tr>
      <w:tr w14:paraId="5388F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055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C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C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4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4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0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F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E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E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1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E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ED3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DB1D2">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7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D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8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幼儿及陪餐人员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9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F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F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6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C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7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34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2E10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87D6">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41E34">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0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0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4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2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6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9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2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4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08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1F1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B8285">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E77A">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D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5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2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9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3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F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E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80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A0D6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A785B">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81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C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7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幼儿生活费保障幼儿在园营养搭配</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5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2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7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4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1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D5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D87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89ABE">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91038">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1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D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幼儿生活费保障幼儿生活</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B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0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D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9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D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E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67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249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F96C7">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A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D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E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家长幼儿满意度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D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D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B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B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CB4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3D8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ACA7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D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A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0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7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7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149669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4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149669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1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C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ED6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E1BB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FD2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2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D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F33C">
            <w:pPr>
              <w:rPr>
                <w:rFonts w:hint="eastAsia" w:ascii="宋体" w:hAnsi="宋体" w:eastAsia="宋体" w:cs="宋体"/>
                <w:i w:val="0"/>
                <w:iCs w:val="0"/>
                <w:color w:val="000000"/>
                <w:sz w:val="18"/>
                <w:szCs w:val="18"/>
                <w:u w:val="none"/>
              </w:rPr>
            </w:pPr>
          </w:p>
        </w:tc>
      </w:tr>
      <w:tr w14:paraId="36849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4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6D40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本项目绩效自评得分100分。项目按预算全部执行到位，足额落实校园餐相关经费，保障幼儿、陪餐教师在园午餐，就餐工作有序开展，家长、学生满意度较高，圆满完成项目既定绩效目标。</w:t>
            </w:r>
          </w:p>
        </w:tc>
      </w:tr>
      <w:tr w14:paraId="2CA57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4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6DF3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无本项目执行总体较好，无突出问题。</w:t>
            </w:r>
          </w:p>
        </w:tc>
      </w:tr>
      <w:tr w14:paraId="194D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8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6B3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持续做好代管经费保障，加强资金监管，进一步提升供餐质量，做好就餐安全管理，不断提高学生、家长满意度。</w:t>
            </w:r>
          </w:p>
        </w:tc>
      </w:tr>
      <w:tr w14:paraId="2D1BF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6095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7F30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r w14:paraId="3D12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tcBorders>
              <w:top w:val="nil"/>
              <w:left w:val="nil"/>
              <w:bottom w:val="nil"/>
              <w:right w:val="nil"/>
            </w:tcBorders>
            <w:shd w:val="clear" w:color="auto" w:fill="auto"/>
            <w:vAlign w:val="center"/>
          </w:tcPr>
          <w:p w14:paraId="12F50E36">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2D73907A">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378AA914">
            <w:pPr>
              <w:rPr>
                <w:rFonts w:hint="eastAsia" w:ascii="宋体" w:hAnsi="宋体" w:eastAsia="宋体" w:cs="宋体"/>
                <w:i w:val="0"/>
                <w:iCs w:val="0"/>
                <w:color w:val="000000"/>
                <w:sz w:val="18"/>
                <w:szCs w:val="18"/>
                <w:u w:val="none"/>
              </w:rPr>
            </w:pPr>
          </w:p>
        </w:tc>
        <w:tc>
          <w:tcPr>
            <w:tcW w:w="1290" w:type="dxa"/>
            <w:tcBorders>
              <w:top w:val="nil"/>
              <w:left w:val="nil"/>
              <w:bottom w:val="nil"/>
              <w:right w:val="nil"/>
            </w:tcBorders>
            <w:shd w:val="clear" w:color="auto" w:fill="auto"/>
            <w:vAlign w:val="center"/>
          </w:tcPr>
          <w:p w14:paraId="7344F5E5">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1BC42DE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18B146E">
            <w:pPr>
              <w:rPr>
                <w:rFonts w:hint="eastAsia" w:ascii="宋体" w:hAnsi="宋体" w:eastAsia="宋体" w:cs="宋体"/>
                <w:i w:val="0"/>
                <w:iCs w:val="0"/>
                <w:color w:val="000000"/>
                <w:sz w:val="18"/>
                <w:szCs w:val="18"/>
                <w:u w:val="none"/>
              </w:rPr>
            </w:pPr>
          </w:p>
        </w:tc>
        <w:tc>
          <w:tcPr>
            <w:tcW w:w="435" w:type="dxa"/>
            <w:tcBorders>
              <w:top w:val="nil"/>
              <w:left w:val="nil"/>
              <w:bottom w:val="nil"/>
              <w:right w:val="nil"/>
            </w:tcBorders>
            <w:shd w:val="clear" w:color="auto" w:fill="auto"/>
            <w:vAlign w:val="center"/>
          </w:tcPr>
          <w:p w14:paraId="79A3C25A">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14:paraId="0818C6AD">
            <w:pPr>
              <w:rPr>
                <w:rFonts w:hint="eastAsia" w:ascii="宋体" w:hAnsi="宋体" w:eastAsia="宋体" w:cs="宋体"/>
                <w:i w:val="0"/>
                <w:iCs w:val="0"/>
                <w:color w:val="000000"/>
                <w:sz w:val="18"/>
                <w:szCs w:val="18"/>
                <w:u w:val="none"/>
              </w:rPr>
            </w:pPr>
          </w:p>
        </w:tc>
        <w:tc>
          <w:tcPr>
            <w:tcW w:w="405" w:type="dxa"/>
            <w:tcBorders>
              <w:top w:val="nil"/>
              <w:left w:val="nil"/>
              <w:bottom w:val="nil"/>
              <w:right w:val="nil"/>
            </w:tcBorders>
            <w:shd w:val="clear" w:color="auto" w:fill="auto"/>
            <w:vAlign w:val="center"/>
          </w:tcPr>
          <w:p w14:paraId="78CE708E">
            <w:pPr>
              <w:rPr>
                <w:rFonts w:hint="eastAsia" w:ascii="宋体" w:hAnsi="宋体" w:eastAsia="宋体" w:cs="宋体"/>
                <w:i w:val="0"/>
                <w:iCs w:val="0"/>
                <w:color w:val="000000"/>
                <w:sz w:val="18"/>
                <w:szCs w:val="18"/>
                <w:u w:val="none"/>
              </w:rPr>
            </w:pPr>
          </w:p>
        </w:tc>
        <w:tc>
          <w:tcPr>
            <w:tcW w:w="345" w:type="dxa"/>
            <w:tcBorders>
              <w:top w:val="nil"/>
              <w:left w:val="nil"/>
              <w:bottom w:val="nil"/>
              <w:right w:val="nil"/>
            </w:tcBorders>
            <w:shd w:val="clear" w:color="auto" w:fill="auto"/>
            <w:vAlign w:val="center"/>
          </w:tcPr>
          <w:p w14:paraId="5CAFC5DE">
            <w:pPr>
              <w:rPr>
                <w:rFonts w:hint="eastAsia" w:ascii="宋体" w:hAnsi="宋体" w:eastAsia="宋体" w:cs="宋体"/>
                <w:i w:val="0"/>
                <w:iCs w:val="0"/>
                <w:color w:val="000000"/>
                <w:sz w:val="18"/>
                <w:szCs w:val="18"/>
                <w:u w:val="none"/>
              </w:rPr>
            </w:pPr>
          </w:p>
        </w:tc>
        <w:tc>
          <w:tcPr>
            <w:tcW w:w="900" w:type="dxa"/>
            <w:tcBorders>
              <w:top w:val="nil"/>
              <w:left w:val="nil"/>
              <w:bottom w:val="nil"/>
              <w:right w:val="nil"/>
            </w:tcBorders>
            <w:shd w:val="clear" w:color="auto" w:fill="auto"/>
            <w:vAlign w:val="center"/>
          </w:tcPr>
          <w:p w14:paraId="129CCF72">
            <w:pPr>
              <w:rPr>
                <w:rFonts w:hint="eastAsia" w:ascii="宋体" w:hAnsi="宋体" w:eastAsia="宋体" w:cs="宋体"/>
                <w:i w:val="0"/>
                <w:iCs w:val="0"/>
                <w:color w:val="000000"/>
                <w:sz w:val="18"/>
                <w:szCs w:val="18"/>
                <w:u w:val="none"/>
              </w:rPr>
            </w:pPr>
          </w:p>
          <w:p w14:paraId="7A548F93">
            <w:pPr>
              <w:pStyle w:val="2"/>
              <w:rPr>
                <w:rFonts w:hint="eastAsia" w:ascii="宋体" w:hAnsi="宋体" w:eastAsia="宋体" w:cs="宋体"/>
                <w:i w:val="0"/>
                <w:iCs w:val="0"/>
                <w:color w:val="000000"/>
                <w:sz w:val="18"/>
                <w:szCs w:val="18"/>
                <w:u w:val="none"/>
              </w:rPr>
            </w:pPr>
          </w:p>
          <w:p w14:paraId="7E2D7557">
            <w:pPr>
              <w:pStyle w:val="3"/>
              <w:rPr>
                <w:rFonts w:hint="eastAsia" w:ascii="宋体" w:hAnsi="宋体" w:eastAsia="宋体" w:cs="宋体"/>
                <w:i w:val="0"/>
                <w:iCs w:val="0"/>
                <w:color w:val="000000"/>
                <w:sz w:val="18"/>
                <w:szCs w:val="18"/>
                <w:u w:val="none"/>
              </w:rPr>
            </w:pPr>
          </w:p>
          <w:p w14:paraId="1CA6A015">
            <w:pPr>
              <w:pStyle w:val="3"/>
              <w:rPr>
                <w:rFonts w:hint="eastAsia" w:ascii="宋体" w:hAnsi="宋体" w:eastAsia="宋体" w:cs="宋体"/>
                <w:i w:val="0"/>
                <w:iCs w:val="0"/>
                <w:color w:val="000000"/>
                <w:sz w:val="18"/>
                <w:szCs w:val="18"/>
                <w:u w:val="none"/>
              </w:rPr>
            </w:pPr>
          </w:p>
          <w:p w14:paraId="449A02EE">
            <w:pPr>
              <w:pStyle w:val="3"/>
              <w:rPr>
                <w:rFonts w:hint="eastAsia" w:ascii="宋体" w:hAnsi="宋体" w:eastAsia="宋体" w:cs="宋体"/>
                <w:i w:val="0"/>
                <w:iCs w:val="0"/>
                <w:color w:val="000000"/>
                <w:sz w:val="18"/>
                <w:szCs w:val="18"/>
                <w:u w:val="none"/>
              </w:rPr>
            </w:pPr>
          </w:p>
          <w:p w14:paraId="052D955B">
            <w:pPr>
              <w:pStyle w:val="3"/>
              <w:rPr>
                <w:rFonts w:hint="eastAsia" w:ascii="宋体" w:hAnsi="宋体" w:eastAsia="宋体" w:cs="宋体"/>
                <w:i w:val="0"/>
                <w:iCs w:val="0"/>
                <w:color w:val="000000"/>
                <w:sz w:val="18"/>
                <w:szCs w:val="18"/>
                <w:u w:val="none"/>
              </w:rPr>
            </w:pPr>
          </w:p>
          <w:p w14:paraId="6981A026">
            <w:pPr>
              <w:pStyle w:val="3"/>
              <w:rPr>
                <w:rFonts w:hint="eastAsia" w:ascii="宋体" w:hAnsi="宋体" w:eastAsia="宋体" w:cs="宋体"/>
                <w:i w:val="0"/>
                <w:iCs w:val="0"/>
                <w:color w:val="000000"/>
                <w:sz w:val="18"/>
                <w:szCs w:val="18"/>
                <w:u w:val="none"/>
              </w:rPr>
            </w:pPr>
          </w:p>
          <w:p w14:paraId="2C907E6C">
            <w:pPr>
              <w:pStyle w:val="3"/>
              <w:rPr>
                <w:rFonts w:hint="eastAsia" w:ascii="宋体" w:hAnsi="宋体" w:eastAsia="宋体" w:cs="宋体"/>
                <w:i w:val="0"/>
                <w:iCs w:val="0"/>
                <w:color w:val="000000"/>
                <w:sz w:val="18"/>
                <w:szCs w:val="18"/>
                <w:u w:val="none"/>
              </w:rPr>
            </w:pPr>
          </w:p>
          <w:p w14:paraId="3EC60F0F">
            <w:pPr>
              <w:pStyle w:val="3"/>
              <w:rPr>
                <w:rFonts w:hint="eastAsia" w:ascii="宋体" w:hAnsi="宋体" w:eastAsia="宋体" w:cs="宋体"/>
                <w:i w:val="0"/>
                <w:iCs w:val="0"/>
                <w:color w:val="000000"/>
                <w:sz w:val="18"/>
                <w:szCs w:val="18"/>
                <w:u w:val="none"/>
              </w:rPr>
            </w:pPr>
          </w:p>
          <w:p w14:paraId="15A98656">
            <w:pPr>
              <w:pStyle w:val="3"/>
              <w:rPr>
                <w:rFonts w:hint="eastAsia" w:ascii="宋体" w:hAnsi="宋体" w:eastAsia="宋体" w:cs="宋体"/>
                <w:i w:val="0"/>
                <w:iCs w:val="0"/>
                <w:color w:val="000000"/>
                <w:sz w:val="18"/>
                <w:szCs w:val="18"/>
                <w:u w:val="none"/>
              </w:rPr>
            </w:pPr>
          </w:p>
          <w:p w14:paraId="673106BA">
            <w:pPr>
              <w:pStyle w:val="3"/>
              <w:rPr>
                <w:rFonts w:hint="eastAsia" w:ascii="宋体" w:hAnsi="宋体" w:eastAsia="宋体" w:cs="宋体"/>
                <w:i w:val="0"/>
                <w:iCs w:val="0"/>
                <w:color w:val="000000"/>
                <w:sz w:val="18"/>
                <w:szCs w:val="18"/>
                <w:u w:val="none"/>
              </w:rPr>
            </w:pPr>
          </w:p>
          <w:p w14:paraId="42226087">
            <w:pPr>
              <w:pStyle w:val="3"/>
              <w:rPr>
                <w:rFonts w:hint="eastAsia" w:ascii="宋体" w:hAnsi="宋体" w:eastAsia="宋体" w:cs="宋体"/>
                <w:i w:val="0"/>
                <w:iCs w:val="0"/>
                <w:color w:val="000000"/>
                <w:sz w:val="18"/>
                <w:szCs w:val="18"/>
                <w:u w:val="none"/>
              </w:rPr>
            </w:pPr>
          </w:p>
          <w:p w14:paraId="77AE4E9F">
            <w:pPr>
              <w:pStyle w:val="3"/>
              <w:rPr>
                <w:rFonts w:hint="eastAsia" w:ascii="宋体" w:hAnsi="宋体" w:eastAsia="宋体" w:cs="宋体"/>
                <w:i w:val="0"/>
                <w:iCs w:val="0"/>
                <w:color w:val="000000"/>
                <w:sz w:val="18"/>
                <w:szCs w:val="18"/>
                <w:u w:val="none"/>
              </w:rPr>
            </w:pPr>
          </w:p>
          <w:p w14:paraId="07B38581">
            <w:pPr>
              <w:pStyle w:val="3"/>
              <w:rPr>
                <w:rFonts w:hint="eastAsia" w:ascii="宋体" w:hAnsi="宋体" w:eastAsia="宋体" w:cs="宋体"/>
                <w:i w:val="0"/>
                <w:iCs w:val="0"/>
                <w:color w:val="000000"/>
                <w:sz w:val="18"/>
                <w:szCs w:val="18"/>
                <w:u w:val="none"/>
              </w:rPr>
            </w:pPr>
          </w:p>
          <w:p w14:paraId="6A81FFB0">
            <w:pPr>
              <w:pStyle w:val="3"/>
              <w:rPr>
                <w:rFonts w:hint="eastAsia" w:ascii="宋体" w:hAnsi="宋体" w:eastAsia="宋体" w:cs="宋体"/>
                <w:i w:val="0"/>
                <w:iCs w:val="0"/>
                <w:color w:val="000000"/>
                <w:sz w:val="18"/>
                <w:szCs w:val="18"/>
                <w:u w:val="none"/>
              </w:rPr>
            </w:pPr>
          </w:p>
          <w:p w14:paraId="1C4905F1">
            <w:pPr>
              <w:pStyle w:val="3"/>
              <w:rPr>
                <w:rFonts w:hint="eastAsia" w:ascii="宋体" w:hAnsi="宋体" w:eastAsia="宋体" w:cs="宋体"/>
                <w:i w:val="0"/>
                <w:iCs w:val="0"/>
                <w:color w:val="000000"/>
                <w:sz w:val="18"/>
                <w:szCs w:val="18"/>
                <w:u w:val="none"/>
              </w:rPr>
            </w:pPr>
          </w:p>
          <w:p w14:paraId="21C103BD">
            <w:pPr>
              <w:pStyle w:val="3"/>
              <w:rPr>
                <w:rFonts w:hint="eastAsia" w:ascii="宋体" w:hAnsi="宋体" w:eastAsia="宋体" w:cs="宋体"/>
                <w:i w:val="0"/>
                <w:iCs w:val="0"/>
                <w:color w:val="000000"/>
                <w:sz w:val="18"/>
                <w:szCs w:val="18"/>
                <w:u w:val="none"/>
              </w:rPr>
            </w:pPr>
          </w:p>
          <w:p w14:paraId="56634C1D">
            <w:pPr>
              <w:pStyle w:val="3"/>
              <w:rPr>
                <w:rFonts w:hint="eastAsia" w:ascii="宋体" w:hAnsi="宋体" w:eastAsia="宋体" w:cs="宋体"/>
                <w:i w:val="0"/>
                <w:iCs w:val="0"/>
                <w:color w:val="000000"/>
                <w:sz w:val="18"/>
                <w:szCs w:val="18"/>
                <w:u w:val="none"/>
              </w:rPr>
            </w:pPr>
          </w:p>
          <w:p w14:paraId="2BF7AEF6">
            <w:pPr>
              <w:pStyle w:val="3"/>
              <w:rPr>
                <w:rFonts w:hint="eastAsia" w:ascii="宋体" w:hAnsi="宋体" w:eastAsia="宋体" w:cs="宋体"/>
                <w:i w:val="0"/>
                <w:iCs w:val="0"/>
                <w:color w:val="000000"/>
                <w:sz w:val="18"/>
                <w:szCs w:val="18"/>
                <w:u w:val="none"/>
              </w:rPr>
            </w:pPr>
          </w:p>
          <w:p w14:paraId="46A72470">
            <w:pPr>
              <w:pStyle w:val="3"/>
              <w:rPr>
                <w:rFonts w:hint="eastAsia" w:ascii="宋体" w:hAnsi="宋体" w:eastAsia="宋体" w:cs="宋体"/>
                <w:i w:val="0"/>
                <w:iCs w:val="0"/>
                <w:color w:val="000000"/>
                <w:sz w:val="18"/>
                <w:szCs w:val="18"/>
                <w:u w:val="none"/>
              </w:rPr>
            </w:pPr>
          </w:p>
          <w:p w14:paraId="5612C529">
            <w:pPr>
              <w:pStyle w:val="3"/>
              <w:rPr>
                <w:rFonts w:hint="eastAsia" w:ascii="宋体" w:hAnsi="宋体" w:eastAsia="宋体" w:cs="宋体"/>
                <w:i w:val="0"/>
                <w:iCs w:val="0"/>
                <w:color w:val="000000"/>
                <w:sz w:val="18"/>
                <w:szCs w:val="18"/>
                <w:u w:val="none"/>
              </w:rPr>
            </w:pPr>
          </w:p>
        </w:tc>
      </w:tr>
      <w:tr w14:paraId="58B6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42068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1E41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97C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4C95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51322325T000013804705-茂县凤幼退费幼儿生活费、教师陪餐费</w:t>
            </w:r>
          </w:p>
        </w:tc>
      </w:tr>
      <w:tr w14:paraId="2D0A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65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0DD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25" w:type="dxa"/>
            <w:tcBorders>
              <w:top w:val="nil"/>
              <w:left w:val="nil"/>
              <w:bottom w:val="nil"/>
              <w:right w:val="nil"/>
            </w:tcBorders>
            <w:shd w:val="clear" w:color="auto" w:fill="auto"/>
            <w:vAlign w:val="center"/>
          </w:tcPr>
          <w:p w14:paraId="75C635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BB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w:t>
            </w:r>
          </w:p>
        </w:tc>
      </w:tr>
      <w:tr w14:paraId="6E41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CB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6C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20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45208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72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EBB39">
            <w:pP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F2B3A">
            <w:pPr>
              <w:rPr>
                <w:rFonts w:hint="eastAsia" w:ascii="宋体" w:hAnsi="宋体" w:eastAsia="宋体" w:cs="宋体"/>
                <w:i w:val="0"/>
                <w:iCs w:val="0"/>
                <w:color w:val="000000"/>
                <w:sz w:val="18"/>
                <w:szCs w:val="18"/>
                <w:u w:val="none"/>
              </w:rPr>
            </w:pPr>
          </w:p>
        </w:tc>
        <w:tc>
          <w:tcPr>
            <w:tcW w:w="38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E1B2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茂县凤仪镇幼儿园2025年春季学期397人，收取幼儿生活费396*560=221760，教师陪餐费23人*280=6440，代管资金共计228200.00元。本次申请退费金额79525.00元</w:t>
            </w:r>
          </w:p>
        </w:tc>
        <w:tc>
          <w:tcPr>
            <w:tcW w:w="24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35C4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落实退费金额79525元，保障幼儿生活费及教师陪餐费退费工作任务。</w:t>
            </w:r>
          </w:p>
        </w:tc>
      </w:tr>
      <w:tr w14:paraId="794B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75D7">
            <w:pP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78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67B7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本项目为年度财政追加专项资金，年初部门预算未安排，保障幼儿生活费及教师陪餐费退费工作任务。</w:t>
            </w:r>
          </w:p>
        </w:tc>
      </w:tr>
      <w:tr w14:paraId="3DEA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9B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5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8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1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75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A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9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5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B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D97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41A7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E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E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E3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2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0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9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4292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无</w:t>
            </w:r>
          </w:p>
        </w:tc>
      </w:tr>
      <w:tr w14:paraId="2591B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372AE">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A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8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3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E2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7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4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2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0B2B">
            <w:pPr>
              <w:jc w:val="center"/>
              <w:rPr>
                <w:rFonts w:hint="eastAsia" w:ascii="黑体" w:hAnsi="黑体" w:eastAsia="黑体" w:cs="黑体"/>
                <w:i w:val="0"/>
                <w:iCs w:val="0"/>
                <w:color w:val="000000"/>
                <w:sz w:val="18"/>
                <w:szCs w:val="18"/>
                <w:u w:val="none"/>
              </w:rPr>
            </w:pPr>
          </w:p>
        </w:tc>
      </w:tr>
      <w:tr w14:paraId="397E2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4938">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A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D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4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65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F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7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2E23D">
            <w:pPr>
              <w:jc w:val="center"/>
              <w:rPr>
                <w:rFonts w:hint="eastAsia" w:ascii="黑体" w:hAnsi="黑体" w:eastAsia="黑体" w:cs="黑体"/>
                <w:i w:val="0"/>
                <w:iCs w:val="0"/>
                <w:color w:val="000000"/>
                <w:sz w:val="18"/>
                <w:szCs w:val="18"/>
                <w:u w:val="none"/>
              </w:rPr>
            </w:pPr>
          </w:p>
        </w:tc>
      </w:tr>
      <w:tr w14:paraId="2C57D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AD70D">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4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8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2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325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A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2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F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1835F">
            <w:pPr>
              <w:jc w:val="center"/>
              <w:rPr>
                <w:rFonts w:hint="eastAsia" w:ascii="黑体" w:hAnsi="黑体" w:eastAsia="黑体" w:cs="黑体"/>
                <w:i w:val="0"/>
                <w:iCs w:val="0"/>
                <w:color w:val="000000"/>
                <w:sz w:val="18"/>
                <w:szCs w:val="18"/>
                <w:u w:val="none"/>
              </w:rPr>
            </w:pPr>
          </w:p>
        </w:tc>
      </w:tr>
      <w:tr w14:paraId="081FB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446CD">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F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697C">
            <w:pPr>
              <w:jc w:val="center"/>
              <w:rPr>
                <w:rFonts w:hint="eastAsia" w:ascii="微软雅黑" w:hAnsi="微软雅黑" w:eastAsia="微软雅黑" w:cs="微软雅黑"/>
                <w:i w:val="0"/>
                <w:iCs w:val="0"/>
                <w:color w:val="000000"/>
                <w:sz w:val="16"/>
                <w:szCs w:val="16"/>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E39C">
            <w:pPr>
              <w:jc w:val="center"/>
              <w:rPr>
                <w:rFonts w:hint="eastAsia" w:ascii="微软雅黑" w:hAnsi="微软雅黑" w:eastAsia="微软雅黑" w:cs="微软雅黑"/>
                <w:i w:val="0"/>
                <w:iCs w:val="0"/>
                <w:color w:val="000000"/>
                <w:sz w:val="16"/>
                <w:szCs w:val="16"/>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7F2BBA">
            <w:pPr>
              <w:jc w:val="center"/>
              <w:rPr>
                <w:rFonts w:hint="eastAsia" w:ascii="微软雅黑" w:hAnsi="微软雅黑" w:eastAsia="微软雅黑" w:cs="微软雅黑"/>
                <w:i w:val="0"/>
                <w:iCs w:val="0"/>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3C26">
            <w:pPr>
              <w:jc w:val="center"/>
              <w:rPr>
                <w:rFonts w:hint="eastAsia" w:ascii="微软雅黑" w:hAnsi="微软雅黑" w:eastAsia="微软雅黑" w:cs="微软雅黑"/>
                <w:i w:val="0"/>
                <w:iCs w:val="0"/>
                <w:color w:val="000000"/>
                <w:sz w:val="16"/>
                <w:szCs w:val="16"/>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A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E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AFCD">
            <w:pPr>
              <w:jc w:val="center"/>
              <w:rPr>
                <w:rFonts w:hint="eastAsia" w:ascii="黑体" w:hAnsi="黑体" w:eastAsia="黑体" w:cs="黑体"/>
                <w:i w:val="0"/>
                <w:iCs w:val="0"/>
                <w:color w:val="000000"/>
                <w:sz w:val="18"/>
                <w:szCs w:val="18"/>
                <w:u w:val="none"/>
              </w:rPr>
            </w:pPr>
          </w:p>
        </w:tc>
      </w:tr>
      <w:tr w14:paraId="043D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9B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8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2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B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4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C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B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6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3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6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367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10C3">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85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5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1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8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9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1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4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0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4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FCE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AB0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25C17">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8122F">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5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3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3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2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8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1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0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55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837F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507C1">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E4027">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8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D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3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0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E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2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0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2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466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20FB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28167">
            <w:pPr>
              <w:jc w:val="center"/>
              <w:rPr>
                <w:rFonts w:hint="eastAsia" w:ascii="宋体" w:hAnsi="宋体" w:eastAsia="宋体" w:cs="宋体"/>
                <w:i w:val="0"/>
                <w:iCs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E9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E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5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膳食结构达标率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F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6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6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E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01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7B25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337DB">
            <w:pPr>
              <w:jc w:val="center"/>
              <w:rPr>
                <w:rFonts w:hint="eastAsia" w:ascii="宋体" w:hAnsi="宋体" w:eastAsia="宋体" w:cs="宋体"/>
                <w:i w:val="0"/>
                <w:iCs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2A449">
            <w:pPr>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3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0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生活专款专用率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3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7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3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F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6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1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C6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03EF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FD74A">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7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3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E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4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6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C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D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2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8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7F6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AFF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BB34F">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C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D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E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收取生活费及陪餐费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4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8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9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6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E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3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11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6C04D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565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9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F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3CFA">
            <w:pPr>
              <w:rPr>
                <w:rFonts w:hint="eastAsia" w:ascii="宋体" w:hAnsi="宋体" w:eastAsia="宋体" w:cs="宋体"/>
                <w:i w:val="0"/>
                <w:iCs w:val="0"/>
                <w:color w:val="000000"/>
                <w:sz w:val="18"/>
                <w:szCs w:val="18"/>
                <w:u w:val="none"/>
              </w:rPr>
            </w:pPr>
          </w:p>
        </w:tc>
      </w:tr>
      <w:tr w14:paraId="738F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C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065B3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本项目自评得分100分。项目保障幼儿生活费及教师陪餐费退费工作。资金支出合规，幼儿及教师满意度较好，全面完成绩效目标。</w:t>
            </w:r>
          </w:p>
        </w:tc>
      </w:tr>
      <w:tr w14:paraId="7D556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940F3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项目执行总体较好，无突出问题。</w:t>
            </w:r>
          </w:p>
        </w:tc>
      </w:tr>
      <w:tr w14:paraId="648EC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6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45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1A379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严格核算落实退费金额，保障幼儿及教师切身利益。</w:t>
            </w:r>
          </w:p>
        </w:tc>
      </w:tr>
      <w:tr w14:paraId="25A0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558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项目负责人：陈晓丽</w:t>
            </w:r>
          </w:p>
        </w:tc>
        <w:tc>
          <w:tcPr>
            <w:tcW w:w="3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6582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财务负责人：卢晓明</w:t>
            </w:r>
          </w:p>
        </w:tc>
      </w:tr>
    </w:tbl>
    <w:p w14:paraId="7507D294">
      <w:pPr>
        <w:suppressAutoHyphens/>
        <w:bidi w:val="0"/>
        <w:spacing w:line="600" w:lineRule="exact"/>
        <w:jc w:val="center"/>
        <w:outlineLvl w:val="0"/>
        <w:rPr>
          <w:rStyle w:val="37"/>
          <w:rFonts w:hint="eastAsia" w:ascii="黑体" w:hAnsi="黑体" w:eastAsia="黑体"/>
          <w:b w:val="0"/>
          <w:color w:val="auto"/>
          <w:highlight w:val="none"/>
        </w:rPr>
      </w:pPr>
    </w:p>
    <w:p w14:paraId="6095F43F">
      <w:pPr>
        <w:pStyle w:val="2"/>
        <w:rPr>
          <w:rStyle w:val="37"/>
          <w:rFonts w:hint="eastAsia" w:ascii="黑体" w:hAnsi="黑体" w:eastAsia="黑体"/>
          <w:b w:val="0"/>
          <w:color w:val="auto"/>
          <w:highlight w:val="none"/>
          <w:lang w:eastAsia="zh-CN"/>
        </w:rPr>
      </w:pPr>
    </w:p>
    <w:p w14:paraId="09B5460D">
      <w:pPr>
        <w:pStyle w:val="3"/>
        <w:rPr>
          <w:rStyle w:val="37"/>
          <w:rFonts w:hint="eastAsia" w:ascii="黑体" w:hAnsi="黑体" w:eastAsia="黑体"/>
          <w:b w:val="0"/>
          <w:color w:val="auto"/>
          <w:highlight w:val="none"/>
          <w:lang w:eastAsia="zh-CN"/>
        </w:rPr>
      </w:pPr>
    </w:p>
    <w:p w14:paraId="472396AE">
      <w:pPr>
        <w:pStyle w:val="3"/>
        <w:rPr>
          <w:rStyle w:val="37"/>
          <w:rFonts w:hint="eastAsia" w:ascii="黑体" w:hAnsi="黑体" w:eastAsia="黑体"/>
          <w:b w:val="0"/>
          <w:color w:val="auto"/>
          <w:highlight w:val="none"/>
          <w:lang w:eastAsia="zh-CN"/>
        </w:rPr>
      </w:pPr>
    </w:p>
    <w:p w14:paraId="2CF5373D">
      <w:pPr>
        <w:pStyle w:val="3"/>
        <w:rPr>
          <w:rStyle w:val="37"/>
          <w:rFonts w:hint="eastAsia" w:ascii="黑体" w:hAnsi="黑体" w:eastAsia="黑体"/>
          <w:b w:val="0"/>
          <w:color w:val="auto"/>
          <w:highlight w:val="none"/>
          <w:lang w:eastAsia="zh-CN"/>
        </w:rPr>
      </w:pPr>
    </w:p>
    <w:p w14:paraId="650ACF1C">
      <w:pPr>
        <w:pStyle w:val="3"/>
        <w:rPr>
          <w:rStyle w:val="37"/>
          <w:rFonts w:hint="eastAsia" w:ascii="黑体" w:hAnsi="黑体" w:eastAsia="黑体"/>
          <w:b w:val="0"/>
          <w:color w:val="auto"/>
          <w:highlight w:val="none"/>
          <w:lang w:eastAsia="zh-CN"/>
        </w:rPr>
      </w:pPr>
    </w:p>
    <w:p w14:paraId="33B709C2">
      <w:pPr>
        <w:pStyle w:val="3"/>
        <w:rPr>
          <w:rStyle w:val="37"/>
          <w:rFonts w:hint="eastAsia" w:ascii="黑体" w:hAnsi="黑体" w:eastAsia="黑体"/>
          <w:b w:val="0"/>
          <w:color w:val="auto"/>
          <w:highlight w:val="none"/>
          <w:lang w:eastAsia="zh-CN"/>
        </w:rPr>
      </w:pPr>
    </w:p>
    <w:p w14:paraId="43067D8B">
      <w:pPr>
        <w:pStyle w:val="3"/>
        <w:rPr>
          <w:rStyle w:val="37"/>
          <w:rFonts w:hint="eastAsia" w:ascii="黑体" w:hAnsi="黑体" w:eastAsia="黑体"/>
          <w:b w:val="0"/>
          <w:color w:val="auto"/>
          <w:highlight w:val="none"/>
          <w:lang w:eastAsia="zh-CN"/>
        </w:rPr>
      </w:pPr>
    </w:p>
    <w:p w14:paraId="2D4B45C2">
      <w:pPr>
        <w:pStyle w:val="3"/>
        <w:rPr>
          <w:rStyle w:val="37"/>
          <w:rFonts w:hint="eastAsia" w:ascii="黑体" w:hAnsi="黑体" w:eastAsia="黑体"/>
          <w:b w:val="0"/>
          <w:color w:val="auto"/>
          <w:highlight w:val="none"/>
        </w:rPr>
      </w:pPr>
    </w:p>
    <w:p w14:paraId="61F6D33B">
      <w:pPr>
        <w:pStyle w:val="3"/>
        <w:rPr>
          <w:rStyle w:val="37"/>
          <w:rFonts w:hint="eastAsia" w:ascii="黑体" w:hAnsi="黑体" w:eastAsia="黑体"/>
          <w:b w:val="0"/>
          <w:color w:val="auto"/>
          <w:highlight w:val="none"/>
        </w:rPr>
      </w:pPr>
    </w:p>
    <w:p w14:paraId="28A8DEB5">
      <w:pPr>
        <w:pStyle w:val="3"/>
        <w:rPr>
          <w:rStyle w:val="37"/>
          <w:rFonts w:hint="eastAsia" w:ascii="黑体" w:hAnsi="黑体" w:eastAsia="黑体"/>
          <w:b w:val="0"/>
          <w:color w:val="auto"/>
          <w:highlight w:val="none"/>
        </w:rPr>
      </w:pPr>
    </w:p>
    <w:p w14:paraId="736424D6">
      <w:pPr>
        <w:pStyle w:val="3"/>
        <w:rPr>
          <w:rStyle w:val="37"/>
          <w:rFonts w:hint="eastAsia" w:ascii="黑体" w:hAnsi="黑体" w:eastAsia="黑体"/>
          <w:b w:val="0"/>
          <w:color w:val="auto"/>
          <w:highlight w:val="none"/>
        </w:rPr>
      </w:pPr>
    </w:p>
    <w:p w14:paraId="24DC3D1B">
      <w:pPr>
        <w:suppressAutoHyphens/>
        <w:bidi w:val="0"/>
        <w:spacing w:line="600" w:lineRule="exact"/>
        <w:jc w:val="center"/>
        <w:outlineLvl w:val="0"/>
        <w:rPr>
          <w:rStyle w:val="37"/>
          <w:rFonts w:hint="eastAsia" w:ascii="黑体" w:hAnsi="黑体" w:eastAsia="黑体"/>
          <w:b w:val="0"/>
          <w:color w:val="auto"/>
          <w:highlight w:val="none"/>
        </w:rPr>
      </w:pPr>
    </w:p>
    <w:p w14:paraId="3EEB0669">
      <w:pPr>
        <w:suppressAutoHyphens/>
        <w:bidi w:val="0"/>
        <w:spacing w:line="600" w:lineRule="exact"/>
        <w:jc w:val="both"/>
        <w:outlineLvl w:val="0"/>
        <w:rPr>
          <w:rStyle w:val="37"/>
          <w:rFonts w:hint="eastAsia" w:ascii="黑体" w:hAnsi="黑体" w:eastAsia="黑体"/>
          <w:b w:val="0"/>
          <w:color w:val="auto"/>
          <w:highlight w:val="none"/>
        </w:rPr>
      </w:pPr>
    </w:p>
    <w:p w14:paraId="04FEE5EC">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14:paraId="274F322A">
      <w:pPr>
        <w:pStyle w:val="6"/>
        <w:ind w:firstLine="640" w:firstLineChars="200"/>
        <w:rPr>
          <w:rFonts w:hint="eastAsia" w:ascii="仿宋" w:hAnsi="仿宋" w:eastAsia="仿宋" w:cs="仿宋"/>
          <w:b w:val="0"/>
          <w:bCs/>
          <w:color w:val="000000"/>
        </w:rPr>
      </w:pPr>
      <w:bookmarkStart w:id="78" w:name="_Toc16431"/>
      <w:r>
        <w:rPr>
          <w:rFonts w:hint="eastAsia" w:ascii="仿宋" w:hAnsi="仿宋" w:eastAsia="仿宋" w:cs="仿宋"/>
          <w:b w:val="0"/>
          <w:bCs/>
          <w:color w:val="000000"/>
        </w:rPr>
        <w:t>一、收入支出决算总表</w:t>
      </w:r>
      <w:bookmarkEnd w:id="78"/>
    </w:p>
    <w:p w14:paraId="1323B0C4">
      <w:pPr>
        <w:pStyle w:val="6"/>
        <w:ind w:firstLine="640" w:firstLineChars="200"/>
        <w:rPr>
          <w:rFonts w:hint="eastAsia" w:ascii="仿宋" w:hAnsi="仿宋" w:eastAsia="仿宋" w:cs="仿宋"/>
          <w:b w:val="0"/>
          <w:bCs/>
          <w:color w:val="000000"/>
        </w:rPr>
      </w:pPr>
      <w:bookmarkStart w:id="79" w:name="_Toc25389"/>
      <w:r>
        <w:rPr>
          <w:rFonts w:hint="eastAsia" w:ascii="仿宋" w:hAnsi="仿宋" w:eastAsia="仿宋" w:cs="仿宋"/>
          <w:b w:val="0"/>
          <w:bCs/>
          <w:color w:val="000000"/>
        </w:rPr>
        <w:t>二、收入决算表</w:t>
      </w:r>
      <w:bookmarkEnd w:id="79"/>
    </w:p>
    <w:p w14:paraId="225061FA">
      <w:pPr>
        <w:pStyle w:val="6"/>
        <w:ind w:firstLine="640" w:firstLineChars="200"/>
        <w:rPr>
          <w:rFonts w:hint="eastAsia" w:ascii="仿宋" w:hAnsi="仿宋" w:eastAsia="仿宋" w:cs="仿宋"/>
          <w:b w:val="0"/>
          <w:bCs/>
          <w:color w:val="000000"/>
        </w:rPr>
      </w:pPr>
      <w:bookmarkStart w:id="80" w:name="_Toc10450"/>
      <w:r>
        <w:rPr>
          <w:rFonts w:hint="eastAsia" w:ascii="仿宋" w:hAnsi="仿宋" w:eastAsia="仿宋" w:cs="仿宋"/>
          <w:b w:val="0"/>
          <w:bCs/>
          <w:color w:val="000000"/>
        </w:rPr>
        <w:t>三、支出决算表</w:t>
      </w:r>
      <w:bookmarkEnd w:id="80"/>
    </w:p>
    <w:p w14:paraId="62F36B4C">
      <w:pPr>
        <w:pStyle w:val="6"/>
        <w:ind w:firstLine="640" w:firstLineChars="200"/>
        <w:rPr>
          <w:rFonts w:hint="eastAsia" w:ascii="仿宋" w:hAnsi="仿宋" w:eastAsia="仿宋" w:cs="仿宋"/>
          <w:b w:val="0"/>
          <w:bCs/>
          <w:color w:val="000000"/>
        </w:rPr>
      </w:pPr>
      <w:bookmarkStart w:id="81" w:name="_Toc15415"/>
      <w:r>
        <w:rPr>
          <w:rFonts w:hint="eastAsia" w:ascii="仿宋" w:hAnsi="仿宋" w:eastAsia="仿宋" w:cs="仿宋"/>
          <w:b w:val="0"/>
          <w:bCs/>
          <w:color w:val="000000"/>
        </w:rPr>
        <w:t>四、财政拨款收入支出决算总表</w:t>
      </w:r>
      <w:bookmarkEnd w:id="81"/>
    </w:p>
    <w:p w14:paraId="1B997221">
      <w:pPr>
        <w:pStyle w:val="6"/>
        <w:ind w:firstLine="640" w:firstLineChars="200"/>
        <w:rPr>
          <w:rFonts w:hint="eastAsia" w:ascii="仿宋" w:hAnsi="仿宋" w:eastAsia="仿宋" w:cs="仿宋"/>
          <w:b w:val="0"/>
          <w:bCs/>
          <w:color w:val="000000"/>
        </w:rPr>
      </w:pPr>
      <w:bookmarkStart w:id="82" w:name="_Toc17530"/>
      <w:r>
        <w:rPr>
          <w:rFonts w:hint="eastAsia" w:ascii="仿宋" w:hAnsi="仿宋" w:eastAsia="仿宋" w:cs="仿宋"/>
          <w:b w:val="0"/>
          <w:bCs/>
          <w:color w:val="000000"/>
        </w:rPr>
        <w:t>五、财政拨款支出决算明细表</w:t>
      </w:r>
      <w:bookmarkEnd w:id="82"/>
    </w:p>
    <w:p w14:paraId="2F4072F0">
      <w:pPr>
        <w:pStyle w:val="6"/>
        <w:ind w:firstLine="640" w:firstLineChars="200"/>
        <w:rPr>
          <w:rFonts w:hint="eastAsia" w:ascii="仿宋" w:hAnsi="仿宋" w:eastAsia="仿宋" w:cs="仿宋"/>
          <w:b w:val="0"/>
          <w:bCs/>
          <w:color w:val="000000"/>
        </w:rPr>
      </w:pPr>
      <w:bookmarkStart w:id="83" w:name="_Toc22032"/>
      <w:r>
        <w:rPr>
          <w:rFonts w:hint="eastAsia" w:ascii="仿宋" w:hAnsi="仿宋" w:eastAsia="仿宋" w:cs="仿宋"/>
          <w:b w:val="0"/>
          <w:bCs/>
          <w:color w:val="000000"/>
        </w:rPr>
        <w:t>六、一般公共预算财政拨款支出决算表</w:t>
      </w:r>
      <w:bookmarkEnd w:id="83"/>
    </w:p>
    <w:p w14:paraId="273D1C94">
      <w:pPr>
        <w:pStyle w:val="6"/>
        <w:ind w:firstLine="640" w:firstLineChars="200"/>
        <w:rPr>
          <w:rFonts w:hint="eastAsia" w:ascii="仿宋" w:hAnsi="仿宋" w:eastAsia="仿宋" w:cs="仿宋"/>
          <w:b w:val="0"/>
          <w:bCs/>
          <w:color w:val="000000"/>
        </w:rPr>
      </w:pPr>
      <w:bookmarkStart w:id="84" w:name="_Toc3364"/>
      <w:r>
        <w:rPr>
          <w:rFonts w:hint="eastAsia" w:ascii="仿宋" w:hAnsi="仿宋" w:eastAsia="仿宋" w:cs="仿宋"/>
          <w:b w:val="0"/>
          <w:bCs/>
          <w:color w:val="000000"/>
        </w:rPr>
        <w:t>七、一般公共预算财政拨款支出决算明细表</w:t>
      </w:r>
      <w:bookmarkEnd w:id="84"/>
    </w:p>
    <w:p w14:paraId="30772E19">
      <w:pPr>
        <w:pStyle w:val="6"/>
        <w:ind w:firstLine="640" w:firstLineChars="200"/>
        <w:rPr>
          <w:rFonts w:hint="eastAsia" w:ascii="仿宋" w:hAnsi="仿宋" w:eastAsia="仿宋" w:cs="仿宋"/>
          <w:b w:val="0"/>
          <w:bCs/>
          <w:color w:val="000000"/>
        </w:rPr>
      </w:pPr>
      <w:bookmarkStart w:id="85" w:name="_Toc9110"/>
      <w:r>
        <w:rPr>
          <w:rFonts w:hint="eastAsia" w:ascii="仿宋" w:hAnsi="仿宋" w:eastAsia="仿宋" w:cs="仿宋"/>
          <w:b w:val="0"/>
          <w:bCs/>
          <w:color w:val="000000"/>
        </w:rPr>
        <w:t>八、一般公共预算财政拨款基本支出决算表</w:t>
      </w:r>
      <w:bookmarkEnd w:id="85"/>
    </w:p>
    <w:p w14:paraId="3C87AFBF">
      <w:pPr>
        <w:pStyle w:val="6"/>
        <w:ind w:firstLine="640" w:firstLineChars="200"/>
        <w:rPr>
          <w:rFonts w:hint="eastAsia" w:ascii="仿宋" w:hAnsi="仿宋" w:eastAsia="仿宋" w:cs="仿宋"/>
          <w:b w:val="0"/>
          <w:bCs/>
          <w:color w:val="000000"/>
        </w:rPr>
      </w:pPr>
      <w:bookmarkStart w:id="86" w:name="_Toc28582"/>
      <w:r>
        <w:rPr>
          <w:rFonts w:hint="eastAsia" w:ascii="仿宋" w:hAnsi="仿宋" w:eastAsia="仿宋" w:cs="仿宋"/>
          <w:b w:val="0"/>
          <w:bCs/>
          <w:color w:val="000000"/>
        </w:rPr>
        <w:t>九、一般公共预算财政拨款项目支出决算表</w:t>
      </w:r>
      <w:bookmarkEnd w:id="86"/>
    </w:p>
    <w:p w14:paraId="58D5932F">
      <w:pPr>
        <w:pStyle w:val="6"/>
        <w:ind w:firstLine="640" w:firstLineChars="200"/>
        <w:rPr>
          <w:rFonts w:hint="eastAsia" w:ascii="仿宋" w:hAnsi="仿宋" w:eastAsia="仿宋" w:cs="仿宋"/>
          <w:b w:val="0"/>
          <w:bCs/>
          <w:color w:val="000000"/>
        </w:rPr>
      </w:pPr>
      <w:bookmarkStart w:id="87" w:name="_Toc22001"/>
      <w:r>
        <w:rPr>
          <w:rFonts w:hint="eastAsia" w:ascii="仿宋" w:hAnsi="仿宋" w:eastAsia="仿宋" w:cs="仿宋"/>
          <w:b w:val="0"/>
          <w:bCs/>
          <w:color w:val="000000"/>
        </w:rPr>
        <w:t>十、政府性基金预算财政拨款收入支出决算表</w:t>
      </w:r>
      <w:bookmarkEnd w:id="87"/>
    </w:p>
    <w:p w14:paraId="67E885F7">
      <w:pPr>
        <w:pStyle w:val="6"/>
        <w:ind w:firstLine="640" w:firstLineChars="200"/>
        <w:rPr>
          <w:rFonts w:hint="eastAsia" w:ascii="仿宋" w:hAnsi="仿宋" w:eastAsia="仿宋" w:cs="仿宋"/>
          <w:b w:val="0"/>
          <w:bCs/>
          <w:color w:val="000000"/>
        </w:rPr>
      </w:pPr>
      <w:bookmarkStart w:id="88" w:name="_Toc6538"/>
      <w:r>
        <w:rPr>
          <w:rFonts w:hint="eastAsia" w:ascii="仿宋" w:hAnsi="仿宋" w:eastAsia="仿宋" w:cs="仿宋"/>
          <w:b w:val="0"/>
          <w:bCs/>
          <w:color w:val="000000"/>
        </w:rPr>
        <w:t>十一、国有资本经营预算财政拨款收入支出决算表</w:t>
      </w:r>
      <w:bookmarkEnd w:id="88"/>
    </w:p>
    <w:p w14:paraId="4094BEF2">
      <w:pPr>
        <w:pStyle w:val="6"/>
        <w:ind w:firstLine="640" w:firstLineChars="200"/>
        <w:rPr>
          <w:rFonts w:hint="eastAsia" w:ascii="仿宋" w:hAnsi="仿宋" w:eastAsia="仿宋" w:cs="仿宋"/>
          <w:b w:val="0"/>
          <w:bCs/>
          <w:color w:val="000000"/>
        </w:rPr>
      </w:pPr>
      <w:bookmarkStart w:id="89" w:name="_Toc10625"/>
      <w:r>
        <w:rPr>
          <w:rFonts w:hint="eastAsia" w:ascii="仿宋" w:hAnsi="仿宋" w:eastAsia="仿宋" w:cs="仿宋"/>
          <w:b w:val="0"/>
          <w:bCs/>
          <w:color w:val="000000"/>
        </w:rPr>
        <w:t>十二、国有资本经营预算财政拨款支出决算表</w:t>
      </w:r>
      <w:bookmarkEnd w:id="89"/>
    </w:p>
    <w:p w14:paraId="4E89DA67">
      <w:pPr>
        <w:pStyle w:val="6"/>
        <w:ind w:firstLine="640" w:firstLineChars="200"/>
        <w:rPr>
          <w:rFonts w:hint="eastAsia" w:ascii="仿宋" w:hAnsi="仿宋" w:eastAsia="仿宋" w:cs="仿宋"/>
          <w:b w:val="0"/>
          <w:bCs/>
          <w:color w:val="000000"/>
        </w:rPr>
      </w:pPr>
      <w:bookmarkStart w:id="90" w:name="_Toc28356"/>
      <w:r>
        <w:rPr>
          <w:rFonts w:hint="eastAsia" w:ascii="仿宋" w:hAnsi="仿宋" w:eastAsia="仿宋" w:cs="仿宋"/>
          <w:b w:val="0"/>
          <w:bCs/>
          <w:color w:val="000000"/>
        </w:rPr>
        <w:t>十三、财政拨款“三公”经费支出决算表</w:t>
      </w:r>
      <w:bookmarkEnd w:id="90"/>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5B116D-4F9A-4491-B21D-75FE0F7C84C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2C6CFD9-42DC-4192-82D9-22C870E11259}"/>
  </w:font>
  <w:font w:name="仿宋">
    <w:panose1 w:val="02010609060101010101"/>
    <w:charset w:val="86"/>
    <w:family w:val="modern"/>
    <w:pitch w:val="default"/>
    <w:sig w:usb0="800002BF" w:usb1="38CF7CFA" w:usb2="00000016" w:usb3="00000000" w:csb0="00040001" w:csb1="00000000"/>
    <w:embedRegular r:id="rId3" w:fontKey="{4EED1C41-E686-496F-9986-8512016C7FED}"/>
  </w:font>
  <w:font w:name="思源黑体 CN Normal">
    <w:altName w:val="黑体"/>
    <w:panose1 w:val="020B0400000000000000"/>
    <w:charset w:val="86"/>
    <w:family w:val="auto"/>
    <w:pitch w:val="default"/>
    <w:sig w:usb0="00000000" w:usb1="00000000" w:usb2="00000016" w:usb3="00000000" w:csb0="60060107" w:csb1="00000000"/>
    <w:embedRegular r:id="rId4" w:fontKey="{C10FB4CC-A05B-4366-8266-E79A10E08D69}"/>
  </w:font>
  <w:font w:name="方正小标宋简体">
    <w:panose1 w:val="02010601030101010101"/>
    <w:charset w:val="86"/>
    <w:family w:val="script"/>
    <w:pitch w:val="default"/>
    <w:sig w:usb0="00000001" w:usb1="080E0000" w:usb2="00000000" w:usb3="00000000" w:csb0="00040000" w:csb1="00000000"/>
  </w:font>
  <w:font w:name="Lucida Sans">
    <w:altName w:val="Lucida Sans Unicode"/>
    <w:panose1 w:val="020B0602030504020204"/>
    <w:charset w:val="01"/>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embedRegular r:id="rId5" w:fontKey="{04C1411B-026A-46B7-A4A6-310BE77C22A9}"/>
  </w:font>
  <w:font w:name="楷体_GB2312">
    <w:panose1 w:val="02010609030101010101"/>
    <w:charset w:val="86"/>
    <w:family w:val="auto"/>
    <w:pitch w:val="default"/>
    <w:sig w:usb0="00000001" w:usb1="080E0000" w:usb2="00000000" w:usb3="00000000" w:csb0="00040000" w:csb1="00000000"/>
    <w:embedRegular r:id="rId6" w:fontKey="{2A2F575F-73AA-40B2-9DAA-F0EE28C309F3}"/>
  </w:font>
  <w:font w:name="微软雅黑">
    <w:panose1 w:val="020B0503020204020204"/>
    <w:charset w:val="86"/>
    <w:family w:val="auto"/>
    <w:pitch w:val="default"/>
    <w:sig w:usb0="80000287" w:usb1="280F3C52" w:usb2="00000016" w:usb3="00000000" w:csb0="0004001F" w:csb1="00000000"/>
    <w:embedRegular r:id="rId7" w:fontKey="{1D9FDB41-054F-4736-AF7A-06E284AEC9B5}"/>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E9C5">
    <w:pPr>
      <w:pStyle w:val="13"/>
      <w:jc w:val="center"/>
    </w:pPr>
  </w:p>
  <w:p w14:paraId="45D6F97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D3605">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183EDEE5">
                              <w:pPr>
                                <w:pStyle w:val="13"/>
                                <w:jc w:val="center"/>
                              </w:pPr>
                              <w:r>
                                <w:fldChar w:fldCharType="begin"/>
                              </w:r>
                              <w:r>
                                <w:instrText xml:space="preserve">PAGE   \* MERGEFORMAT</w:instrText>
                              </w:r>
                              <w:r>
                                <w:fldChar w:fldCharType="separate"/>
                              </w:r>
                              <w:r>
                                <w:rPr>
                                  <w:lang w:val="zh-CN"/>
                                </w:rPr>
                                <w:t>4</w:t>
                              </w:r>
                              <w:r>
                                <w:fldChar w:fldCharType="end"/>
                              </w:r>
                            </w:p>
                          </w:sdtContent>
                        </w:sdt>
                        <w:p w14:paraId="7C6EA768">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183EDEE5">
                        <w:pPr>
                          <w:pStyle w:val="13"/>
                          <w:jc w:val="center"/>
                        </w:pPr>
                        <w:r>
                          <w:fldChar w:fldCharType="begin"/>
                        </w:r>
                        <w:r>
                          <w:instrText xml:space="preserve">PAGE   \* MERGEFORMAT</w:instrText>
                        </w:r>
                        <w:r>
                          <w:fldChar w:fldCharType="separate"/>
                        </w:r>
                        <w:r>
                          <w:rPr>
                            <w:lang w:val="zh-CN"/>
                          </w:rPr>
                          <w:t>4</w:t>
                        </w:r>
                        <w:r>
                          <w:fldChar w:fldCharType="end"/>
                        </w:r>
                      </w:p>
                    </w:sdtContent>
                  </w:sdt>
                  <w:p w14:paraId="7C6EA768">
                    <w:pPr>
                      <w:pStyle w:val="2"/>
                    </w:pPr>
                  </w:p>
                </w:txbxContent>
              </v:textbox>
            </v:shape>
          </w:pict>
        </mc:Fallback>
      </mc:AlternateContent>
    </w:r>
  </w:p>
  <w:p w14:paraId="3AB6CB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2A08E">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265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9D7265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C53F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A8929F"/>
    <w:multiLevelType w:val="singleLevel"/>
    <w:tmpl w:val="2BA8929F"/>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YTY1M2Q2ZmI5NWNjZWZiOTQ5ZjY0YjFjMDI3ZWY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956BDF"/>
    <w:rsid w:val="019D115B"/>
    <w:rsid w:val="019F1377"/>
    <w:rsid w:val="01B354EA"/>
    <w:rsid w:val="01CF32DE"/>
    <w:rsid w:val="01D74DB7"/>
    <w:rsid w:val="01D86637"/>
    <w:rsid w:val="01F04616"/>
    <w:rsid w:val="020C008E"/>
    <w:rsid w:val="02E349DD"/>
    <w:rsid w:val="03031491"/>
    <w:rsid w:val="037A757D"/>
    <w:rsid w:val="03F359AA"/>
    <w:rsid w:val="041A2F36"/>
    <w:rsid w:val="041B6CAE"/>
    <w:rsid w:val="043F299D"/>
    <w:rsid w:val="045647CC"/>
    <w:rsid w:val="0463543B"/>
    <w:rsid w:val="048D6B52"/>
    <w:rsid w:val="04A56E6E"/>
    <w:rsid w:val="04D1736D"/>
    <w:rsid w:val="04D45254"/>
    <w:rsid w:val="04D550AF"/>
    <w:rsid w:val="051A6F96"/>
    <w:rsid w:val="052120A3"/>
    <w:rsid w:val="05975BA7"/>
    <w:rsid w:val="05C25E8C"/>
    <w:rsid w:val="06951176"/>
    <w:rsid w:val="06DB44D3"/>
    <w:rsid w:val="07001BE1"/>
    <w:rsid w:val="071A324D"/>
    <w:rsid w:val="07267DE7"/>
    <w:rsid w:val="088F55D5"/>
    <w:rsid w:val="089C4B49"/>
    <w:rsid w:val="09081517"/>
    <w:rsid w:val="091A64C0"/>
    <w:rsid w:val="091B747D"/>
    <w:rsid w:val="092E626A"/>
    <w:rsid w:val="095D0797"/>
    <w:rsid w:val="09A572B6"/>
    <w:rsid w:val="0A0124A3"/>
    <w:rsid w:val="0A19737C"/>
    <w:rsid w:val="0A584354"/>
    <w:rsid w:val="0B2A39AB"/>
    <w:rsid w:val="0B697AD8"/>
    <w:rsid w:val="0B7218AA"/>
    <w:rsid w:val="0B99373B"/>
    <w:rsid w:val="0BA37CB5"/>
    <w:rsid w:val="0BE470A9"/>
    <w:rsid w:val="0C5762AC"/>
    <w:rsid w:val="0CFF716D"/>
    <w:rsid w:val="0D0429D6"/>
    <w:rsid w:val="0D093B48"/>
    <w:rsid w:val="0D322E51"/>
    <w:rsid w:val="0D6C338E"/>
    <w:rsid w:val="0DB37F58"/>
    <w:rsid w:val="0E6D2010"/>
    <w:rsid w:val="0EC00B7E"/>
    <w:rsid w:val="0F5E6610"/>
    <w:rsid w:val="0F941CD9"/>
    <w:rsid w:val="0FB52B86"/>
    <w:rsid w:val="0FDB629D"/>
    <w:rsid w:val="0FFD0B0D"/>
    <w:rsid w:val="103747CF"/>
    <w:rsid w:val="103F4D68"/>
    <w:rsid w:val="10992DE3"/>
    <w:rsid w:val="10C055FF"/>
    <w:rsid w:val="116A6D7C"/>
    <w:rsid w:val="11761AF6"/>
    <w:rsid w:val="118004CD"/>
    <w:rsid w:val="11851C0B"/>
    <w:rsid w:val="119F4A7B"/>
    <w:rsid w:val="11B00A36"/>
    <w:rsid w:val="11BF397F"/>
    <w:rsid w:val="11D56DF6"/>
    <w:rsid w:val="11ED6591"/>
    <w:rsid w:val="11F85D8C"/>
    <w:rsid w:val="13367661"/>
    <w:rsid w:val="136F089E"/>
    <w:rsid w:val="137B1518"/>
    <w:rsid w:val="13BC6EF1"/>
    <w:rsid w:val="13C102B6"/>
    <w:rsid w:val="13CA5A6E"/>
    <w:rsid w:val="13D81ACD"/>
    <w:rsid w:val="14D728AA"/>
    <w:rsid w:val="150A4901"/>
    <w:rsid w:val="15AB60E4"/>
    <w:rsid w:val="15F1786F"/>
    <w:rsid w:val="1665477F"/>
    <w:rsid w:val="168801D3"/>
    <w:rsid w:val="16BB723D"/>
    <w:rsid w:val="17283764"/>
    <w:rsid w:val="17BC7656"/>
    <w:rsid w:val="17EA348C"/>
    <w:rsid w:val="18267CA4"/>
    <w:rsid w:val="1840212F"/>
    <w:rsid w:val="184656CF"/>
    <w:rsid w:val="18781346"/>
    <w:rsid w:val="18BB3DE3"/>
    <w:rsid w:val="18FE477D"/>
    <w:rsid w:val="193C261A"/>
    <w:rsid w:val="1958355D"/>
    <w:rsid w:val="195E736E"/>
    <w:rsid w:val="19934117"/>
    <w:rsid w:val="19943114"/>
    <w:rsid w:val="19D11020"/>
    <w:rsid w:val="19DE22C0"/>
    <w:rsid w:val="19DF6872"/>
    <w:rsid w:val="19F848E4"/>
    <w:rsid w:val="19FD4712"/>
    <w:rsid w:val="1AAB29DA"/>
    <w:rsid w:val="1AB026BC"/>
    <w:rsid w:val="1ABB32B6"/>
    <w:rsid w:val="1B075976"/>
    <w:rsid w:val="1B5F1D8E"/>
    <w:rsid w:val="1B787B60"/>
    <w:rsid w:val="1BF70747"/>
    <w:rsid w:val="1C06153F"/>
    <w:rsid w:val="1C511068"/>
    <w:rsid w:val="1C986C96"/>
    <w:rsid w:val="1C9A0C60"/>
    <w:rsid w:val="1CEE0CE4"/>
    <w:rsid w:val="1CF163A7"/>
    <w:rsid w:val="1CF2327B"/>
    <w:rsid w:val="1D322646"/>
    <w:rsid w:val="1D7371C3"/>
    <w:rsid w:val="1DDC2BB3"/>
    <w:rsid w:val="1E34479D"/>
    <w:rsid w:val="1E575E03"/>
    <w:rsid w:val="1E803E86"/>
    <w:rsid w:val="1EF81F78"/>
    <w:rsid w:val="1F30348C"/>
    <w:rsid w:val="1F3802BD"/>
    <w:rsid w:val="1F620905"/>
    <w:rsid w:val="1FD12B34"/>
    <w:rsid w:val="201A6AB0"/>
    <w:rsid w:val="203B66A0"/>
    <w:rsid w:val="206D278F"/>
    <w:rsid w:val="211A679A"/>
    <w:rsid w:val="21253DA0"/>
    <w:rsid w:val="216E32C3"/>
    <w:rsid w:val="2264147E"/>
    <w:rsid w:val="22857975"/>
    <w:rsid w:val="22B660C8"/>
    <w:rsid w:val="23902475"/>
    <w:rsid w:val="23A93537"/>
    <w:rsid w:val="23CC2396"/>
    <w:rsid w:val="23D87D05"/>
    <w:rsid w:val="23FA0B3C"/>
    <w:rsid w:val="240371BF"/>
    <w:rsid w:val="2435534E"/>
    <w:rsid w:val="244017F7"/>
    <w:rsid w:val="2443398C"/>
    <w:rsid w:val="24534F10"/>
    <w:rsid w:val="24DF6C66"/>
    <w:rsid w:val="253D03DB"/>
    <w:rsid w:val="253F66D1"/>
    <w:rsid w:val="2567241E"/>
    <w:rsid w:val="259C77F7"/>
    <w:rsid w:val="25A20B86"/>
    <w:rsid w:val="25B1070F"/>
    <w:rsid w:val="25DD571A"/>
    <w:rsid w:val="25F14416"/>
    <w:rsid w:val="261D5B35"/>
    <w:rsid w:val="265C1D1F"/>
    <w:rsid w:val="26BB36DB"/>
    <w:rsid w:val="26D94133"/>
    <w:rsid w:val="270F224B"/>
    <w:rsid w:val="271C5A93"/>
    <w:rsid w:val="272F01F7"/>
    <w:rsid w:val="276F1834"/>
    <w:rsid w:val="27B459F9"/>
    <w:rsid w:val="27C51E91"/>
    <w:rsid w:val="280173B2"/>
    <w:rsid w:val="28513369"/>
    <w:rsid w:val="287265EE"/>
    <w:rsid w:val="28BF6D42"/>
    <w:rsid w:val="28C822A0"/>
    <w:rsid w:val="28D36B25"/>
    <w:rsid w:val="292E058E"/>
    <w:rsid w:val="297E7214"/>
    <w:rsid w:val="29EB7A40"/>
    <w:rsid w:val="29FA0633"/>
    <w:rsid w:val="29FD04D3"/>
    <w:rsid w:val="2A9A007E"/>
    <w:rsid w:val="2B940F71"/>
    <w:rsid w:val="2C1E1BB4"/>
    <w:rsid w:val="2C6A6E1B"/>
    <w:rsid w:val="2CAE1BBE"/>
    <w:rsid w:val="2CCF04B2"/>
    <w:rsid w:val="2D3D0AE7"/>
    <w:rsid w:val="2DF079DB"/>
    <w:rsid w:val="2DFA0C10"/>
    <w:rsid w:val="2E4C04E0"/>
    <w:rsid w:val="2E67588F"/>
    <w:rsid w:val="2EB37095"/>
    <w:rsid w:val="2EBA28B8"/>
    <w:rsid w:val="2F5729E1"/>
    <w:rsid w:val="2F803D16"/>
    <w:rsid w:val="2FF22B1D"/>
    <w:rsid w:val="307B4D9C"/>
    <w:rsid w:val="30CB71E3"/>
    <w:rsid w:val="30E36C85"/>
    <w:rsid w:val="30F46739"/>
    <w:rsid w:val="31810DA9"/>
    <w:rsid w:val="31903F88"/>
    <w:rsid w:val="319F7F4E"/>
    <w:rsid w:val="31B72CAD"/>
    <w:rsid w:val="32004B5E"/>
    <w:rsid w:val="32165937"/>
    <w:rsid w:val="323A1C2F"/>
    <w:rsid w:val="324B12DD"/>
    <w:rsid w:val="329448A6"/>
    <w:rsid w:val="32F45598"/>
    <w:rsid w:val="33204932"/>
    <w:rsid w:val="33213FA8"/>
    <w:rsid w:val="33377DE6"/>
    <w:rsid w:val="33420F85"/>
    <w:rsid w:val="33447C07"/>
    <w:rsid w:val="336631F3"/>
    <w:rsid w:val="33786236"/>
    <w:rsid w:val="340F73E6"/>
    <w:rsid w:val="345D075E"/>
    <w:rsid w:val="34AB6505"/>
    <w:rsid w:val="34C351D9"/>
    <w:rsid w:val="35244754"/>
    <w:rsid w:val="354465C4"/>
    <w:rsid w:val="35FA62DD"/>
    <w:rsid w:val="361C390A"/>
    <w:rsid w:val="364D41F6"/>
    <w:rsid w:val="36FD0156"/>
    <w:rsid w:val="374675C3"/>
    <w:rsid w:val="37AD4EFB"/>
    <w:rsid w:val="38207F4E"/>
    <w:rsid w:val="38F815D3"/>
    <w:rsid w:val="38F8371D"/>
    <w:rsid w:val="39226F5F"/>
    <w:rsid w:val="39882115"/>
    <w:rsid w:val="39902098"/>
    <w:rsid w:val="39FD5F33"/>
    <w:rsid w:val="3A3A0F35"/>
    <w:rsid w:val="3A4E1148"/>
    <w:rsid w:val="3A9B7C26"/>
    <w:rsid w:val="3AF15A98"/>
    <w:rsid w:val="3B697D24"/>
    <w:rsid w:val="3B865CB0"/>
    <w:rsid w:val="3C495460"/>
    <w:rsid w:val="3C8D2F9D"/>
    <w:rsid w:val="3CBA010B"/>
    <w:rsid w:val="3CBC5EF5"/>
    <w:rsid w:val="3CE0510E"/>
    <w:rsid w:val="3D0E3B71"/>
    <w:rsid w:val="3D1927CA"/>
    <w:rsid w:val="3D1E4B3E"/>
    <w:rsid w:val="3D6F2272"/>
    <w:rsid w:val="3D8344ED"/>
    <w:rsid w:val="3E03620E"/>
    <w:rsid w:val="3E10092B"/>
    <w:rsid w:val="3E343C22"/>
    <w:rsid w:val="3EF770BD"/>
    <w:rsid w:val="3F177A97"/>
    <w:rsid w:val="3F512FA9"/>
    <w:rsid w:val="3F544847"/>
    <w:rsid w:val="3F7C601F"/>
    <w:rsid w:val="3F892595"/>
    <w:rsid w:val="3FAC4683"/>
    <w:rsid w:val="3FEA5DFB"/>
    <w:rsid w:val="40035B02"/>
    <w:rsid w:val="401C35B7"/>
    <w:rsid w:val="4119235A"/>
    <w:rsid w:val="41677310"/>
    <w:rsid w:val="41874A60"/>
    <w:rsid w:val="41C34504"/>
    <w:rsid w:val="41D85212"/>
    <w:rsid w:val="41E73D28"/>
    <w:rsid w:val="41E81277"/>
    <w:rsid w:val="422C2C46"/>
    <w:rsid w:val="4251506E"/>
    <w:rsid w:val="42B75819"/>
    <w:rsid w:val="43684120"/>
    <w:rsid w:val="43844BE1"/>
    <w:rsid w:val="43B835F7"/>
    <w:rsid w:val="444F07DA"/>
    <w:rsid w:val="44601E28"/>
    <w:rsid w:val="45232531"/>
    <w:rsid w:val="46C2478C"/>
    <w:rsid w:val="46C30911"/>
    <w:rsid w:val="46D4548F"/>
    <w:rsid w:val="472E4611"/>
    <w:rsid w:val="475508BF"/>
    <w:rsid w:val="475E72DC"/>
    <w:rsid w:val="47BA3548"/>
    <w:rsid w:val="47BE31A6"/>
    <w:rsid w:val="47F514AF"/>
    <w:rsid w:val="4839282C"/>
    <w:rsid w:val="48D32C81"/>
    <w:rsid w:val="48FD75BD"/>
    <w:rsid w:val="49243056"/>
    <w:rsid w:val="494C4A06"/>
    <w:rsid w:val="4A113668"/>
    <w:rsid w:val="4A3B39AE"/>
    <w:rsid w:val="4A745623"/>
    <w:rsid w:val="4AA06B93"/>
    <w:rsid w:val="4B187071"/>
    <w:rsid w:val="4B2B2DCB"/>
    <w:rsid w:val="4B6A5BC2"/>
    <w:rsid w:val="4B6D2BD3"/>
    <w:rsid w:val="4C1C2E8F"/>
    <w:rsid w:val="4C211F55"/>
    <w:rsid w:val="4C7555EC"/>
    <w:rsid w:val="4C9A4EF6"/>
    <w:rsid w:val="4D0C6761"/>
    <w:rsid w:val="4D135D42"/>
    <w:rsid w:val="4D2A6DAC"/>
    <w:rsid w:val="4D693BB4"/>
    <w:rsid w:val="4D846266"/>
    <w:rsid w:val="4D8D78A2"/>
    <w:rsid w:val="4DF123A8"/>
    <w:rsid w:val="4E290981"/>
    <w:rsid w:val="4E565660"/>
    <w:rsid w:val="4E832A53"/>
    <w:rsid w:val="4E9E44C2"/>
    <w:rsid w:val="4EBC1A30"/>
    <w:rsid w:val="4EBC5732"/>
    <w:rsid w:val="4F395B30"/>
    <w:rsid w:val="4F3B530F"/>
    <w:rsid w:val="4F6F7A34"/>
    <w:rsid w:val="4FD51FF0"/>
    <w:rsid w:val="4FD74194"/>
    <w:rsid w:val="4FD74D0A"/>
    <w:rsid w:val="4FDA49F5"/>
    <w:rsid w:val="50AE413E"/>
    <w:rsid w:val="514A7858"/>
    <w:rsid w:val="516624D4"/>
    <w:rsid w:val="516E79EA"/>
    <w:rsid w:val="51A52CE0"/>
    <w:rsid w:val="51E1640E"/>
    <w:rsid w:val="51EE42CA"/>
    <w:rsid w:val="52195E38"/>
    <w:rsid w:val="52302EF2"/>
    <w:rsid w:val="526E48F5"/>
    <w:rsid w:val="5290573F"/>
    <w:rsid w:val="52CA085E"/>
    <w:rsid w:val="52E00FF3"/>
    <w:rsid w:val="52ED6284"/>
    <w:rsid w:val="5322283B"/>
    <w:rsid w:val="532B0C13"/>
    <w:rsid w:val="53672943"/>
    <w:rsid w:val="53BA6F17"/>
    <w:rsid w:val="53BE2B80"/>
    <w:rsid w:val="53D12B98"/>
    <w:rsid w:val="54136CE6"/>
    <w:rsid w:val="541505F1"/>
    <w:rsid w:val="54992FD0"/>
    <w:rsid w:val="55654C60"/>
    <w:rsid w:val="55872E29"/>
    <w:rsid w:val="55A82D9F"/>
    <w:rsid w:val="56170651"/>
    <w:rsid w:val="562161A3"/>
    <w:rsid w:val="564F7DCE"/>
    <w:rsid w:val="56A874FB"/>
    <w:rsid w:val="56D0674C"/>
    <w:rsid w:val="57C55E8A"/>
    <w:rsid w:val="57D23F06"/>
    <w:rsid w:val="58BA52C3"/>
    <w:rsid w:val="58BC5D23"/>
    <w:rsid w:val="590A624B"/>
    <w:rsid w:val="59136C0F"/>
    <w:rsid w:val="59177DCC"/>
    <w:rsid w:val="59555F0B"/>
    <w:rsid w:val="59E040FC"/>
    <w:rsid w:val="59E11CD3"/>
    <w:rsid w:val="5A857BDE"/>
    <w:rsid w:val="5AA7161B"/>
    <w:rsid w:val="5B2A4567"/>
    <w:rsid w:val="5BE202EA"/>
    <w:rsid w:val="5CE95B0C"/>
    <w:rsid w:val="5CFA7F1D"/>
    <w:rsid w:val="5D543F38"/>
    <w:rsid w:val="5D577E65"/>
    <w:rsid w:val="5D6F6B2F"/>
    <w:rsid w:val="5DB030C1"/>
    <w:rsid w:val="5E1E5DB6"/>
    <w:rsid w:val="5E2506F8"/>
    <w:rsid w:val="5E5E7F75"/>
    <w:rsid w:val="5EA316D6"/>
    <w:rsid w:val="5EC842DB"/>
    <w:rsid w:val="5ECE1AC8"/>
    <w:rsid w:val="5EF556B7"/>
    <w:rsid w:val="5F3A07D2"/>
    <w:rsid w:val="5F593A88"/>
    <w:rsid w:val="5FC90CC5"/>
    <w:rsid w:val="5FD80FC0"/>
    <w:rsid w:val="5FE356D0"/>
    <w:rsid w:val="5FF901AE"/>
    <w:rsid w:val="60170067"/>
    <w:rsid w:val="603B4F3C"/>
    <w:rsid w:val="603C2321"/>
    <w:rsid w:val="60651EAC"/>
    <w:rsid w:val="60BB3927"/>
    <w:rsid w:val="613876CD"/>
    <w:rsid w:val="613B0F6B"/>
    <w:rsid w:val="61563538"/>
    <w:rsid w:val="6200749A"/>
    <w:rsid w:val="620F0B35"/>
    <w:rsid w:val="6240022D"/>
    <w:rsid w:val="627A5EF9"/>
    <w:rsid w:val="62A42EE2"/>
    <w:rsid w:val="62F14F12"/>
    <w:rsid w:val="630D013F"/>
    <w:rsid w:val="63347FC4"/>
    <w:rsid w:val="63604CB9"/>
    <w:rsid w:val="64A36D0B"/>
    <w:rsid w:val="64C656C1"/>
    <w:rsid w:val="64F77166"/>
    <w:rsid w:val="65201386"/>
    <w:rsid w:val="657F4183"/>
    <w:rsid w:val="658466A7"/>
    <w:rsid w:val="6596487B"/>
    <w:rsid w:val="65DF63C9"/>
    <w:rsid w:val="662A7F2C"/>
    <w:rsid w:val="66627873"/>
    <w:rsid w:val="66976CCF"/>
    <w:rsid w:val="66985C23"/>
    <w:rsid w:val="66D65FFA"/>
    <w:rsid w:val="66FBB565"/>
    <w:rsid w:val="672112E4"/>
    <w:rsid w:val="67694A84"/>
    <w:rsid w:val="67C24194"/>
    <w:rsid w:val="67EB36EB"/>
    <w:rsid w:val="685F3791"/>
    <w:rsid w:val="68671145"/>
    <w:rsid w:val="689636E3"/>
    <w:rsid w:val="68DA2DB6"/>
    <w:rsid w:val="68E31D2C"/>
    <w:rsid w:val="694E3F32"/>
    <w:rsid w:val="69725134"/>
    <w:rsid w:val="6AC65D4A"/>
    <w:rsid w:val="6B4666B6"/>
    <w:rsid w:val="6BAA2D88"/>
    <w:rsid w:val="6BB306BC"/>
    <w:rsid w:val="6BF05D78"/>
    <w:rsid w:val="6CBC3901"/>
    <w:rsid w:val="6CC85DA9"/>
    <w:rsid w:val="6D2A5F93"/>
    <w:rsid w:val="6D604233"/>
    <w:rsid w:val="6D8F2D6B"/>
    <w:rsid w:val="6DB91990"/>
    <w:rsid w:val="6DC31436"/>
    <w:rsid w:val="6E0D43D4"/>
    <w:rsid w:val="6E1E1732"/>
    <w:rsid w:val="6E6F4E2B"/>
    <w:rsid w:val="6ECB49CF"/>
    <w:rsid w:val="6ECB5A2B"/>
    <w:rsid w:val="6F806E0F"/>
    <w:rsid w:val="6FDE4158"/>
    <w:rsid w:val="70202A42"/>
    <w:rsid w:val="70242CA4"/>
    <w:rsid w:val="70606713"/>
    <w:rsid w:val="707E6C4C"/>
    <w:rsid w:val="70BE48E4"/>
    <w:rsid w:val="70ED3F4C"/>
    <w:rsid w:val="716F06CC"/>
    <w:rsid w:val="71770BD0"/>
    <w:rsid w:val="718C1A9B"/>
    <w:rsid w:val="71F87130"/>
    <w:rsid w:val="72227D09"/>
    <w:rsid w:val="72E476B5"/>
    <w:rsid w:val="72F22338"/>
    <w:rsid w:val="73021464"/>
    <w:rsid w:val="73327580"/>
    <w:rsid w:val="733572FD"/>
    <w:rsid w:val="73AF3F96"/>
    <w:rsid w:val="73B928EF"/>
    <w:rsid w:val="73BE3A62"/>
    <w:rsid w:val="74035E80"/>
    <w:rsid w:val="746C7E4B"/>
    <w:rsid w:val="746E765E"/>
    <w:rsid w:val="748142F7"/>
    <w:rsid w:val="750E6C6B"/>
    <w:rsid w:val="752E6F2F"/>
    <w:rsid w:val="75371D1E"/>
    <w:rsid w:val="755C2F42"/>
    <w:rsid w:val="755E374E"/>
    <w:rsid w:val="75884CEA"/>
    <w:rsid w:val="75B310E7"/>
    <w:rsid w:val="75B318F4"/>
    <w:rsid w:val="761A4623"/>
    <w:rsid w:val="76377F56"/>
    <w:rsid w:val="764B35A7"/>
    <w:rsid w:val="769E6A57"/>
    <w:rsid w:val="76C27D0D"/>
    <w:rsid w:val="772744EE"/>
    <w:rsid w:val="778E1FCC"/>
    <w:rsid w:val="779B2445"/>
    <w:rsid w:val="77A25449"/>
    <w:rsid w:val="77B238DE"/>
    <w:rsid w:val="78A4106B"/>
    <w:rsid w:val="79822FDC"/>
    <w:rsid w:val="79975481"/>
    <w:rsid w:val="79B14429"/>
    <w:rsid w:val="79B4511D"/>
    <w:rsid w:val="79F60BE5"/>
    <w:rsid w:val="7A013CB7"/>
    <w:rsid w:val="7A1B4027"/>
    <w:rsid w:val="7A965738"/>
    <w:rsid w:val="7AA92200"/>
    <w:rsid w:val="7ABC1C9C"/>
    <w:rsid w:val="7B022DCE"/>
    <w:rsid w:val="7B272834"/>
    <w:rsid w:val="7B8B4B71"/>
    <w:rsid w:val="7B8F71DF"/>
    <w:rsid w:val="7BE349AD"/>
    <w:rsid w:val="7C1568F9"/>
    <w:rsid w:val="7C3274AB"/>
    <w:rsid w:val="7CB2612E"/>
    <w:rsid w:val="7CC25607"/>
    <w:rsid w:val="7CD151B3"/>
    <w:rsid w:val="7DB0763C"/>
    <w:rsid w:val="7DC47506"/>
    <w:rsid w:val="7DE859ED"/>
    <w:rsid w:val="7E4C610E"/>
    <w:rsid w:val="7ECA59B1"/>
    <w:rsid w:val="7F09108F"/>
    <w:rsid w:val="7F0A42DF"/>
    <w:rsid w:val="7F7A0AA5"/>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0382409177820268"/>
          <c:y val="0.208396946564885"/>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710.63</c:v>
                </c:pt>
                <c:pt idx="1">
                  <c:v>750.85</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08352"/>
        <c:crossesAt val="1"/>
        <c:crossBetween val="between"/>
      </c:valAx>
      <c:spPr>
        <a:solidFill>
          <a:srgbClr val="FFFFFF"/>
        </a:solidFill>
      </c:spPr>
    </c:plotArea>
    <c:legend>
      <c:legendPos val="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f192220-f46e-4687-aaf3-1ebcf0bd48a9}"/>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{765.72}</c:f>
              <c:numCache>
                <c:formatCode>General</c:formatCode>
                <c:ptCount val="1"/>
                <c:pt idx="0">
                  <c:v>765.72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ec69e4b-fbab-4ab9-842b-a1cb5a4b129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支出（万元）</c:v>
                </c:pt>
              </c:strCache>
            </c:strRef>
          </c:tx>
          <c:explosion val="2"/>
          <c:dPt>
            <c:idx val="0"/>
            <c:bubble3D val="0"/>
          </c:dPt>
          <c:dPt>
            <c:idx val="1"/>
            <c:bubble3D val="0"/>
          </c:dPt>
          <c:dLbls>
            <c:dLbl>
              <c:idx val="0"/>
              <c:layout>
                <c:manualLayout>
                  <c:x val="-6.78558410835572e-7"/>
                  <c:y val="-0.410847367426321"/>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2184647036132"/>
                      <c:h val="0.0875458909912454"/>
                    </c:manualLayout>
                  </c15:layout>
                </c:ext>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699.17</c:v>
                </c:pt>
                <c:pt idx="1">
                  <c:v>51.68</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95497470467695"/>
          <c:y val="0.341703009809662"/>
          <c:w val="0.183200412116947"/>
          <c:h val="0.5487985853058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ce7239f-a67d-446c-ae36-1b4584b2163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418738049713"/>
          <c:y val="0.208396946564885"/>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710.63</c:v>
                </c:pt>
                <c:pt idx="1">
                  <c:v>750.85</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109908352"/>
        <c:crossesAt val="1"/>
        <c:crossBetween val="between"/>
      </c:valAx>
      <c:spPr>
        <a:solidFill>
          <a:srgbClr val="FFFFFF"/>
        </a:solidFill>
      </c:spPr>
    </c:plotArea>
    <c:legend>
      <c:legendPos val="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c28aac1-2e19-4280-bfb5-1761171a78c5}"/>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85646047289229"/>
          <c:y val="0.230656075316269"/>
          <c:w val="0.563888225459756"/>
          <c:h val="0.635775228008238"/>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(4)'!$A$2:$A$3</c:f>
              <c:numCache>
                <c:formatCode>General</c:formatCode>
                <c:ptCount val="2"/>
                <c:pt idx="0">
                  <c:v>2024</c:v>
                </c:pt>
                <c:pt idx="1">
                  <c:v>2025</c:v>
                </c:pt>
              </c:numCache>
            </c:numRef>
          </c:cat>
          <c:val>
            <c:numRef>
              <c:f>'Sheet1 (4)'!$B$2:$B$3</c:f>
              <c:numCache>
                <c:formatCode>General</c:formatCode>
                <c:ptCount val="2"/>
                <c:pt idx="0">
                  <c:v>710.63</c:v>
                </c:pt>
                <c:pt idx="1">
                  <c:v>750.85</c:v>
                </c:pt>
              </c:numCache>
            </c:numRef>
          </c:val>
        </c:ser>
        <c:dLbls>
          <c:showLegendKey val="0"/>
          <c:showVal val="1"/>
          <c:showCatName val="0"/>
          <c:showSerName val="0"/>
          <c:showPercent val="0"/>
          <c:showBubbleSize val="0"/>
        </c:dLbls>
        <c:gapWidth val="150"/>
        <c:axId val="43700224"/>
        <c:axId val="43701760"/>
      </c:barChart>
      <c:catAx>
        <c:axId val="437002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1760"/>
        <c:crosses val="autoZero"/>
        <c:auto val="1"/>
        <c:lblAlgn val="ctr"/>
        <c:lblOffset val="100"/>
        <c:noMultiLvlLbl val="0"/>
      </c:catAx>
      <c:valAx>
        <c:axId val="437017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0224"/>
        <c:crossesAt val="1"/>
        <c:crossBetween val="between"/>
      </c:valAx>
      <c:spPr>
        <a:solidFill>
          <a:srgbClr val="FFFFFF"/>
        </a:solidFill>
      </c:spPr>
    </c:plotArea>
    <c:plotVisOnly val="1"/>
    <c:dispBlanksAs val="gap"/>
    <c:showDLblsOverMax val="0"/>
    <c:extLst>
      <c:ext uri="{0b15fc19-7d7d-44ad-8c2d-2c3a37ce22c3}">
        <chartProps xmlns="https://web.wps.cn/et/2018/main" chartId="{c18b8e19-a83f-469b-9c44-bbe1be3d9692}"/>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5134168157424"/>
          <c:y val="0.0281056773468241"/>
        </c:manualLayout>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6245102"/>
          <c:y val="0.288332"/>
          <c:w val="0.38841364"/>
          <c:h val="0.6658749"/>
        </c:manualLayout>
      </c:layout>
      <c:pieChart>
        <c:varyColors val="1"/>
        <c:ser>
          <c:idx val="0"/>
          <c:order val="0"/>
          <c:tx>
            <c:strRef>
              <c:f>'Sheet1 (5)'!$B$1</c:f>
              <c:strCache>
                <c:ptCount val="1"/>
                <c:pt idx="0">
                  <c:v>一般公共预算财政拨款支出（万元）</c:v>
                </c:pt>
              </c:strCache>
            </c:strRef>
          </c:tx>
          <c:spPr>
            <a:solidFill>
              <a:srgbClr val="4F81BD"/>
            </a:solidFill>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(5)'!$A$2:$A$5</c:f>
              <c:strCache>
                <c:ptCount val="4"/>
                <c:pt idx="0">
                  <c:v>社会保障和就业支出</c:v>
                </c:pt>
                <c:pt idx="1">
                  <c:v>卫生健康支出</c:v>
                </c:pt>
                <c:pt idx="2">
                  <c:v>教育支出</c:v>
                </c:pt>
                <c:pt idx="3">
                  <c:v>住房保障支出</c:v>
                </c:pt>
              </c:strCache>
            </c:strRef>
          </c:cat>
          <c:val>
            <c:numRef>
              <c:f>'Sheet1 (5)'!$B$2:$B$5</c:f>
              <c:numCache>
                <c:formatCode>General</c:formatCode>
                <c:ptCount val="4"/>
                <c:pt idx="0">
                  <c:v>92.51</c:v>
                </c:pt>
                <c:pt idx="1">
                  <c:v>35.51</c:v>
                </c:pt>
                <c:pt idx="2">
                  <c:v>571.57</c:v>
                </c:pt>
                <c:pt idx="3">
                  <c:v>51.25</c:v>
                </c:pt>
              </c:numCache>
            </c:numRef>
          </c:val>
        </c:ser>
        <c:dLbls>
          <c:showLegendKey val="0"/>
          <c:showVal val="0"/>
          <c:showCatName val="1"/>
          <c:showSerName val="0"/>
          <c:showPercent val="1"/>
          <c:showBubbleSize val="0"/>
          <c:showLeaderLines val="1"/>
        </c:dLbls>
        <c:firstSliceAng val="0"/>
      </c:pieChart>
      <c:spPr>
        <a:noFill/>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78177fa9-d40c-4b2b-9656-5c0032fab9a0}"/>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000">
                <a:latin typeface="宋体" panose="02010600030101010101" charset="-122"/>
                <a:ea typeface="宋体" panose="02010600030101010101" charset="-122"/>
              </a:rPr>
              <a:t>财政拨款三公经费</a:t>
            </a:r>
            <a:endParaRPr lang="en-US" sz="1000">
              <a:latin typeface="宋体" panose="02010600030101010101" charset="-122"/>
              <a:ea typeface="宋体" panose="02010600030101010101" charset="-122"/>
            </a:endParaRPr>
          </a:p>
        </c:rich>
      </c:tx>
      <c:layout/>
      <c:overlay val="0"/>
    </c:title>
    <c:autoTitleDeleted val="0"/>
    <c:plotArea>
      <c:layout/>
      <c:pieChart>
        <c:varyColors val="1"/>
        <c:ser>
          <c:idx val="1"/>
          <c:order val="0"/>
          <c:tx>
            <c:strRef>
              <c:f>Sheet1!$B$1</c:f>
              <c:strCache>
                <c:ptCount val="1"/>
                <c:pt idx="0">
                  <c:v>财政拨款“三公”经费支出结构</c:v>
                </c:pt>
              </c:strCache>
            </c:strRef>
          </c:tx>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5c7f3fb-64f9-4c45-9ac8-a841c7b3b897}"/>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3839</Words>
  <Characters>4236</Characters>
  <Lines>48</Lines>
  <Paragraphs>13</Paragraphs>
  <TotalTime>0</TotalTime>
  <ScaleCrop>false</ScaleCrop>
  <LinksUpToDate>false</LinksUpToDate>
  <CharactersWithSpaces>4349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吴美丽。</cp:lastModifiedBy>
  <cp:lastPrinted>2026-09-01T08:51:47Z</cp:lastPrinted>
  <dcterms:modified xsi:type="dcterms:W3CDTF">2026-09-01T08:52:41Z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1299D18951BE410493814C5A7EEFB11E_13</vt:lpwstr>
  </property>
  <property fmtid="{D5CDD505-2E9C-101B-9397-08002B2CF9AE}" pid="4" name="KSOTemplateDocerSaveRecord">
    <vt:lpwstr>eyJoZGlkIjoiNGI5MWM3YTJkMjQxOGI3YTdiZmU5NDhhMzQ1YjkxYmUiLCJ1c2VySWQiOiIxMjI5OTY3OTkwIn0=</vt:lpwstr>
  </property>
</Properties>
</file>