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C6C6A">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96475"/>
      <w:bookmarkStart w:id="1" w:name="_Toc15396597"/>
      <w:bookmarkStart w:id="2" w:name="_Toc15377425"/>
      <w:bookmarkStart w:id="3" w:name="_Toc15378441"/>
      <w:bookmarkStart w:id="4" w:name="_Toc15377193"/>
      <w:bookmarkStart w:id="5" w:name="_Toc15306267"/>
    </w:p>
    <w:p w14:paraId="7D73BD19">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402783EE">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0164890B">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5597C79E">
      <w:pPr>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609AE7C3">
      <w:pPr>
        <w:jc w:val="center"/>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14:paraId="6C1B9DCC">
      <w:pPr>
        <w:jc w:val="center"/>
        <w:rPr>
          <w:rFonts w:hint="eastAsia" w:ascii="黑体" w:hAnsi="黑体" w:eastAsia="黑体" w:cs="黑体"/>
          <w:b w:val="0"/>
          <w:bCs/>
          <w:color w:val="000000" w:themeColor="text1"/>
          <w:sz w:val="44"/>
          <w:szCs w:val="44"/>
          <w14:textFill>
            <w14:solidFill>
              <w14:schemeClr w14:val="tx1"/>
            </w14:solidFill>
          </w14:textFill>
        </w:rPr>
      </w:pPr>
      <w:bookmarkStart w:id="6" w:name="_Toc15378442"/>
      <w:bookmarkStart w:id="7" w:name="_Toc15306268"/>
      <w:bookmarkStart w:id="8" w:name="_Toc15396598"/>
      <w:bookmarkStart w:id="9" w:name="_Toc15377194"/>
      <w:bookmarkStart w:id="10" w:name="_Toc15396476"/>
      <w:bookmarkStart w:id="11" w:name="_Toc15377426"/>
      <w:r>
        <w:rPr>
          <w:rFonts w:hint="eastAsia" w:ascii="黑体" w:hAnsi="黑体" w:eastAsia="黑体" w:cs="黑体"/>
          <w:b w:val="0"/>
          <w:bCs/>
          <w:color w:val="000000" w:themeColor="text1"/>
          <w:sz w:val="44"/>
          <w:szCs w:val="44"/>
          <w14:textFill>
            <w14:solidFill>
              <w14:schemeClr w14:val="tx1"/>
            </w14:solidFill>
          </w14:textFill>
        </w:rPr>
        <w:t>四川省阿坝藏族羌族自治州</w:t>
      </w:r>
    </w:p>
    <w:p w14:paraId="6DBC95DC">
      <w:pPr>
        <w:jc w:val="center"/>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茂县河西小学</w:t>
      </w:r>
      <w:r>
        <w:rPr>
          <w:rFonts w:hint="eastAsia" w:ascii="黑体" w:hAnsi="黑体" w:eastAsia="黑体" w:cs="黑体"/>
          <w:b w:val="0"/>
          <w:bCs/>
          <w:color w:val="000000" w:themeColor="text1"/>
          <w:sz w:val="44"/>
          <w:szCs w:val="44"/>
          <w:lang w:val="en-US" w:eastAsia="zh-CN"/>
          <w14:textFill>
            <w14:solidFill>
              <w14:schemeClr w14:val="tx1"/>
            </w14:solidFill>
          </w14:textFill>
        </w:rPr>
        <w:t>校</w:t>
      </w:r>
      <w:r>
        <w:rPr>
          <w:rFonts w:ascii="黑体" w:hAnsi="黑体" w:eastAsia="黑体" w:cs="黑体"/>
          <w:color w:val="000000"/>
          <w:sz w:val="44"/>
          <w:u w:color="auto"/>
        </w:rPr>
        <w:t>决算</w:t>
      </w:r>
      <w:bookmarkEnd w:id="6"/>
      <w:bookmarkEnd w:id="7"/>
      <w:bookmarkEnd w:id="8"/>
      <w:bookmarkEnd w:id="9"/>
      <w:bookmarkEnd w:id="10"/>
      <w:bookmarkEnd w:id="11"/>
    </w:p>
    <w:p w14:paraId="0E2C97A9">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3128AF52">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EF872D2">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6BF74D53">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741A663E">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637D1FC6">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54DDB020">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450F9C78">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30002D04">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423E6F5F">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13FE0EC1">
      <w:pPr>
        <w:pStyle w:val="8"/>
        <w:numPr>
          <w:ilvl w:val="0"/>
          <w:numId w:val="1"/>
        </w:numPr>
        <w:ind w:left="420" w:leftChars="0" w:hanging="420" w:firstLineChars="0"/>
        <w:rPr>
          <w:rFonts w:hint="eastAsia" w:ascii="思源黑体 CN Normal" w:hAnsi="思源黑体 CN Normal" w:eastAsia="思源黑体 CN Normal" w:cs="思源黑体 CN Normal"/>
          <w:color w:val="000000" w:themeColor="text1"/>
          <w14:textFill>
            <w14:solidFill>
              <w14:schemeClr w14:val="tx1"/>
            </w14:solidFill>
          </w14:textFill>
        </w:rPr>
      </w:pPr>
    </w:p>
    <w:p w14:paraId="743D9D22">
      <w:pPr>
        <w:pStyle w:val="15"/>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14:paraId="0992FC4D">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297F534D">
      <w:pPr>
        <w:pStyle w:val="1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25</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 xml:space="preserve"> 25</w:t>
      </w:r>
      <w:r>
        <w:rPr>
          <w:rFonts w:hint="eastAsia"/>
          <w:color w:val="000000" w:themeColor="text1"/>
          <w:highlight w:val="none"/>
          <w14:textFill>
            <w14:solidFill>
              <w14:schemeClr w14:val="tx1"/>
            </w14:solidFill>
          </w14:textFill>
        </w:rPr>
        <w:t>日</w:t>
      </w:r>
    </w:p>
    <w:p w14:paraId="49203D4D">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68CC578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9D3FCB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2AD3064">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2024年度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775D89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28B92B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F99C6C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5425E0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C145A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53451D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smallCaps/>
          <w:color w:val="000000" w:themeColor="text1"/>
          <w:sz w:val="32"/>
          <w:szCs w:val="32"/>
          <w14:textFill>
            <w14:solidFill>
              <w14:schemeClr w14:val="tx1"/>
            </w14:solidFill>
          </w14:textFill>
        </w:rPr>
        <w:fldChar w:fldCharType="end"/>
      </w:r>
    </w:p>
    <w:p w14:paraId="13372F60">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smallCaps/>
          <w:color w:val="000000" w:themeColor="text1"/>
          <w:sz w:val="32"/>
          <w:szCs w:val="32"/>
          <w14:textFill>
            <w14:solidFill>
              <w14:schemeClr w14:val="tx1"/>
            </w14:solidFill>
          </w14:textFill>
        </w:rPr>
        <w:fldChar w:fldCharType="end"/>
      </w:r>
    </w:p>
    <w:p w14:paraId="4567BA5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14:paraId="71EF486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14:paraId="610F5F4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14:paraId="1C39B0B7">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8</w:t>
      </w:r>
      <w:r>
        <w:rPr>
          <w:rFonts w:hint="eastAsia" w:ascii="黑体" w:hAnsi="黑体" w:eastAsia="黑体" w:cs="黑体"/>
          <w:smallCaps/>
          <w:color w:val="000000" w:themeColor="text1"/>
          <w:sz w:val="32"/>
          <w:szCs w:val="32"/>
          <w14:textFill>
            <w14:solidFill>
              <w14:schemeClr w14:val="tx1"/>
            </w14:solidFill>
          </w14:textFill>
        </w:rPr>
        <w:fldChar w:fldCharType="end"/>
      </w:r>
    </w:p>
    <w:p w14:paraId="5185CA32">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1</w:t>
      </w:r>
    </w:p>
    <w:p w14:paraId="49EB3F66">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4</w:t>
      </w:r>
    </w:p>
    <w:p w14:paraId="1D314EC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i/>
          <w:iCs/>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67C5159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744CBCE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6F1C1D8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1367FA2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4E0B0EA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4EF1114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281F584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23984AF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16DAFCA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7A4664B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6E3B3EF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0168567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仿宋" w:cs="宋体"/>
          <w:color w:val="000000" w:themeColor="text1"/>
          <w:sz w:val="24"/>
          <w:szCs w:val="24"/>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4</w:t>
      </w:r>
    </w:p>
    <w:p w14:paraId="62FF81B7">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04EF6CC7">
      <w:pPr>
        <w:pStyle w:val="5"/>
        <w:jc w:val="center"/>
        <w:rPr>
          <w:rFonts w:hint="eastAsia" w:ascii="黑体" w:hAnsi="黑体" w:eastAsia="黑体" w:cs="黑体"/>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111208495"/>
      <w:bookmarkStart w:id="14" w:name="_Toc9016"/>
    </w:p>
    <w:p w14:paraId="521E39E1">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14:paraId="24C03C62">
      <w:pPr>
        <w:ind w:firstLine="640" w:firstLineChars="200"/>
        <w:jc w:val="both"/>
        <w:rPr>
          <w:rFonts w:hint="eastAsia" w:ascii="黑体" w:hAnsi="黑体" w:eastAsia="黑体" w:cs="黑体"/>
          <w:color w:val="000000"/>
          <w:sz w:val="32"/>
          <w:szCs w:val="32"/>
          <w:lang w:val="en-US" w:eastAsia="zh-CN"/>
        </w:rPr>
      </w:pPr>
      <w:bookmarkStart w:id="15" w:name="_Toc111208496"/>
      <w:bookmarkStart w:id="16" w:name="_Toc113981010"/>
      <w:bookmarkStart w:id="17" w:name="_Toc15377197"/>
      <w:bookmarkStart w:id="18" w:name="_Toc28564"/>
      <w:bookmarkStart w:id="19" w:name="_Toc15377204"/>
      <w:r>
        <w:rPr>
          <w:rFonts w:hint="eastAsia" w:ascii="黑体" w:hAnsi="黑体" w:eastAsia="黑体" w:cs="黑体"/>
          <w:color w:val="000000"/>
          <w:sz w:val="32"/>
          <w:szCs w:val="32"/>
        </w:rPr>
        <w:t>一、</w:t>
      </w:r>
      <w:bookmarkEnd w:id="15"/>
      <w:bookmarkEnd w:id="16"/>
      <w:bookmarkEnd w:id="17"/>
      <w:bookmarkEnd w:id="18"/>
      <w:bookmarkStart w:id="20" w:name="_Toc15378445"/>
      <w:bookmarkStart w:id="21" w:name="_Toc15377198"/>
      <w:r>
        <w:rPr>
          <w:rFonts w:hint="eastAsia" w:ascii="黑体" w:hAnsi="黑体" w:eastAsia="黑体" w:cs="黑体"/>
          <w:color w:val="000000"/>
          <w:sz w:val="32"/>
          <w:szCs w:val="32"/>
          <w:lang w:val="en-US" w:eastAsia="zh-CN"/>
        </w:rPr>
        <w:t>主要职责</w:t>
      </w:r>
    </w:p>
    <w:p w14:paraId="31D1CC84">
      <w:pPr>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1.坚持社会主义办学方向，认真贯彻党的教育方针和教育法律法规，执行国家和上级行政部门的指示，从学校实际出发，努力按照教育规律办学。 </w:t>
      </w:r>
    </w:p>
    <w:p w14:paraId="15E910F5">
      <w:pPr>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2.全面规划，制定学校的发展规划，制定学年、学期工作计划，建立健全各项管理措施和各种规章制度。 </w:t>
      </w:r>
    </w:p>
    <w:p w14:paraId="3890BCC8">
      <w:pPr>
        <w:spacing w:line="600" w:lineRule="exact"/>
        <w:ind w:firstLine="640" w:firstLineChars="200"/>
        <w:outlineLvl w:val="2"/>
        <w:rPr>
          <w:rFonts w:hint="eastAsia" w:ascii="楷体" w:hAnsi="楷体" w:eastAsia="楷体" w:cs="楷体"/>
          <w:b/>
          <w:color w:val="000000"/>
          <w:sz w:val="32"/>
          <w:szCs w:val="32"/>
          <w:lang w:val="en-US"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 认真履行九年义务教育阶段教育教学任务，培</w:t>
      </w:r>
      <w:r>
        <w:rPr>
          <w:rFonts w:hint="eastAsia" w:ascii="仿宋_GB2312" w:hAnsi="仿宋_GB2312" w:eastAsia="仿宋_GB2312" w:cs="仿宋_GB2312"/>
          <w:color w:val="000000"/>
          <w:sz w:val="32"/>
          <w:szCs w:val="32"/>
        </w:rPr>
        <w:t>养学生</w:t>
      </w:r>
      <w:r>
        <w:rPr>
          <w:rFonts w:hint="eastAsia" w:ascii="仿宋_GB2312" w:hAnsi="仿宋_GB2312" w:eastAsia="仿宋_GB2312" w:cs="仿宋_GB2312"/>
          <w:color w:val="000000"/>
          <w:sz w:val="32"/>
          <w:szCs w:val="32"/>
          <w:lang w:val="en-US" w:eastAsia="zh-CN"/>
        </w:rPr>
        <w:t>全面发展社会接班人，培养学生各方面的能力，管理学生各方面安全、生活等。</w:t>
      </w:r>
    </w:p>
    <w:bookmarkEnd w:id="20"/>
    <w:bookmarkEnd w:id="21"/>
    <w:p w14:paraId="2CF1E803">
      <w:pPr>
        <w:ind w:firstLine="640" w:firstLineChars="200"/>
        <w:jc w:val="both"/>
        <w:rPr>
          <w:rFonts w:hint="eastAsia" w:ascii="黑体" w:hAnsi="黑体" w:eastAsia="黑体" w:cs="黑体"/>
          <w:color w:val="000000"/>
          <w:sz w:val="32"/>
          <w:szCs w:val="32"/>
          <w:lang w:val="en-US" w:eastAsia="zh-CN"/>
        </w:rPr>
      </w:pPr>
      <w:bookmarkStart w:id="22" w:name="_Toc113981011"/>
      <w:bookmarkStart w:id="23" w:name="_Toc22056"/>
      <w:bookmarkStart w:id="24" w:name="_Toc15377200"/>
      <w:bookmarkStart w:id="25" w:name="_Toc111208497"/>
      <w:r>
        <w:rPr>
          <w:rFonts w:hint="eastAsia" w:ascii="黑体" w:hAnsi="黑体" w:eastAsia="黑体" w:cs="黑体"/>
          <w:color w:val="000000"/>
          <w:sz w:val="32"/>
          <w:szCs w:val="32"/>
          <w:lang w:val="en-US" w:eastAsia="zh-CN"/>
        </w:rPr>
        <w:t>二、机构设置</w:t>
      </w:r>
      <w:bookmarkEnd w:id="22"/>
      <w:bookmarkEnd w:id="23"/>
      <w:bookmarkEnd w:id="24"/>
      <w:bookmarkEnd w:id="25"/>
    </w:p>
    <w:p w14:paraId="1120485F">
      <w:pPr>
        <w:spacing w:line="600" w:lineRule="exact"/>
        <w:ind w:firstLine="643" w:firstLineChars="200"/>
        <w:outlineLvl w:val="2"/>
        <w:rPr>
          <w:rFonts w:hint="eastAsia" w:ascii="仿宋_GB2312" w:hAnsi="仿宋_GB2312" w:eastAsia="仿宋_GB2312" w:cs="仿宋_GB2312"/>
          <w:color w:val="000000"/>
          <w:sz w:val="32"/>
          <w:szCs w:val="32"/>
          <w:lang w:val="en-US" w:eastAsia="zh-CN"/>
        </w:rPr>
      </w:pPr>
      <w:r>
        <w:rPr>
          <w:rFonts w:hint="eastAsia" w:ascii="楷体" w:hAnsi="楷体" w:eastAsia="楷体" w:cs="楷体"/>
          <w:b/>
          <w:color w:val="000000"/>
          <w:sz w:val="32"/>
          <w:szCs w:val="32"/>
        </w:rPr>
        <w:t> </w:t>
      </w:r>
      <w:r>
        <w:rPr>
          <w:rFonts w:hint="eastAsia" w:ascii="仿宋_GB2312" w:hAnsi="仿宋_GB2312" w:eastAsia="仿宋_GB2312" w:cs="仿宋_GB2312"/>
          <w:color w:val="000000"/>
          <w:sz w:val="32"/>
          <w:szCs w:val="32"/>
          <w:lang w:val="en-US" w:eastAsia="zh-CN"/>
        </w:rPr>
        <w:t>茂县河西小学校为茂县教育局下属的二级预算单位。编制92人，实有92人。</w:t>
      </w:r>
    </w:p>
    <w:p w14:paraId="5A04B536">
      <w:pPr>
        <w:spacing w:line="600" w:lineRule="exact"/>
        <w:ind w:firstLine="640" w:firstLineChars="200"/>
        <w:outlineLvl w:val="2"/>
        <w:rPr>
          <w:rFonts w:hint="eastAsia" w:ascii="楷体" w:hAnsi="楷体" w:eastAsia="楷体" w:cs="楷体"/>
          <w:b/>
          <w:color w:val="000000"/>
          <w:sz w:val="32"/>
          <w:szCs w:val="32"/>
        </w:rPr>
      </w:pPr>
      <w:r>
        <w:rPr>
          <w:rFonts w:hint="eastAsia" w:ascii="仿宋_GB2312" w:hAnsi="仿宋_GB2312" w:eastAsia="仿宋_GB2312" w:cs="仿宋_GB2312"/>
          <w:color w:val="000000"/>
          <w:sz w:val="32"/>
          <w:szCs w:val="32"/>
          <w:lang w:val="en-US" w:eastAsia="zh-CN"/>
        </w:rPr>
        <w:br w:type="page"/>
      </w:r>
    </w:p>
    <w:p w14:paraId="4DE8AC96">
      <w:pPr>
        <w:pStyle w:val="5"/>
        <w:jc w:val="center"/>
        <w:rPr>
          <w:rFonts w:hint="eastAsia" w:ascii="黑体" w:hAnsi="黑体" w:eastAsia="黑体" w:cs="黑体"/>
          <w:b w:val="0"/>
          <w:bCs w:val="0"/>
        </w:rPr>
      </w:pPr>
      <w:bookmarkStart w:id="26" w:name="_Toc111208498"/>
      <w:bookmarkStart w:id="27" w:name="_Toc905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14:paraId="778F85CC">
      <w:pPr>
        <w:ind w:firstLine="640" w:firstLineChars="200"/>
        <w:jc w:val="both"/>
        <w:rPr>
          <w:rFonts w:hint="eastAsia" w:ascii="黑体" w:hAnsi="黑体" w:eastAsia="黑体" w:cs="黑体"/>
          <w:color w:val="000000"/>
          <w:sz w:val="32"/>
          <w:szCs w:val="32"/>
        </w:rPr>
      </w:pPr>
      <w:bookmarkStart w:id="28" w:name="_Toc15377205"/>
      <w:bookmarkStart w:id="29" w:name="_Toc19710"/>
      <w:bookmarkStart w:id="30" w:name="_Toc111208499"/>
      <w:r>
        <w:rPr>
          <w:rFonts w:hint="eastAsia" w:ascii="黑体" w:hAnsi="黑体" w:eastAsia="黑体" w:cs="黑体"/>
          <w:color w:val="000000"/>
          <w:sz w:val="32"/>
          <w:szCs w:val="32"/>
        </w:rPr>
        <w:t>一、收入支出决算总体情况说</w:t>
      </w:r>
      <w:bookmarkEnd w:id="28"/>
      <w:r>
        <w:rPr>
          <w:rFonts w:hint="eastAsia" w:ascii="黑体" w:hAnsi="黑体" w:eastAsia="黑体" w:cs="黑体"/>
          <w:color w:val="000000"/>
          <w:sz w:val="32"/>
          <w:szCs w:val="32"/>
        </w:rPr>
        <w:t>明</w:t>
      </w:r>
      <w:bookmarkEnd w:id="29"/>
      <w:bookmarkEnd w:id="30"/>
    </w:p>
    <w:p w14:paraId="1B462682">
      <w:pPr>
        <w:ind w:firstLine="640" w:firstLineChars="200"/>
        <w:jc w:val="both"/>
        <w:rPr>
          <w:rFonts w:hint="eastAsia" w:ascii="仿宋_GB2312" w:hAnsi="Calibri" w:eastAsia="仿宋_GB2312" w:cs="仿宋"/>
          <w:color w:val="auto"/>
          <w:kern w:val="2"/>
          <w:sz w:val="32"/>
          <w:szCs w:val="32"/>
          <w:highlight w:val="none"/>
          <w:lang w:val="en-US" w:eastAsia="zh-CN" w:bidi="ar-SA"/>
        </w:rPr>
      </w:pPr>
      <w:r>
        <w:rPr>
          <w:rFonts w:hint="eastAsia" w:ascii="黑体" w:hAnsi="黑体" w:eastAsia="黑体" w:cs="黑体"/>
          <w:color w:val="000000"/>
          <w:sz w:val="32"/>
          <w:szCs w:val="32"/>
          <w:lang w:val="en-US" w:eastAsia="zh-CN"/>
        </w:rPr>
        <w:t>2</w:t>
      </w:r>
      <w:r>
        <w:rPr>
          <w:rFonts w:hint="eastAsia" w:ascii="仿宋_GB2312" w:hAnsi="仿宋_GB2312" w:eastAsia="仿宋_GB2312" w:cs="仿宋_GB2312"/>
          <w:color w:val="000000"/>
          <w:sz w:val="32"/>
          <w:szCs w:val="32"/>
          <w:lang w:val="en-US" w:eastAsia="zh-CN"/>
        </w:rPr>
        <w:t>025年度收、支出均为2384.28万元。与2024年度相比，收、支总计各增加525.03万元，增长28.3%。主要变动原因是</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人员经费和项目增加。</w:t>
      </w:r>
    </w:p>
    <w:p w14:paraId="61134D0D">
      <w:pPr>
        <w:pStyle w:val="8"/>
        <w:rPr>
          <w:rFonts w:hint="eastAsia" w:ascii="思源黑体 CN Normal" w:hAnsi="思源黑体 CN Normal" w:eastAsia="思源黑体 CN Normal" w:cs="思源黑体 CN Normal"/>
          <w:lang w:eastAsia="zh-CN"/>
        </w:rPr>
      </w:pPr>
      <w:r>
        <w:rPr>
          <w:rFonts w:hint="eastAsia" w:ascii="思源黑体 CN Normal" w:hAnsi="思源黑体 CN Normal" w:eastAsia="思源黑体 CN Normal" w:cs="思源黑体 CN Normal"/>
          <w:lang w:eastAsia="zh-CN"/>
        </w:rPr>
        <w:drawing>
          <wp:inline distT="0" distB="0" distL="114300" distR="114300">
            <wp:extent cx="5256530" cy="1524000"/>
            <wp:effectExtent l="4445" t="4445" r="1587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B3D363">
      <w:pPr>
        <w:ind w:firstLine="640" w:firstLineChars="200"/>
        <w:jc w:val="both"/>
        <w:rPr>
          <w:rFonts w:hint="eastAsia" w:ascii="黑体" w:hAnsi="黑体" w:eastAsia="黑体" w:cs="黑体"/>
          <w:color w:val="000000"/>
          <w:sz w:val="32"/>
          <w:szCs w:val="32"/>
        </w:rPr>
      </w:pPr>
      <w:bookmarkStart w:id="31" w:name="_Toc8125"/>
      <w:bookmarkStart w:id="32" w:name="_Toc111208500"/>
      <w:bookmarkStart w:id="33" w:name="_Toc15377206"/>
      <w:r>
        <w:rPr>
          <w:rFonts w:hint="eastAsia" w:ascii="黑体" w:hAnsi="黑体" w:eastAsia="黑体" w:cs="黑体"/>
          <w:color w:val="000000"/>
          <w:sz w:val="32"/>
          <w:szCs w:val="32"/>
        </w:rPr>
        <w:t>二、收入决算情况说明</w:t>
      </w:r>
      <w:bookmarkEnd w:id="31"/>
      <w:bookmarkEnd w:id="32"/>
      <w:bookmarkEnd w:id="33"/>
    </w:p>
    <w:p w14:paraId="285B2F77">
      <w:pPr>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drawing>
          <wp:anchor distT="0" distB="0" distL="114300" distR="114300" simplePos="0" relativeHeight="251659264" behindDoc="0" locked="0" layoutInCell="1" allowOverlap="1">
            <wp:simplePos x="0" y="0"/>
            <wp:positionH relativeFrom="column">
              <wp:posOffset>339725</wp:posOffset>
            </wp:positionH>
            <wp:positionV relativeFrom="page">
              <wp:posOffset>6984365</wp:posOffset>
            </wp:positionV>
            <wp:extent cx="4694555" cy="2731135"/>
            <wp:effectExtent l="4445" t="5080" r="10160" b="698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_GB2312" w:hAnsi="仿宋_GB2312" w:eastAsia="仿宋_GB2312" w:cs="仿宋_GB2312"/>
          <w:color w:val="000000"/>
          <w:sz w:val="32"/>
          <w:szCs w:val="32"/>
          <w:lang w:val="en-US" w:eastAsia="zh-CN"/>
        </w:rPr>
        <w:t>2025年度本年收入合计2384.28万元，其中:一般公共预算财政拨款收入2347.38万元，占98.46%；政府性基金预算财政拨款收入1万元，占0.04%；其他收入35.9万元，占1.5%。</w:t>
      </w:r>
    </w:p>
    <w:p w14:paraId="7196F3EB">
      <w:pPr>
        <w:ind w:firstLine="640" w:firstLineChars="200"/>
        <w:jc w:val="both"/>
        <w:rPr>
          <w:rFonts w:hint="eastAsia" w:ascii="黑体" w:hAnsi="黑体" w:eastAsia="黑体" w:cs="黑体"/>
          <w:color w:val="000000"/>
          <w:sz w:val="32"/>
          <w:szCs w:val="32"/>
        </w:rPr>
      </w:pPr>
      <w:bookmarkStart w:id="34" w:name="_Toc15377207"/>
      <w:bookmarkStart w:id="35" w:name="_Toc28283"/>
      <w:bookmarkStart w:id="36" w:name="_Toc111208501"/>
      <w:r>
        <w:rPr>
          <w:rFonts w:hint="eastAsia" w:ascii="黑体" w:hAnsi="黑体" w:eastAsia="黑体" w:cs="黑体"/>
          <w:color w:val="000000"/>
          <w:sz w:val="32"/>
          <w:szCs w:val="32"/>
        </w:rPr>
        <w:t>三、支出决算情况说明</w:t>
      </w:r>
      <w:bookmarkEnd w:id="34"/>
      <w:bookmarkEnd w:id="35"/>
      <w:bookmarkEnd w:id="36"/>
    </w:p>
    <w:p w14:paraId="2508302A">
      <w:pPr>
        <w:ind w:firstLine="640" w:firstLineChars="200"/>
        <w:jc w:val="both"/>
        <w:rPr>
          <w:rFonts w:hint="eastAsia" w:ascii="黑体" w:hAnsi="黑体" w:eastAsia="黑体" w:cs="黑体"/>
          <w:color w:val="000000"/>
          <w:sz w:val="32"/>
          <w:szCs w:val="32"/>
          <w:lang w:val="en-US"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val="en-US" w:eastAsia="zh-CN"/>
        </w:rPr>
        <w:t>025年度本年支出合计2348.38万元，其中:一般公共预算财政拨款支出2347.38万元，占99.96%；政府性基金预算财政拨款支出1万元，占0.04%。</w:t>
      </w:r>
    </w:p>
    <w:p w14:paraId="5AF092D8">
      <w:pPr>
        <w:pStyle w:val="2"/>
        <w:rPr>
          <w:rFonts w:hint="eastAsia"/>
        </w:rPr>
      </w:pPr>
      <w:r>
        <w:rPr>
          <w:rFonts w:hint="eastAsia" w:ascii="思源黑体 CN Normal" w:hAnsi="思源黑体 CN Normal" w:eastAsia="思源黑体 CN Normal" w:cs="思源黑体 CN Normal"/>
          <w:color w:val="FF0000"/>
          <w:sz w:val="32"/>
          <w:szCs w:val="32"/>
        </w:rPr>
        <w:drawing>
          <wp:anchor distT="0" distB="0" distL="114300" distR="114300" simplePos="0" relativeHeight="251660288" behindDoc="0" locked="0" layoutInCell="1" allowOverlap="1">
            <wp:simplePos x="0" y="0"/>
            <wp:positionH relativeFrom="column">
              <wp:posOffset>203200</wp:posOffset>
            </wp:positionH>
            <wp:positionV relativeFrom="paragraph">
              <wp:posOffset>53340</wp:posOffset>
            </wp:positionV>
            <wp:extent cx="4885690" cy="2357755"/>
            <wp:effectExtent l="4445" t="4445" r="5715" b="19050"/>
            <wp:wrapTopAndBottom/>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429694F">
      <w:pPr>
        <w:ind w:firstLine="640" w:firstLineChars="200"/>
        <w:jc w:val="both"/>
        <w:rPr>
          <w:rFonts w:hint="eastAsia" w:ascii="黑体" w:hAnsi="黑体" w:eastAsia="黑体" w:cs="黑体"/>
          <w:color w:val="000000"/>
          <w:sz w:val="32"/>
          <w:szCs w:val="32"/>
        </w:rPr>
      </w:pPr>
      <w:bookmarkStart w:id="37" w:name="_Toc111208502"/>
      <w:bookmarkStart w:id="38" w:name="_Toc15377208"/>
      <w:bookmarkStart w:id="39" w:name="_Toc19521"/>
      <w:r>
        <w:rPr>
          <w:rFonts w:hint="eastAsia" w:ascii="黑体" w:hAnsi="黑体" w:eastAsia="黑体" w:cs="黑体"/>
          <w:color w:val="000000"/>
          <w:sz w:val="32"/>
          <w:szCs w:val="32"/>
        </w:rPr>
        <w:t>四、财政拨款收入支出决算总体情况说明</w:t>
      </w:r>
      <w:bookmarkEnd w:id="37"/>
      <w:bookmarkEnd w:id="38"/>
      <w:bookmarkEnd w:id="39"/>
    </w:p>
    <w:p w14:paraId="66D81735">
      <w:pPr>
        <w:ind w:firstLine="640" w:firstLineChars="200"/>
        <w:jc w:val="both"/>
        <w:rPr>
          <w:rFonts w:hint="eastAsia" w:ascii="仿宋_GB2312" w:hAnsi="Calibri" w:eastAsia="仿宋_GB2312" w:cs="仿宋"/>
          <w:color w:val="auto"/>
          <w:kern w:val="2"/>
          <w:sz w:val="32"/>
          <w:szCs w:val="32"/>
          <w:highlight w:val="none"/>
          <w:lang w:val="en-US" w:eastAsia="zh-CN" w:bidi="ar-SA"/>
        </w:rPr>
      </w:pPr>
      <w:r>
        <w:rPr>
          <w:rFonts w:hint="eastAsia" w:ascii="黑体" w:hAnsi="黑体" w:eastAsia="黑体" w:cs="黑体"/>
          <w:color w:val="000000"/>
          <w:sz w:val="32"/>
          <w:szCs w:val="32"/>
          <w:lang w:val="en-US" w:eastAsia="zh-CN"/>
        </w:rPr>
        <w:t>2</w:t>
      </w:r>
      <w:r>
        <w:rPr>
          <w:rFonts w:hint="eastAsia" w:ascii="仿宋_GB2312" w:hAnsi="仿宋_GB2312" w:eastAsia="仿宋_GB2312" w:cs="仿宋_GB2312"/>
          <w:color w:val="000000"/>
          <w:sz w:val="32"/>
          <w:szCs w:val="32"/>
          <w:lang w:val="en-US" w:eastAsia="zh-CN"/>
        </w:rPr>
        <w:t>025年度财政拨款收入、支出总计均为2347.38万元。与2024年度相比，财政拨款收入、支出总计各增加488.13万元，增长26.25%。主要变动原因是</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 xml:space="preserve">项目增加。 </w:t>
      </w:r>
    </w:p>
    <w:p w14:paraId="619EF256">
      <w:pPr>
        <w:ind w:left="960" w:hanging="960" w:hangingChars="300"/>
        <w:rPr>
          <w:rFonts w:hint="eastAsia" w:ascii="仿宋" w:hAnsi="仿宋" w:eastAsia="仿宋" w:cs="仿宋"/>
        </w:rPr>
      </w:pPr>
      <w:r>
        <w:rPr>
          <w:rFonts w:hint="eastAsia" w:ascii="思源黑体 CN Normal" w:hAnsi="思源黑体 CN Normal" w:eastAsia="思源黑体 CN Normal" w:cs="思源黑体 CN Normal"/>
          <w:color w:val="000000"/>
          <w:sz w:val="32"/>
          <w:szCs w:val="32"/>
          <w:lang w:eastAsia="zh-CN"/>
        </w:rPr>
        <w:drawing>
          <wp:inline distT="0" distB="0" distL="114300" distR="114300">
            <wp:extent cx="5256530" cy="2937510"/>
            <wp:effectExtent l="4445" t="4445" r="12065" b="1460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1F8AB53">
      <w:pPr>
        <w:ind w:firstLine="640" w:firstLineChars="200"/>
        <w:jc w:val="both"/>
        <w:rPr>
          <w:rFonts w:hint="eastAsia" w:ascii="黑体" w:hAnsi="黑体" w:eastAsia="黑体" w:cs="黑体"/>
          <w:color w:val="000000"/>
          <w:sz w:val="32"/>
          <w:szCs w:val="32"/>
        </w:rPr>
      </w:pPr>
      <w:bookmarkStart w:id="40" w:name="_Toc15377209"/>
      <w:bookmarkStart w:id="41" w:name="_Toc111208503"/>
      <w:bookmarkStart w:id="42" w:name="_Toc14368"/>
      <w:r>
        <w:rPr>
          <w:rFonts w:hint="eastAsia" w:ascii="黑体" w:hAnsi="黑体" w:eastAsia="黑体" w:cs="黑体"/>
          <w:color w:val="000000"/>
          <w:sz w:val="32"/>
          <w:szCs w:val="32"/>
          <w:lang w:eastAsia="zh-CN"/>
        </w:rPr>
        <w:t>五、</w:t>
      </w:r>
      <w:r>
        <w:rPr>
          <w:rFonts w:hint="eastAsia" w:ascii="黑体" w:hAnsi="黑体" w:eastAsia="黑体" w:cs="黑体"/>
          <w:color w:val="000000"/>
          <w:sz w:val="32"/>
          <w:szCs w:val="32"/>
        </w:rPr>
        <w:t>一般公共预算财政拨款支出决算情况说</w:t>
      </w:r>
      <w:bookmarkEnd w:id="40"/>
      <w:r>
        <w:rPr>
          <w:rFonts w:hint="eastAsia" w:ascii="黑体" w:hAnsi="黑体" w:eastAsia="黑体" w:cs="黑体"/>
          <w:color w:val="000000"/>
          <w:sz w:val="32"/>
          <w:szCs w:val="32"/>
        </w:rPr>
        <w:t>明</w:t>
      </w:r>
      <w:bookmarkEnd w:id="41"/>
      <w:bookmarkEnd w:id="42"/>
      <w:bookmarkStart w:id="43" w:name="_Toc15377210"/>
    </w:p>
    <w:p w14:paraId="3D38A792">
      <w:pPr>
        <w:spacing w:line="600" w:lineRule="exact"/>
        <w:ind w:firstLine="643" w:firstLineChars="200"/>
        <w:outlineLvl w:val="2"/>
        <w:rPr>
          <w:rFonts w:hint="eastAsia" w:ascii="楷体" w:hAnsi="楷体" w:eastAsia="楷体" w:cs="楷体"/>
          <w:b/>
          <w:color w:val="000000"/>
          <w:sz w:val="32"/>
          <w:szCs w:val="32"/>
          <w:lang w:val="en-US" w:eastAsia="zh-CN"/>
        </w:rPr>
      </w:pPr>
      <w:r>
        <w:rPr>
          <w:rFonts w:hint="eastAsia" w:ascii="楷体" w:hAnsi="楷体" w:eastAsia="楷体" w:cs="楷体"/>
          <w:b/>
          <w:color w:val="000000"/>
          <w:sz w:val="32"/>
          <w:szCs w:val="32"/>
        </w:rPr>
        <w:t>（</w:t>
      </w:r>
      <w:r>
        <w:rPr>
          <w:rFonts w:hint="eastAsia" w:ascii="楷体" w:hAnsi="楷体" w:eastAsia="楷体" w:cs="楷体"/>
          <w:b/>
          <w:color w:val="000000"/>
          <w:sz w:val="32"/>
          <w:szCs w:val="32"/>
          <w:lang w:eastAsia="zh-CN"/>
        </w:rPr>
        <w:t>一</w:t>
      </w:r>
      <w:r>
        <w:rPr>
          <w:rFonts w:hint="eastAsia" w:ascii="楷体" w:hAnsi="楷体" w:eastAsia="楷体" w:cs="楷体"/>
          <w:b/>
          <w:color w:val="000000"/>
          <w:sz w:val="32"/>
          <w:szCs w:val="32"/>
        </w:rPr>
        <w:t>）一般公共预算财政拨款支出决算总体情况</w:t>
      </w:r>
      <w:bookmarkEnd w:id="43"/>
      <w:bookmarkStart w:id="44" w:name="_Toc15377211"/>
    </w:p>
    <w:p w14:paraId="5461218A">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2025年度一般公共预算财政拨款支出2347.38万元，占本年支出合计的98.46%。与2024年度相比，一般公共预算财政拨款增加492.51万元，增长26.55%。主要变动原因是：项目增加。</w:t>
      </w:r>
    </w:p>
    <w:p w14:paraId="75A4B7C4">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14:paraId="1E3404D8">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2025年度一般公共预算财政拨款支出2347.38万元，主要用于以下方面: 教育支出1747.6万元，占74.5%；社会保障和就业支出303.4万元，占12.9%；卫生健康支出130.94万元，占5.5%；住房保障支出132.3万元，占7.1%。</w:t>
      </w:r>
    </w:p>
    <w:p w14:paraId="72D2F421">
      <w:pPr>
        <w:pStyle w:val="2"/>
        <w:jc w:val="center"/>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lang w:eastAsia="zh-CN"/>
        </w:rPr>
        <w:drawing>
          <wp:inline distT="0" distB="0" distL="114300" distR="114300">
            <wp:extent cx="5256530" cy="3579495"/>
            <wp:effectExtent l="4445" t="4445" r="12065" b="1270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45" w:name="_Toc15377212"/>
    </w:p>
    <w:p w14:paraId="7B678BDA">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45"/>
    </w:p>
    <w:p w14:paraId="13506E72">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bookmarkStart w:id="46" w:name="_Toc15378460"/>
      <w:bookmarkStart w:id="47" w:name="_Toc15377444"/>
      <w:bookmarkStart w:id="48" w:name="_Toc15377213"/>
      <w:r>
        <w:rPr>
          <w:rFonts w:hint="eastAsia" w:ascii="仿宋_GB2312" w:hAnsi="Calibri" w:eastAsia="仿宋_GB2312" w:cs="仿宋"/>
          <w:color w:val="auto"/>
          <w:kern w:val="2"/>
          <w:sz w:val="32"/>
          <w:szCs w:val="32"/>
          <w:highlight w:val="none"/>
          <w:lang w:val="en-US" w:eastAsia="zh-CN" w:bidi="ar-SA"/>
        </w:rPr>
        <w:t>2025年度一般公共预算支出决算数为2347.38万元，完成预算100%。其中：</w:t>
      </w:r>
      <w:bookmarkEnd w:id="46"/>
      <w:bookmarkEnd w:id="47"/>
      <w:bookmarkEnd w:id="48"/>
    </w:p>
    <w:p w14:paraId="5F1461C4">
      <w:pPr>
        <w:spacing w:line="600" w:lineRule="exact"/>
        <w:ind w:firstLine="640" w:firstLineChars="200"/>
        <w:rPr>
          <w:rFonts w:hint="eastAsia" w:ascii="黑体" w:hAnsi="黑体" w:eastAsia="黑体" w:cs="黑体"/>
          <w:b w:val="0"/>
          <w:bCs/>
          <w:color w:val="000000"/>
          <w:kern w:val="2"/>
          <w:sz w:val="32"/>
          <w:szCs w:val="32"/>
          <w:lang w:val="en-US" w:eastAsia="zh-CN" w:bidi="ar-SA"/>
        </w:rPr>
      </w:pPr>
      <w:r>
        <w:rPr>
          <w:rFonts w:hint="eastAsia" w:ascii="仿宋_GB2312" w:hAnsi="Calibri" w:eastAsia="仿宋_GB2312" w:cs="仿宋"/>
          <w:color w:val="auto"/>
          <w:kern w:val="2"/>
          <w:sz w:val="32"/>
          <w:szCs w:val="32"/>
          <w:highlight w:val="none"/>
          <w:lang w:val="en-US" w:eastAsia="zh-CN" w:bidi="ar-SA"/>
        </w:rPr>
        <w:t>1.教育支出（类）普通教育（款）小学教育（项）:支出决算1747.6万元，完成预算100%。</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2.社会保障和就业支出（类）行政事业单位养老支出（款）机关事业单位基本养老保险缴费支出（项）:支出决算303.4万元，完成预算100%。</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3.社会保障和就业支出（类）行政事业单位养老支出（款）机关事业单位职业年金缴费支出（项）:支出决算80.47万元，完成预算100%。</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4.卫生健康支出（类）行政事业单位医疗（款）事业单位医疗（项）:支出决算130.94万元，完成预算100%。</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5.住房保障支出（类）住房改革支出（款）住房公积金（项）:支出决算132.3万元，完成预算100%。</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w:t>
      </w:r>
      <w:bookmarkStart w:id="49" w:name="_Toc15377214"/>
      <w:bookmarkStart w:id="50" w:name="_Toc111208504"/>
      <w:bookmarkStart w:id="51" w:name="_Toc31578"/>
      <w:r>
        <w:rPr>
          <w:rFonts w:hint="eastAsia" w:ascii="黑体" w:hAnsi="黑体" w:eastAsia="黑体" w:cs="黑体"/>
          <w:b w:val="0"/>
          <w:bCs/>
          <w:color w:val="000000"/>
          <w:kern w:val="2"/>
          <w:sz w:val="32"/>
          <w:szCs w:val="32"/>
          <w:lang w:val="en-US" w:eastAsia="zh-CN" w:bidi="ar-SA"/>
        </w:rPr>
        <w:t>六、一般公共预算财政拨款基本支出决算情况说</w:t>
      </w:r>
      <w:bookmarkEnd w:id="49"/>
      <w:r>
        <w:rPr>
          <w:rFonts w:hint="eastAsia" w:ascii="黑体" w:hAnsi="黑体" w:eastAsia="黑体" w:cs="黑体"/>
          <w:b w:val="0"/>
          <w:bCs/>
          <w:color w:val="000000"/>
          <w:kern w:val="2"/>
          <w:sz w:val="32"/>
          <w:szCs w:val="32"/>
          <w:lang w:val="en-US" w:eastAsia="zh-CN" w:bidi="ar-SA"/>
        </w:rPr>
        <w:t>明</w:t>
      </w:r>
      <w:bookmarkEnd w:id="50"/>
      <w:bookmarkEnd w:id="51"/>
    </w:p>
    <w:p w14:paraId="116EF1FA">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2025年度一般公共预算财政拨款基本支出2347.38万元，其中：人员经费2092.74万元，主要包括：基本工资、津贴补贴、绩效工资、机关事业单位基本养老保险缴费、职业年金缴费、职工基本医疗保险缴费、其他社会保障缴费、住房公积金、医疗费、抚恤金、和生活补助。</w:t>
      </w:r>
    </w:p>
    <w:p w14:paraId="39B6CA0F">
      <w:pPr>
        <w:spacing w:line="600" w:lineRule="exact"/>
        <w:ind w:firstLine="640" w:firstLineChars="200"/>
        <w:rPr>
          <w:rFonts w:hint="default"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公用经费85.38万元，主要包括：办公费、水费、电费、差旅费元、维修（护）费、其他商品和服务支出。</w:t>
      </w:r>
    </w:p>
    <w:p w14:paraId="151B178E">
      <w:pPr>
        <w:ind w:firstLine="640" w:firstLineChars="200"/>
        <w:jc w:val="both"/>
        <w:rPr>
          <w:rFonts w:hint="eastAsia" w:ascii="黑体" w:hAnsi="黑体" w:eastAsia="黑体" w:cs="黑体"/>
          <w:color w:val="000000"/>
          <w:sz w:val="32"/>
          <w:szCs w:val="32"/>
        </w:rPr>
      </w:pPr>
      <w:bookmarkStart w:id="52" w:name="_Toc15377215"/>
      <w:bookmarkStart w:id="53" w:name="_Toc111208505"/>
      <w:bookmarkStart w:id="54" w:name="_Toc6614"/>
      <w:r>
        <w:rPr>
          <w:rFonts w:hint="eastAsia" w:ascii="黑体" w:hAnsi="黑体" w:eastAsia="黑体" w:cs="黑体"/>
          <w:color w:val="000000"/>
          <w:sz w:val="32"/>
          <w:szCs w:val="32"/>
        </w:rPr>
        <w:t>七、“三公”经费财政拨款支出决算情况说明</w:t>
      </w:r>
      <w:bookmarkEnd w:id="52"/>
      <w:bookmarkEnd w:id="53"/>
      <w:bookmarkEnd w:id="54"/>
    </w:p>
    <w:p w14:paraId="613FE387">
      <w:pPr>
        <w:ind w:firstLine="643" w:firstLineChars="200"/>
        <w:jc w:val="both"/>
        <w:rPr>
          <w:rFonts w:hint="eastAsia" w:ascii="仿宋" w:hAnsi="仿宋" w:eastAsia="仿宋" w:cs="仿宋"/>
          <w:b/>
          <w:color w:val="000000"/>
          <w:sz w:val="32"/>
          <w:szCs w:val="32"/>
          <w:lang w:val="en-US" w:eastAsia="zh-CN"/>
        </w:rPr>
      </w:pPr>
      <w:bookmarkStart w:id="55" w:name="_Toc15377216"/>
      <w:r>
        <w:rPr>
          <w:rFonts w:hint="eastAsia" w:ascii="仿宋" w:hAnsi="仿宋" w:eastAsia="仿宋" w:cs="仿宋"/>
          <w:b/>
          <w:color w:val="000000"/>
          <w:sz w:val="32"/>
          <w:szCs w:val="32"/>
          <w:lang w:val="en-US" w:eastAsia="zh-CN"/>
        </w:rPr>
        <w:t>（一）“三公”经费财政拨款支出决算总体情况说明</w:t>
      </w:r>
      <w:bookmarkEnd w:id="55"/>
    </w:p>
    <w:p w14:paraId="3673A885">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2025年度“三公”经费财政拨款支出决算为0万元，</w:t>
      </w:r>
      <w:bookmarkStart w:id="56" w:name="_Toc15377217"/>
    </w:p>
    <w:p w14:paraId="26B1A34E">
      <w:pPr>
        <w:numPr>
          <w:ilvl w:val="0"/>
          <w:numId w:val="2"/>
        </w:numPr>
        <w:ind w:firstLine="643" w:firstLineChars="200"/>
        <w:jc w:val="both"/>
        <w:rPr>
          <w:rFonts w:hint="eastAsia" w:ascii="仿宋" w:hAnsi="仿宋" w:eastAsia="仿宋" w:cs="仿宋"/>
          <w:b/>
          <w:color w:val="000000"/>
          <w:sz w:val="32"/>
          <w:szCs w:val="32"/>
          <w:lang w:val="en-US" w:eastAsia="zh-CN"/>
        </w:rPr>
      </w:pPr>
      <w:r>
        <w:rPr>
          <w:rFonts w:hint="eastAsia" w:ascii="仿宋" w:hAnsi="仿宋" w:eastAsia="仿宋" w:cs="仿宋"/>
          <w:b/>
          <w:color w:val="000000"/>
          <w:sz w:val="32"/>
          <w:szCs w:val="32"/>
          <w:lang w:val="en-US" w:eastAsia="zh-CN"/>
        </w:rPr>
        <w:t>“三公”经费财政拨款支出决算具体情况说明</w:t>
      </w:r>
      <w:bookmarkEnd w:id="56"/>
    </w:p>
    <w:p w14:paraId="65CD2150">
      <w:pPr>
        <w:numPr>
          <w:numId w:val="0"/>
        </w:numPr>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w:t>
      </w:r>
      <w:bookmarkStart w:id="57" w:name="_Toc20439"/>
      <w:bookmarkStart w:id="58" w:name="_Toc15377218"/>
      <w:bookmarkStart w:id="59" w:name="_Toc111208506"/>
      <w:r>
        <w:rPr>
          <w:rFonts w:hint="eastAsia" w:ascii="仿宋_GB2312" w:hAnsi="仿宋_GB2312" w:eastAsia="仿宋_GB2312" w:cs="仿宋_GB2312"/>
          <w:color w:val="000000"/>
          <w:sz w:val="32"/>
          <w:szCs w:val="32"/>
          <w:lang w:val="en-US" w:eastAsia="zh-CN"/>
        </w:rPr>
        <w:t>0万元。</w:t>
      </w:r>
    </w:p>
    <w:p w14:paraId="22B9CF01">
      <w:pPr>
        <w:spacing w:line="60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1.因公出国（境）经费支出0万元, </w:t>
      </w:r>
    </w:p>
    <w:p w14:paraId="37BAA22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2.公务用车购置及运行维护费支出0万元,</w:t>
      </w:r>
      <w:r>
        <w:rPr>
          <w:rFonts w:hint="eastAsia" w:ascii="仿宋_GB2312" w:hAnsi="仿宋_GB2312" w:eastAsia="仿宋_GB2312" w:cs="仿宋_GB2312"/>
          <w:color w:val="000000"/>
          <w:sz w:val="32"/>
          <w:u w:color="auto"/>
        </w:rPr>
        <w:t xml:space="preserve"> </w:t>
      </w:r>
    </w:p>
    <w:p w14:paraId="2AA978A8">
      <w:pPr>
        <w:spacing w:line="60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3.公务接待费支出0万元，</w:t>
      </w:r>
    </w:p>
    <w:p w14:paraId="2600D644">
      <w:pPr>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rPr>
        <w:t>八、政府性基金预算支出决算情况说明</w:t>
      </w:r>
      <w:bookmarkEnd w:id="57"/>
      <w:bookmarkEnd w:id="58"/>
      <w:bookmarkEnd w:id="59"/>
    </w:p>
    <w:p w14:paraId="1C230691">
      <w:pPr>
        <w:pStyle w:val="6"/>
        <w:pageBreakBefore w:val="0"/>
        <w:kinsoku/>
        <w:wordWrap/>
        <w:overflowPunct/>
        <w:topLinePunct w:val="0"/>
        <w:autoSpaceDE/>
        <w:autoSpaceDN/>
        <w:bidi w:val="0"/>
        <w:adjustRightInd/>
        <w:snapToGrid/>
        <w:spacing w:before="0" w:after="0"/>
        <w:ind w:firstLine="640" w:firstLineChars="200"/>
        <w:rPr>
          <w:rFonts w:hint="eastAsia" w:ascii="仿宋_GB2312" w:hAnsi="仿宋_GB2312" w:eastAsia="仿宋_GB2312" w:cs="仿宋_GB2312"/>
          <w:b w:val="0"/>
          <w:bCs w:val="0"/>
          <w:color w:val="000000"/>
          <w:kern w:val="2"/>
          <w:sz w:val="32"/>
          <w:szCs w:val="24"/>
          <w:u w:color="auto"/>
          <w:lang w:val="en-US" w:eastAsia="zh-CN" w:bidi="ar-SA"/>
        </w:rPr>
      </w:pPr>
      <w:r>
        <w:rPr>
          <w:rFonts w:hint="eastAsia" w:ascii="仿宋_GB2312" w:hAnsi="仿宋_GB2312" w:eastAsia="仿宋_GB2312" w:cs="仿宋_GB2312"/>
          <w:b w:val="0"/>
          <w:bCs w:val="0"/>
          <w:color w:val="000000"/>
          <w:kern w:val="2"/>
          <w:sz w:val="32"/>
          <w:szCs w:val="24"/>
          <w:u w:color="auto"/>
          <w:lang w:val="en-US" w:eastAsia="zh-CN" w:bidi="ar-SA"/>
        </w:rPr>
        <w:t>20245年度政府性基金预算拨款支出1万元</w:t>
      </w:r>
      <w:bookmarkStart w:id="60" w:name="_Toc15377219"/>
      <w:r>
        <w:rPr>
          <w:rFonts w:hint="eastAsia" w:ascii="仿宋_GB2312" w:hAnsi="仿宋_GB2312" w:eastAsia="仿宋_GB2312" w:cs="仿宋_GB2312"/>
          <w:b w:val="0"/>
          <w:bCs w:val="0"/>
          <w:color w:val="000000"/>
          <w:kern w:val="2"/>
          <w:sz w:val="32"/>
          <w:szCs w:val="24"/>
          <w:u w:color="auto"/>
          <w:lang w:val="en-US" w:eastAsia="zh-CN" w:bidi="ar-SA"/>
        </w:rPr>
        <w:t xml:space="preserve">，占本年支出合计的0.04%。与2024年度相比，政府性基金预算财政拨款支出减少3.38万元，下降77.2%。主要变动原因是：项目数量减少。 </w:t>
      </w:r>
    </w:p>
    <w:p w14:paraId="79E1D03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1" w:name="_Toc23467"/>
      <w:bookmarkStart w:id="62" w:name="_Toc111208507"/>
      <w:r>
        <w:rPr>
          <w:rFonts w:hint="eastAsia" w:ascii="黑体" w:hAnsi="黑体" w:eastAsia="黑体" w:cs="黑体"/>
          <w:b w:val="0"/>
          <w:bCs/>
          <w:color w:val="000000"/>
        </w:rPr>
        <w:t>九、国有资本经营预算支出决算情况说明</w:t>
      </w:r>
      <w:bookmarkEnd w:id="60"/>
      <w:bookmarkEnd w:id="61"/>
      <w:bookmarkEnd w:id="62"/>
    </w:p>
    <w:p w14:paraId="3A5EDB82">
      <w:pPr>
        <w:ind w:firstLine="640" w:firstLineChars="200"/>
        <w:jc w:val="both"/>
        <w:rPr>
          <w:rFonts w:hint="eastAsia" w:ascii="仿宋_GB2312" w:hAnsi="仿宋_GB2312" w:eastAsia="仿宋_GB2312" w:cs="仿宋_GB2312"/>
          <w:b w:val="0"/>
          <w:bCs w:val="0"/>
          <w:color w:val="000000"/>
          <w:kern w:val="2"/>
          <w:sz w:val="32"/>
          <w:szCs w:val="24"/>
          <w:u w:color="auto"/>
          <w:lang w:val="en-US" w:eastAsia="zh-CN" w:bidi="ar-SA"/>
        </w:rPr>
      </w:pPr>
      <w:r>
        <w:rPr>
          <w:rFonts w:hint="eastAsia" w:ascii="仿宋_GB2312" w:hAnsi="仿宋_GB2312" w:eastAsia="仿宋_GB2312" w:cs="仿宋_GB2312"/>
          <w:b w:val="0"/>
          <w:bCs w:val="0"/>
          <w:color w:val="000000"/>
          <w:kern w:val="2"/>
          <w:sz w:val="32"/>
          <w:szCs w:val="24"/>
          <w:u w:color="auto"/>
          <w:lang w:val="en-US" w:eastAsia="zh-CN" w:bidi="ar-SA"/>
        </w:rPr>
        <w:t xml:space="preserve">2025年度国有资本经营预算拨款支出0万元。 </w:t>
      </w:r>
    </w:p>
    <w:p w14:paraId="76FD0E14">
      <w:pPr>
        <w:ind w:firstLine="640" w:firstLineChars="200"/>
        <w:jc w:val="both"/>
        <w:rPr>
          <w:rFonts w:hint="eastAsia" w:ascii="黑体" w:hAnsi="黑体" w:eastAsia="黑体" w:cs="黑体"/>
          <w:color w:val="000000"/>
          <w:sz w:val="32"/>
          <w:szCs w:val="32"/>
        </w:rPr>
      </w:pPr>
      <w:bookmarkStart w:id="63" w:name="_Toc15377221"/>
      <w:bookmarkStart w:id="64" w:name="_Toc111208508"/>
      <w:bookmarkStart w:id="65" w:name="_Toc18455"/>
      <w:r>
        <w:rPr>
          <w:rFonts w:hint="eastAsia" w:ascii="黑体" w:hAnsi="黑体" w:eastAsia="黑体" w:cs="黑体"/>
          <w:color w:val="000000"/>
          <w:sz w:val="32"/>
          <w:szCs w:val="32"/>
        </w:rPr>
        <w:t>十、其他重要事项的情况说明</w:t>
      </w:r>
      <w:bookmarkEnd w:id="63"/>
      <w:bookmarkEnd w:id="64"/>
      <w:bookmarkEnd w:id="65"/>
    </w:p>
    <w:p w14:paraId="019CBB22">
      <w:pPr>
        <w:ind w:firstLine="640" w:firstLineChars="200"/>
        <w:jc w:val="both"/>
        <w:rPr>
          <w:rFonts w:hint="eastAsia" w:ascii="黑体" w:hAnsi="黑体" w:eastAsia="黑体" w:cs="黑体"/>
          <w:color w:val="000000"/>
          <w:sz w:val="32"/>
          <w:szCs w:val="32"/>
        </w:rPr>
      </w:pPr>
      <w:bookmarkStart w:id="66" w:name="_Toc15377222"/>
      <w:r>
        <w:rPr>
          <w:rFonts w:hint="eastAsia" w:ascii="黑体" w:hAnsi="黑体" w:eastAsia="黑体" w:cs="黑体"/>
          <w:color w:val="000000"/>
          <w:sz w:val="32"/>
          <w:szCs w:val="32"/>
        </w:rPr>
        <w:t>（一）机关运行经费支出情况</w:t>
      </w:r>
      <w:bookmarkEnd w:id="66"/>
    </w:p>
    <w:p w14:paraId="2053BF26">
      <w:pPr>
        <w:spacing w:line="600" w:lineRule="exact"/>
        <w:ind w:firstLine="640"/>
        <w:rPr>
          <w:rFonts w:hint="eastAsia" w:ascii="仿宋_GB2312" w:hAnsi="仿宋_GB2312" w:eastAsia="仿宋_GB2312" w:cs="仿宋_GB2312"/>
          <w:color w:val="000000"/>
          <w:sz w:val="32"/>
          <w:szCs w:val="32"/>
        </w:rPr>
      </w:pPr>
      <w:bookmarkStart w:id="67" w:name="_Toc15377223"/>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66094D57">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（二）政府采购支出情况</w:t>
      </w:r>
      <w:bookmarkEnd w:id="67"/>
      <w:bookmarkStart w:id="91" w:name="_GoBack"/>
      <w:bookmarkEnd w:id="91"/>
    </w:p>
    <w:p w14:paraId="1E4AE3EB">
      <w:pPr>
        <w:spacing w:line="600" w:lineRule="exact"/>
        <w:ind w:firstLine="640"/>
        <w:rPr>
          <w:rFonts w:hint="default" w:ascii="仿宋" w:hAnsi="仿宋" w:eastAsia="仿宋" w:cs="仿宋"/>
          <w:color w:val="000000"/>
          <w:sz w:val="32"/>
          <w:szCs w:val="32"/>
          <w:lang w:val="en-US" w:eastAsia="zh-CN"/>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12B7C937">
      <w:pPr>
        <w:spacing w:line="600" w:lineRule="exact"/>
        <w:ind w:firstLine="643" w:firstLineChars="200"/>
        <w:outlineLvl w:val="2"/>
        <w:rPr>
          <w:rFonts w:hint="eastAsia" w:ascii="楷体" w:hAnsi="楷体" w:eastAsia="楷体" w:cs="楷体"/>
          <w:b/>
          <w:color w:val="000000"/>
          <w:sz w:val="32"/>
          <w:szCs w:val="32"/>
        </w:rPr>
      </w:pPr>
      <w:bookmarkStart w:id="68" w:name="_Toc15377224"/>
      <w:r>
        <w:rPr>
          <w:rFonts w:hint="eastAsia" w:ascii="楷体" w:hAnsi="楷体" w:eastAsia="楷体" w:cs="楷体"/>
          <w:b/>
          <w:color w:val="000000"/>
          <w:sz w:val="32"/>
          <w:szCs w:val="32"/>
        </w:rPr>
        <w:t>（三）国有资产占有使用情况</w:t>
      </w:r>
      <w:bookmarkEnd w:id="68"/>
    </w:p>
    <w:p w14:paraId="2353327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2025年</w:t>
      </w:r>
      <w:r>
        <w:rPr>
          <w:rFonts w:hint="eastAsia" w:ascii="仿宋_GB2312" w:hAnsi="仿宋_GB2312" w:eastAsia="仿宋_GB2312" w:cs="仿宋_GB2312"/>
          <w:color w:val="000000"/>
          <w:sz w:val="32"/>
          <w:u w:color="auto"/>
        </w:rPr>
        <w:t>12月31日，共有车辆0辆，其中：主要领导干部用车0辆、机要通信用车0辆、应急保障用车0辆、其他用车0辆。单价100万元以上专用设备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14:paraId="4EF50863">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（四）预算绩效管理情况</w:t>
      </w:r>
    </w:p>
    <w:p w14:paraId="0A829C22">
      <w:pPr>
        <w:spacing w:line="60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 w:hAnsi="仿宋" w:eastAsia="仿宋" w:cs="仿宋"/>
          <w:sz w:val="32"/>
          <w:szCs w:val="32"/>
        </w:rPr>
        <w:t xml:space="preserve"> </w:t>
      </w: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预算编制阶段，组织对河西小学少年宫资金</w:t>
      </w:r>
      <w:r>
        <w:rPr>
          <w:rFonts w:hint="eastAsia" w:ascii="仿宋_GB2312" w:eastAsia="仿宋_GB2312" w:cs="Times New Roman"/>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课后服务费及生活费</w:t>
      </w:r>
      <w:r>
        <w:rPr>
          <w:rFonts w:hint="eastAsia" w:ascii="仿宋_GB2312" w:hAnsi="仿宋_GB2312" w:eastAsia="仿宋_GB2312" w:cs="仿宋_GB2312"/>
          <w:color w:val="auto"/>
          <w:sz w:val="32"/>
          <w:szCs w:val="32"/>
          <w:highlight w:val="none"/>
          <w:lang w:val="en-US" w:eastAsia="zh-CN"/>
        </w:rPr>
        <w:t>等</w:t>
      </w:r>
      <w:r>
        <w:rPr>
          <w:rFonts w:hint="eastAsia" w:ascii="仿宋_GB2312" w:hAnsi="Times New Roman" w:eastAsia="仿宋_GB2312" w:cs="Times New Roman"/>
          <w:color w:val="auto"/>
          <w:sz w:val="32"/>
          <w:szCs w:val="32"/>
          <w:highlight w:val="none"/>
          <w:lang w:eastAsia="zh-CN"/>
        </w:rPr>
        <w:t>等</w:t>
      </w:r>
      <w:r>
        <w:rPr>
          <w:rFonts w:hint="eastAsia" w:ascii="仿宋_GB2312" w:eastAsia="仿宋_GB2312" w:cs="Times New Roman"/>
          <w:color w:val="auto"/>
          <w:sz w:val="32"/>
          <w:szCs w:val="32"/>
          <w:highlight w:val="none"/>
          <w:lang w:val="en-US" w:eastAsia="zh-CN"/>
        </w:rPr>
        <w:t>12</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31</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eastAsia="仿宋_GB2312" w:cs="Times New Roman"/>
          <w:color w:val="auto"/>
          <w:sz w:val="32"/>
          <w:szCs w:val="32"/>
          <w:highlight w:val="none"/>
          <w:lang w:val="en-US" w:eastAsia="zh-CN"/>
        </w:rPr>
        <w:t>31</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12</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p>
    <w:p w14:paraId="71493587">
      <w:pPr>
        <w:pStyle w:val="8"/>
        <w:rPr>
          <w:rFonts w:hint="eastAsia" w:ascii="仿宋" w:hAnsi="仿宋" w:eastAsia="仿宋" w:cs="仿宋"/>
          <w:sz w:val="32"/>
          <w:szCs w:val="32"/>
        </w:rPr>
      </w:pPr>
    </w:p>
    <w:p w14:paraId="1F943EA8">
      <w:pPr>
        <w:widowControl/>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14:paraId="7A1AED01">
      <w:pPr>
        <w:pStyle w:val="5"/>
        <w:jc w:val="center"/>
        <w:rPr>
          <w:rFonts w:hint="eastAsia" w:ascii="黑体" w:hAnsi="黑体" w:eastAsia="黑体" w:cs="黑体"/>
          <w:b w:val="0"/>
          <w:bCs w:val="0"/>
        </w:rPr>
      </w:pPr>
      <w:bookmarkStart w:id="69" w:name="_Toc15377225"/>
      <w:bookmarkStart w:id="70" w:name="_Toc111208509"/>
      <w:bookmarkStart w:id="71" w:name="_Toc18122"/>
      <w:r>
        <w:rPr>
          <w:rFonts w:hint="eastAsia" w:ascii="黑体" w:hAnsi="黑体" w:eastAsia="黑体" w:cs="黑体"/>
          <w:b w:val="0"/>
          <w:bCs w:val="0"/>
        </w:rPr>
        <w:t>第三部分 名词解释</w:t>
      </w:r>
      <w:bookmarkEnd w:id="69"/>
      <w:bookmarkEnd w:id="70"/>
      <w:bookmarkEnd w:id="71"/>
    </w:p>
    <w:p w14:paraId="022F61EC">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1.财政拨款收入：指单位从同级财政部门取得的财政预算资金。</w:t>
      </w:r>
    </w:p>
    <w:p w14:paraId="0CFB8533">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2.事业收入：指事业单位开展专业业务活动及辅助活动取得的收入。</w:t>
      </w:r>
    </w:p>
    <w:p w14:paraId="616A190D">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3.经营收入：指事业单位在专业业务活动及其辅助活动之外开展非独立核算经营活动取得的收入</w:t>
      </w:r>
    </w:p>
    <w:p w14:paraId="3F55D9BE">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4.其他收入：指单位取得的除上述收入以外的各项收入。</w:t>
      </w:r>
    </w:p>
    <w:p w14:paraId="619A9CFE">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8EE8AD0">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 xml:space="preserve">6.年初结转和结余：指以前年度尚未完成、结转到本年按有关规定继续使用的资金。 </w:t>
      </w:r>
    </w:p>
    <w:p w14:paraId="0839DE2D">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7.结余分配：指事业单位按照会计制度规定缴纳的所得税、提取的专用结余以及转入非财政拨款结余的金额等。</w:t>
      </w:r>
    </w:p>
    <w:p w14:paraId="32ED2363">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8.年末结转和结余：指单位按有关规定结转到下年或以后年度继续使用的资金。</w:t>
      </w:r>
    </w:p>
    <w:p w14:paraId="15C4A990">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9.教育支出（类）普通教育（款）小学教育（项）:反映各部门举办的小学教育支出。政府各部门对社会组织等举办的小学的资助，如捐赠、补贴等，也在本科目中反映。</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10.社会保障和就业支出（类）行政事业单位养老支出（款）机关事业单位基本养老保险缴费支出（项）:反映机关事业单位实施养老保险制度由单位缴纳的基本养老保险费支出。</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11.社会保障和就业支出（类）行政事业单位养老支出（款）机关事业单位职业年金缴费支出（项）:反映机关事业单位实施养老保险制度由单位实际缴纳的职业年金支出。</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12.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13.住房保障支出（类）住房改革支出（款）住房公积金（项）:反映行政事业单位按人力资源和社会保障部、财政部规定的基本工资和津贴补贴以及规定比例为职工缴纳的住房公积金。</w:t>
      </w:r>
      <w:r>
        <w:rPr>
          <w:rFonts w:hint="eastAsia" w:ascii="仿宋_GB2312" w:hAnsi="Calibri" w:eastAsia="仿宋_GB2312" w:cs="仿宋"/>
          <w:color w:val="auto"/>
          <w:kern w:val="2"/>
          <w:sz w:val="32"/>
          <w:szCs w:val="32"/>
          <w:highlight w:val="none"/>
          <w:lang w:val="en-US" w:eastAsia="zh-CN" w:bidi="ar-SA"/>
        </w:rPr>
        <w:cr/>
      </w:r>
      <w:r>
        <w:rPr>
          <w:rFonts w:hint="eastAsia" w:ascii="仿宋_GB2312" w:hAnsi="Calibri" w:eastAsia="仿宋_GB2312" w:cs="仿宋"/>
          <w:color w:val="auto"/>
          <w:kern w:val="2"/>
          <w:sz w:val="32"/>
          <w:szCs w:val="32"/>
          <w:highlight w:val="none"/>
          <w:lang w:val="en-US" w:eastAsia="zh-CN" w:bidi="ar-SA"/>
        </w:rPr>
        <w:t xml:space="preserve">    14.住房保障支出（类）住房改革支出（款）购房补贴（项）:反映按房改政策规定，行政事业单位向符合条件职工（含离退休人员）、军队（含武警）向转役复员离退休人员发放的用于购买住房的补贴。</w:t>
      </w:r>
    </w:p>
    <w:p w14:paraId="773E015D">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15.基本支出：指为保障机构正常运转、完成日常工作任务而发生的人员支出和公用支出。</w:t>
      </w:r>
    </w:p>
    <w:p w14:paraId="0010CAE3">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 xml:space="preserve">16.项目支出：指在基本支出之外为完成特定行政任务和事业发展目标所发生的支出。 </w:t>
      </w:r>
    </w:p>
    <w:p w14:paraId="77C94036">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17.经营支出：指事业单位在专业业务活动及其辅助活动之外开展非独立核算经营活动发生的支出。</w:t>
      </w:r>
    </w:p>
    <w:p w14:paraId="2180527E">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F45032">
      <w:pPr>
        <w:spacing w:line="600" w:lineRule="exact"/>
        <w:ind w:firstLine="640" w:firstLineChars="200"/>
        <w:rPr>
          <w:rFonts w:hint="eastAsia" w:ascii="仿宋_GB2312" w:hAnsi="Calibri" w:eastAsia="仿宋_GB2312" w:cs="仿宋"/>
          <w:color w:val="auto"/>
          <w:kern w:val="2"/>
          <w:sz w:val="32"/>
          <w:szCs w:val="32"/>
          <w:highlight w:val="none"/>
          <w:lang w:val="en-US" w:eastAsia="zh-CN" w:bidi="ar-SA"/>
        </w:rPr>
      </w:pPr>
      <w:r>
        <w:rPr>
          <w:rFonts w:hint="eastAsia" w:ascii="仿宋_GB2312" w:hAnsi="Calibri" w:eastAsia="仿宋_GB2312" w:cs="仿宋"/>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D3D8A8E">
      <w:pPr>
        <w:widowControl/>
        <w:jc w:val="left"/>
        <w:rPr>
          <w:rStyle w:val="32"/>
          <w:rFonts w:hint="eastAsia" w:ascii="思源黑体 CN Normal" w:hAnsi="思源黑体 CN Normal" w:eastAsia="思源黑体 CN Normal" w:cs="思源黑体 CN Normal"/>
        </w:rPr>
      </w:pPr>
      <w:r>
        <w:rPr>
          <w:rStyle w:val="32"/>
          <w:rFonts w:hint="eastAsia" w:ascii="思源黑体 CN Normal" w:hAnsi="思源黑体 CN Normal" w:eastAsia="思源黑体 CN Normal" w:cs="思源黑体 CN Normal"/>
        </w:rPr>
        <w:br w:type="page"/>
      </w:r>
    </w:p>
    <w:p w14:paraId="3253445A">
      <w:pPr>
        <w:pStyle w:val="5"/>
        <w:jc w:val="center"/>
        <w:rPr>
          <w:rFonts w:hint="eastAsia" w:ascii="仿宋" w:hAnsi="仿宋" w:eastAsia="仿宋" w:cs="仿宋"/>
          <w:sz w:val="32"/>
          <w:szCs w:val="32"/>
        </w:rPr>
      </w:pPr>
      <w:bookmarkStart w:id="72" w:name="_Toc111208510"/>
      <w:bookmarkStart w:id="73" w:name="_Toc25539"/>
      <w:r>
        <w:rPr>
          <w:rFonts w:hint="eastAsia" w:ascii="黑体" w:hAnsi="黑体" w:eastAsia="黑体" w:cs="黑体"/>
          <w:b w:val="0"/>
          <w:bCs w:val="0"/>
        </w:rPr>
        <w:t>第四部分 附件</w:t>
      </w:r>
      <w:bookmarkEnd w:id="72"/>
      <w:bookmarkEnd w:id="73"/>
    </w:p>
    <w:tbl>
      <w:tblPr>
        <w:tblStyle w:val="19"/>
        <w:tblW w:w="93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1"/>
        <w:gridCol w:w="1435"/>
        <w:gridCol w:w="1505"/>
        <w:gridCol w:w="1368"/>
        <w:gridCol w:w="467"/>
        <w:gridCol w:w="936"/>
        <w:gridCol w:w="396"/>
        <w:gridCol w:w="846"/>
        <w:gridCol w:w="486"/>
        <w:gridCol w:w="436"/>
        <w:gridCol w:w="854"/>
      </w:tblGrid>
      <w:tr w14:paraId="641FC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667D8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74" w:name="_Toc79163885"/>
            <w:bookmarkStart w:id="75" w:name="_Toc111208512"/>
            <w:bookmarkStart w:id="76" w:name="_Toc79163635"/>
            <w:bookmarkStart w:id="77" w:name="_Toc21200"/>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C51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671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8CE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51322322T000006160280-河西小学2022年公用经费（中央）</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E3AF6">
            <w:pPr>
              <w:rPr>
                <w:rFonts w:hint="eastAsia" w:ascii="宋体" w:hAnsi="宋体" w:eastAsia="宋体" w:cs="宋体"/>
                <w:i w:val="0"/>
                <w:iCs w:val="0"/>
                <w:color w:val="000000"/>
                <w:sz w:val="18"/>
                <w:szCs w:val="18"/>
                <w:u w:val="none"/>
              </w:rPr>
            </w:pPr>
          </w:p>
        </w:tc>
      </w:tr>
      <w:tr w14:paraId="6EAE0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772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9DE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1C5BB44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06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2B610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6F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A05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9A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A9738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E6ED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40175">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0BC43">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C7E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阿州财教【2025】9号文件，下达2025年城乡义务教育补助经费中央资金553680元。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B14A5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75983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2F1A5">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0B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E97FE6">
            <w:pPr>
              <w:rPr>
                <w:rFonts w:hint="eastAsia" w:ascii="宋体" w:hAnsi="宋体" w:eastAsia="宋体" w:cs="宋体"/>
                <w:i w:val="0"/>
                <w:iCs w:val="0"/>
                <w:color w:val="000000"/>
                <w:sz w:val="18"/>
                <w:szCs w:val="18"/>
                <w:u w:val="none"/>
              </w:rPr>
            </w:pPr>
          </w:p>
        </w:tc>
      </w:tr>
      <w:tr w14:paraId="2877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F2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0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D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E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74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1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4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4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C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96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CE06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6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B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B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55.37</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79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7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B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89DF">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996C1">
            <w:pPr>
              <w:rPr>
                <w:rFonts w:hint="eastAsia" w:ascii="黑体" w:hAnsi="黑体" w:eastAsia="黑体" w:cs="黑体"/>
                <w:i/>
                <w:iCs/>
                <w:color w:val="000000"/>
                <w:sz w:val="18"/>
                <w:szCs w:val="18"/>
                <w:u w:val="none"/>
              </w:rPr>
            </w:pPr>
          </w:p>
        </w:tc>
      </w:tr>
      <w:tr w14:paraId="41B74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3B89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C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D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5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55.37</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E3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9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7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E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35F8F">
            <w:pPr>
              <w:rPr>
                <w:rFonts w:hint="eastAsia" w:ascii="黑体" w:hAnsi="黑体" w:eastAsia="黑体" w:cs="黑体"/>
                <w:i/>
                <w:iCs/>
                <w:color w:val="000000"/>
                <w:sz w:val="18"/>
                <w:szCs w:val="18"/>
                <w:u w:val="none"/>
              </w:rPr>
            </w:pPr>
          </w:p>
        </w:tc>
      </w:tr>
      <w:tr w14:paraId="65831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4AA7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F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B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C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67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E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E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BDE29">
            <w:pPr>
              <w:rPr>
                <w:rFonts w:hint="eastAsia" w:ascii="黑体" w:hAnsi="黑体" w:eastAsia="黑体" w:cs="黑体"/>
                <w:i/>
                <w:iCs/>
                <w:color w:val="000000"/>
                <w:sz w:val="18"/>
                <w:szCs w:val="18"/>
                <w:u w:val="none"/>
              </w:rPr>
            </w:pPr>
          </w:p>
        </w:tc>
      </w:tr>
      <w:tr w14:paraId="7492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C23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4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D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5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D72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9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9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C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39598">
            <w:pPr>
              <w:rPr>
                <w:rFonts w:hint="eastAsia" w:ascii="黑体" w:hAnsi="黑体" w:eastAsia="黑体" w:cs="黑体"/>
                <w:i/>
                <w:iCs/>
                <w:color w:val="000000"/>
                <w:sz w:val="18"/>
                <w:szCs w:val="18"/>
                <w:u w:val="none"/>
              </w:rPr>
            </w:pPr>
          </w:p>
        </w:tc>
      </w:tr>
      <w:tr w14:paraId="01D1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1A20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A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1C7E">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3480">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46F26">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7E2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C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8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F35AA">
            <w:pPr>
              <w:rPr>
                <w:rFonts w:hint="eastAsia" w:ascii="黑体" w:hAnsi="黑体" w:eastAsia="黑体" w:cs="黑体"/>
                <w:i/>
                <w:iCs/>
                <w:color w:val="000000"/>
                <w:sz w:val="18"/>
                <w:szCs w:val="18"/>
                <w:u w:val="none"/>
              </w:rPr>
            </w:pPr>
          </w:p>
        </w:tc>
      </w:tr>
      <w:tr w14:paraId="111D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70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B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B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A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5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E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4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A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3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A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0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B7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982A1">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98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5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E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4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C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2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CC5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B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2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D337">
            <w:pPr>
              <w:jc w:val="center"/>
              <w:rPr>
                <w:rFonts w:hint="eastAsia" w:ascii="微软雅黑" w:hAnsi="微软雅黑" w:eastAsia="微软雅黑" w:cs="微软雅黑"/>
                <w:i/>
                <w:iCs/>
                <w:color w:val="000000"/>
                <w:sz w:val="16"/>
                <w:szCs w:val="16"/>
                <w:u w:val="none"/>
              </w:rPr>
            </w:pPr>
          </w:p>
        </w:tc>
      </w:tr>
      <w:tr w14:paraId="1A8F5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62838">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3626">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3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8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经济使用合规率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3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5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4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1C3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D9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3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681E">
            <w:pPr>
              <w:jc w:val="center"/>
              <w:rPr>
                <w:rFonts w:hint="eastAsia" w:ascii="微软雅黑" w:hAnsi="微软雅黑" w:eastAsia="微软雅黑" w:cs="微软雅黑"/>
                <w:i/>
                <w:iCs/>
                <w:color w:val="000000"/>
                <w:sz w:val="16"/>
                <w:szCs w:val="16"/>
                <w:u w:val="none"/>
              </w:rPr>
            </w:pPr>
          </w:p>
        </w:tc>
      </w:tr>
      <w:tr w14:paraId="0759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6993D">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86FEC">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0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F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C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D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8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C66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0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3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1A71">
            <w:pPr>
              <w:jc w:val="center"/>
              <w:rPr>
                <w:rFonts w:hint="eastAsia" w:ascii="微软雅黑" w:hAnsi="微软雅黑" w:eastAsia="微软雅黑" w:cs="微软雅黑"/>
                <w:i/>
                <w:iCs/>
                <w:color w:val="000000"/>
                <w:sz w:val="16"/>
                <w:szCs w:val="16"/>
                <w:u w:val="none"/>
              </w:rPr>
            </w:pPr>
          </w:p>
        </w:tc>
      </w:tr>
      <w:tr w14:paraId="27745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1235A">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C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2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A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D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F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5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A97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1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A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87D7">
            <w:pPr>
              <w:jc w:val="center"/>
              <w:rPr>
                <w:rFonts w:hint="eastAsia" w:ascii="微软雅黑" w:hAnsi="微软雅黑" w:eastAsia="微软雅黑" w:cs="微软雅黑"/>
                <w:i/>
                <w:iCs/>
                <w:color w:val="000000"/>
                <w:sz w:val="16"/>
                <w:szCs w:val="16"/>
                <w:u w:val="none"/>
              </w:rPr>
            </w:pPr>
          </w:p>
        </w:tc>
      </w:tr>
      <w:tr w14:paraId="676B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A70AA">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807B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6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F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营养餐经费足额支付，充分保障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4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6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0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844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6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1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DE28">
            <w:pPr>
              <w:jc w:val="center"/>
              <w:rPr>
                <w:rFonts w:hint="eastAsia" w:ascii="微软雅黑" w:hAnsi="微软雅黑" w:eastAsia="微软雅黑" w:cs="微软雅黑"/>
                <w:i/>
                <w:iCs/>
                <w:color w:val="000000"/>
                <w:sz w:val="16"/>
                <w:szCs w:val="16"/>
                <w:u w:val="none"/>
              </w:rPr>
            </w:pPr>
          </w:p>
        </w:tc>
      </w:tr>
      <w:tr w14:paraId="53C31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6EB24">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3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E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2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3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0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E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62A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5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A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DDFD">
            <w:pPr>
              <w:jc w:val="center"/>
              <w:rPr>
                <w:rFonts w:hint="eastAsia" w:ascii="微软雅黑" w:hAnsi="微软雅黑" w:eastAsia="微软雅黑" w:cs="微软雅黑"/>
                <w:i/>
                <w:iCs/>
                <w:color w:val="000000"/>
                <w:sz w:val="16"/>
                <w:szCs w:val="16"/>
                <w:u w:val="none"/>
              </w:rPr>
            </w:pPr>
          </w:p>
        </w:tc>
      </w:tr>
      <w:tr w14:paraId="567CB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820A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2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B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E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8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3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553680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2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F30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0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9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8B85">
            <w:pPr>
              <w:jc w:val="center"/>
              <w:rPr>
                <w:rFonts w:hint="eastAsia" w:ascii="微软雅黑" w:hAnsi="微软雅黑" w:eastAsia="微软雅黑" w:cs="微软雅黑"/>
                <w:i/>
                <w:iCs/>
                <w:color w:val="000000"/>
                <w:sz w:val="16"/>
                <w:szCs w:val="16"/>
                <w:u w:val="none"/>
              </w:rPr>
            </w:pPr>
          </w:p>
        </w:tc>
      </w:tr>
      <w:tr w14:paraId="3350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955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9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632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71FA">
            <w:pPr>
              <w:rPr>
                <w:rFonts w:hint="eastAsia" w:ascii="宋体" w:hAnsi="宋体" w:eastAsia="宋体" w:cs="宋体"/>
                <w:i w:val="0"/>
                <w:iCs w:val="0"/>
                <w:color w:val="000000"/>
                <w:sz w:val="18"/>
                <w:szCs w:val="18"/>
                <w:u w:val="none"/>
              </w:rPr>
            </w:pPr>
          </w:p>
        </w:tc>
      </w:tr>
      <w:tr w14:paraId="6FC1A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9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441B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保证了小学生在校时间的正常学习和教师的正常教学，社会反映好，满意度达到90%以上。</w:t>
            </w:r>
          </w:p>
        </w:tc>
      </w:tr>
      <w:tr w14:paraId="5C634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9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95165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公用经费管理制度需进一步完善，明确绩效指标和公用经费界定标准。</w:t>
            </w:r>
          </w:p>
        </w:tc>
      </w:tr>
      <w:tr w14:paraId="7FE20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4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6231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1.细化公用经费管理。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2.建立健全的公用经费制度。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w:t>
            </w:r>
          </w:p>
        </w:tc>
      </w:tr>
      <w:tr w14:paraId="125B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9269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9043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538FD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591C9D6D">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583D5168">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2CABDD14">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5A14DBFA">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425FA9E9">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2A3582A0">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29B8AAEC">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2205F900">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24B67B34">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11C450C">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704BB346">
            <w:pPr>
              <w:rPr>
                <w:rFonts w:hint="eastAsia" w:ascii="宋体" w:hAnsi="宋体" w:eastAsia="宋体" w:cs="宋体"/>
                <w:i w:val="0"/>
                <w:iCs w:val="0"/>
                <w:color w:val="000000"/>
                <w:sz w:val="18"/>
                <w:szCs w:val="18"/>
                <w:u w:val="none"/>
              </w:rPr>
            </w:pPr>
          </w:p>
        </w:tc>
      </w:tr>
      <w:tr w14:paraId="006FC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4811E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D58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816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0E35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51322322T000007142426-河西小学少年宫资金</w:t>
            </w:r>
          </w:p>
        </w:tc>
      </w:tr>
      <w:tr w14:paraId="607B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B92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150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5269E6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73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3EF2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DED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75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12B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EE6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7E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FDC1A">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D63A9">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788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根据《阿坝州财政局 中共阿坝州委宣传部 阿坝州教育局关于下达2025年中央专项彩票公益金支持乡村少年宫项目资金预算的通知》阿州财教〔2025〕32号。共计：10000元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E4147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5CB6F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2C478">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5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2E2846">
            <w:pPr>
              <w:rPr>
                <w:rFonts w:hint="eastAsia" w:ascii="宋体" w:hAnsi="宋体" w:eastAsia="宋体" w:cs="宋体"/>
                <w:i w:val="0"/>
                <w:iCs w:val="0"/>
                <w:color w:val="000000"/>
                <w:sz w:val="18"/>
                <w:szCs w:val="18"/>
                <w:u w:val="none"/>
              </w:rPr>
            </w:pPr>
          </w:p>
        </w:tc>
      </w:tr>
      <w:tr w14:paraId="199D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06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C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5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4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8D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7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8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D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9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58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D451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1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2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5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B0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E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A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F0D5">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7C415">
            <w:pPr>
              <w:rPr>
                <w:rFonts w:hint="eastAsia" w:ascii="黑体" w:hAnsi="黑体" w:eastAsia="黑体" w:cs="黑体"/>
                <w:i/>
                <w:iCs/>
                <w:color w:val="000000"/>
                <w:sz w:val="18"/>
                <w:szCs w:val="18"/>
                <w:u w:val="none"/>
              </w:rPr>
            </w:pPr>
          </w:p>
        </w:tc>
      </w:tr>
      <w:tr w14:paraId="0541C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E348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8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C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1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8D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9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0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F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99D2">
            <w:pPr>
              <w:rPr>
                <w:rFonts w:hint="eastAsia" w:ascii="黑体" w:hAnsi="黑体" w:eastAsia="黑体" w:cs="黑体"/>
                <w:i/>
                <w:iCs/>
                <w:color w:val="000000"/>
                <w:sz w:val="18"/>
                <w:szCs w:val="18"/>
                <w:u w:val="none"/>
              </w:rPr>
            </w:pPr>
          </w:p>
        </w:tc>
      </w:tr>
      <w:tr w14:paraId="3E8D8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CE42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9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C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6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3C6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7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A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7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F3AC">
            <w:pPr>
              <w:rPr>
                <w:rFonts w:hint="eastAsia" w:ascii="黑体" w:hAnsi="黑体" w:eastAsia="黑体" w:cs="黑体"/>
                <w:i/>
                <w:iCs/>
                <w:color w:val="000000"/>
                <w:sz w:val="18"/>
                <w:szCs w:val="18"/>
                <w:u w:val="none"/>
              </w:rPr>
            </w:pPr>
          </w:p>
        </w:tc>
      </w:tr>
      <w:tr w14:paraId="7D210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216B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9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A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2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F07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9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A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B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1B599">
            <w:pPr>
              <w:rPr>
                <w:rFonts w:hint="eastAsia" w:ascii="黑体" w:hAnsi="黑体" w:eastAsia="黑体" w:cs="黑体"/>
                <w:i/>
                <w:iCs/>
                <w:color w:val="000000"/>
                <w:sz w:val="18"/>
                <w:szCs w:val="18"/>
                <w:u w:val="none"/>
              </w:rPr>
            </w:pPr>
          </w:p>
        </w:tc>
      </w:tr>
      <w:tr w14:paraId="5FA7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2F6C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4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9BBD">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9347">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1416A">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495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2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A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88327">
            <w:pPr>
              <w:rPr>
                <w:rFonts w:hint="eastAsia" w:ascii="黑体" w:hAnsi="黑体" w:eastAsia="黑体" w:cs="黑体"/>
                <w:i/>
                <w:iCs/>
                <w:color w:val="000000"/>
                <w:sz w:val="18"/>
                <w:szCs w:val="18"/>
                <w:u w:val="none"/>
              </w:rPr>
            </w:pPr>
          </w:p>
        </w:tc>
      </w:tr>
      <w:tr w14:paraId="4575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88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E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C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B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C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7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5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2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F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C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D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C67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DC28F">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E6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0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7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8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E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8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D8E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E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0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CA3">
            <w:pPr>
              <w:jc w:val="center"/>
              <w:rPr>
                <w:rFonts w:hint="eastAsia" w:ascii="微软雅黑" w:hAnsi="微软雅黑" w:eastAsia="微软雅黑" w:cs="微软雅黑"/>
                <w:i/>
                <w:iCs/>
                <w:color w:val="000000"/>
                <w:sz w:val="16"/>
                <w:szCs w:val="16"/>
                <w:u w:val="none"/>
              </w:rPr>
            </w:pPr>
          </w:p>
        </w:tc>
      </w:tr>
      <w:tr w14:paraId="4434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ABE8A">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0DBFF">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0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2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保障少年宫正常开展</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B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2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E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C83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0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B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C093">
            <w:pPr>
              <w:jc w:val="center"/>
              <w:rPr>
                <w:rFonts w:hint="eastAsia" w:ascii="微软雅黑" w:hAnsi="微软雅黑" w:eastAsia="微软雅黑" w:cs="微软雅黑"/>
                <w:i/>
                <w:iCs/>
                <w:color w:val="000000"/>
                <w:sz w:val="16"/>
                <w:szCs w:val="16"/>
                <w:u w:val="none"/>
              </w:rPr>
            </w:pPr>
          </w:p>
        </w:tc>
      </w:tr>
      <w:tr w14:paraId="18D62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A54BB">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AEA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2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4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3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B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9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A4C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2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0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741F">
            <w:pPr>
              <w:jc w:val="center"/>
              <w:rPr>
                <w:rFonts w:hint="eastAsia" w:ascii="微软雅黑" w:hAnsi="微软雅黑" w:eastAsia="微软雅黑" w:cs="微软雅黑"/>
                <w:i/>
                <w:iCs/>
                <w:color w:val="000000"/>
                <w:sz w:val="16"/>
                <w:szCs w:val="16"/>
                <w:u w:val="none"/>
              </w:rPr>
            </w:pPr>
          </w:p>
        </w:tc>
      </w:tr>
      <w:tr w14:paraId="7308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58B7">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AF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A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0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少年宫经费足额支出</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E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F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D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7CA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0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3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30BA">
            <w:pPr>
              <w:jc w:val="center"/>
              <w:rPr>
                <w:rFonts w:hint="eastAsia" w:ascii="微软雅黑" w:hAnsi="微软雅黑" w:eastAsia="微软雅黑" w:cs="微软雅黑"/>
                <w:i/>
                <w:iCs/>
                <w:color w:val="000000"/>
                <w:sz w:val="16"/>
                <w:szCs w:val="16"/>
                <w:u w:val="none"/>
              </w:rPr>
            </w:pPr>
          </w:p>
        </w:tc>
      </w:tr>
      <w:tr w14:paraId="2D9ED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6B8C">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03010">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2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E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A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A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3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068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C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B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D0C4">
            <w:pPr>
              <w:jc w:val="center"/>
              <w:rPr>
                <w:rFonts w:hint="eastAsia" w:ascii="微软雅黑" w:hAnsi="微软雅黑" w:eastAsia="微软雅黑" w:cs="微软雅黑"/>
                <w:i/>
                <w:iCs/>
                <w:color w:val="000000"/>
                <w:sz w:val="16"/>
                <w:szCs w:val="16"/>
                <w:u w:val="none"/>
              </w:rPr>
            </w:pPr>
          </w:p>
        </w:tc>
      </w:tr>
      <w:tr w14:paraId="6B00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5235">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6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A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6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0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5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4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86C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5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F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F758">
            <w:pPr>
              <w:jc w:val="center"/>
              <w:rPr>
                <w:rFonts w:hint="eastAsia" w:ascii="微软雅黑" w:hAnsi="微软雅黑" w:eastAsia="微软雅黑" w:cs="微软雅黑"/>
                <w:i/>
                <w:iCs/>
                <w:color w:val="000000"/>
                <w:sz w:val="16"/>
                <w:szCs w:val="16"/>
                <w:u w:val="none"/>
              </w:rPr>
            </w:pPr>
          </w:p>
        </w:tc>
      </w:tr>
      <w:tr w14:paraId="4B0C8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534C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A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1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B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D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C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B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CD1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E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B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9E72">
            <w:pPr>
              <w:jc w:val="center"/>
              <w:rPr>
                <w:rFonts w:hint="eastAsia" w:ascii="微软雅黑" w:hAnsi="微软雅黑" w:eastAsia="微软雅黑" w:cs="微软雅黑"/>
                <w:i/>
                <w:iCs/>
                <w:color w:val="000000"/>
                <w:sz w:val="16"/>
                <w:szCs w:val="16"/>
                <w:u w:val="none"/>
              </w:rPr>
            </w:pPr>
          </w:p>
        </w:tc>
      </w:tr>
      <w:tr w14:paraId="79B71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F0C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8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6DB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DCDC">
            <w:pPr>
              <w:rPr>
                <w:rFonts w:hint="eastAsia" w:ascii="宋体" w:hAnsi="宋体" w:eastAsia="宋体" w:cs="宋体"/>
                <w:i w:val="0"/>
                <w:iCs w:val="0"/>
                <w:color w:val="000000"/>
                <w:sz w:val="18"/>
                <w:szCs w:val="18"/>
                <w:u w:val="none"/>
              </w:rPr>
            </w:pPr>
          </w:p>
        </w:tc>
      </w:tr>
      <w:tr w14:paraId="3C5F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6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313A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保障少年宫活动正常开展，让参加的学生满意。社会反映好，满意度达到90%以上。</w:t>
            </w:r>
          </w:p>
        </w:tc>
      </w:tr>
      <w:tr w14:paraId="176B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F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5384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经费管理制度需进一步完善，明确绩效指标和经费界定标准。</w:t>
            </w:r>
          </w:p>
        </w:tc>
      </w:tr>
      <w:tr w14:paraId="7BBF9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5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8450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1.细化经费用途和经费管理。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2.建立健全的经费管理制度。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3.严格执行考核制度，提高经费服务效率</w:t>
            </w:r>
          </w:p>
        </w:tc>
      </w:tr>
      <w:tr w14:paraId="63C30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30DB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26F6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4522E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06F14C27">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73DADD1F">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0D4131CB">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3F46B423">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65E6FD1E">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06C8C31A">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3DC0F798">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61EF82A4">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7EE0ADD6">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5B1EE5F">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49859284">
            <w:pPr>
              <w:rPr>
                <w:rFonts w:hint="eastAsia" w:ascii="宋体" w:hAnsi="宋体" w:eastAsia="宋体" w:cs="宋体"/>
                <w:i w:val="0"/>
                <w:iCs w:val="0"/>
                <w:color w:val="000000"/>
                <w:sz w:val="18"/>
                <w:szCs w:val="18"/>
                <w:u w:val="none"/>
              </w:rPr>
            </w:pPr>
          </w:p>
        </w:tc>
      </w:tr>
      <w:tr w14:paraId="041E1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2EB50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70D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C7A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18D4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51322323T000007563067-河西小学课后服务费</w:t>
            </w:r>
          </w:p>
        </w:tc>
      </w:tr>
      <w:tr w14:paraId="7F14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2A0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7E1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79B12E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E55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752A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84F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BCD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3F6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DE050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B58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66EEE">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3DCF7">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897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学校根据实际情况，制定课后服务费实施工作方案。每生每天6元标准核定收取课后服务费。每期按80天课后服务计算（每生每期480元）。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58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7AB1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E8BFB">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11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ACB195">
            <w:pPr>
              <w:rPr>
                <w:rFonts w:hint="eastAsia" w:ascii="宋体" w:hAnsi="宋体" w:eastAsia="宋体" w:cs="宋体"/>
                <w:i w:val="0"/>
                <w:iCs w:val="0"/>
                <w:color w:val="000000"/>
                <w:sz w:val="18"/>
                <w:szCs w:val="18"/>
                <w:u w:val="none"/>
              </w:rPr>
            </w:pPr>
          </w:p>
        </w:tc>
      </w:tr>
      <w:tr w14:paraId="577B4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90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3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5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1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2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E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B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E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CA6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9023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EA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D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0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94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3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9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9EA9">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BCC5D">
            <w:pPr>
              <w:rPr>
                <w:rFonts w:hint="eastAsia" w:ascii="黑体" w:hAnsi="黑体" w:eastAsia="黑体" w:cs="黑体"/>
                <w:i/>
                <w:iCs/>
                <w:color w:val="000000"/>
                <w:sz w:val="18"/>
                <w:szCs w:val="18"/>
                <w:u w:val="none"/>
              </w:rPr>
            </w:pPr>
          </w:p>
        </w:tc>
      </w:tr>
      <w:tr w14:paraId="1CDE7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178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F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C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E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2A5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8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E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4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272A4">
            <w:pPr>
              <w:rPr>
                <w:rFonts w:hint="eastAsia" w:ascii="黑体" w:hAnsi="黑体" w:eastAsia="黑体" w:cs="黑体"/>
                <w:i/>
                <w:iCs/>
                <w:color w:val="000000"/>
                <w:sz w:val="18"/>
                <w:szCs w:val="18"/>
                <w:u w:val="none"/>
              </w:rPr>
            </w:pPr>
          </w:p>
        </w:tc>
      </w:tr>
      <w:tr w14:paraId="520E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FE53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1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7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6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72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F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D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F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E75EF">
            <w:pPr>
              <w:rPr>
                <w:rFonts w:hint="eastAsia" w:ascii="黑体" w:hAnsi="黑体" w:eastAsia="黑体" w:cs="黑体"/>
                <w:i/>
                <w:iCs/>
                <w:color w:val="000000"/>
                <w:sz w:val="18"/>
                <w:szCs w:val="18"/>
                <w:u w:val="none"/>
              </w:rPr>
            </w:pPr>
          </w:p>
        </w:tc>
      </w:tr>
      <w:tr w14:paraId="09D8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52FF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9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2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2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F3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6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B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7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5E7C1">
            <w:pPr>
              <w:rPr>
                <w:rFonts w:hint="eastAsia" w:ascii="黑体" w:hAnsi="黑体" w:eastAsia="黑体" w:cs="黑体"/>
                <w:i/>
                <w:iCs/>
                <w:color w:val="000000"/>
                <w:sz w:val="18"/>
                <w:szCs w:val="18"/>
                <w:u w:val="none"/>
              </w:rPr>
            </w:pPr>
          </w:p>
        </w:tc>
      </w:tr>
      <w:tr w14:paraId="3596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4E33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3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EF56">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C964">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0286C">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692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C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B637B">
            <w:pPr>
              <w:rPr>
                <w:rFonts w:hint="eastAsia" w:ascii="黑体" w:hAnsi="黑体" w:eastAsia="黑体" w:cs="黑体"/>
                <w:i/>
                <w:iCs/>
                <w:color w:val="000000"/>
                <w:sz w:val="18"/>
                <w:szCs w:val="18"/>
                <w:u w:val="none"/>
              </w:rPr>
            </w:pPr>
          </w:p>
        </w:tc>
      </w:tr>
      <w:tr w14:paraId="6893B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6E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1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6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3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E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0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D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E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7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3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8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6011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A270D">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6B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7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0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B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3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0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292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B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1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7B1D">
            <w:pPr>
              <w:jc w:val="center"/>
              <w:rPr>
                <w:rFonts w:hint="eastAsia" w:ascii="微软雅黑" w:hAnsi="微软雅黑" w:eastAsia="微软雅黑" w:cs="微软雅黑"/>
                <w:i/>
                <w:iCs/>
                <w:color w:val="000000"/>
                <w:sz w:val="16"/>
                <w:szCs w:val="16"/>
                <w:u w:val="none"/>
              </w:rPr>
            </w:pPr>
          </w:p>
        </w:tc>
      </w:tr>
      <w:tr w14:paraId="2899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9AA99">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2A768">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0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A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课后服务保质保量完成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4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8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F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D7E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7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C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C4ACA">
            <w:pPr>
              <w:jc w:val="center"/>
              <w:rPr>
                <w:rFonts w:hint="eastAsia" w:ascii="微软雅黑" w:hAnsi="微软雅黑" w:eastAsia="微软雅黑" w:cs="微软雅黑"/>
                <w:i/>
                <w:iCs/>
                <w:color w:val="000000"/>
                <w:sz w:val="16"/>
                <w:szCs w:val="16"/>
                <w:u w:val="none"/>
              </w:rPr>
            </w:pPr>
          </w:p>
        </w:tc>
      </w:tr>
      <w:tr w14:paraId="5A10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AE07C">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8F56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1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0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4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C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0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FCC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E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B80A">
            <w:pPr>
              <w:jc w:val="center"/>
              <w:rPr>
                <w:rFonts w:hint="eastAsia" w:ascii="微软雅黑" w:hAnsi="微软雅黑" w:eastAsia="微软雅黑" w:cs="微软雅黑"/>
                <w:i/>
                <w:iCs/>
                <w:color w:val="000000"/>
                <w:sz w:val="16"/>
                <w:szCs w:val="16"/>
                <w:u w:val="none"/>
              </w:rPr>
            </w:pPr>
          </w:p>
        </w:tc>
      </w:tr>
      <w:tr w14:paraId="2CF6E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EA727">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3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4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D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保障学校正常开展课后服务</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B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0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C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9A9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A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D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D3E5">
            <w:pPr>
              <w:jc w:val="center"/>
              <w:rPr>
                <w:rFonts w:hint="eastAsia" w:ascii="微软雅黑" w:hAnsi="微软雅黑" w:eastAsia="微软雅黑" w:cs="微软雅黑"/>
                <w:i/>
                <w:iCs/>
                <w:color w:val="000000"/>
                <w:sz w:val="16"/>
                <w:szCs w:val="16"/>
                <w:u w:val="none"/>
              </w:rPr>
            </w:pPr>
          </w:p>
        </w:tc>
      </w:tr>
      <w:tr w14:paraId="2E54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07876">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D8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F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A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教师及家长满意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8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D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0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C20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0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E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BA4D">
            <w:pPr>
              <w:jc w:val="center"/>
              <w:rPr>
                <w:rFonts w:hint="eastAsia" w:ascii="微软雅黑" w:hAnsi="微软雅黑" w:eastAsia="微软雅黑" w:cs="微软雅黑"/>
                <w:i/>
                <w:iCs/>
                <w:color w:val="000000"/>
                <w:sz w:val="16"/>
                <w:szCs w:val="16"/>
                <w:u w:val="none"/>
              </w:rPr>
            </w:pPr>
          </w:p>
        </w:tc>
      </w:tr>
      <w:tr w14:paraId="6896C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17E28">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69F83">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2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4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B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0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3F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44B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C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1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3A70">
            <w:pPr>
              <w:jc w:val="center"/>
              <w:rPr>
                <w:rFonts w:hint="eastAsia" w:ascii="微软雅黑" w:hAnsi="微软雅黑" w:eastAsia="微软雅黑" w:cs="微软雅黑"/>
                <w:i/>
                <w:iCs/>
                <w:color w:val="000000"/>
                <w:sz w:val="16"/>
                <w:szCs w:val="16"/>
                <w:u w:val="none"/>
              </w:rPr>
            </w:pPr>
          </w:p>
        </w:tc>
      </w:tr>
      <w:tr w14:paraId="2B5C5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F028">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E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1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A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6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4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359025</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7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7D9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C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1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ADEF">
            <w:pPr>
              <w:jc w:val="center"/>
              <w:rPr>
                <w:rFonts w:hint="eastAsia" w:ascii="微软雅黑" w:hAnsi="微软雅黑" w:eastAsia="微软雅黑" w:cs="微软雅黑"/>
                <w:i/>
                <w:iCs/>
                <w:color w:val="000000"/>
                <w:sz w:val="16"/>
                <w:szCs w:val="16"/>
                <w:u w:val="none"/>
              </w:rPr>
            </w:pPr>
          </w:p>
        </w:tc>
      </w:tr>
      <w:tr w14:paraId="35454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0C4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0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F9B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576F">
            <w:pPr>
              <w:rPr>
                <w:rFonts w:hint="eastAsia" w:ascii="宋体" w:hAnsi="宋体" w:eastAsia="宋体" w:cs="宋体"/>
                <w:i w:val="0"/>
                <w:iCs w:val="0"/>
                <w:color w:val="000000"/>
                <w:sz w:val="18"/>
                <w:szCs w:val="18"/>
                <w:u w:val="none"/>
              </w:rPr>
            </w:pPr>
          </w:p>
        </w:tc>
      </w:tr>
      <w:tr w14:paraId="7D48E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5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73A6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保证了学生在课后延时服务工作的正常教学，社会反映好，满意度达到90%以上。</w:t>
            </w:r>
          </w:p>
        </w:tc>
      </w:tr>
      <w:tr w14:paraId="3255A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C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7FBE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课后服务工作管理制度需进一步完善，明确绩效指标和课后服务费界定标准。</w:t>
            </w:r>
          </w:p>
        </w:tc>
      </w:tr>
      <w:tr w14:paraId="4B526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93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430A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2.建立健全的经费制度。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3.严格执行考核制度，提高服务效率。保障课后服务工作正常开展。</w:t>
            </w:r>
          </w:p>
        </w:tc>
      </w:tr>
      <w:tr w14:paraId="394C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4B2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7790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4300A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6612A2ED">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563D6A1A">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673C4910">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608955F0">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1B345988">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60221C49">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7A0C8E8E">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4ABF7CCE">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334DAF90">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75E22F9">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4784703A">
            <w:pPr>
              <w:rPr>
                <w:rFonts w:hint="eastAsia" w:ascii="宋体" w:hAnsi="宋体" w:eastAsia="宋体" w:cs="宋体"/>
                <w:i w:val="0"/>
                <w:iCs w:val="0"/>
                <w:color w:val="000000"/>
                <w:sz w:val="18"/>
                <w:szCs w:val="18"/>
                <w:u w:val="none"/>
              </w:rPr>
            </w:pPr>
          </w:p>
        </w:tc>
      </w:tr>
      <w:tr w14:paraId="57551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69F61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09D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4C0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9040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51322323T000009020143-茂县河西小学校退休干部春节慰问金</w:t>
            </w:r>
          </w:p>
        </w:tc>
      </w:tr>
      <w:tr w14:paraId="44EDC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60D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E9E6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790B4A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06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0C775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AC1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BEA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D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E56BA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6DF5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DE03E">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D73C2">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5B44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2025年茂县河西小学春节退休教师慰问金</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0F9D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3D56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E33B9">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1D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04F185">
            <w:pPr>
              <w:rPr>
                <w:rFonts w:hint="eastAsia" w:ascii="宋体" w:hAnsi="宋体" w:eastAsia="宋体" w:cs="宋体"/>
                <w:i w:val="0"/>
                <w:iCs w:val="0"/>
                <w:color w:val="000000"/>
                <w:sz w:val="18"/>
                <w:szCs w:val="18"/>
                <w:u w:val="none"/>
              </w:rPr>
            </w:pPr>
          </w:p>
        </w:tc>
      </w:tr>
      <w:tr w14:paraId="6817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33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9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5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F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FF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B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3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8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9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F79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66C7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7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F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3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B7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3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7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D8BF">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3ADC5">
            <w:pPr>
              <w:rPr>
                <w:rFonts w:hint="eastAsia" w:ascii="黑体" w:hAnsi="黑体" w:eastAsia="黑体" w:cs="黑体"/>
                <w:i/>
                <w:iCs/>
                <w:color w:val="000000"/>
                <w:sz w:val="18"/>
                <w:szCs w:val="18"/>
                <w:u w:val="none"/>
              </w:rPr>
            </w:pPr>
          </w:p>
        </w:tc>
      </w:tr>
      <w:tr w14:paraId="778AA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6C1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2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9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9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9D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7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5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C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B60F9">
            <w:pPr>
              <w:rPr>
                <w:rFonts w:hint="eastAsia" w:ascii="黑体" w:hAnsi="黑体" w:eastAsia="黑体" w:cs="黑体"/>
                <w:i/>
                <w:iCs/>
                <w:color w:val="000000"/>
                <w:sz w:val="18"/>
                <w:szCs w:val="18"/>
                <w:u w:val="none"/>
              </w:rPr>
            </w:pPr>
          </w:p>
        </w:tc>
      </w:tr>
      <w:tr w14:paraId="3FDE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1F3D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4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9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A2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A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F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8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ECC27">
            <w:pPr>
              <w:rPr>
                <w:rFonts w:hint="eastAsia" w:ascii="黑体" w:hAnsi="黑体" w:eastAsia="黑体" w:cs="黑体"/>
                <w:i/>
                <w:iCs/>
                <w:color w:val="000000"/>
                <w:sz w:val="18"/>
                <w:szCs w:val="18"/>
                <w:u w:val="none"/>
              </w:rPr>
            </w:pPr>
          </w:p>
        </w:tc>
      </w:tr>
      <w:tr w14:paraId="4C99F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597F2">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A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1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0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8A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1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3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DB586">
            <w:pPr>
              <w:rPr>
                <w:rFonts w:hint="eastAsia" w:ascii="黑体" w:hAnsi="黑体" w:eastAsia="黑体" w:cs="黑体"/>
                <w:i/>
                <w:iCs/>
                <w:color w:val="000000"/>
                <w:sz w:val="18"/>
                <w:szCs w:val="18"/>
                <w:u w:val="none"/>
              </w:rPr>
            </w:pPr>
          </w:p>
        </w:tc>
      </w:tr>
      <w:tr w14:paraId="1AD6D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0790B">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5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D764">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429D">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D6CFC">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3EF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3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0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0C9C7">
            <w:pPr>
              <w:rPr>
                <w:rFonts w:hint="eastAsia" w:ascii="黑体" w:hAnsi="黑体" w:eastAsia="黑体" w:cs="黑体"/>
                <w:i/>
                <w:iCs/>
                <w:color w:val="000000"/>
                <w:sz w:val="18"/>
                <w:szCs w:val="18"/>
                <w:u w:val="none"/>
              </w:rPr>
            </w:pPr>
          </w:p>
        </w:tc>
      </w:tr>
      <w:tr w14:paraId="42218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B1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4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2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4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B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4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A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D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C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5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F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43F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D314F">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C1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D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4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退休干部人数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8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C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E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61F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6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7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7E25">
            <w:pPr>
              <w:jc w:val="center"/>
              <w:rPr>
                <w:rFonts w:hint="eastAsia" w:ascii="微软雅黑" w:hAnsi="微软雅黑" w:eastAsia="微软雅黑" w:cs="微软雅黑"/>
                <w:i/>
                <w:iCs/>
                <w:color w:val="000000"/>
                <w:sz w:val="16"/>
                <w:szCs w:val="16"/>
                <w:u w:val="none"/>
              </w:rPr>
            </w:pPr>
          </w:p>
        </w:tc>
      </w:tr>
      <w:tr w14:paraId="5190A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649D4">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26573">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0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5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慰问金足额发放</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3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6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8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B7C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B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3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4D57">
            <w:pPr>
              <w:jc w:val="center"/>
              <w:rPr>
                <w:rFonts w:hint="eastAsia" w:ascii="微软雅黑" w:hAnsi="微软雅黑" w:eastAsia="微软雅黑" w:cs="微软雅黑"/>
                <w:i/>
                <w:iCs/>
                <w:color w:val="000000"/>
                <w:sz w:val="16"/>
                <w:szCs w:val="16"/>
                <w:u w:val="none"/>
              </w:rPr>
            </w:pPr>
          </w:p>
        </w:tc>
      </w:tr>
      <w:tr w14:paraId="55B81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C181B">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139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0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E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春节慰问金完成时限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5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F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7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12E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A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5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E9A7">
            <w:pPr>
              <w:jc w:val="center"/>
              <w:rPr>
                <w:rFonts w:hint="eastAsia" w:ascii="微软雅黑" w:hAnsi="微软雅黑" w:eastAsia="微软雅黑" w:cs="微软雅黑"/>
                <w:i/>
                <w:iCs/>
                <w:color w:val="000000"/>
                <w:sz w:val="16"/>
                <w:szCs w:val="16"/>
                <w:u w:val="none"/>
              </w:rPr>
            </w:pPr>
          </w:p>
        </w:tc>
      </w:tr>
      <w:tr w14:paraId="3DCE9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3C915">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F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8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3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退休教师的感觉组织的关心</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A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6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3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CA2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E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1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A299">
            <w:pPr>
              <w:jc w:val="center"/>
              <w:rPr>
                <w:rFonts w:hint="eastAsia" w:ascii="微软雅黑" w:hAnsi="微软雅黑" w:eastAsia="微软雅黑" w:cs="微软雅黑"/>
                <w:i/>
                <w:iCs/>
                <w:color w:val="000000"/>
                <w:sz w:val="16"/>
                <w:szCs w:val="16"/>
                <w:u w:val="none"/>
              </w:rPr>
            </w:pPr>
          </w:p>
        </w:tc>
      </w:tr>
      <w:tr w14:paraId="71C8B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DB2A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5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D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C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退休教师满意度</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9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2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4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62F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7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1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5682">
            <w:pPr>
              <w:jc w:val="center"/>
              <w:rPr>
                <w:rFonts w:hint="eastAsia" w:ascii="微软雅黑" w:hAnsi="微软雅黑" w:eastAsia="微软雅黑" w:cs="微软雅黑"/>
                <w:i/>
                <w:iCs/>
                <w:color w:val="000000"/>
                <w:sz w:val="16"/>
                <w:szCs w:val="16"/>
                <w:u w:val="none"/>
              </w:rPr>
            </w:pPr>
          </w:p>
        </w:tc>
      </w:tr>
      <w:tr w14:paraId="36CF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FCC2F">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1A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D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8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资金保障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6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8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9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AC5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C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D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A6AF">
            <w:pPr>
              <w:jc w:val="center"/>
              <w:rPr>
                <w:rFonts w:hint="eastAsia" w:ascii="微软雅黑" w:hAnsi="微软雅黑" w:eastAsia="微软雅黑" w:cs="微软雅黑"/>
                <w:i/>
                <w:iCs/>
                <w:color w:val="000000"/>
                <w:sz w:val="16"/>
                <w:szCs w:val="16"/>
                <w:u w:val="none"/>
              </w:rPr>
            </w:pPr>
          </w:p>
        </w:tc>
      </w:tr>
      <w:tr w14:paraId="0F8D6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E5D7F">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5B45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0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B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春节慰问金成本控制</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A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9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C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382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E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BBB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9EAE1">
            <w:pPr>
              <w:jc w:val="center"/>
              <w:rPr>
                <w:rFonts w:hint="eastAsia" w:ascii="微软雅黑" w:hAnsi="微软雅黑" w:eastAsia="微软雅黑" w:cs="微软雅黑"/>
                <w:i/>
                <w:iCs/>
                <w:color w:val="000000"/>
                <w:sz w:val="16"/>
                <w:szCs w:val="16"/>
                <w:u w:val="none"/>
              </w:rPr>
            </w:pPr>
          </w:p>
        </w:tc>
      </w:tr>
      <w:tr w14:paraId="161F3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FB5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6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nil"/>
              <w:left w:val="nil"/>
              <w:bottom w:val="nil"/>
              <w:right w:val="nil"/>
            </w:tcBorders>
            <w:shd w:val="clear" w:color="auto" w:fill="auto"/>
            <w:noWrap/>
            <w:vAlign w:val="center"/>
          </w:tcPr>
          <w:p w14:paraId="0683C2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F820">
            <w:pPr>
              <w:rPr>
                <w:rFonts w:hint="eastAsia" w:ascii="宋体" w:hAnsi="宋体" w:eastAsia="宋体" w:cs="宋体"/>
                <w:i w:val="0"/>
                <w:iCs w:val="0"/>
                <w:color w:val="000000"/>
                <w:sz w:val="18"/>
                <w:szCs w:val="18"/>
                <w:u w:val="none"/>
              </w:rPr>
            </w:pPr>
          </w:p>
        </w:tc>
      </w:tr>
      <w:tr w14:paraId="0A3FA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2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B1D7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为充分体现党和政府对广大退休人员的关怀，弘扬中华民族“尊老、敬老、爱老”传统美德，维护社会稳定。</w:t>
            </w:r>
          </w:p>
        </w:tc>
      </w:tr>
      <w:tr w14:paraId="27C2D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B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CF11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春节慰问退休人员经费遵循属地管理原则，做好预算工作，确保春节慰问退休人员活动的开展。</w:t>
            </w:r>
          </w:p>
        </w:tc>
      </w:tr>
      <w:tr w14:paraId="5BE7F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0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3771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总结经验，查找不足，为项目在以后年度的开展提供可行性参考建议。在此基础上，重点分析项目预算编制的合理性、成本支出的真实性和控制有效性，以评价财政资金的使用效率和效果，为以后年度编制项目预算、选择项目实施主体等提供参考依据。</w:t>
            </w:r>
          </w:p>
        </w:tc>
      </w:tr>
      <w:tr w14:paraId="0EAE9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8D346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8B16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791ED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2F28F895">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78517629">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491AD1E0">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6DBEB398">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6694A674">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4699DC7A">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0605CB20">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61F474D3">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4D2D2973">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06B728AB">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0D658692">
            <w:pPr>
              <w:rPr>
                <w:rFonts w:hint="eastAsia" w:ascii="宋体" w:hAnsi="宋体" w:eastAsia="宋体" w:cs="宋体"/>
                <w:i w:val="0"/>
                <w:iCs w:val="0"/>
                <w:color w:val="000000"/>
                <w:sz w:val="18"/>
                <w:szCs w:val="18"/>
                <w:u w:val="none"/>
              </w:rPr>
            </w:pPr>
          </w:p>
        </w:tc>
      </w:tr>
      <w:tr w14:paraId="4F3BA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82C07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B418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A6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C5B1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51322323T000009439243-河西小学秋季学期课后服务</w:t>
            </w:r>
          </w:p>
        </w:tc>
      </w:tr>
      <w:tr w14:paraId="180E9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077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167A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01B429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29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55184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191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A2E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7A0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BCA15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BE4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65A48">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E528B">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1F9C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保障2024年秋季学期学生课后服务工作正常有序开展学校根据实际情况，制定课后服务费实施工作方案。每生每天6元标准核定收取课后服务费。735人*480元=352800元。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3E1B9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6C7B7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D7F03">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AE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AF55F8">
            <w:pPr>
              <w:rPr>
                <w:rFonts w:hint="eastAsia" w:ascii="宋体" w:hAnsi="宋体" w:eastAsia="宋体" w:cs="宋体"/>
                <w:i w:val="0"/>
                <w:iCs w:val="0"/>
                <w:color w:val="000000"/>
                <w:sz w:val="18"/>
                <w:szCs w:val="18"/>
                <w:u w:val="none"/>
              </w:rPr>
            </w:pPr>
          </w:p>
        </w:tc>
      </w:tr>
      <w:tr w14:paraId="729F5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23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A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2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A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81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E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C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D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D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8C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68C1">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5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8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5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00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3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C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F4EE">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FA74E">
            <w:pPr>
              <w:rPr>
                <w:rFonts w:hint="eastAsia" w:ascii="黑体" w:hAnsi="黑体" w:eastAsia="黑体" w:cs="黑体"/>
                <w:i/>
                <w:iCs/>
                <w:color w:val="000000"/>
                <w:sz w:val="18"/>
                <w:szCs w:val="18"/>
                <w:u w:val="none"/>
              </w:rPr>
            </w:pPr>
          </w:p>
        </w:tc>
      </w:tr>
      <w:tr w14:paraId="75F3F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3AED7">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0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8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6F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E6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1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C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4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78D60">
            <w:pPr>
              <w:rPr>
                <w:rFonts w:hint="eastAsia" w:ascii="黑体" w:hAnsi="黑体" w:eastAsia="黑体" w:cs="黑体"/>
                <w:i/>
                <w:iCs/>
                <w:color w:val="000000"/>
                <w:sz w:val="18"/>
                <w:szCs w:val="18"/>
                <w:u w:val="none"/>
              </w:rPr>
            </w:pPr>
          </w:p>
        </w:tc>
      </w:tr>
      <w:tr w14:paraId="590E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56A6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7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5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F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35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2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8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5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1F21">
            <w:pPr>
              <w:rPr>
                <w:rFonts w:hint="eastAsia" w:ascii="黑体" w:hAnsi="黑体" w:eastAsia="黑体" w:cs="黑体"/>
                <w:i/>
                <w:iCs/>
                <w:color w:val="000000"/>
                <w:sz w:val="18"/>
                <w:szCs w:val="18"/>
                <w:u w:val="none"/>
              </w:rPr>
            </w:pPr>
          </w:p>
        </w:tc>
      </w:tr>
      <w:tr w14:paraId="759C7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16C64">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0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C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9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C44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8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6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0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222CA">
            <w:pPr>
              <w:rPr>
                <w:rFonts w:hint="eastAsia" w:ascii="黑体" w:hAnsi="黑体" w:eastAsia="黑体" w:cs="黑体"/>
                <w:i/>
                <w:iCs/>
                <w:color w:val="000000"/>
                <w:sz w:val="18"/>
                <w:szCs w:val="18"/>
                <w:u w:val="none"/>
              </w:rPr>
            </w:pPr>
          </w:p>
        </w:tc>
      </w:tr>
      <w:tr w14:paraId="1B58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3B1A7">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D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D7DB">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1F4B">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3A48A">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22D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9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0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8E6F7">
            <w:pPr>
              <w:rPr>
                <w:rFonts w:hint="eastAsia" w:ascii="黑体" w:hAnsi="黑体" w:eastAsia="黑体" w:cs="黑体"/>
                <w:i/>
                <w:iCs/>
                <w:color w:val="000000"/>
                <w:sz w:val="18"/>
                <w:szCs w:val="18"/>
                <w:u w:val="none"/>
              </w:rPr>
            </w:pPr>
          </w:p>
        </w:tc>
      </w:tr>
      <w:tr w14:paraId="50BF5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22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3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4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2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C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C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B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5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F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4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3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161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FAA9E">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F0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E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1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C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9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2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3F4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4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3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715F">
            <w:pPr>
              <w:jc w:val="center"/>
              <w:rPr>
                <w:rFonts w:hint="eastAsia" w:ascii="微软雅黑" w:hAnsi="微软雅黑" w:eastAsia="微软雅黑" w:cs="微软雅黑"/>
                <w:i/>
                <w:iCs/>
                <w:color w:val="000000"/>
                <w:sz w:val="16"/>
                <w:szCs w:val="16"/>
                <w:u w:val="none"/>
              </w:rPr>
            </w:pPr>
          </w:p>
        </w:tc>
      </w:tr>
      <w:tr w14:paraId="7EDA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A223C">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45E2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0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D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课后服务保质保量完成工作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4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4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4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849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7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4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1B84">
            <w:pPr>
              <w:jc w:val="center"/>
              <w:rPr>
                <w:rFonts w:hint="eastAsia" w:ascii="微软雅黑" w:hAnsi="微软雅黑" w:eastAsia="微软雅黑" w:cs="微软雅黑"/>
                <w:i/>
                <w:iCs/>
                <w:color w:val="000000"/>
                <w:sz w:val="16"/>
                <w:szCs w:val="16"/>
                <w:u w:val="none"/>
              </w:rPr>
            </w:pPr>
          </w:p>
        </w:tc>
      </w:tr>
      <w:tr w14:paraId="0196C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54CA9">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539D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9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A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本学期按时完成率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6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B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8CA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9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7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D1D5">
            <w:pPr>
              <w:jc w:val="center"/>
              <w:rPr>
                <w:rFonts w:hint="eastAsia" w:ascii="微软雅黑" w:hAnsi="微软雅黑" w:eastAsia="微软雅黑" w:cs="微软雅黑"/>
                <w:i/>
                <w:iCs/>
                <w:color w:val="000000"/>
                <w:sz w:val="16"/>
                <w:szCs w:val="16"/>
                <w:u w:val="none"/>
              </w:rPr>
            </w:pPr>
          </w:p>
        </w:tc>
      </w:tr>
      <w:tr w14:paraId="060A9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546B8">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0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1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A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保障学校正常开展课后服务工作。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3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D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E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43C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C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CE4A">
            <w:pPr>
              <w:jc w:val="center"/>
              <w:rPr>
                <w:rFonts w:hint="eastAsia" w:ascii="微软雅黑" w:hAnsi="微软雅黑" w:eastAsia="微软雅黑" w:cs="微软雅黑"/>
                <w:i/>
                <w:iCs/>
                <w:color w:val="000000"/>
                <w:sz w:val="16"/>
                <w:szCs w:val="16"/>
                <w:u w:val="none"/>
              </w:rPr>
            </w:pPr>
          </w:p>
        </w:tc>
      </w:tr>
      <w:tr w14:paraId="11F0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FAD9C">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BA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D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A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教师及家长满意度</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5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C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8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45C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5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F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8945">
            <w:pPr>
              <w:jc w:val="center"/>
              <w:rPr>
                <w:rFonts w:hint="eastAsia" w:ascii="微软雅黑" w:hAnsi="微软雅黑" w:eastAsia="微软雅黑" w:cs="微软雅黑"/>
                <w:i/>
                <w:iCs/>
                <w:color w:val="000000"/>
                <w:sz w:val="16"/>
                <w:szCs w:val="16"/>
                <w:u w:val="none"/>
              </w:rPr>
            </w:pPr>
          </w:p>
        </w:tc>
      </w:tr>
      <w:tr w14:paraId="6F0D5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D6C33">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3C94F">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A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A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9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5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F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C01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9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3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5080">
            <w:pPr>
              <w:jc w:val="center"/>
              <w:rPr>
                <w:rFonts w:hint="eastAsia" w:ascii="微软雅黑" w:hAnsi="微软雅黑" w:eastAsia="微软雅黑" w:cs="微软雅黑"/>
                <w:i/>
                <w:iCs/>
                <w:color w:val="000000"/>
                <w:sz w:val="16"/>
                <w:szCs w:val="16"/>
                <w:u w:val="none"/>
              </w:rPr>
            </w:pPr>
          </w:p>
        </w:tc>
      </w:tr>
      <w:tr w14:paraId="03BF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60395">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9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1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C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项目资金总支出</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4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A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C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F79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A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9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C144">
            <w:pPr>
              <w:jc w:val="center"/>
              <w:rPr>
                <w:rFonts w:hint="eastAsia" w:ascii="微软雅黑" w:hAnsi="微软雅黑" w:eastAsia="微软雅黑" w:cs="微软雅黑"/>
                <w:i/>
                <w:iCs/>
                <w:color w:val="000000"/>
                <w:sz w:val="16"/>
                <w:szCs w:val="16"/>
                <w:u w:val="none"/>
              </w:rPr>
            </w:pPr>
          </w:p>
        </w:tc>
      </w:tr>
      <w:tr w14:paraId="2153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237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A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D6F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DE64">
            <w:pPr>
              <w:rPr>
                <w:rFonts w:hint="eastAsia" w:ascii="宋体" w:hAnsi="宋体" w:eastAsia="宋体" w:cs="宋体"/>
                <w:i w:val="0"/>
                <w:iCs w:val="0"/>
                <w:color w:val="000000"/>
                <w:sz w:val="18"/>
                <w:szCs w:val="18"/>
                <w:u w:val="none"/>
              </w:rPr>
            </w:pPr>
          </w:p>
        </w:tc>
      </w:tr>
      <w:tr w14:paraId="5A2CD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8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F5F0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保证了学生在课后延时服务工作的正常教学，社会反映好，满意度达到90%以上。</w:t>
            </w:r>
          </w:p>
        </w:tc>
      </w:tr>
      <w:tr w14:paraId="59FD4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4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DF3D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课后服务工作管理制度需进一步完善，明确绩效指标和课后服务费界定标准。</w:t>
            </w:r>
          </w:p>
        </w:tc>
      </w:tr>
      <w:tr w14:paraId="6EDA6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8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8A060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2.建立健全的经费制度。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3.严格执行考核制度，提高服务效率。保障课后服务工作正常开展。</w:t>
            </w:r>
          </w:p>
        </w:tc>
      </w:tr>
      <w:tr w14:paraId="0F523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F21F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A014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4FB67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0CFE5576">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3C81D5AB">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731CDCB4">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50DF02B9">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62CB6CC2">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0CA17925">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42B1BFB2">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5091C0ED">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3AB33DF0">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8AE8056">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4C3DAF37">
            <w:pPr>
              <w:rPr>
                <w:rFonts w:hint="eastAsia" w:ascii="宋体" w:hAnsi="宋体" w:eastAsia="宋体" w:cs="宋体"/>
                <w:i w:val="0"/>
                <w:iCs w:val="0"/>
                <w:color w:val="000000"/>
                <w:sz w:val="18"/>
                <w:szCs w:val="18"/>
                <w:u w:val="none"/>
              </w:rPr>
            </w:pPr>
          </w:p>
        </w:tc>
      </w:tr>
      <w:tr w14:paraId="1E523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7B71A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B65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D43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131E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51322324R000010353219-在职体检费</w:t>
            </w:r>
          </w:p>
        </w:tc>
      </w:tr>
      <w:tr w14:paraId="1013B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C42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63F9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579572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6EC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3315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6F2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5F2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17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47CA8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1C4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77616">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4363F">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66DC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EFD3B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2716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49D90">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F9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E82ACC">
            <w:pPr>
              <w:rPr>
                <w:rFonts w:hint="eastAsia" w:ascii="宋体" w:hAnsi="宋体" w:eastAsia="宋体" w:cs="宋体"/>
                <w:i w:val="0"/>
                <w:iCs w:val="0"/>
                <w:color w:val="000000"/>
                <w:sz w:val="18"/>
                <w:szCs w:val="18"/>
                <w:u w:val="none"/>
              </w:rPr>
            </w:pPr>
          </w:p>
        </w:tc>
      </w:tr>
      <w:tr w14:paraId="1633A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9E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9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3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C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EB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A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2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2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E7F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466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3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6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2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21.65</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13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7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3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9B2C">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6EE30">
            <w:pPr>
              <w:rPr>
                <w:rFonts w:hint="eastAsia" w:ascii="黑体" w:hAnsi="黑体" w:eastAsia="黑体" w:cs="黑体"/>
                <w:i/>
                <w:iCs/>
                <w:color w:val="000000"/>
                <w:sz w:val="18"/>
                <w:szCs w:val="18"/>
                <w:u w:val="none"/>
              </w:rPr>
            </w:pPr>
          </w:p>
        </w:tc>
      </w:tr>
      <w:tr w14:paraId="2E9F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E115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D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0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2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21.65</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64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0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2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B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6755E">
            <w:pPr>
              <w:rPr>
                <w:rFonts w:hint="eastAsia" w:ascii="黑体" w:hAnsi="黑体" w:eastAsia="黑体" w:cs="黑体"/>
                <w:i/>
                <w:iCs/>
                <w:color w:val="000000"/>
                <w:sz w:val="18"/>
                <w:szCs w:val="18"/>
                <w:u w:val="none"/>
              </w:rPr>
            </w:pPr>
          </w:p>
        </w:tc>
      </w:tr>
      <w:tr w14:paraId="2207D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6227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6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B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C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24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0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4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2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646C3">
            <w:pPr>
              <w:rPr>
                <w:rFonts w:hint="eastAsia" w:ascii="黑体" w:hAnsi="黑体" w:eastAsia="黑体" w:cs="黑体"/>
                <w:i/>
                <w:iCs/>
                <w:color w:val="000000"/>
                <w:sz w:val="18"/>
                <w:szCs w:val="18"/>
                <w:u w:val="none"/>
              </w:rPr>
            </w:pPr>
          </w:p>
        </w:tc>
      </w:tr>
      <w:tr w14:paraId="0E9C6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CCC48">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1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C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2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CF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8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1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A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7F3EB">
            <w:pPr>
              <w:rPr>
                <w:rFonts w:hint="eastAsia" w:ascii="黑体" w:hAnsi="黑体" w:eastAsia="黑体" w:cs="黑体"/>
                <w:i/>
                <w:iCs/>
                <w:color w:val="000000"/>
                <w:sz w:val="18"/>
                <w:szCs w:val="18"/>
                <w:u w:val="none"/>
              </w:rPr>
            </w:pPr>
          </w:p>
        </w:tc>
      </w:tr>
      <w:tr w14:paraId="4BCD8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8A155">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1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A061">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7E5F">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51C67">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F3A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7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E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96C62">
            <w:pPr>
              <w:rPr>
                <w:rFonts w:hint="eastAsia" w:ascii="黑体" w:hAnsi="黑体" w:eastAsia="黑体" w:cs="黑体"/>
                <w:i/>
                <w:iCs/>
                <w:color w:val="000000"/>
                <w:sz w:val="18"/>
                <w:szCs w:val="18"/>
                <w:u w:val="none"/>
              </w:rPr>
            </w:pPr>
          </w:p>
        </w:tc>
      </w:tr>
      <w:tr w14:paraId="33BC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7C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5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6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C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1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7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F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C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D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0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D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26D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1E871">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5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8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A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B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8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1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159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D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8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3B77">
            <w:pPr>
              <w:jc w:val="center"/>
              <w:rPr>
                <w:rFonts w:hint="eastAsia" w:ascii="微软雅黑" w:hAnsi="微软雅黑" w:eastAsia="微软雅黑" w:cs="微软雅黑"/>
                <w:i/>
                <w:iCs/>
                <w:color w:val="000000"/>
                <w:sz w:val="16"/>
                <w:szCs w:val="16"/>
                <w:u w:val="none"/>
              </w:rPr>
            </w:pPr>
          </w:p>
        </w:tc>
      </w:tr>
      <w:tr w14:paraId="7244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FCED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1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3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9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1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D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E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2C5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F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5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558D">
            <w:pPr>
              <w:jc w:val="center"/>
              <w:rPr>
                <w:rFonts w:hint="eastAsia" w:ascii="微软雅黑" w:hAnsi="微软雅黑" w:eastAsia="微软雅黑" w:cs="微软雅黑"/>
                <w:i/>
                <w:iCs/>
                <w:color w:val="000000"/>
                <w:sz w:val="16"/>
                <w:szCs w:val="16"/>
                <w:u w:val="none"/>
              </w:rPr>
            </w:pPr>
          </w:p>
        </w:tc>
      </w:tr>
      <w:tr w14:paraId="3FDBC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95A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A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112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6E32">
            <w:pPr>
              <w:rPr>
                <w:rFonts w:hint="eastAsia" w:ascii="宋体" w:hAnsi="宋体" w:eastAsia="宋体" w:cs="宋体"/>
                <w:i w:val="0"/>
                <w:iCs w:val="0"/>
                <w:color w:val="000000"/>
                <w:sz w:val="18"/>
                <w:szCs w:val="18"/>
                <w:u w:val="none"/>
              </w:rPr>
            </w:pPr>
          </w:p>
        </w:tc>
      </w:tr>
      <w:tr w14:paraId="5035F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9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268F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为充分体现党和政府对广大职工人关怀，保障职工身体健康。</w:t>
            </w:r>
          </w:p>
        </w:tc>
      </w:tr>
      <w:tr w14:paraId="1BFE3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B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5C56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属地管理原则，做好预算工作，确保在职职工身心健康。</w:t>
            </w:r>
          </w:p>
        </w:tc>
      </w:tr>
      <w:tr w14:paraId="50D63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C6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0635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总结经验，查找不足，为项目在以后年度的开展提供可行性参考建议。在此基础上，重点分析项目预算编制的合理性、成本支出的真实性和控制有效性，以评价财政资金的使用效率和效果，为以后年度编制项目预算、选择项目实施主体等提供参考依据。</w:t>
            </w:r>
          </w:p>
        </w:tc>
      </w:tr>
      <w:tr w14:paraId="08D1A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D8E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B20E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103F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3CB6E7C9">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03187C3B">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2045990D">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0D9D8EB4">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12A0DDC7">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23C394F2">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61BDB75D">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3CD3B69B">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0DDBDC82">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3FA87B4">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00FC25FD">
            <w:pPr>
              <w:rPr>
                <w:rFonts w:hint="eastAsia" w:ascii="宋体" w:hAnsi="宋体" w:eastAsia="宋体" w:cs="宋体"/>
                <w:i w:val="0"/>
                <w:iCs w:val="0"/>
                <w:color w:val="000000"/>
                <w:sz w:val="18"/>
                <w:szCs w:val="18"/>
                <w:u w:val="none"/>
              </w:rPr>
            </w:pPr>
          </w:p>
        </w:tc>
      </w:tr>
      <w:tr w14:paraId="1F785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3AF66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7AE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4F8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AAF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51322324R000010354720-退休体检费</w:t>
            </w:r>
          </w:p>
        </w:tc>
      </w:tr>
      <w:tr w14:paraId="09564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28C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087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1C51FD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C6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0985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393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96E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176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58F17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C2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E8C7">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AD19">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524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3D6D9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190F2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32865">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C2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FE69B7">
            <w:pPr>
              <w:rPr>
                <w:rFonts w:hint="eastAsia" w:ascii="宋体" w:hAnsi="宋体" w:eastAsia="宋体" w:cs="宋体"/>
                <w:i w:val="0"/>
                <w:iCs w:val="0"/>
                <w:color w:val="000000"/>
                <w:sz w:val="18"/>
                <w:szCs w:val="18"/>
                <w:u w:val="none"/>
              </w:rPr>
            </w:pPr>
          </w:p>
        </w:tc>
      </w:tr>
      <w:tr w14:paraId="20B1C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5A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1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E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B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E4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A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0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9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4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8AAE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CE02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B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E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E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6.87</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23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3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0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877F">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3331E">
            <w:pPr>
              <w:rPr>
                <w:rFonts w:hint="eastAsia" w:ascii="黑体" w:hAnsi="黑体" w:eastAsia="黑体" w:cs="黑体"/>
                <w:i/>
                <w:iCs/>
                <w:color w:val="000000"/>
                <w:sz w:val="18"/>
                <w:szCs w:val="18"/>
                <w:u w:val="none"/>
              </w:rPr>
            </w:pPr>
          </w:p>
        </w:tc>
      </w:tr>
      <w:tr w14:paraId="2D1F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F3D0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B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E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4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6.87</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60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F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4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7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89E51">
            <w:pPr>
              <w:rPr>
                <w:rFonts w:hint="eastAsia" w:ascii="黑体" w:hAnsi="黑体" w:eastAsia="黑体" w:cs="黑体"/>
                <w:i/>
                <w:iCs/>
                <w:color w:val="000000"/>
                <w:sz w:val="18"/>
                <w:szCs w:val="18"/>
                <w:u w:val="none"/>
              </w:rPr>
            </w:pPr>
          </w:p>
        </w:tc>
      </w:tr>
      <w:tr w14:paraId="29FF8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724F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6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0C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57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4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6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7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34AEC">
            <w:pPr>
              <w:rPr>
                <w:rFonts w:hint="eastAsia" w:ascii="黑体" w:hAnsi="黑体" w:eastAsia="黑体" w:cs="黑体"/>
                <w:i/>
                <w:iCs/>
                <w:color w:val="000000"/>
                <w:sz w:val="18"/>
                <w:szCs w:val="18"/>
                <w:u w:val="none"/>
              </w:rPr>
            </w:pPr>
          </w:p>
        </w:tc>
      </w:tr>
      <w:tr w14:paraId="1E42F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0AF47">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6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8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0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5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B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3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E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5E92B">
            <w:pPr>
              <w:rPr>
                <w:rFonts w:hint="eastAsia" w:ascii="黑体" w:hAnsi="黑体" w:eastAsia="黑体" w:cs="黑体"/>
                <w:i/>
                <w:iCs/>
                <w:color w:val="000000"/>
                <w:sz w:val="18"/>
                <w:szCs w:val="18"/>
                <w:u w:val="none"/>
              </w:rPr>
            </w:pPr>
          </w:p>
        </w:tc>
      </w:tr>
      <w:tr w14:paraId="13E3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C351">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F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AE1E">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243E">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CE22A8">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C19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E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8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24E98">
            <w:pPr>
              <w:rPr>
                <w:rFonts w:hint="eastAsia" w:ascii="黑体" w:hAnsi="黑体" w:eastAsia="黑体" w:cs="黑体"/>
                <w:i/>
                <w:iCs/>
                <w:color w:val="000000"/>
                <w:sz w:val="18"/>
                <w:szCs w:val="18"/>
                <w:u w:val="none"/>
              </w:rPr>
            </w:pPr>
          </w:p>
        </w:tc>
      </w:tr>
      <w:tr w14:paraId="5445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35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7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D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7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1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2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2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D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8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3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398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7DE67">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C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4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7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5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A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0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64E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0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F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A463">
            <w:pPr>
              <w:jc w:val="center"/>
              <w:rPr>
                <w:rFonts w:hint="eastAsia" w:ascii="微软雅黑" w:hAnsi="微软雅黑" w:eastAsia="微软雅黑" w:cs="微软雅黑"/>
                <w:i/>
                <w:iCs/>
                <w:color w:val="000000"/>
                <w:sz w:val="16"/>
                <w:szCs w:val="16"/>
                <w:u w:val="none"/>
              </w:rPr>
            </w:pPr>
          </w:p>
        </w:tc>
      </w:tr>
      <w:tr w14:paraId="26476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E3535">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3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0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F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8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D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7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7F7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F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5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7ACC">
            <w:pPr>
              <w:jc w:val="center"/>
              <w:rPr>
                <w:rFonts w:hint="eastAsia" w:ascii="微软雅黑" w:hAnsi="微软雅黑" w:eastAsia="微软雅黑" w:cs="微软雅黑"/>
                <w:i/>
                <w:iCs/>
                <w:color w:val="000000"/>
                <w:sz w:val="16"/>
                <w:szCs w:val="16"/>
                <w:u w:val="none"/>
              </w:rPr>
            </w:pPr>
          </w:p>
        </w:tc>
      </w:tr>
      <w:tr w14:paraId="15692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136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FEC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361C">
            <w:pPr>
              <w:rPr>
                <w:rFonts w:hint="eastAsia" w:ascii="宋体" w:hAnsi="宋体" w:eastAsia="宋体" w:cs="宋体"/>
                <w:i w:val="0"/>
                <w:iCs w:val="0"/>
                <w:color w:val="000000"/>
                <w:sz w:val="18"/>
                <w:szCs w:val="18"/>
                <w:u w:val="none"/>
              </w:rPr>
            </w:pPr>
          </w:p>
        </w:tc>
      </w:tr>
      <w:tr w14:paraId="279E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5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E47F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为充分体现党和政府对广大职工人关怀，保障退休职工身体健康。</w:t>
            </w:r>
          </w:p>
        </w:tc>
      </w:tr>
      <w:tr w14:paraId="6D84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4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1C12C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属地管理原则，做好预算工作，确保退休职工身心健康。</w:t>
            </w:r>
          </w:p>
        </w:tc>
      </w:tr>
      <w:tr w14:paraId="6ECA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3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B059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总结经验，查找不足，为项目在以后年度的开展提供可行性参考建议。在此基础上，重点分析项目预算编制的合理性、成本支出的真实性和控制有效性，以评价财政资金的使用效率和效果，为以后年度编制项目预算、选择项目实施主体等提供参考依据。</w:t>
            </w:r>
          </w:p>
        </w:tc>
      </w:tr>
      <w:tr w14:paraId="7FAB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774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C838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2AA17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63A28CFF">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4E012E17">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2CFDFE59">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072DD8E9">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32C4E6D4">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17DD2175">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0A5601EA">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7F3FBC29">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6FE685F9">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5A0C4350">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6DA8498A">
            <w:pPr>
              <w:rPr>
                <w:rFonts w:hint="eastAsia" w:ascii="宋体" w:hAnsi="宋体" w:eastAsia="宋体" w:cs="宋体"/>
                <w:i w:val="0"/>
                <w:iCs w:val="0"/>
                <w:color w:val="000000"/>
                <w:sz w:val="18"/>
                <w:szCs w:val="18"/>
                <w:u w:val="none"/>
              </w:rPr>
            </w:pPr>
          </w:p>
        </w:tc>
      </w:tr>
      <w:tr w14:paraId="685C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AB179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DDA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890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F01E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51322324T000010542604-茂县河西小学校办公经费</w:t>
            </w:r>
          </w:p>
        </w:tc>
      </w:tr>
      <w:tr w14:paraId="31C4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203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5874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45912E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6B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27678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F09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44F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41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F7CF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D77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B751D">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B9E14">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D1A0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根据茂财发（2022）115号，预算县级小学生公用经费100元/人，茂教发（2023）56号文件核定学生人数739人，共计100*739=73900元。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4CEBE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482C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DAB6">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1A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525410">
            <w:pPr>
              <w:rPr>
                <w:rFonts w:hint="eastAsia" w:ascii="宋体" w:hAnsi="宋体" w:eastAsia="宋体" w:cs="宋体"/>
                <w:i w:val="0"/>
                <w:iCs w:val="0"/>
                <w:color w:val="000000"/>
                <w:sz w:val="18"/>
                <w:szCs w:val="18"/>
                <w:u w:val="none"/>
              </w:rPr>
            </w:pPr>
          </w:p>
        </w:tc>
      </w:tr>
      <w:tr w14:paraId="5ACC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C0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8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1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C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2C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7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5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5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6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FA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DD21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E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9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72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33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F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8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2087">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67E60">
            <w:pPr>
              <w:rPr>
                <w:rFonts w:hint="eastAsia" w:ascii="黑体" w:hAnsi="黑体" w:eastAsia="黑体" w:cs="黑体"/>
                <w:i/>
                <w:iCs/>
                <w:color w:val="000000"/>
                <w:sz w:val="18"/>
                <w:szCs w:val="18"/>
                <w:u w:val="none"/>
              </w:rPr>
            </w:pPr>
          </w:p>
        </w:tc>
      </w:tr>
      <w:tr w14:paraId="0B3E5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4DF8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3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5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2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45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9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5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D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5372D">
            <w:pPr>
              <w:rPr>
                <w:rFonts w:hint="eastAsia" w:ascii="黑体" w:hAnsi="黑体" w:eastAsia="黑体" w:cs="黑体"/>
                <w:i/>
                <w:iCs/>
                <w:color w:val="000000"/>
                <w:sz w:val="18"/>
                <w:szCs w:val="18"/>
                <w:u w:val="none"/>
              </w:rPr>
            </w:pPr>
          </w:p>
        </w:tc>
      </w:tr>
      <w:tr w14:paraId="0ECE3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FF81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8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D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8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B3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E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8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5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C8803">
            <w:pPr>
              <w:rPr>
                <w:rFonts w:hint="eastAsia" w:ascii="黑体" w:hAnsi="黑体" w:eastAsia="黑体" w:cs="黑体"/>
                <w:i/>
                <w:iCs/>
                <w:color w:val="000000"/>
                <w:sz w:val="18"/>
                <w:szCs w:val="18"/>
                <w:u w:val="none"/>
              </w:rPr>
            </w:pPr>
          </w:p>
        </w:tc>
      </w:tr>
      <w:tr w14:paraId="6FE69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10D94">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3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F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8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E6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D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7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2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2F3FA">
            <w:pPr>
              <w:rPr>
                <w:rFonts w:hint="eastAsia" w:ascii="黑体" w:hAnsi="黑体" w:eastAsia="黑体" w:cs="黑体"/>
                <w:i/>
                <w:iCs/>
                <w:color w:val="000000"/>
                <w:sz w:val="18"/>
                <w:szCs w:val="18"/>
                <w:u w:val="none"/>
              </w:rPr>
            </w:pPr>
          </w:p>
        </w:tc>
      </w:tr>
      <w:tr w14:paraId="322C2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76E4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5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629F">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C5BE">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D1DFB">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CAE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7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8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D65E9">
            <w:pPr>
              <w:rPr>
                <w:rFonts w:hint="eastAsia" w:ascii="黑体" w:hAnsi="黑体" w:eastAsia="黑体" w:cs="黑体"/>
                <w:i/>
                <w:iCs/>
                <w:color w:val="000000"/>
                <w:sz w:val="18"/>
                <w:szCs w:val="18"/>
                <w:u w:val="none"/>
              </w:rPr>
            </w:pPr>
          </w:p>
        </w:tc>
      </w:tr>
      <w:tr w14:paraId="25D0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C5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6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1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0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3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F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4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0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F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5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5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3F9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C228A">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0B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4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C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F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8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1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BC2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E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B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4F1A">
            <w:pPr>
              <w:jc w:val="center"/>
              <w:rPr>
                <w:rFonts w:hint="eastAsia" w:ascii="微软雅黑" w:hAnsi="微软雅黑" w:eastAsia="微软雅黑" w:cs="微软雅黑"/>
                <w:i/>
                <w:iCs/>
                <w:color w:val="000000"/>
                <w:sz w:val="16"/>
                <w:szCs w:val="16"/>
                <w:u w:val="none"/>
              </w:rPr>
            </w:pPr>
          </w:p>
        </w:tc>
      </w:tr>
      <w:tr w14:paraId="010FE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11D94">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98782">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B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A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D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A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A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FAC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7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5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7D72">
            <w:pPr>
              <w:jc w:val="center"/>
              <w:rPr>
                <w:rFonts w:hint="eastAsia" w:ascii="微软雅黑" w:hAnsi="微软雅黑" w:eastAsia="微软雅黑" w:cs="微软雅黑"/>
                <w:i/>
                <w:iCs/>
                <w:color w:val="000000"/>
                <w:sz w:val="16"/>
                <w:szCs w:val="16"/>
                <w:u w:val="none"/>
              </w:rPr>
            </w:pPr>
          </w:p>
        </w:tc>
      </w:tr>
      <w:tr w14:paraId="32854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23247">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24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2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2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A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3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F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052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D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7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708E">
            <w:pPr>
              <w:jc w:val="center"/>
              <w:rPr>
                <w:rFonts w:hint="eastAsia" w:ascii="微软雅黑" w:hAnsi="微软雅黑" w:eastAsia="微软雅黑" w:cs="微软雅黑"/>
                <w:i/>
                <w:iCs/>
                <w:color w:val="000000"/>
                <w:sz w:val="16"/>
                <w:szCs w:val="16"/>
                <w:u w:val="none"/>
              </w:rPr>
            </w:pPr>
          </w:p>
        </w:tc>
      </w:tr>
      <w:tr w14:paraId="06536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420A0">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77E9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6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5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1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5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6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833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4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C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26D0">
            <w:pPr>
              <w:jc w:val="center"/>
              <w:rPr>
                <w:rFonts w:hint="eastAsia" w:ascii="微软雅黑" w:hAnsi="微软雅黑" w:eastAsia="微软雅黑" w:cs="微软雅黑"/>
                <w:i/>
                <w:iCs/>
                <w:color w:val="000000"/>
                <w:sz w:val="16"/>
                <w:szCs w:val="16"/>
                <w:u w:val="none"/>
              </w:rPr>
            </w:pPr>
          </w:p>
        </w:tc>
      </w:tr>
      <w:tr w14:paraId="40C6C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9602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4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E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B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9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8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4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60F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A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9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4E0F">
            <w:pPr>
              <w:jc w:val="center"/>
              <w:rPr>
                <w:rFonts w:hint="eastAsia" w:ascii="微软雅黑" w:hAnsi="微软雅黑" w:eastAsia="微软雅黑" w:cs="微软雅黑"/>
                <w:i/>
                <w:iCs/>
                <w:color w:val="000000"/>
                <w:sz w:val="16"/>
                <w:szCs w:val="16"/>
                <w:u w:val="none"/>
              </w:rPr>
            </w:pPr>
          </w:p>
        </w:tc>
      </w:tr>
      <w:tr w14:paraId="7390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92F5">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2A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3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8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县级资金全额保障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2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F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6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166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2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8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2B5E">
            <w:pPr>
              <w:jc w:val="center"/>
              <w:rPr>
                <w:rFonts w:hint="eastAsia" w:ascii="微软雅黑" w:hAnsi="微软雅黑" w:eastAsia="微软雅黑" w:cs="微软雅黑"/>
                <w:i/>
                <w:iCs/>
                <w:color w:val="000000"/>
                <w:sz w:val="16"/>
                <w:szCs w:val="16"/>
                <w:u w:val="none"/>
              </w:rPr>
            </w:pPr>
          </w:p>
        </w:tc>
      </w:tr>
      <w:tr w14:paraId="5F3C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57D69">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9CD16">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4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C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6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1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1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C81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F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6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23C4">
            <w:pPr>
              <w:jc w:val="center"/>
              <w:rPr>
                <w:rFonts w:hint="eastAsia" w:ascii="微软雅黑" w:hAnsi="微软雅黑" w:eastAsia="微软雅黑" w:cs="微软雅黑"/>
                <w:i/>
                <w:iCs/>
                <w:color w:val="000000"/>
                <w:sz w:val="16"/>
                <w:szCs w:val="16"/>
                <w:u w:val="none"/>
              </w:rPr>
            </w:pPr>
          </w:p>
        </w:tc>
      </w:tr>
      <w:tr w14:paraId="37D6B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480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C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6BF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942D">
            <w:pPr>
              <w:rPr>
                <w:rFonts w:hint="eastAsia" w:ascii="宋体" w:hAnsi="宋体" w:eastAsia="宋体" w:cs="宋体"/>
                <w:i w:val="0"/>
                <w:iCs w:val="0"/>
                <w:color w:val="000000"/>
                <w:sz w:val="18"/>
                <w:szCs w:val="18"/>
                <w:u w:val="none"/>
              </w:rPr>
            </w:pPr>
          </w:p>
        </w:tc>
      </w:tr>
      <w:tr w14:paraId="4EFE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5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02C6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保证了小学生在校时间的正常学习和教师的正常教学，社会反映好，满意度达到90%以上。</w:t>
            </w:r>
          </w:p>
        </w:tc>
      </w:tr>
      <w:tr w14:paraId="66DE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5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4FE9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公用经费管理制度需进一步完善，明确绩效指标和公用经费界定标准。</w:t>
            </w:r>
          </w:p>
        </w:tc>
      </w:tr>
      <w:tr w14:paraId="0089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2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570F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1.细化公用经费管理。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2.建立健全的公用经费制度。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w:t>
            </w:r>
          </w:p>
        </w:tc>
      </w:tr>
      <w:tr w14:paraId="5BE19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17DD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0321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1719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3CB4A065">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4A4B614C">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07B278FA">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011F0A56">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670FDA4F">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318492D7">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4FF527B3">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24BE12B8">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36D688D7">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0A5D99EF">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71D1C266">
            <w:pPr>
              <w:rPr>
                <w:rFonts w:hint="eastAsia" w:ascii="宋体" w:hAnsi="宋体" w:eastAsia="宋体" w:cs="宋体"/>
                <w:i w:val="0"/>
                <w:iCs w:val="0"/>
                <w:color w:val="000000"/>
                <w:sz w:val="18"/>
                <w:szCs w:val="18"/>
                <w:u w:val="none"/>
              </w:rPr>
            </w:pPr>
          </w:p>
        </w:tc>
      </w:tr>
      <w:tr w14:paraId="02B57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BA40C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89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6D1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86EA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51322324T000011795139-河西小学食堂保证金</w:t>
            </w:r>
          </w:p>
        </w:tc>
      </w:tr>
      <w:tr w14:paraId="59E15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94F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DF17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2F187B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B93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69364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98F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55B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FBC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1A258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97A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7B4DA">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06292">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61EB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河西小学校2025年学生食堂保证金。共计190000元。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4F257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56B84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47AD">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C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DCA41A">
            <w:pPr>
              <w:rPr>
                <w:rFonts w:hint="eastAsia" w:ascii="宋体" w:hAnsi="宋体" w:eastAsia="宋体" w:cs="宋体"/>
                <w:i w:val="0"/>
                <w:iCs w:val="0"/>
                <w:color w:val="000000"/>
                <w:sz w:val="18"/>
                <w:szCs w:val="18"/>
                <w:u w:val="none"/>
              </w:rPr>
            </w:pPr>
          </w:p>
        </w:tc>
      </w:tr>
      <w:tr w14:paraId="3BD3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8E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8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6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2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8B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E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5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4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4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1097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4128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0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6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B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C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C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A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6525C">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962FF">
            <w:pPr>
              <w:rPr>
                <w:rFonts w:hint="eastAsia" w:ascii="黑体" w:hAnsi="黑体" w:eastAsia="黑体" w:cs="黑体"/>
                <w:i/>
                <w:iCs/>
                <w:color w:val="000000"/>
                <w:sz w:val="18"/>
                <w:szCs w:val="18"/>
                <w:u w:val="none"/>
              </w:rPr>
            </w:pPr>
          </w:p>
        </w:tc>
      </w:tr>
      <w:tr w14:paraId="55EA5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5551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9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F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B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D6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B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E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7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32C23">
            <w:pPr>
              <w:rPr>
                <w:rFonts w:hint="eastAsia" w:ascii="黑体" w:hAnsi="黑体" w:eastAsia="黑体" w:cs="黑体"/>
                <w:i/>
                <w:iCs/>
                <w:color w:val="000000"/>
                <w:sz w:val="18"/>
                <w:szCs w:val="18"/>
                <w:u w:val="none"/>
              </w:rPr>
            </w:pPr>
          </w:p>
        </w:tc>
      </w:tr>
      <w:tr w14:paraId="4063B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E993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9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7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4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92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C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4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7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506A5">
            <w:pPr>
              <w:rPr>
                <w:rFonts w:hint="eastAsia" w:ascii="黑体" w:hAnsi="黑体" w:eastAsia="黑体" w:cs="黑体"/>
                <w:i/>
                <w:iCs/>
                <w:color w:val="000000"/>
                <w:sz w:val="18"/>
                <w:szCs w:val="18"/>
                <w:u w:val="none"/>
              </w:rPr>
            </w:pPr>
          </w:p>
        </w:tc>
      </w:tr>
      <w:tr w14:paraId="19578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EF59B">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6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8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C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4A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1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F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2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1B2CF">
            <w:pPr>
              <w:rPr>
                <w:rFonts w:hint="eastAsia" w:ascii="黑体" w:hAnsi="黑体" w:eastAsia="黑体" w:cs="黑体"/>
                <w:i/>
                <w:iCs/>
                <w:color w:val="000000"/>
                <w:sz w:val="18"/>
                <w:szCs w:val="18"/>
                <w:u w:val="none"/>
              </w:rPr>
            </w:pPr>
          </w:p>
        </w:tc>
      </w:tr>
      <w:tr w14:paraId="6A7C2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401F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C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6BB5">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5C94">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C349B2">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147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4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D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08C56">
            <w:pPr>
              <w:rPr>
                <w:rFonts w:hint="eastAsia" w:ascii="黑体" w:hAnsi="黑体" w:eastAsia="黑体" w:cs="黑体"/>
                <w:i/>
                <w:iCs/>
                <w:color w:val="000000"/>
                <w:sz w:val="18"/>
                <w:szCs w:val="18"/>
                <w:u w:val="none"/>
              </w:rPr>
            </w:pPr>
          </w:p>
        </w:tc>
      </w:tr>
      <w:tr w14:paraId="05296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20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7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B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E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A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9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1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7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3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D7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4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8D8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1996E">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52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E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A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6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7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4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971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5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93BF">
            <w:pPr>
              <w:jc w:val="center"/>
              <w:rPr>
                <w:rFonts w:hint="eastAsia" w:ascii="微软雅黑" w:hAnsi="微软雅黑" w:eastAsia="微软雅黑" w:cs="微软雅黑"/>
                <w:i/>
                <w:iCs/>
                <w:color w:val="000000"/>
                <w:sz w:val="16"/>
                <w:szCs w:val="16"/>
                <w:u w:val="none"/>
              </w:rPr>
            </w:pPr>
          </w:p>
        </w:tc>
      </w:tr>
      <w:tr w14:paraId="015C1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FEF2">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85300">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6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C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项目保障学生食堂食品保质保量。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C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F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2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254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8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7E92">
            <w:pPr>
              <w:jc w:val="center"/>
              <w:rPr>
                <w:rFonts w:hint="eastAsia" w:ascii="微软雅黑" w:hAnsi="微软雅黑" w:eastAsia="微软雅黑" w:cs="微软雅黑"/>
                <w:i/>
                <w:iCs/>
                <w:color w:val="000000"/>
                <w:sz w:val="16"/>
                <w:szCs w:val="16"/>
                <w:u w:val="none"/>
              </w:rPr>
            </w:pPr>
          </w:p>
        </w:tc>
      </w:tr>
      <w:tr w14:paraId="69F9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857F">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0E4B9">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6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9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B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2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6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757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7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C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D13E">
            <w:pPr>
              <w:jc w:val="center"/>
              <w:rPr>
                <w:rFonts w:hint="eastAsia" w:ascii="微软雅黑" w:hAnsi="微软雅黑" w:eastAsia="微软雅黑" w:cs="微软雅黑"/>
                <w:i/>
                <w:iCs/>
                <w:color w:val="000000"/>
                <w:sz w:val="16"/>
                <w:szCs w:val="16"/>
                <w:u w:val="none"/>
              </w:rPr>
            </w:pPr>
          </w:p>
        </w:tc>
      </w:tr>
      <w:tr w14:paraId="7614E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A42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3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D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3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商家满意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8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2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0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85C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B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F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FE83">
            <w:pPr>
              <w:jc w:val="center"/>
              <w:rPr>
                <w:rFonts w:hint="eastAsia" w:ascii="微软雅黑" w:hAnsi="微软雅黑" w:eastAsia="微软雅黑" w:cs="微软雅黑"/>
                <w:i/>
                <w:iCs/>
                <w:color w:val="000000"/>
                <w:sz w:val="16"/>
                <w:szCs w:val="16"/>
                <w:u w:val="none"/>
              </w:rPr>
            </w:pPr>
          </w:p>
        </w:tc>
      </w:tr>
      <w:tr w14:paraId="6FE61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18B5A">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9C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6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E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家长和商家满意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7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0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0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056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3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B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C4C6">
            <w:pPr>
              <w:jc w:val="center"/>
              <w:rPr>
                <w:rFonts w:hint="eastAsia" w:ascii="微软雅黑" w:hAnsi="微软雅黑" w:eastAsia="微软雅黑" w:cs="微软雅黑"/>
                <w:i/>
                <w:iCs/>
                <w:color w:val="000000"/>
                <w:sz w:val="16"/>
                <w:szCs w:val="16"/>
                <w:u w:val="none"/>
              </w:rPr>
            </w:pPr>
          </w:p>
        </w:tc>
      </w:tr>
      <w:tr w14:paraId="75955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5007">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CCEE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6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6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0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6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6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90E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2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C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1D6D">
            <w:pPr>
              <w:jc w:val="center"/>
              <w:rPr>
                <w:rFonts w:hint="eastAsia" w:ascii="微软雅黑" w:hAnsi="微软雅黑" w:eastAsia="微软雅黑" w:cs="微软雅黑"/>
                <w:i/>
                <w:iCs/>
                <w:color w:val="000000"/>
                <w:sz w:val="16"/>
                <w:szCs w:val="16"/>
                <w:u w:val="none"/>
              </w:rPr>
            </w:pPr>
          </w:p>
        </w:tc>
      </w:tr>
      <w:tr w14:paraId="529A3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7D2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A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2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E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F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C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8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534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F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6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2A32">
            <w:pPr>
              <w:jc w:val="center"/>
              <w:rPr>
                <w:rFonts w:hint="eastAsia" w:ascii="微软雅黑" w:hAnsi="微软雅黑" w:eastAsia="微软雅黑" w:cs="微软雅黑"/>
                <w:i/>
                <w:iCs/>
                <w:color w:val="000000"/>
                <w:sz w:val="16"/>
                <w:szCs w:val="16"/>
                <w:u w:val="none"/>
              </w:rPr>
            </w:pPr>
          </w:p>
        </w:tc>
      </w:tr>
      <w:tr w14:paraId="6F1E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800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F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A6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564A">
            <w:pPr>
              <w:rPr>
                <w:rFonts w:hint="eastAsia" w:ascii="宋体" w:hAnsi="宋体" w:eastAsia="宋体" w:cs="宋体"/>
                <w:i w:val="0"/>
                <w:iCs w:val="0"/>
                <w:color w:val="000000"/>
                <w:sz w:val="18"/>
                <w:szCs w:val="18"/>
                <w:u w:val="none"/>
              </w:rPr>
            </w:pPr>
          </w:p>
        </w:tc>
      </w:tr>
      <w:tr w14:paraId="785A1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2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1181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保证了学生在在校社会（午餐）的正常供给，服务正常教学，社会反映好，满意度达到90%以上。</w:t>
            </w:r>
          </w:p>
        </w:tc>
      </w:tr>
      <w:tr w14:paraId="3FAC9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E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95F4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生活管理（午餐）工作管理制度需进一步完善，明确绩效指标和生活费界定标准实用范围。</w:t>
            </w:r>
          </w:p>
        </w:tc>
      </w:tr>
      <w:tr w14:paraId="1177C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B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F227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2.建立健全的经费制度。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3.严格执行考核制度，提高服务效率。保障午餐正常开展。让学生吃好，家长满意，社会满意。</w:t>
            </w:r>
          </w:p>
        </w:tc>
      </w:tr>
      <w:tr w14:paraId="3BC2F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94A1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F29B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05803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4068F962">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67F77610">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7F1BABB7">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0048EF95">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6D0D69F2">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5F590240">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33862B6C">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0040D380">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22FD50C0">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BA9DB36">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014F4DC9">
            <w:pPr>
              <w:rPr>
                <w:rFonts w:hint="eastAsia" w:ascii="宋体" w:hAnsi="宋体" w:eastAsia="宋体" w:cs="宋体"/>
                <w:i w:val="0"/>
                <w:iCs w:val="0"/>
                <w:color w:val="000000"/>
                <w:sz w:val="18"/>
                <w:szCs w:val="18"/>
                <w:u w:val="none"/>
              </w:rPr>
            </w:pPr>
          </w:p>
        </w:tc>
      </w:tr>
      <w:tr w14:paraId="4E502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4AFEB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A52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2F355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9E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B0D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DAE2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51322325T000012185382-茂县河西小学校校园餐经费</w:t>
            </w:r>
          </w:p>
        </w:tc>
      </w:tr>
      <w:tr w14:paraId="169DD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EE2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A183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0C6D65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0A5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685AD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6B7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F5A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C76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ED7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BF72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58046">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D8668">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7376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2025年收取教师陪餐及学生生活费共计：43937.92元。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4FF9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3D3B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6F9BD">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99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6409BC">
            <w:pPr>
              <w:rPr>
                <w:rFonts w:hint="eastAsia" w:ascii="宋体" w:hAnsi="宋体" w:eastAsia="宋体" w:cs="宋体"/>
                <w:i w:val="0"/>
                <w:iCs w:val="0"/>
                <w:color w:val="000000"/>
                <w:sz w:val="18"/>
                <w:szCs w:val="18"/>
                <w:u w:val="none"/>
              </w:rPr>
            </w:pPr>
          </w:p>
        </w:tc>
      </w:tr>
      <w:tr w14:paraId="6B792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85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B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0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B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C6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2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9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C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D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65C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69882">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2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7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5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95.41</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48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F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A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2F09">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FF8E4">
            <w:pPr>
              <w:rPr>
                <w:rFonts w:hint="eastAsia" w:ascii="黑体" w:hAnsi="黑体" w:eastAsia="黑体" w:cs="黑体"/>
                <w:i/>
                <w:iCs/>
                <w:color w:val="000000"/>
                <w:sz w:val="18"/>
                <w:szCs w:val="18"/>
                <w:u w:val="none"/>
              </w:rPr>
            </w:pPr>
          </w:p>
        </w:tc>
      </w:tr>
      <w:tr w14:paraId="1FC8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86896">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8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E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6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64.17</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D3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64.17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6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8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E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9343E">
            <w:pPr>
              <w:rPr>
                <w:rFonts w:hint="eastAsia" w:ascii="黑体" w:hAnsi="黑体" w:eastAsia="黑体" w:cs="黑体"/>
                <w:i/>
                <w:iCs/>
                <w:color w:val="000000"/>
                <w:sz w:val="18"/>
                <w:szCs w:val="18"/>
                <w:u w:val="none"/>
              </w:rPr>
            </w:pPr>
          </w:p>
        </w:tc>
      </w:tr>
      <w:tr w14:paraId="0949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AD3C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B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E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8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F9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A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D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9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E5721">
            <w:pPr>
              <w:rPr>
                <w:rFonts w:hint="eastAsia" w:ascii="黑体" w:hAnsi="黑体" w:eastAsia="黑体" w:cs="黑体"/>
                <w:i/>
                <w:iCs/>
                <w:color w:val="000000"/>
                <w:sz w:val="18"/>
                <w:szCs w:val="18"/>
                <w:u w:val="none"/>
              </w:rPr>
            </w:pPr>
          </w:p>
        </w:tc>
      </w:tr>
      <w:tr w14:paraId="5F8B5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26BE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D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2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9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31.25</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C8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6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B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4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0063A">
            <w:pPr>
              <w:rPr>
                <w:rFonts w:hint="eastAsia" w:ascii="黑体" w:hAnsi="黑体" w:eastAsia="黑体" w:cs="黑体"/>
                <w:i/>
                <w:iCs/>
                <w:color w:val="000000"/>
                <w:sz w:val="18"/>
                <w:szCs w:val="18"/>
                <w:u w:val="none"/>
              </w:rPr>
            </w:pPr>
          </w:p>
        </w:tc>
      </w:tr>
      <w:tr w14:paraId="2C1B9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7850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6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B779">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5D5B">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11B7A">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F60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7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5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FAAC3">
            <w:pPr>
              <w:rPr>
                <w:rFonts w:hint="eastAsia" w:ascii="黑体" w:hAnsi="黑体" w:eastAsia="黑体" w:cs="黑体"/>
                <w:i/>
                <w:iCs/>
                <w:color w:val="000000"/>
                <w:sz w:val="18"/>
                <w:szCs w:val="18"/>
                <w:u w:val="none"/>
              </w:rPr>
            </w:pPr>
          </w:p>
        </w:tc>
      </w:tr>
      <w:tr w14:paraId="7C1C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C1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1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8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6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0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4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0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5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A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0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B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451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2CB1F">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69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9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6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A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0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7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8A3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9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3956">
            <w:pPr>
              <w:jc w:val="center"/>
              <w:rPr>
                <w:rFonts w:hint="eastAsia" w:ascii="微软雅黑" w:hAnsi="微软雅黑" w:eastAsia="微软雅黑" w:cs="微软雅黑"/>
                <w:i/>
                <w:iCs/>
                <w:color w:val="000000"/>
                <w:sz w:val="16"/>
                <w:szCs w:val="16"/>
                <w:u w:val="none"/>
              </w:rPr>
            </w:pPr>
          </w:p>
        </w:tc>
      </w:tr>
      <w:tr w14:paraId="29062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DB655">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617FA">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6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A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保障学生营养均衡，营养达标。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B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2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6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577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5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6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B619">
            <w:pPr>
              <w:jc w:val="center"/>
              <w:rPr>
                <w:rFonts w:hint="eastAsia" w:ascii="微软雅黑" w:hAnsi="微软雅黑" w:eastAsia="微软雅黑" w:cs="微软雅黑"/>
                <w:i/>
                <w:iCs/>
                <w:color w:val="000000"/>
                <w:sz w:val="16"/>
                <w:szCs w:val="16"/>
                <w:u w:val="none"/>
              </w:rPr>
            </w:pPr>
          </w:p>
        </w:tc>
      </w:tr>
      <w:tr w14:paraId="7B63D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71183">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9974A">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9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6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3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9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2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92B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7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F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C580">
            <w:pPr>
              <w:jc w:val="center"/>
              <w:rPr>
                <w:rFonts w:hint="eastAsia" w:ascii="微软雅黑" w:hAnsi="微软雅黑" w:eastAsia="微软雅黑" w:cs="微软雅黑"/>
                <w:i/>
                <w:iCs/>
                <w:color w:val="000000"/>
                <w:sz w:val="16"/>
                <w:szCs w:val="16"/>
                <w:u w:val="none"/>
              </w:rPr>
            </w:pPr>
          </w:p>
        </w:tc>
      </w:tr>
      <w:tr w14:paraId="17B3A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8ACDA">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27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D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E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营养餐经费足额支出，充分保障学校正常运转</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7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B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0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8CA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5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6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08BE">
            <w:pPr>
              <w:jc w:val="center"/>
              <w:rPr>
                <w:rFonts w:hint="eastAsia" w:ascii="微软雅黑" w:hAnsi="微软雅黑" w:eastAsia="微软雅黑" w:cs="微软雅黑"/>
                <w:i/>
                <w:iCs/>
                <w:color w:val="000000"/>
                <w:sz w:val="16"/>
                <w:szCs w:val="16"/>
                <w:u w:val="none"/>
              </w:rPr>
            </w:pPr>
          </w:p>
        </w:tc>
      </w:tr>
      <w:tr w14:paraId="7764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78BE3">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6248F">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5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6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9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6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4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A76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D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F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C900">
            <w:pPr>
              <w:jc w:val="center"/>
              <w:rPr>
                <w:rFonts w:hint="eastAsia" w:ascii="微软雅黑" w:hAnsi="微软雅黑" w:eastAsia="微软雅黑" w:cs="微软雅黑"/>
                <w:i/>
                <w:iCs/>
                <w:color w:val="000000"/>
                <w:sz w:val="16"/>
                <w:szCs w:val="16"/>
                <w:u w:val="none"/>
              </w:rPr>
            </w:pPr>
          </w:p>
        </w:tc>
      </w:tr>
      <w:tr w14:paraId="25FDE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B92B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F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6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5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0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D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E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330B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5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B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3F8A">
            <w:pPr>
              <w:jc w:val="center"/>
              <w:rPr>
                <w:rFonts w:hint="eastAsia" w:ascii="微软雅黑" w:hAnsi="微软雅黑" w:eastAsia="微软雅黑" w:cs="微软雅黑"/>
                <w:i/>
                <w:iCs/>
                <w:color w:val="000000"/>
                <w:sz w:val="16"/>
                <w:szCs w:val="16"/>
                <w:u w:val="none"/>
              </w:rPr>
            </w:pPr>
          </w:p>
        </w:tc>
      </w:tr>
      <w:tr w14:paraId="72E6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857D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4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E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F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B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7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43937.92</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6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524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9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C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922D">
            <w:pPr>
              <w:jc w:val="center"/>
              <w:rPr>
                <w:rFonts w:hint="eastAsia" w:ascii="微软雅黑" w:hAnsi="微软雅黑" w:eastAsia="微软雅黑" w:cs="微软雅黑"/>
                <w:i/>
                <w:iCs/>
                <w:color w:val="000000"/>
                <w:sz w:val="16"/>
                <w:szCs w:val="16"/>
                <w:u w:val="none"/>
              </w:rPr>
            </w:pPr>
          </w:p>
        </w:tc>
      </w:tr>
      <w:tr w14:paraId="45AB7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82A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6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F91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5338">
            <w:pPr>
              <w:rPr>
                <w:rFonts w:hint="eastAsia" w:ascii="宋体" w:hAnsi="宋体" w:eastAsia="宋体" w:cs="宋体"/>
                <w:i w:val="0"/>
                <w:iCs w:val="0"/>
                <w:color w:val="000000"/>
                <w:sz w:val="18"/>
                <w:szCs w:val="18"/>
                <w:u w:val="none"/>
              </w:rPr>
            </w:pPr>
          </w:p>
        </w:tc>
      </w:tr>
      <w:tr w14:paraId="19C04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9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C31C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保证了学生在在校（午餐）的正常供给，服务正常教学，社会反映好，满意度达到90%以上。）</w:t>
            </w:r>
          </w:p>
        </w:tc>
      </w:tr>
      <w:tr w14:paraId="4D81A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F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DED3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生活管理（午餐）工作管理制度需进一步完善，明确绩效指标和生活费界定标准实用范围。</w:t>
            </w:r>
          </w:p>
        </w:tc>
      </w:tr>
      <w:tr w14:paraId="043FF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A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9708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1.细化经费管理。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2.建立健全的经费制度。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3.严格执行考核制度，提高服务效率。保障午餐正常开展。让学生吃好，家长满意，社会满意。</w:t>
            </w:r>
          </w:p>
        </w:tc>
      </w:tr>
      <w:tr w14:paraId="644DB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0ADD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BC0CE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27755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4A54EEF7">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191FCEC7">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25233CB1">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3943CFD4">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406D6906">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029D0EFA">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39859625">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66A0EEDF">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32FBDAB2">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211124D6">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2421FF25">
            <w:pPr>
              <w:rPr>
                <w:rFonts w:hint="eastAsia" w:ascii="宋体" w:hAnsi="宋体" w:eastAsia="宋体" w:cs="宋体"/>
                <w:i w:val="0"/>
                <w:iCs w:val="0"/>
                <w:color w:val="000000"/>
                <w:sz w:val="18"/>
                <w:szCs w:val="18"/>
                <w:u w:val="none"/>
              </w:rPr>
            </w:pPr>
          </w:p>
        </w:tc>
      </w:tr>
      <w:tr w14:paraId="71976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3FA01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756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FD0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5E6C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51322325T000012347854-茂县河西小学小教师节慰问金</w:t>
            </w:r>
          </w:p>
        </w:tc>
      </w:tr>
      <w:tr w14:paraId="60F69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1A4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09DE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7CF11D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F0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73A16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CA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477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8C2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464AD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874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9AD77">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E9E4">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F7BB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茂府教【2025】64号，2025年第41个教师节、资金分配明细表。资金共计：139*400=77200元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27FD7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4F0F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A3F7B">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2B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459CE2">
            <w:pPr>
              <w:rPr>
                <w:rFonts w:hint="eastAsia" w:ascii="宋体" w:hAnsi="宋体" w:eastAsia="宋体" w:cs="宋体"/>
                <w:i w:val="0"/>
                <w:iCs w:val="0"/>
                <w:color w:val="000000"/>
                <w:sz w:val="18"/>
                <w:szCs w:val="18"/>
                <w:u w:val="none"/>
              </w:rPr>
            </w:pPr>
          </w:p>
        </w:tc>
      </w:tr>
      <w:tr w14:paraId="51583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6C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0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0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6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9C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7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A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2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0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BE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51C4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1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2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6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2CD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A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9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B5A6">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6C81F">
            <w:pPr>
              <w:rPr>
                <w:rFonts w:hint="eastAsia" w:ascii="黑体" w:hAnsi="黑体" w:eastAsia="黑体" w:cs="黑体"/>
                <w:i/>
                <w:iCs/>
                <w:color w:val="000000"/>
                <w:sz w:val="18"/>
                <w:szCs w:val="18"/>
                <w:u w:val="none"/>
              </w:rPr>
            </w:pPr>
          </w:p>
        </w:tc>
      </w:tr>
      <w:tr w14:paraId="75F7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FD8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0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B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5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4A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1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D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0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7D457">
            <w:pPr>
              <w:rPr>
                <w:rFonts w:hint="eastAsia" w:ascii="黑体" w:hAnsi="黑体" w:eastAsia="黑体" w:cs="黑体"/>
                <w:i/>
                <w:iCs/>
                <w:color w:val="000000"/>
                <w:sz w:val="18"/>
                <w:szCs w:val="18"/>
                <w:u w:val="none"/>
              </w:rPr>
            </w:pPr>
          </w:p>
        </w:tc>
      </w:tr>
      <w:tr w14:paraId="5D04D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29163">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8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1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3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56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A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5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4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974C">
            <w:pPr>
              <w:rPr>
                <w:rFonts w:hint="eastAsia" w:ascii="黑体" w:hAnsi="黑体" w:eastAsia="黑体" w:cs="黑体"/>
                <w:i/>
                <w:iCs/>
                <w:color w:val="000000"/>
                <w:sz w:val="18"/>
                <w:szCs w:val="18"/>
                <w:u w:val="none"/>
              </w:rPr>
            </w:pPr>
          </w:p>
        </w:tc>
      </w:tr>
      <w:tr w14:paraId="203C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078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B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1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8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FE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2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8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9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9D4F9">
            <w:pPr>
              <w:rPr>
                <w:rFonts w:hint="eastAsia" w:ascii="黑体" w:hAnsi="黑体" w:eastAsia="黑体" w:cs="黑体"/>
                <w:i/>
                <w:iCs/>
                <w:color w:val="000000"/>
                <w:sz w:val="18"/>
                <w:szCs w:val="18"/>
                <w:u w:val="none"/>
              </w:rPr>
            </w:pPr>
          </w:p>
        </w:tc>
      </w:tr>
      <w:tr w14:paraId="52B31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7483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8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F27A">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7CF6">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6215F">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D99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E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B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3265A">
            <w:pPr>
              <w:rPr>
                <w:rFonts w:hint="eastAsia" w:ascii="黑体" w:hAnsi="黑体" w:eastAsia="黑体" w:cs="黑体"/>
                <w:i/>
                <w:iCs/>
                <w:color w:val="000000"/>
                <w:sz w:val="18"/>
                <w:szCs w:val="18"/>
                <w:u w:val="none"/>
              </w:rPr>
            </w:pPr>
          </w:p>
        </w:tc>
      </w:tr>
      <w:tr w14:paraId="1B98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59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0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9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B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3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A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6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7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1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6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A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364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3B0BD">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2B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7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F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教职工、退休人数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D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4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EB1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7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C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9DE7">
            <w:pPr>
              <w:jc w:val="center"/>
              <w:rPr>
                <w:rFonts w:hint="eastAsia" w:ascii="微软雅黑" w:hAnsi="微软雅黑" w:eastAsia="微软雅黑" w:cs="微软雅黑"/>
                <w:i/>
                <w:iCs/>
                <w:color w:val="000000"/>
                <w:sz w:val="16"/>
                <w:szCs w:val="16"/>
                <w:u w:val="none"/>
              </w:rPr>
            </w:pPr>
          </w:p>
        </w:tc>
      </w:tr>
      <w:tr w14:paraId="3FC29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8CF90">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8C157">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5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7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3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3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025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F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2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0FAF">
            <w:pPr>
              <w:jc w:val="center"/>
              <w:rPr>
                <w:rFonts w:hint="eastAsia" w:ascii="微软雅黑" w:hAnsi="微软雅黑" w:eastAsia="微软雅黑" w:cs="微软雅黑"/>
                <w:i/>
                <w:iCs/>
                <w:color w:val="000000"/>
                <w:sz w:val="16"/>
                <w:szCs w:val="16"/>
                <w:u w:val="none"/>
              </w:rPr>
            </w:pPr>
          </w:p>
        </w:tc>
      </w:tr>
      <w:tr w14:paraId="5F9C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977FE">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B3FDC">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C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0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2025年9月完成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2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C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4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84C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5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C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D9AB">
            <w:pPr>
              <w:jc w:val="center"/>
              <w:rPr>
                <w:rFonts w:hint="eastAsia" w:ascii="微软雅黑" w:hAnsi="微软雅黑" w:eastAsia="微软雅黑" w:cs="微软雅黑"/>
                <w:i/>
                <w:iCs/>
                <w:color w:val="000000"/>
                <w:sz w:val="16"/>
                <w:szCs w:val="16"/>
                <w:u w:val="none"/>
              </w:rPr>
            </w:pPr>
          </w:p>
        </w:tc>
      </w:tr>
      <w:tr w14:paraId="6028E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544EF">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F9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F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8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保障在岗在职、退休人员享用</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F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0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4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921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2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5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2102">
            <w:pPr>
              <w:jc w:val="center"/>
              <w:rPr>
                <w:rFonts w:hint="eastAsia" w:ascii="微软雅黑" w:hAnsi="微软雅黑" w:eastAsia="微软雅黑" w:cs="微软雅黑"/>
                <w:i/>
                <w:iCs/>
                <w:color w:val="000000"/>
                <w:sz w:val="16"/>
                <w:szCs w:val="16"/>
                <w:u w:val="none"/>
              </w:rPr>
            </w:pPr>
          </w:p>
        </w:tc>
      </w:tr>
      <w:tr w14:paraId="1B7A6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22731">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DA3BF">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E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2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保障教师节正常开展</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8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C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1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BEC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C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D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33C3">
            <w:pPr>
              <w:jc w:val="center"/>
              <w:rPr>
                <w:rFonts w:hint="eastAsia" w:ascii="微软雅黑" w:hAnsi="微软雅黑" w:eastAsia="微软雅黑" w:cs="微软雅黑"/>
                <w:i/>
                <w:iCs/>
                <w:color w:val="000000"/>
                <w:sz w:val="16"/>
                <w:szCs w:val="16"/>
                <w:u w:val="none"/>
              </w:rPr>
            </w:pPr>
          </w:p>
        </w:tc>
      </w:tr>
      <w:tr w14:paraId="2589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203DF">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E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D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E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0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3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3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97C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F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A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DF69">
            <w:pPr>
              <w:jc w:val="center"/>
              <w:rPr>
                <w:rFonts w:hint="eastAsia" w:ascii="微软雅黑" w:hAnsi="微软雅黑" w:eastAsia="微软雅黑" w:cs="微软雅黑"/>
                <w:i/>
                <w:iCs/>
                <w:color w:val="000000"/>
                <w:sz w:val="16"/>
                <w:szCs w:val="16"/>
                <w:u w:val="none"/>
              </w:rPr>
            </w:pPr>
          </w:p>
        </w:tc>
      </w:tr>
      <w:tr w14:paraId="108CB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F785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8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C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5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财政全额保障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9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B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4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8D6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B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4B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BDC7">
            <w:pPr>
              <w:jc w:val="center"/>
              <w:rPr>
                <w:rFonts w:hint="eastAsia" w:ascii="微软雅黑" w:hAnsi="微软雅黑" w:eastAsia="微软雅黑" w:cs="微软雅黑"/>
                <w:i/>
                <w:iCs/>
                <w:color w:val="000000"/>
                <w:sz w:val="16"/>
                <w:szCs w:val="16"/>
                <w:u w:val="none"/>
              </w:rPr>
            </w:pPr>
          </w:p>
        </w:tc>
      </w:tr>
      <w:tr w14:paraId="7578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350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9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447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05DE">
            <w:pPr>
              <w:rPr>
                <w:rFonts w:hint="eastAsia" w:ascii="宋体" w:hAnsi="宋体" w:eastAsia="宋体" w:cs="宋体"/>
                <w:i w:val="0"/>
                <w:iCs w:val="0"/>
                <w:color w:val="000000"/>
                <w:sz w:val="18"/>
                <w:szCs w:val="18"/>
                <w:u w:val="none"/>
              </w:rPr>
            </w:pPr>
          </w:p>
        </w:tc>
      </w:tr>
      <w:tr w14:paraId="60DA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5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44EA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为充分体现党和政府对广大教师的关怀，弘扬中华民族“尊尊师重教”传统美德，维护社会稳定。</w:t>
            </w:r>
          </w:p>
        </w:tc>
      </w:tr>
      <w:tr w14:paraId="0EBA8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6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65DF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教师节慰问退休人员经费遵循属地管理原则，做好预算工作，确保教师节慰问活动的开展。</w:t>
            </w:r>
          </w:p>
        </w:tc>
      </w:tr>
      <w:tr w14:paraId="2B83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7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3A87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总结经验，查找不足，为项目在以后年度的开展提供可行性参考建议。在此基础上，重点分析项目预算编制的合理性、成本支出的真实性和控制有效性，以评价财政资金的使用效率和效果，为以后年度编制项目预算、选择项目实施主体等提供参考依据。</w:t>
            </w:r>
          </w:p>
        </w:tc>
      </w:tr>
      <w:tr w14:paraId="090B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033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AECE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r w14:paraId="232B9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tcBorders>
              <w:top w:val="nil"/>
              <w:left w:val="nil"/>
              <w:bottom w:val="nil"/>
              <w:right w:val="nil"/>
            </w:tcBorders>
            <w:shd w:val="clear" w:color="auto" w:fill="auto"/>
            <w:vAlign w:val="center"/>
          </w:tcPr>
          <w:p w14:paraId="4F49B7B1">
            <w:pPr>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auto"/>
            <w:vAlign w:val="center"/>
          </w:tcPr>
          <w:p w14:paraId="172DC461">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6DBEE4B3">
            <w:pPr>
              <w:rPr>
                <w:rFonts w:hint="eastAsia" w:ascii="宋体" w:hAnsi="宋体" w:eastAsia="宋体" w:cs="宋体"/>
                <w:i w:val="0"/>
                <w:iCs w:val="0"/>
                <w:color w:val="000000"/>
                <w:sz w:val="18"/>
                <w:szCs w:val="18"/>
                <w:u w:val="none"/>
              </w:rPr>
            </w:pPr>
          </w:p>
        </w:tc>
        <w:tc>
          <w:tcPr>
            <w:tcW w:w="1470" w:type="dxa"/>
            <w:tcBorders>
              <w:top w:val="nil"/>
              <w:left w:val="nil"/>
              <w:bottom w:val="nil"/>
              <w:right w:val="nil"/>
            </w:tcBorders>
            <w:shd w:val="clear" w:color="auto" w:fill="auto"/>
            <w:vAlign w:val="center"/>
          </w:tcPr>
          <w:p w14:paraId="1F463176">
            <w:pPr>
              <w:rPr>
                <w:rFonts w:hint="eastAsia" w:ascii="宋体" w:hAnsi="宋体" w:eastAsia="宋体" w:cs="宋体"/>
                <w:i w:val="0"/>
                <w:iCs w:val="0"/>
                <w:color w:val="000000"/>
                <w:sz w:val="18"/>
                <w:szCs w:val="18"/>
                <w:u w:val="none"/>
              </w:rPr>
            </w:pPr>
          </w:p>
        </w:tc>
        <w:tc>
          <w:tcPr>
            <w:tcW w:w="477" w:type="dxa"/>
            <w:tcBorders>
              <w:top w:val="nil"/>
              <w:left w:val="nil"/>
              <w:bottom w:val="nil"/>
              <w:right w:val="nil"/>
            </w:tcBorders>
            <w:shd w:val="clear" w:color="auto" w:fill="auto"/>
            <w:vAlign w:val="center"/>
          </w:tcPr>
          <w:p w14:paraId="7F9B8D72">
            <w:pPr>
              <w:rPr>
                <w:rFonts w:hint="eastAsia" w:ascii="宋体" w:hAnsi="宋体" w:eastAsia="宋体" w:cs="宋体"/>
                <w:i w:val="0"/>
                <w:iCs w:val="0"/>
                <w:color w:val="000000"/>
                <w:sz w:val="18"/>
                <w:szCs w:val="18"/>
                <w:u w:val="none"/>
              </w:rPr>
            </w:pPr>
          </w:p>
        </w:tc>
        <w:tc>
          <w:tcPr>
            <w:tcW w:w="820" w:type="dxa"/>
            <w:tcBorders>
              <w:top w:val="nil"/>
              <w:left w:val="nil"/>
              <w:bottom w:val="nil"/>
              <w:right w:val="nil"/>
            </w:tcBorders>
            <w:shd w:val="clear" w:color="auto" w:fill="auto"/>
            <w:vAlign w:val="center"/>
          </w:tcPr>
          <w:p w14:paraId="4E977B57">
            <w:pPr>
              <w:rPr>
                <w:rFonts w:hint="eastAsia" w:ascii="宋体" w:hAnsi="宋体" w:eastAsia="宋体" w:cs="宋体"/>
                <w:i w:val="0"/>
                <w:iCs w:val="0"/>
                <w:color w:val="000000"/>
                <w:sz w:val="18"/>
                <w:szCs w:val="18"/>
                <w:u w:val="none"/>
              </w:rPr>
            </w:pPr>
          </w:p>
        </w:tc>
        <w:tc>
          <w:tcPr>
            <w:tcW w:w="290" w:type="dxa"/>
            <w:tcBorders>
              <w:top w:val="nil"/>
              <w:left w:val="nil"/>
              <w:bottom w:val="nil"/>
              <w:right w:val="nil"/>
            </w:tcBorders>
            <w:shd w:val="clear" w:color="auto" w:fill="auto"/>
            <w:vAlign w:val="center"/>
          </w:tcPr>
          <w:p w14:paraId="302433DE">
            <w:pPr>
              <w:rPr>
                <w:rFonts w:hint="eastAsia" w:ascii="宋体" w:hAnsi="宋体" w:eastAsia="宋体" w:cs="宋体"/>
                <w:i w:val="0"/>
                <w:iCs w:val="0"/>
                <w:color w:val="000000"/>
                <w:sz w:val="18"/>
                <w:szCs w:val="18"/>
                <w:u w:val="none"/>
              </w:rPr>
            </w:pPr>
          </w:p>
        </w:tc>
        <w:tc>
          <w:tcPr>
            <w:tcW w:w="730" w:type="dxa"/>
            <w:tcBorders>
              <w:top w:val="nil"/>
              <w:left w:val="nil"/>
              <w:bottom w:val="nil"/>
              <w:right w:val="nil"/>
            </w:tcBorders>
            <w:shd w:val="clear" w:color="auto" w:fill="auto"/>
            <w:vAlign w:val="center"/>
          </w:tcPr>
          <w:p w14:paraId="62832C3C">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5B84D9D9">
            <w:pPr>
              <w:rPr>
                <w:rFonts w:hint="eastAsia" w:ascii="宋体" w:hAnsi="宋体" w:eastAsia="宋体" w:cs="宋体"/>
                <w:i w:val="0"/>
                <w:iCs w:val="0"/>
                <w:color w:val="000000"/>
                <w:sz w:val="18"/>
                <w:szCs w:val="18"/>
                <w:u w:val="none"/>
              </w:rPr>
            </w:pPr>
          </w:p>
        </w:tc>
        <w:tc>
          <w:tcPr>
            <w:tcW w:w="370" w:type="dxa"/>
            <w:tcBorders>
              <w:top w:val="nil"/>
              <w:left w:val="nil"/>
              <w:bottom w:val="nil"/>
              <w:right w:val="nil"/>
            </w:tcBorders>
            <w:shd w:val="clear" w:color="auto" w:fill="auto"/>
            <w:vAlign w:val="center"/>
          </w:tcPr>
          <w:p w14:paraId="70592991">
            <w:pPr>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auto"/>
            <w:vAlign w:val="center"/>
          </w:tcPr>
          <w:p w14:paraId="28639DD5">
            <w:pPr>
              <w:rPr>
                <w:rFonts w:hint="eastAsia" w:ascii="宋体" w:hAnsi="宋体" w:eastAsia="宋体" w:cs="宋体"/>
                <w:i w:val="0"/>
                <w:iCs w:val="0"/>
                <w:color w:val="000000"/>
                <w:sz w:val="18"/>
                <w:szCs w:val="18"/>
                <w:u w:val="none"/>
              </w:rPr>
            </w:pPr>
          </w:p>
        </w:tc>
      </w:tr>
      <w:tr w14:paraId="1568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935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170FB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5F5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6B2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AC9E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51322325T000013979414-六一儿童节慰问金</w:t>
            </w:r>
          </w:p>
        </w:tc>
      </w:tr>
      <w:tr w14:paraId="2B5E7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D92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12DF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30" w:type="dxa"/>
            <w:tcBorders>
              <w:top w:val="nil"/>
              <w:left w:val="nil"/>
              <w:bottom w:val="nil"/>
              <w:right w:val="nil"/>
            </w:tcBorders>
            <w:shd w:val="clear" w:color="auto" w:fill="auto"/>
            <w:vAlign w:val="center"/>
          </w:tcPr>
          <w:p w14:paraId="721696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EB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茂县河西小学</w:t>
            </w:r>
          </w:p>
        </w:tc>
      </w:tr>
      <w:tr w14:paraId="531D9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D66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218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AAF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BDEB9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7A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1B345">
            <w:pP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12C29">
            <w:pPr>
              <w:rPr>
                <w:rFonts w:hint="eastAsia" w:ascii="宋体" w:hAnsi="宋体" w:eastAsia="宋体" w:cs="宋体"/>
                <w:i w:val="0"/>
                <w:iCs w:val="0"/>
                <w:color w:val="000000"/>
                <w:sz w:val="18"/>
                <w:szCs w:val="18"/>
                <w:u w:val="none"/>
              </w:rPr>
            </w:pPr>
          </w:p>
        </w:tc>
        <w:tc>
          <w:tcPr>
            <w:tcW w:w="46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FBA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阿州财教（2025）29号关于下达，2025年六一儿童慰问金：10000元。</w:t>
            </w:r>
          </w:p>
        </w:tc>
        <w:tc>
          <w:tcPr>
            <w:tcW w:w="2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82075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w:t>
            </w:r>
          </w:p>
        </w:tc>
      </w:tr>
      <w:tr w14:paraId="2427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EE0FE">
            <w:pP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BD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725644">
            <w:pPr>
              <w:rPr>
                <w:rFonts w:hint="eastAsia" w:ascii="宋体" w:hAnsi="宋体" w:eastAsia="宋体" w:cs="宋体"/>
                <w:i w:val="0"/>
                <w:iCs w:val="0"/>
                <w:color w:val="000000"/>
                <w:sz w:val="18"/>
                <w:szCs w:val="18"/>
                <w:u w:val="none"/>
              </w:rPr>
            </w:pPr>
          </w:p>
        </w:tc>
      </w:tr>
      <w:tr w14:paraId="36D6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60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4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7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2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75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C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E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3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6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1955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9A18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7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B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A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1B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D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E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92E6">
            <w:pPr>
              <w:jc w:val="center"/>
              <w:rPr>
                <w:rFonts w:hint="eastAsia" w:ascii="宋体" w:hAnsi="宋体" w:eastAsia="宋体" w:cs="宋体"/>
                <w:i w:val="0"/>
                <w:iCs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323AA">
            <w:pPr>
              <w:rPr>
                <w:rFonts w:hint="eastAsia" w:ascii="黑体" w:hAnsi="黑体" w:eastAsia="黑体" w:cs="黑体"/>
                <w:i/>
                <w:iCs/>
                <w:color w:val="000000"/>
                <w:sz w:val="18"/>
                <w:szCs w:val="18"/>
                <w:u w:val="none"/>
              </w:rPr>
            </w:pPr>
          </w:p>
        </w:tc>
      </w:tr>
      <w:tr w14:paraId="4D742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4180">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B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3E0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2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F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1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EAF11">
            <w:pPr>
              <w:rPr>
                <w:rFonts w:hint="eastAsia" w:ascii="黑体" w:hAnsi="黑体" w:eastAsia="黑体" w:cs="黑体"/>
                <w:i/>
                <w:iCs/>
                <w:color w:val="000000"/>
                <w:sz w:val="18"/>
                <w:szCs w:val="18"/>
                <w:u w:val="none"/>
              </w:rPr>
            </w:pPr>
          </w:p>
        </w:tc>
      </w:tr>
      <w:tr w14:paraId="2BBD0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28D92">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6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1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F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E5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4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A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3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D5AEA">
            <w:pPr>
              <w:rPr>
                <w:rFonts w:hint="eastAsia" w:ascii="黑体" w:hAnsi="黑体" w:eastAsia="黑体" w:cs="黑体"/>
                <w:i/>
                <w:iCs/>
                <w:color w:val="000000"/>
                <w:sz w:val="18"/>
                <w:szCs w:val="18"/>
                <w:u w:val="none"/>
              </w:rPr>
            </w:pPr>
          </w:p>
        </w:tc>
      </w:tr>
      <w:tr w14:paraId="50B1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C660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2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7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7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46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C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C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3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3A64C">
            <w:pPr>
              <w:rPr>
                <w:rFonts w:hint="eastAsia" w:ascii="黑体" w:hAnsi="黑体" w:eastAsia="黑体" w:cs="黑体"/>
                <w:i/>
                <w:iCs/>
                <w:color w:val="000000"/>
                <w:sz w:val="18"/>
                <w:szCs w:val="18"/>
                <w:u w:val="none"/>
              </w:rPr>
            </w:pPr>
          </w:p>
        </w:tc>
      </w:tr>
      <w:tr w14:paraId="299E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378A9">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3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AEC6">
            <w:pPr>
              <w:jc w:val="center"/>
              <w:rPr>
                <w:rFonts w:hint="eastAsia" w:ascii="微软雅黑" w:hAnsi="微软雅黑" w:eastAsia="微软雅黑" w:cs="微软雅黑"/>
                <w:i/>
                <w:iCs/>
                <w:color w:val="000000"/>
                <w:sz w:val="16"/>
                <w:szCs w:val="16"/>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9A47">
            <w:pPr>
              <w:jc w:val="center"/>
              <w:rPr>
                <w:rFonts w:hint="eastAsia" w:ascii="微软雅黑" w:hAnsi="微软雅黑" w:eastAsia="微软雅黑" w:cs="微软雅黑"/>
                <w:i/>
                <w:iCs/>
                <w:color w:val="000000"/>
                <w:sz w:val="16"/>
                <w:szCs w:val="16"/>
                <w:u w:val="none"/>
              </w:rPr>
            </w:pPr>
          </w:p>
        </w:tc>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BFE754">
            <w:pPr>
              <w:jc w:val="center"/>
              <w:rPr>
                <w:rFonts w:hint="eastAsia" w:ascii="微软雅黑" w:hAnsi="微软雅黑" w:eastAsia="微软雅黑" w:cs="微软雅黑"/>
                <w:i/>
                <w:iCs/>
                <w:color w:val="000000"/>
                <w:sz w:val="16"/>
                <w:szCs w:val="16"/>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C76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7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E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C4387">
            <w:pPr>
              <w:rPr>
                <w:rFonts w:hint="eastAsia" w:ascii="黑体" w:hAnsi="黑体" w:eastAsia="黑体" w:cs="黑体"/>
                <w:i/>
                <w:iCs/>
                <w:color w:val="000000"/>
                <w:sz w:val="18"/>
                <w:szCs w:val="18"/>
                <w:u w:val="none"/>
              </w:rPr>
            </w:pPr>
          </w:p>
        </w:tc>
      </w:tr>
      <w:tr w14:paraId="48C7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B0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D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1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F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8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5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5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0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1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E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D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C0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CFB82">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82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B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4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0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2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2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B4E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8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0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B465">
            <w:pPr>
              <w:jc w:val="center"/>
              <w:rPr>
                <w:rFonts w:hint="eastAsia" w:ascii="微软雅黑" w:hAnsi="微软雅黑" w:eastAsia="微软雅黑" w:cs="微软雅黑"/>
                <w:i/>
                <w:iCs/>
                <w:color w:val="000000"/>
                <w:sz w:val="16"/>
                <w:szCs w:val="16"/>
                <w:u w:val="none"/>
              </w:rPr>
            </w:pPr>
          </w:p>
        </w:tc>
      </w:tr>
      <w:tr w14:paraId="4B8E4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ADEB4">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B9E73">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7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B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保障六一资金支付合规率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6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4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0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3A4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5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5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0402">
            <w:pPr>
              <w:jc w:val="center"/>
              <w:rPr>
                <w:rFonts w:hint="eastAsia" w:ascii="微软雅黑" w:hAnsi="微软雅黑" w:eastAsia="微软雅黑" w:cs="微软雅黑"/>
                <w:i/>
                <w:iCs/>
                <w:color w:val="000000"/>
                <w:sz w:val="16"/>
                <w:szCs w:val="16"/>
                <w:u w:val="none"/>
              </w:rPr>
            </w:pPr>
          </w:p>
        </w:tc>
      </w:tr>
      <w:tr w14:paraId="3E52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EEA4C">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C5042">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E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1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0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9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D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D10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9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F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F941">
            <w:pPr>
              <w:jc w:val="center"/>
              <w:rPr>
                <w:rFonts w:hint="eastAsia" w:ascii="微软雅黑" w:hAnsi="微软雅黑" w:eastAsia="微软雅黑" w:cs="微软雅黑"/>
                <w:i/>
                <w:iCs/>
                <w:color w:val="000000"/>
                <w:sz w:val="16"/>
                <w:szCs w:val="16"/>
                <w:u w:val="none"/>
              </w:rPr>
            </w:pPr>
          </w:p>
        </w:tc>
      </w:tr>
      <w:tr w14:paraId="1491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3B194">
            <w:pPr>
              <w:jc w:val="center"/>
              <w:rPr>
                <w:rFonts w:hint="eastAsia" w:ascii="宋体" w:hAnsi="宋体" w:eastAsia="宋体" w:cs="宋体"/>
                <w:i w:val="0"/>
                <w:iCs w:val="0"/>
                <w:color w:val="000000"/>
                <w:sz w:val="18"/>
                <w:szCs w:val="18"/>
                <w:u w:val="none"/>
              </w:rPr>
            </w:pP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78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A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9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六一儿童节慰问金足额支付，充分保障</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E4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C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5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8EF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A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7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2201">
            <w:pPr>
              <w:jc w:val="center"/>
              <w:rPr>
                <w:rFonts w:hint="eastAsia" w:ascii="微软雅黑" w:hAnsi="微软雅黑" w:eastAsia="微软雅黑" w:cs="微软雅黑"/>
                <w:i/>
                <w:iCs/>
                <w:color w:val="000000"/>
                <w:sz w:val="16"/>
                <w:szCs w:val="16"/>
                <w:u w:val="none"/>
              </w:rPr>
            </w:pPr>
          </w:p>
        </w:tc>
      </w:tr>
      <w:tr w14:paraId="05999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2F7DF">
            <w:pPr>
              <w:jc w:val="center"/>
              <w:rPr>
                <w:rFonts w:hint="eastAsia" w:ascii="宋体" w:hAnsi="宋体" w:eastAsia="宋体" w:cs="宋体"/>
                <w:i w:val="0"/>
                <w:iCs w:val="0"/>
                <w:color w:val="000000"/>
                <w:sz w:val="18"/>
                <w:szCs w:val="18"/>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146C">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9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C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学校活动覆盖率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8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3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5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B5A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A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B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5B43">
            <w:pPr>
              <w:jc w:val="center"/>
              <w:rPr>
                <w:rFonts w:hint="eastAsia" w:ascii="微软雅黑" w:hAnsi="微软雅黑" w:eastAsia="微软雅黑" w:cs="微软雅黑"/>
                <w:i/>
                <w:iCs/>
                <w:color w:val="000000"/>
                <w:sz w:val="16"/>
                <w:szCs w:val="16"/>
                <w:u w:val="none"/>
              </w:rPr>
            </w:pPr>
          </w:p>
        </w:tc>
      </w:tr>
      <w:tr w14:paraId="1B80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2414C">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A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6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5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6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8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C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D22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D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5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9259">
            <w:pPr>
              <w:jc w:val="center"/>
              <w:rPr>
                <w:rFonts w:hint="eastAsia" w:ascii="微软雅黑" w:hAnsi="微软雅黑" w:eastAsia="微软雅黑" w:cs="微软雅黑"/>
                <w:i/>
                <w:iCs/>
                <w:color w:val="000000"/>
                <w:sz w:val="16"/>
                <w:szCs w:val="16"/>
                <w:u w:val="none"/>
              </w:rPr>
            </w:pPr>
          </w:p>
        </w:tc>
      </w:tr>
      <w:tr w14:paraId="36E1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79F7D">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C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D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2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E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6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9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742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7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9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9E2A">
            <w:pPr>
              <w:jc w:val="center"/>
              <w:rPr>
                <w:rFonts w:hint="eastAsia" w:ascii="微软雅黑" w:hAnsi="微软雅黑" w:eastAsia="微软雅黑" w:cs="微软雅黑"/>
                <w:i/>
                <w:iCs/>
                <w:color w:val="000000"/>
                <w:sz w:val="16"/>
                <w:szCs w:val="16"/>
                <w:u w:val="none"/>
              </w:rPr>
            </w:pPr>
          </w:p>
        </w:tc>
      </w:tr>
      <w:tr w14:paraId="37AF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ABE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D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8A3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F1DA">
            <w:pPr>
              <w:rPr>
                <w:rFonts w:hint="eastAsia" w:ascii="宋体" w:hAnsi="宋体" w:eastAsia="宋体" w:cs="宋体"/>
                <w:i w:val="0"/>
                <w:iCs w:val="0"/>
                <w:color w:val="000000"/>
                <w:sz w:val="18"/>
                <w:szCs w:val="18"/>
                <w:u w:val="none"/>
              </w:rPr>
            </w:pPr>
          </w:p>
        </w:tc>
      </w:tr>
      <w:tr w14:paraId="5E15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3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141E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为充分体现党和政府对广大少年儿童的关怀，维护社会稳定。</w:t>
            </w:r>
          </w:p>
        </w:tc>
      </w:tr>
      <w:tr w14:paraId="20E1A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6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E498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儿童节少年儿童在校慰问原则，做好预算工作，确保儿童节慰问活动的开展。</w:t>
            </w:r>
          </w:p>
        </w:tc>
      </w:tr>
      <w:tr w14:paraId="2473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3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E350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总结经验，查找不足，为项目在以后年度的开展提供可行性参考建议。在此基础上，重点分析项目预算编制的合理性、成本支出的真实性和控制有效性，以评价财政资金的使用效率和效果，为以后年度编制项目预算、选择项目实施主体等提供参考依据。</w:t>
            </w:r>
          </w:p>
        </w:tc>
      </w:tr>
      <w:tr w14:paraId="4BE09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7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D42D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项目负责人：黄勇</w:t>
            </w:r>
          </w:p>
        </w:tc>
        <w:tc>
          <w:tcPr>
            <w:tcW w:w="35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F6E5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财务负责人：刘之龙</w:t>
            </w:r>
          </w:p>
        </w:tc>
      </w:tr>
    </w:tbl>
    <w:p w14:paraId="60DA63A6">
      <w:pPr>
        <w:rPr>
          <w:rStyle w:val="37"/>
          <w:rFonts w:hint="eastAsia" w:ascii="黑体" w:hAnsi="黑体" w:eastAsia="黑体"/>
          <w:b w:val="0"/>
          <w:color w:val="auto"/>
          <w:highlight w:val="none"/>
        </w:rPr>
      </w:pPr>
      <w:r>
        <w:rPr>
          <w:rStyle w:val="37"/>
          <w:rFonts w:hint="eastAsia" w:ascii="黑体" w:hAnsi="黑体" w:eastAsia="黑体"/>
          <w:b w:val="0"/>
          <w:color w:val="auto"/>
          <w:highlight w:val="none"/>
        </w:rPr>
        <w:br w:type="page"/>
      </w:r>
    </w:p>
    <w:p w14:paraId="1DD58993">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4"/>
      <w:bookmarkEnd w:id="75"/>
      <w:bookmarkEnd w:id="76"/>
      <w:bookmarkEnd w:id="77"/>
    </w:p>
    <w:p w14:paraId="39407B2D">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78" w:name="_Toc16431"/>
      <w:r>
        <w:rPr>
          <w:rFonts w:hint="eastAsia" w:ascii="仿宋_GB2312" w:hAnsi="Calibri" w:eastAsia="仿宋_GB2312" w:cs="仿宋"/>
          <w:b w:val="0"/>
          <w:bCs w:val="0"/>
          <w:color w:val="auto"/>
          <w:kern w:val="2"/>
          <w:sz w:val="32"/>
          <w:szCs w:val="32"/>
          <w:highlight w:val="none"/>
          <w:lang w:val="en-US" w:eastAsia="zh-CN" w:bidi="ar-SA"/>
        </w:rPr>
        <w:t>一、收入支出决算总表</w:t>
      </w:r>
      <w:bookmarkEnd w:id="78"/>
    </w:p>
    <w:p w14:paraId="2B7DC4AC">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79" w:name="_Toc25389"/>
      <w:r>
        <w:rPr>
          <w:rFonts w:hint="eastAsia" w:ascii="仿宋_GB2312" w:hAnsi="Calibri" w:eastAsia="仿宋_GB2312" w:cs="仿宋"/>
          <w:b w:val="0"/>
          <w:bCs w:val="0"/>
          <w:color w:val="auto"/>
          <w:kern w:val="2"/>
          <w:sz w:val="32"/>
          <w:szCs w:val="32"/>
          <w:highlight w:val="none"/>
          <w:lang w:val="en-US" w:eastAsia="zh-CN" w:bidi="ar-SA"/>
        </w:rPr>
        <w:t>二、收入决算表</w:t>
      </w:r>
      <w:bookmarkEnd w:id="79"/>
    </w:p>
    <w:p w14:paraId="7858E927">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0" w:name="_Toc10450"/>
      <w:r>
        <w:rPr>
          <w:rFonts w:hint="eastAsia" w:ascii="仿宋_GB2312" w:hAnsi="Calibri" w:eastAsia="仿宋_GB2312" w:cs="仿宋"/>
          <w:b w:val="0"/>
          <w:bCs w:val="0"/>
          <w:color w:val="auto"/>
          <w:kern w:val="2"/>
          <w:sz w:val="32"/>
          <w:szCs w:val="32"/>
          <w:highlight w:val="none"/>
          <w:lang w:val="en-US" w:eastAsia="zh-CN" w:bidi="ar-SA"/>
        </w:rPr>
        <w:t>三、支出决算表</w:t>
      </w:r>
      <w:bookmarkEnd w:id="80"/>
    </w:p>
    <w:p w14:paraId="31EC7FA5">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1" w:name="_Toc15415"/>
      <w:r>
        <w:rPr>
          <w:rFonts w:hint="eastAsia" w:ascii="仿宋_GB2312" w:hAnsi="Calibri" w:eastAsia="仿宋_GB2312" w:cs="仿宋"/>
          <w:b w:val="0"/>
          <w:bCs w:val="0"/>
          <w:color w:val="auto"/>
          <w:kern w:val="2"/>
          <w:sz w:val="32"/>
          <w:szCs w:val="32"/>
          <w:highlight w:val="none"/>
          <w:lang w:val="en-US" w:eastAsia="zh-CN" w:bidi="ar-SA"/>
        </w:rPr>
        <w:t>四、财政拨款收入支出决算总表</w:t>
      </w:r>
      <w:bookmarkEnd w:id="81"/>
    </w:p>
    <w:p w14:paraId="4A2F30BB">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2" w:name="_Toc17530"/>
      <w:r>
        <w:rPr>
          <w:rFonts w:hint="eastAsia" w:ascii="仿宋_GB2312" w:hAnsi="Calibri" w:eastAsia="仿宋_GB2312" w:cs="仿宋"/>
          <w:b w:val="0"/>
          <w:bCs w:val="0"/>
          <w:color w:val="auto"/>
          <w:kern w:val="2"/>
          <w:sz w:val="32"/>
          <w:szCs w:val="32"/>
          <w:highlight w:val="none"/>
          <w:lang w:val="en-US" w:eastAsia="zh-CN" w:bidi="ar-SA"/>
        </w:rPr>
        <w:t>五、财政拨款支出决算明细表</w:t>
      </w:r>
      <w:bookmarkEnd w:id="82"/>
    </w:p>
    <w:p w14:paraId="712C880D">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3" w:name="_Toc22032"/>
      <w:r>
        <w:rPr>
          <w:rFonts w:hint="eastAsia" w:ascii="仿宋_GB2312" w:hAnsi="Calibri" w:eastAsia="仿宋_GB2312" w:cs="仿宋"/>
          <w:b w:val="0"/>
          <w:bCs w:val="0"/>
          <w:color w:val="auto"/>
          <w:kern w:val="2"/>
          <w:sz w:val="32"/>
          <w:szCs w:val="32"/>
          <w:highlight w:val="none"/>
          <w:lang w:val="en-US" w:eastAsia="zh-CN" w:bidi="ar-SA"/>
        </w:rPr>
        <w:t>六、一般公共预算财政拨款支出决算表</w:t>
      </w:r>
      <w:bookmarkEnd w:id="83"/>
    </w:p>
    <w:p w14:paraId="51429EF5">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4" w:name="_Toc3364"/>
      <w:r>
        <w:rPr>
          <w:rFonts w:hint="eastAsia" w:ascii="仿宋_GB2312" w:hAnsi="Calibri" w:eastAsia="仿宋_GB2312" w:cs="仿宋"/>
          <w:b w:val="0"/>
          <w:bCs w:val="0"/>
          <w:color w:val="auto"/>
          <w:kern w:val="2"/>
          <w:sz w:val="32"/>
          <w:szCs w:val="32"/>
          <w:highlight w:val="none"/>
          <w:lang w:val="en-US" w:eastAsia="zh-CN" w:bidi="ar-SA"/>
        </w:rPr>
        <w:t>七、一般公共预算财政拨款支出决算明细表</w:t>
      </w:r>
      <w:bookmarkEnd w:id="84"/>
    </w:p>
    <w:p w14:paraId="672B9B4D">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5" w:name="_Toc9110"/>
      <w:r>
        <w:rPr>
          <w:rFonts w:hint="eastAsia" w:ascii="仿宋_GB2312" w:hAnsi="Calibri" w:eastAsia="仿宋_GB2312" w:cs="仿宋"/>
          <w:b w:val="0"/>
          <w:bCs w:val="0"/>
          <w:color w:val="auto"/>
          <w:kern w:val="2"/>
          <w:sz w:val="32"/>
          <w:szCs w:val="32"/>
          <w:highlight w:val="none"/>
          <w:lang w:val="en-US" w:eastAsia="zh-CN" w:bidi="ar-SA"/>
        </w:rPr>
        <w:t>八、一般公共预算财政拨款基本支出决算表</w:t>
      </w:r>
      <w:bookmarkEnd w:id="85"/>
    </w:p>
    <w:p w14:paraId="2002A273">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6" w:name="_Toc28582"/>
      <w:r>
        <w:rPr>
          <w:rFonts w:hint="eastAsia" w:ascii="仿宋_GB2312" w:hAnsi="Calibri" w:eastAsia="仿宋_GB2312" w:cs="仿宋"/>
          <w:b w:val="0"/>
          <w:bCs w:val="0"/>
          <w:color w:val="auto"/>
          <w:kern w:val="2"/>
          <w:sz w:val="32"/>
          <w:szCs w:val="32"/>
          <w:highlight w:val="none"/>
          <w:lang w:val="en-US" w:eastAsia="zh-CN" w:bidi="ar-SA"/>
        </w:rPr>
        <w:t>九、一般公共预算财政拨款项目支出决算表</w:t>
      </w:r>
      <w:bookmarkEnd w:id="86"/>
    </w:p>
    <w:p w14:paraId="0A36D281">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7" w:name="_Toc22001"/>
      <w:r>
        <w:rPr>
          <w:rFonts w:hint="eastAsia" w:ascii="仿宋_GB2312" w:hAnsi="Calibri" w:eastAsia="仿宋_GB2312" w:cs="仿宋"/>
          <w:b w:val="0"/>
          <w:bCs w:val="0"/>
          <w:color w:val="auto"/>
          <w:kern w:val="2"/>
          <w:sz w:val="32"/>
          <w:szCs w:val="32"/>
          <w:highlight w:val="none"/>
          <w:lang w:val="en-US" w:eastAsia="zh-CN" w:bidi="ar-SA"/>
        </w:rPr>
        <w:t>十、政府性基金预算财政拨款收入支出决算表</w:t>
      </w:r>
      <w:bookmarkEnd w:id="87"/>
    </w:p>
    <w:p w14:paraId="0BD12BAB">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8" w:name="_Toc6538"/>
      <w:r>
        <w:rPr>
          <w:rFonts w:hint="eastAsia" w:ascii="仿宋_GB2312" w:hAnsi="Calibri" w:eastAsia="仿宋_GB2312" w:cs="仿宋"/>
          <w:b w:val="0"/>
          <w:bCs w:val="0"/>
          <w:color w:val="auto"/>
          <w:kern w:val="2"/>
          <w:sz w:val="32"/>
          <w:szCs w:val="32"/>
          <w:highlight w:val="none"/>
          <w:lang w:val="en-US" w:eastAsia="zh-CN" w:bidi="ar-SA"/>
        </w:rPr>
        <w:t>十一、国有资本经营预算财政拨款收入支出决算表</w:t>
      </w:r>
      <w:bookmarkEnd w:id="88"/>
    </w:p>
    <w:p w14:paraId="124CF2DF">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89" w:name="_Toc10625"/>
      <w:r>
        <w:rPr>
          <w:rFonts w:hint="eastAsia" w:ascii="仿宋_GB2312" w:hAnsi="Calibri" w:eastAsia="仿宋_GB2312" w:cs="仿宋"/>
          <w:b w:val="0"/>
          <w:bCs w:val="0"/>
          <w:color w:val="auto"/>
          <w:kern w:val="2"/>
          <w:sz w:val="32"/>
          <w:szCs w:val="32"/>
          <w:highlight w:val="none"/>
          <w:lang w:val="en-US" w:eastAsia="zh-CN" w:bidi="ar-SA"/>
        </w:rPr>
        <w:t>十二、国有资本经营预算财政拨款支出决算表</w:t>
      </w:r>
      <w:bookmarkEnd w:id="89"/>
    </w:p>
    <w:p w14:paraId="39A925A5">
      <w:pPr>
        <w:pStyle w:val="6"/>
        <w:ind w:firstLine="640" w:firstLineChars="200"/>
        <w:rPr>
          <w:rFonts w:hint="eastAsia" w:ascii="仿宋_GB2312" w:hAnsi="Calibri" w:eastAsia="仿宋_GB2312" w:cs="仿宋"/>
          <w:b w:val="0"/>
          <w:bCs w:val="0"/>
          <w:color w:val="auto"/>
          <w:kern w:val="2"/>
          <w:sz w:val="32"/>
          <w:szCs w:val="32"/>
          <w:highlight w:val="none"/>
          <w:lang w:val="en-US" w:eastAsia="zh-CN" w:bidi="ar-SA"/>
        </w:rPr>
      </w:pPr>
      <w:bookmarkStart w:id="90" w:name="_Toc28356"/>
      <w:r>
        <w:rPr>
          <w:rFonts w:hint="eastAsia" w:ascii="仿宋_GB2312" w:hAnsi="Calibri" w:eastAsia="仿宋_GB2312" w:cs="仿宋"/>
          <w:b w:val="0"/>
          <w:bCs w:val="0"/>
          <w:color w:val="auto"/>
          <w:kern w:val="2"/>
          <w:sz w:val="32"/>
          <w:szCs w:val="32"/>
          <w:highlight w:val="none"/>
          <w:lang w:val="en-US" w:eastAsia="zh-CN" w:bidi="ar-SA"/>
        </w:rPr>
        <w:t>十三、财政拨款“三公”经费支出决算表</w:t>
      </w:r>
      <w:bookmarkEnd w:id="90"/>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F7B9">
    <w:pPr>
      <w:pStyle w:val="13"/>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DE07">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E8DE07">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4009213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40F63">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B435B">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6B435B">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F41CB">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18159799">
                              <w:pPr>
                                <w:pStyle w:val="13"/>
                                <w:jc w:val="center"/>
                              </w:pPr>
                              <w:r>
                                <w:fldChar w:fldCharType="begin"/>
                              </w:r>
                              <w:r>
                                <w:instrText xml:space="preserve">PAGE   \* MERGEFORMAT</w:instrText>
                              </w:r>
                              <w:r>
                                <w:fldChar w:fldCharType="separate"/>
                              </w:r>
                              <w:r>
                                <w:rPr>
                                  <w:lang w:val="zh-CN"/>
                                </w:rPr>
                                <w:t>4</w:t>
                              </w:r>
                              <w:r>
                                <w:fldChar w:fldCharType="end"/>
                              </w:r>
                            </w:p>
                          </w:sdtContent>
                        </w:sdt>
                        <w:p w14:paraId="0D4E28F1">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18159799">
                        <w:pPr>
                          <w:pStyle w:val="13"/>
                          <w:jc w:val="center"/>
                        </w:pPr>
                        <w:r>
                          <w:fldChar w:fldCharType="begin"/>
                        </w:r>
                        <w:r>
                          <w:instrText xml:space="preserve">PAGE   \* MERGEFORMAT</w:instrText>
                        </w:r>
                        <w:r>
                          <w:fldChar w:fldCharType="separate"/>
                        </w:r>
                        <w:r>
                          <w:rPr>
                            <w:lang w:val="zh-CN"/>
                          </w:rPr>
                          <w:t>4</w:t>
                        </w:r>
                        <w:r>
                          <w:fldChar w:fldCharType="end"/>
                        </w:r>
                      </w:p>
                    </w:sdtContent>
                  </w:sdt>
                  <w:p w14:paraId="0D4E28F1">
                    <w:pPr>
                      <w:pStyle w:val="2"/>
                    </w:pPr>
                  </w:p>
                </w:txbxContent>
              </v:textbox>
            </v:shape>
          </w:pict>
        </mc:Fallback>
      </mc:AlternateContent>
    </w:r>
  </w:p>
  <w:p w14:paraId="6AA3FF41">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8348">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0CC6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3D0CC6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EE576">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C7CBA"/>
    <w:multiLevelType w:val="singleLevel"/>
    <w:tmpl w:val="1A5C7CBA"/>
    <w:lvl w:ilvl="0" w:tentative="0">
      <w:start w:val="1"/>
      <w:numFmt w:val="bullet"/>
      <w:lvlText w:val=""/>
      <w:lvlJc w:val="left"/>
      <w:pPr>
        <w:ind w:left="420" w:hanging="420"/>
      </w:pPr>
      <w:rPr>
        <w:rFonts w:hint="default" w:ascii="Wingdings" w:hAnsi="Wingdings"/>
      </w:rPr>
    </w:lvl>
  </w:abstractNum>
  <w:abstractNum w:abstractNumId="1">
    <w:nsid w:val="5FF48EFE"/>
    <w:multiLevelType w:val="singleLevel"/>
    <w:tmpl w:val="5FF48EF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jZTM1MDFjMzExNDU2NzczODQ3N2YzYWY2MmYxMWE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3AE1"/>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F04616"/>
    <w:rsid w:val="021C3AD4"/>
    <w:rsid w:val="037A757D"/>
    <w:rsid w:val="03F359AA"/>
    <w:rsid w:val="043211F9"/>
    <w:rsid w:val="043A3897"/>
    <w:rsid w:val="045647CC"/>
    <w:rsid w:val="0463543B"/>
    <w:rsid w:val="048D6B52"/>
    <w:rsid w:val="04A56E6E"/>
    <w:rsid w:val="04D45254"/>
    <w:rsid w:val="04D550AF"/>
    <w:rsid w:val="051A6F96"/>
    <w:rsid w:val="05C25E8C"/>
    <w:rsid w:val="06951176"/>
    <w:rsid w:val="07001BE1"/>
    <w:rsid w:val="07267DE7"/>
    <w:rsid w:val="088F55D5"/>
    <w:rsid w:val="089C4B49"/>
    <w:rsid w:val="09081517"/>
    <w:rsid w:val="091B747D"/>
    <w:rsid w:val="092E626A"/>
    <w:rsid w:val="09A572B6"/>
    <w:rsid w:val="0A19737C"/>
    <w:rsid w:val="0A782765"/>
    <w:rsid w:val="0B7218AA"/>
    <w:rsid w:val="0B99373B"/>
    <w:rsid w:val="0BA37CB5"/>
    <w:rsid w:val="0D0429D6"/>
    <w:rsid w:val="0D093B48"/>
    <w:rsid w:val="0D322E51"/>
    <w:rsid w:val="0D6C338E"/>
    <w:rsid w:val="0DB37F58"/>
    <w:rsid w:val="0DB742A8"/>
    <w:rsid w:val="0E6D2010"/>
    <w:rsid w:val="0EC00B7E"/>
    <w:rsid w:val="0F5E6610"/>
    <w:rsid w:val="0FB52B86"/>
    <w:rsid w:val="0FDB629D"/>
    <w:rsid w:val="0FFD0B0D"/>
    <w:rsid w:val="103747CF"/>
    <w:rsid w:val="103F4D68"/>
    <w:rsid w:val="10C055FF"/>
    <w:rsid w:val="116A6D7C"/>
    <w:rsid w:val="11761AF6"/>
    <w:rsid w:val="11851C0B"/>
    <w:rsid w:val="11D56DF6"/>
    <w:rsid w:val="11ED6591"/>
    <w:rsid w:val="11F85D8C"/>
    <w:rsid w:val="13367661"/>
    <w:rsid w:val="136F089E"/>
    <w:rsid w:val="13D81ACD"/>
    <w:rsid w:val="14D728AA"/>
    <w:rsid w:val="15F1786F"/>
    <w:rsid w:val="164C2CF7"/>
    <w:rsid w:val="1665477F"/>
    <w:rsid w:val="16BB723D"/>
    <w:rsid w:val="17283764"/>
    <w:rsid w:val="17BC7656"/>
    <w:rsid w:val="17EA348C"/>
    <w:rsid w:val="1840212F"/>
    <w:rsid w:val="184656CF"/>
    <w:rsid w:val="1939299D"/>
    <w:rsid w:val="193C261A"/>
    <w:rsid w:val="19934117"/>
    <w:rsid w:val="19943114"/>
    <w:rsid w:val="19DE22C0"/>
    <w:rsid w:val="1AB026BC"/>
    <w:rsid w:val="1ABB32B6"/>
    <w:rsid w:val="1B787B60"/>
    <w:rsid w:val="1BF70747"/>
    <w:rsid w:val="1C06153F"/>
    <w:rsid w:val="1C986C96"/>
    <w:rsid w:val="1D7371C3"/>
    <w:rsid w:val="1DDC2BB3"/>
    <w:rsid w:val="1E34479D"/>
    <w:rsid w:val="1E7D3B1A"/>
    <w:rsid w:val="1EF81F78"/>
    <w:rsid w:val="1F620905"/>
    <w:rsid w:val="1F6638F2"/>
    <w:rsid w:val="1FD12B34"/>
    <w:rsid w:val="201A6AB0"/>
    <w:rsid w:val="203B66A0"/>
    <w:rsid w:val="206D278F"/>
    <w:rsid w:val="211A679A"/>
    <w:rsid w:val="21253DA0"/>
    <w:rsid w:val="21A34674"/>
    <w:rsid w:val="21A94BCD"/>
    <w:rsid w:val="22857975"/>
    <w:rsid w:val="23700C36"/>
    <w:rsid w:val="23844B7E"/>
    <w:rsid w:val="23902475"/>
    <w:rsid w:val="23FA0B3C"/>
    <w:rsid w:val="240371BF"/>
    <w:rsid w:val="2435534E"/>
    <w:rsid w:val="244017F7"/>
    <w:rsid w:val="24534F10"/>
    <w:rsid w:val="24DF6C66"/>
    <w:rsid w:val="253D03DB"/>
    <w:rsid w:val="253F66D1"/>
    <w:rsid w:val="25A20B86"/>
    <w:rsid w:val="25B1070F"/>
    <w:rsid w:val="25BC6564"/>
    <w:rsid w:val="25DD571A"/>
    <w:rsid w:val="265C1D1F"/>
    <w:rsid w:val="26BB36DB"/>
    <w:rsid w:val="271C5A93"/>
    <w:rsid w:val="276F1834"/>
    <w:rsid w:val="27B459F9"/>
    <w:rsid w:val="27C51E91"/>
    <w:rsid w:val="280173B2"/>
    <w:rsid w:val="28513369"/>
    <w:rsid w:val="288914E2"/>
    <w:rsid w:val="28BF6D42"/>
    <w:rsid w:val="28C822A0"/>
    <w:rsid w:val="292E058E"/>
    <w:rsid w:val="29FD04D3"/>
    <w:rsid w:val="2C1E1BB4"/>
    <w:rsid w:val="2CAE1BBE"/>
    <w:rsid w:val="2CCF04B2"/>
    <w:rsid w:val="2DF079DB"/>
    <w:rsid w:val="2E4C04E0"/>
    <w:rsid w:val="2E67588F"/>
    <w:rsid w:val="2F803D16"/>
    <w:rsid w:val="2FF22B1D"/>
    <w:rsid w:val="306E7EBB"/>
    <w:rsid w:val="30A438B7"/>
    <w:rsid w:val="30CB71E3"/>
    <w:rsid w:val="30D44173"/>
    <w:rsid w:val="30E36C85"/>
    <w:rsid w:val="31810DA9"/>
    <w:rsid w:val="31903F88"/>
    <w:rsid w:val="319F7F4E"/>
    <w:rsid w:val="31B72CAD"/>
    <w:rsid w:val="32004B5E"/>
    <w:rsid w:val="323A1C2F"/>
    <w:rsid w:val="329448A6"/>
    <w:rsid w:val="32F45598"/>
    <w:rsid w:val="33204932"/>
    <w:rsid w:val="33447C07"/>
    <w:rsid w:val="345D075E"/>
    <w:rsid w:val="35244754"/>
    <w:rsid w:val="35333C15"/>
    <w:rsid w:val="3591755A"/>
    <w:rsid w:val="35D45F82"/>
    <w:rsid w:val="361C390A"/>
    <w:rsid w:val="364D41F6"/>
    <w:rsid w:val="36FD0156"/>
    <w:rsid w:val="38207F4E"/>
    <w:rsid w:val="38F8371D"/>
    <w:rsid w:val="39226F5F"/>
    <w:rsid w:val="39902098"/>
    <w:rsid w:val="39FD5F33"/>
    <w:rsid w:val="3A3A0F35"/>
    <w:rsid w:val="3A4E1148"/>
    <w:rsid w:val="3AF15A98"/>
    <w:rsid w:val="3C8D2F9D"/>
    <w:rsid w:val="3CE0510E"/>
    <w:rsid w:val="3D0E3B71"/>
    <w:rsid w:val="3D1927CA"/>
    <w:rsid w:val="3D1E4B3E"/>
    <w:rsid w:val="3D6F2272"/>
    <w:rsid w:val="3D8344ED"/>
    <w:rsid w:val="3E03620E"/>
    <w:rsid w:val="3E343C22"/>
    <w:rsid w:val="3F2F48E2"/>
    <w:rsid w:val="3F512FA9"/>
    <w:rsid w:val="3F7C601F"/>
    <w:rsid w:val="3FAC4683"/>
    <w:rsid w:val="3FEA5DFB"/>
    <w:rsid w:val="3FFB30E2"/>
    <w:rsid w:val="40035B02"/>
    <w:rsid w:val="401C35B7"/>
    <w:rsid w:val="40EA7211"/>
    <w:rsid w:val="4119235A"/>
    <w:rsid w:val="41677310"/>
    <w:rsid w:val="422C2C46"/>
    <w:rsid w:val="4251506E"/>
    <w:rsid w:val="42B75819"/>
    <w:rsid w:val="43684120"/>
    <w:rsid w:val="444F07DA"/>
    <w:rsid w:val="44601E28"/>
    <w:rsid w:val="45CF7280"/>
    <w:rsid w:val="472E4611"/>
    <w:rsid w:val="475E72DC"/>
    <w:rsid w:val="47F514AF"/>
    <w:rsid w:val="4839282C"/>
    <w:rsid w:val="48FD75BD"/>
    <w:rsid w:val="49243056"/>
    <w:rsid w:val="494C4A06"/>
    <w:rsid w:val="4A062BE2"/>
    <w:rsid w:val="4A113668"/>
    <w:rsid w:val="4A277A41"/>
    <w:rsid w:val="4A745623"/>
    <w:rsid w:val="4B187071"/>
    <w:rsid w:val="4B1C3827"/>
    <w:rsid w:val="4B2B2DCB"/>
    <w:rsid w:val="4B6A5BC2"/>
    <w:rsid w:val="4B6D2BD3"/>
    <w:rsid w:val="4C7555EC"/>
    <w:rsid w:val="4CCE55BE"/>
    <w:rsid w:val="4D135D42"/>
    <w:rsid w:val="4D846266"/>
    <w:rsid w:val="4D8D78A2"/>
    <w:rsid w:val="4DF123A8"/>
    <w:rsid w:val="4E290981"/>
    <w:rsid w:val="4E832A53"/>
    <w:rsid w:val="4E9E44C2"/>
    <w:rsid w:val="4EBC1A30"/>
    <w:rsid w:val="4EC76DE4"/>
    <w:rsid w:val="4ECC6B0F"/>
    <w:rsid w:val="4F395B30"/>
    <w:rsid w:val="4F3B530F"/>
    <w:rsid w:val="4F6F7A34"/>
    <w:rsid w:val="4FD74194"/>
    <w:rsid w:val="4FDA49F5"/>
    <w:rsid w:val="50744652"/>
    <w:rsid w:val="509B4831"/>
    <w:rsid w:val="50AE413E"/>
    <w:rsid w:val="51E1640E"/>
    <w:rsid w:val="51EE42CA"/>
    <w:rsid w:val="52195E38"/>
    <w:rsid w:val="52302EF2"/>
    <w:rsid w:val="526E48F5"/>
    <w:rsid w:val="52ED6284"/>
    <w:rsid w:val="5322283B"/>
    <w:rsid w:val="532B0C13"/>
    <w:rsid w:val="533D4F08"/>
    <w:rsid w:val="53BA6F17"/>
    <w:rsid w:val="53BE2B80"/>
    <w:rsid w:val="54136CE6"/>
    <w:rsid w:val="541505F1"/>
    <w:rsid w:val="542D2749"/>
    <w:rsid w:val="548412D3"/>
    <w:rsid w:val="54992FD0"/>
    <w:rsid w:val="55872E29"/>
    <w:rsid w:val="55923320"/>
    <w:rsid w:val="56D0674C"/>
    <w:rsid w:val="57D23F06"/>
    <w:rsid w:val="58BA52C3"/>
    <w:rsid w:val="58BC5D23"/>
    <w:rsid w:val="59177DCC"/>
    <w:rsid w:val="59E040FC"/>
    <w:rsid w:val="59E11CD3"/>
    <w:rsid w:val="5A857BDE"/>
    <w:rsid w:val="5AB12ECB"/>
    <w:rsid w:val="5B2A4567"/>
    <w:rsid w:val="5BE202EA"/>
    <w:rsid w:val="5CAD7C22"/>
    <w:rsid w:val="5CE95B0C"/>
    <w:rsid w:val="5CFA7F1D"/>
    <w:rsid w:val="5D577E65"/>
    <w:rsid w:val="5D6F6B2F"/>
    <w:rsid w:val="5E2506F8"/>
    <w:rsid w:val="5E5E7F75"/>
    <w:rsid w:val="5EA316D6"/>
    <w:rsid w:val="5ECE1AC8"/>
    <w:rsid w:val="5EF556B7"/>
    <w:rsid w:val="5F3A07D2"/>
    <w:rsid w:val="5F593A88"/>
    <w:rsid w:val="5FB23198"/>
    <w:rsid w:val="5FE356D0"/>
    <w:rsid w:val="5FF901AE"/>
    <w:rsid w:val="60651EAC"/>
    <w:rsid w:val="60BB3927"/>
    <w:rsid w:val="6200749A"/>
    <w:rsid w:val="620F0B35"/>
    <w:rsid w:val="6240022D"/>
    <w:rsid w:val="62A42EE2"/>
    <w:rsid w:val="62BE686B"/>
    <w:rsid w:val="62F14F12"/>
    <w:rsid w:val="630D013F"/>
    <w:rsid w:val="63347FC4"/>
    <w:rsid w:val="63604CB9"/>
    <w:rsid w:val="64A36D0B"/>
    <w:rsid w:val="64C656C1"/>
    <w:rsid w:val="64F77166"/>
    <w:rsid w:val="65201386"/>
    <w:rsid w:val="657F4183"/>
    <w:rsid w:val="658466A7"/>
    <w:rsid w:val="6596487B"/>
    <w:rsid w:val="65DF63C9"/>
    <w:rsid w:val="65E950BC"/>
    <w:rsid w:val="662A7F2C"/>
    <w:rsid w:val="66627873"/>
    <w:rsid w:val="66D65FFA"/>
    <w:rsid w:val="67C24194"/>
    <w:rsid w:val="67EB36EB"/>
    <w:rsid w:val="68DA2DB6"/>
    <w:rsid w:val="69725134"/>
    <w:rsid w:val="6B4666B6"/>
    <w:rsid w:val="6BB306BC"/>
    <w:rsid w:val="6CC85DA9"/>
    <w:rsid w:val="6D2A5F93"/>
    <w:rsid w:val="6D8F2D6B"/>
    <w:rsid w:val="6DB91990"/>
    <w:rsid w:val="6DC31436"/>
    <w:rsid w:val="6E6F4E2B"/>
    <w:rsid w:val="6ECB49CF"/>
    <w:rsid w:val="6ECB5A2B"/>
    <w:rsid w:val="6F4D197C"/>
    <w:rsid w:val="6F806E0F"/>
    <w:rsid w:val="70202A42"/>
    <w:rsid w:val="70ED3F4C"/>
    <w:rsid w:val="7132015F"/>
    <w:rsid w:val="72227D09"/>
    <w:rsid w:val="72E476B5"/>
    <w:rsid w:val="72F22338"/>
    <w:rsid w:val="73327580"/>
    <w:rsid w:val="733572FD"/>
    <w:rsid w:val="73BE3A62"/>
    <w:rsid w:val="746C7E4B"/>
    <w:rsid w:val="750E6C6B"/>
    <w:rsid w:val="755E374E"/>
    <w:rsid w:val="75884CEA"/>
    <w:rsid w:val="75B310E7"/>
    <w:rsid w:val="75B318F4"/>
    <w:rsid w:val="75F61299"/>
    <w:rsid w:val="761A4623"/>
    <w:rsid w:val="76377F56"/>
    <w:rsid w:val="764B35A7"/>
    <w:rsid w:val="769E6A57"/>
    <w:rsid w:val="76C27D0D"/>
    <w:rsid w:val="76E15C5C"/>
    <w:rsid w:val="77B238DE"/>
    <w:rsid w:val="780E3485"/>
    <w:rsid w:val="78A4106B"/>
    <w:rsid w:val="79975481"/>
    <w:rsid w:val="79B4511D"/>
    <w:rsid w:val="79F60BE5"/>
    <w:rsid w:val="7A1B4027"/>
    <w:rsid w:val="7A5F3E27"/>
    <w:rsid w:val="7A965738"/>
    <w:rsid w:val="7ABC1C9C"/>
    <w:rsid w:val="7B022DCE"/>
    <w:rsid w:val="7B272834"/>
    <w:rsid w:val="7B8F71DF"/>
    <w:rsid w:val="7C1568F9"/>
    <w:rsid w:val="7CB2612E"/>
    <w:rsid w:val="7CC25607"/>
    <w:rsid w:val="7D7B0C16"/>
    <w:rsid w:val="7DE859ED"/>
    <w:rsid w:val="7E367559"/>
    <w:rsid w:val="7E4C610E"/>
    <w:rsid w:val="7ECA59B1"/>
    <w:rsid w:val="7F09108F"/>
    <w:rsid w:val="7F4D10FB"/>
    <w:rsid w:val="7FDC49A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autoRedefine/>
    <w:qFormat/>
    <w:uiPriority w:val="0"/>
    <w:pPr>
      <w:ind w:left="200" w:leftChars="200" w:hanging="200" w:hangingChars="200"/>
    </w:pPr>
  </w:style>
  <w:style w:type="paragraph" w:styleId="17">
    <w:name w:val="toc 2"/>
    <w:basedOn w:val="1"/>
    <w:next w:val="1"/>
    <w:autoRedefine/>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autoRedefine/>
    <w:semiHidden/>
    <w:qFormat/>
    <w:uiPriority w:val="99"/>
    <w:rPr>
      <w:rFonts w:ascii="Times New Roman" w:hAnsi="Times New Roman"/>
      <w:sz w:val="18"/>
      <w:szCs w:val="18"/>
    </w:rPr>
  </w:style>
  <w:style w:type="character" w:customStyle="1" w:styleId="28">
    <w:name w:val="页脚 字符"/>
    <w:link w:val="13"/>
    <w:autoRedefine/>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autoRedefine/>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autoRedefine/>
    <w:semiHidden/>
    <w:qFormat/>
    <w:uiPriority w:val="99"/>
    <w:rPr>
      <w:rFonts w:ascii="Times New Roman" w:hAnsi="Times New Roman"/>
      <w:kern w:val="2"/>
      <w:sz w:val="18"/>
      <w:szCs w:val="18"/>
    </w:rPr>
  </w:style>
  <w:style w:type="character" w:customStyle="1" w:styleId="36">
    <w:name w:val="标题 3 字符"/>
    <w:basedOn w:val="20"/>
    <w:link w:val="7"/>
    <w:autoRedefine/>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 w:type="paragraph" w:customStyle="1" w:styleId="38">
    <w:name w:val="Normal_0"/>
    <w:qFormat/>
    <w:uiPriority w:val="0"/>
    <w:rPr>
      <w:rFonts w:ascii="Times New Roman" w:hAnsi="Times New Roman" w:eastAsia="Times New Roman" w:cs="Times New Roma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收支决算总计变动图</a:t>
            </a:r>
          </a:p>
        </c:rich>
      </c:tx>
      <c:layout>
        <c:manualLayout>
          <c:xMode val="edge"/>
          <c:yMode val="edge"/>
          <c:x val="0.334501087219135"/>
          <c:y val="0.0173210161662818"/>
        </c:manualLayout>
      </c:layout>
      <c:overlay val="0"/>
      <c:spPr>
        <a:noFill/>
        <a:ln>
          <a:noFill/>
        </a:ln>
        <a:effectLst/>
      </c:spPr>
    </c:title>
    <c:autoTitleDeleted val="0"/>
    <c:plotArea>
      <c:layout>
        <c:manualLayout>
          <c:layoutTarget val="inner"/>
          <c:xMode val="edge"/>
          <c:yMode val="edge"/>
          <c:x val="0.0761053394539744"/>
          <c:y val="0.161662817551963"/>
          <c:w val="0.897318192800193"/>
          <c:h val="0.558545034642032"/>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2024</c:v>
                </c:pt>
                <c:pt idx="1">
                  <c:v>2025</c:v>
                </c:pt>
              </c:numCache>
            </c:numRef>
          </c:cat>
          <c:val>
            <c:numRef>
              <c:f>Sheet1!$B$2:$B$5</c:f>
              <c:numCache>
                <c:formatCode>General</c:formatCode>
                <c:ptCount val="4"/>
                <c:pt idx="0">
                  <c:v>1859.25</c:v>
                </c:pt>
                <c:pt idx="1">
                  <c:v>2384.28</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2024</c:v>
                </c:pt>
                <c:pt idx="1">
                  <c:v>2025</c:v>
                </c:pt>
              </c:numCache>
            </c:num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2024</c:v>
                </c:pt>
                <c:pt idx="1">
                  <c:v>2025</c:v>
                </c:pt>
              </c:numCache>
            </c:numRef>
          </c:cat>
          <c:val>
            <c:numRef>
              <c:f>Sheet1!$D$2:$D$5</c:f>
              <c:numCache>
                <c:formatCode>General</c:formatCode>
                <c:ptCount val="4"/>
              </c:numCache>
            </c:numRef>
          </c:val>
        </c:ser>
        <c:dLbls>
          <c:showLegendKey val="0"/>
          <c:showVal val="1"/>
          <c:showCatName val="0"/>
          <c:showSerName val="0"/>
          <c:showPercent val="0"/>
          <c:showBubbleSize val="0"/>
        </c:dLbls>
        <c:gapWidth val="260"/>
        <c:overlap val="-32"/>
        <c:axId val="984580391"/>
        <c:axId val="576597521"/>
      </c:barChart>
      <c:catAx>
        <c:axId val="9845803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597521"/>
        <c:crosses val="autoZero"/>
        <c:auto val="1"/>
        <c:lblAlgn val="ctr"/>
        <c:lblOffset val="100"/>
        <c:noMultiLvlLbl val="0"/>
      </c:catAx>
      <c:valAx>
        <c:axId val="576597521"/>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580391"/>
        <c:crosses val="autoZero"/>
        <c:crossBetween val="between"/>
      </c:valAx>
      <c:spPr>
        <a:noFill/>
        <a:ln>
          <a:noFill/>
        </a:ln>
        <a:effectLst/>
      </c:spPr>
    </c:plotArea>
    <c:plotVisOnly val="1"/>
    <c:dispBlanksAs val="gap"/>
    <c:showDLblsOverMax val="0"/>
    <c:extLst>
      <c:ext uri="{0b15fc19-7d7d-44ad-8c2d-2c3a37ce22c3}">
        <chartProps xmlns="https://web.wps.cn/et/2018/main" chartId="{26fc9518-9fd5-4e19-a12c-906d074d1e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371844827456104"/>
          <c:y val="0.031294051310967"/>
        </c:manualLayout>
      </c:layout>
      <c:overlay val="0"/>
      <c:spPr>
        <a:noFill/>
        <a:ln>
          <a:noFill/>
        </a:ln>
        <a:effectLst/>
      </c:spPr>
    </c:title>
    <c:autoTitleDeleted val="0"/>
    <c:plotArea>
      <c:layout/>
      <c:pieChart>
        <c:varyColors val="1"/>
        <c:ser>
          <c:idx val="0"/>
          <c:order val="0"/>
          <c:tx>
            <c:strRef>
              <c:f>Sheet1!$B$1</c:f>
              <c:strCache>
                <c:ptCount val="1"/>
                <c:pt idx="0">
                  <c:v>决算收入结构图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1780210852319"/>
                  <c:y val="-0.13149449820060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98.46%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6155734650571"/>
                  <c:y val="-0.03745092051364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0.04%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85172856004862"/>
                  <c:y val="-0.00586327911834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其他收入</c:v>
                </c:pt>
              </c:strCache>
            </c:strRef>
          </c:cat>
          <c:val>
            <c:numRef>
              <c:f>Sheet1!$B$2:$B$5</c:f>
              <c:numCache>
                <c:formatCode>General</c:formatCode>
                <c:ptCount val="4"/>
                <c:pt idx="0">
                  <c:v>2347.38</c:v>
                </c:pt>
                <c:pt idx="1">
                  <c:v>1</c:v>
                </c:pt>
                <c:pt idx="2">
                  <c:v>35.9</c:v>
                </c:pt>
              </c:numCache>
            </c:numRef>
          </c:val>
        </c:ser>
        <c:ser>
          <c:idx val="1"/>
          <c:order val="1"/>
          <c:tx>
            <c:strRef>
              <c:f>Sheet1!$C$1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pt idx="1">
                  <c:v>政府性基金预算财政拨款收入</c:v>
                </c:pt>
                <c:pt idx="2">
                  <c:v>其他收入</c:v>
                </c:pt>
              </c:strCache>
            </c:strRef>
          </c:cat>
          <c:val>
            <c:numRef>
              <c:f>Sheet1!$C$2:$C$5</c:f>
              <c:numCache>
                <c:formatCode>General</c:formatCode>
                <c:ptCount val="4"/>
                <c:pt idx="0">
                  <c:v>0</c:v>
                </c:pt>
                <c:pt idx="1" c:formatCode="0.00%">
                  <c:v>0.0004</c:v>
                </c:pt>
                <c:pt idx="2" c:formatCode="0.00%">
                  <c:v>0.015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3"/>
        <c:delete val="1"/>
      </c:legendEntry>
      <c:layout>
        <c:manualLayout>
          <c:xMode val="edge"/>
          <c:yMode val="edge"/>
          <c:x val="0.651578687715836"/>
          <c:y val="0.680428616451308"/>
          <c:w val="0.344721262950173"/>
          <c:h val="0.2067444059249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3f0f277-76eb-44ba-92f6-8643cedc7570}"/>
      </c:ext>
    </c:extLst>
  </c:chart>
  <c:spPr>
    <a:solidFill>
      <a:schemeClr val="bg1">
        <a:alpha val="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71844827456104"/>
          <c:y val="0.031294051310967"/>
        </c:manualLayout>
      </c:layout>
      <c:overlay val="0"/>
      <c:spPr>
        <a:noFill/>
        <a:ln>
          <a:noFill/>
        </a:ln>
        <a:effectLst/>
      </c:spPr>
    </c:title>
    <c:autoTitleDeleted val="0"/>
    <c:plotArea>
      <c:layout/>
      <c:pieChart>
        <c:varyColors val="1"/>
        <c:ser>
          <c:idx val="0"/>
          <c:order val="0"/>
          <c:tx>
            <c:strRef>
              <c:f>Sheet1!$B$1</c:f>
              <c:strCache>
                <c:ptCount val="1"/>
                <c:pt idx="0">
                  <c:v>决算收入结构图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340101072509376"/>
                  <c:y val="-0.12472821683607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98.46%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6155734650571"/>
                  <c:y val="-0.03745092051364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0.04%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2347.38</c:v>
                </c:pt>
                <c:pt idx="1">
                  <c:v>1</c:v>
                </c:pt>
              </c:numCache>
            </c:numRef>
          </c:val>
        </c:ser>
        <c:ser>
          <c:idx val="1"/>
          <c:order val="1"/>
          <c:tx>
            <c:strRef>
              <c:f>Sheet1!$C$1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政府性基金预算财政拨款收入</c:v>
                </c:pt>
              </c:strCache>
            </c:strRef>
          </c:cat>
          <c:val>
            <c:numRef>
              <c:f>Sheet1!$C$2:$C$3</c:f>
              <c:numCache>
                <c:formatCode>General</c:formatCode>
                <c:ptCount val="2"/>
                <c:pt idx="0">
                  <c:v>0</c:v>
                </c:pt>
                <c:pt idx="1" c:formatCode="0.00%">
                  <c:v>0.0004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651578687715836"/>
          <c:y val="0.680379746835443"/>
          <c:w val="0.344721262950173"/>
          <c:h val="0.1816455696202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fa0e63-3850-4ea6-b66f-ed743e4d18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289562696303455"/>
          <c:y val="0.0168534015088345"/>
        </c:manualLayout>
      </c:layout>
      <c:overlay val="0"/>
      <c:spPr>
        <a:noFill/>
        <a:ln>
          <a:noFill/>
        </a:ln>
        <a:effectLst/>
      </c:spPr>
    </c:title>
    <c:autoTitleDeleted val="0"/>
    <c:plotArea>
      <c:layout>
        <c:manualLayout>
          <c:layoutTarget val="inner"/>
          <c:xMode val="edge"/>
          <c:yMode val="edge"/>
          <c:x val="0.0258516549891278"/>
          <c:y val="0.250151791135398"/>
          <c:w val="0.946847064508335"/>
          <c:h val="0.433940497874924"/>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234</a:t>
                    </a:r>
                    <a:r>
                      <a:rPr lang="en-US" altLang="zh-CN"/>
                      <a:t>7</a:t>
                    </a:r>
                    <a:r>
                      <a:t>.38</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1859.25</c:v>
                </c:pt>
                <c:pt idx="1">
                  <c:v>2347.38</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260"/>
        <c:overlap val="-32"/>
        <c:axId val="793646262"/>
        <c:axId val="473805616"/>
      </c:barChart>
      <c:catAx>
        <c:axId val="7936462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3805616"/>
        <c:crosses val="autoZero"/>
        <c:auto val="1"/>
        <c:lblAlgn val="ctr"/>
        <c:lblOffset val="100"/>
        <c:noMultiLvlLbl val="0"/>
      </c:catAx>
      <c:valAx>
        <c:axId val="473805616"/>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3646262"/>
        <c:crosses val="autoZero"/>
        <c:crossBetween val="between"/>
      </c:valAx>
      <c:spPr>
        <a:noFill/>
        <a:ln>
          <a:noFill/>
        </a:ln>
        <a:effectLst/>
      </c:spPr>
    </c:plotArea>
    <c:plotVisOnly val="1"/>
    <c:dispBlanksAs val="gap"/>
    <c:showDLblsOverMax val="0"/>
    <c:extLst>
      <c:ext uri="{0b15fc19-7d7d-44ad-8c2d-2c3a37ce22c3}">
        <chartProps xmlns="https://web.wps.cn/et/2018/main" chartId="{3a04bc60-f08a-4364-9425-9414ac736bc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manualLayout>
          <c:xMode val="edge"/>
          <c:yMode val="edge"/>
          <c:x val="0.276757670935009"/>
          <c:y val="0.00637484062898428"/>
        </c:manualLayout>
      </c:layout>
      <c:overlay val="0"/>
      <c:spPr>
        <a:noFill/>
        <a:ln>
          <a:noFill/>
        </a:ln>
        <a:effectLst/>
      </c:spPr>
    </c:title>
    <c:autoTitleDeleted val="0"/>
    <c:plotArea>
      <c:layout>
        <c:manualLayout>
          <c:layoutTarget val="inner"/>
          <c:xMode val="edge"/>
          <c:yMode val="edge"/>
          <c:x val="0.303387291616332"/>
          <c:y val="0.209400764980875"/>
          <c:w val="0.395883063541918"/>
          <c:h val="0.696370590735232"/>
        </c:manualLayout>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教育支出7</a:t>
                    </a:r>
                    <a:r>
                      <a:rPr lang="en-US" altLang="zh-CN"/>
                      <a:t>4.5</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社会保障和就业支出1</a:t>
                    </a:r>
                    <a:r>
                      <a:rPr lang="en-US" altLang="zh-CN"/>
                      <a:t>2.9</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卫生健康支出</a:t>
                    </a:r>
                  </a:p>
                  <a:p>
                    <a:pPr defTabSz="914400">
                      <a:defRPr lang="zh-CN" sz="1000" b="1" i="0" u="none" strike="noStrike" kern="1200" spc="0" baseline="0">
                        <a:solidFill>
                          <a:schemeClr val="accent3"/>
                        </a:solidFill>
                        <a:latin typeface="+mn-lt"/>
                        <a:ea typeface="+mn-ea"/>
                        <a:cs typeface="+mn-cs"/>
                      </a:defRPr>
                    </a:pPr>
                    <a:r>
                      <a:rPr lang="en-US" altLang="zh-CN"/>
                      <a:t>5.5</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4"/>
                        </a:solidFill>
                        <a:latin typeface="+mn-lt"/>
                        <a:ea typeface="+mn-ea"/>
                        <a:cs typeface="+mn-cs"/>
                      </a:defRPr>
                    </a:pPr>
                    <a:r>
                      <a:t>住房保障支出</a:t>
                    </a:r>
                  </a:p>
                  <a:p>
                    <a:pPr defTabSz="914400">
                      <a:defRPr lang="zh-CN" sz="1000" b="1" i="0" u="none" strike="noStrike" kern="1200" spc="0" baseline="0">
                        <a:solidFill>
                          <a:schemeClr val="accent4"/>
                        </a:solidFill>
                        <a:latin typeface="+mn-lt"/>
                        <a:ea typeface="+mn-ea"/>
                        <a:cs typeface="+mn-cs"/>
                      </a:defRPr>
                    </a:pPr>
                    <a:r>
                      <a:rPr lang="en-US" altLang="zh-CN"/>
                      <a:t>7.1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1747.6</c:v>
                </c:pt>
                <c:pt idx="1">
                  <c:v>303.4</c:v>
                </c:pt>
                <c:pt idx="2">
                  <c:v>130.94</c:v>
                </c:pt>
                <c:pt idx="3">
                  <c:v>132.3</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7f854dac-c26e-46c1-a87e-5a60718404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4FC5A5-8DE4-4565-B639-6D345C1D7E6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3673</Words>
  <Characters>4082</Characters>
  <Lines>48</Lines>
  <Paragraphs>13</Paragraphs>
  <TotalTime>19</TotalTime>
  <ScaleCrop>false</ScaleCrop>
  <LinksUpToDate>false</LinksUpToDate>
  <CharactersWithSpaces>4239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kylin</cp:lastModifiedBy>
  <cp:lastPrinted>2026-09-03T10:32:00Z</cp:lastPrinted>
  <dcterms:modified xsi:type="dcterms:W3CDTF">2026-09-04T11:46:25Z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B71FDD76CA454A0F91C4B64C9F4949D6_13</vt:lpwstr>
  </property>
  <property fmtid="{D5CDD505-2E9C-101B-9397-08002B2CF9AE}" pid="4" name="KSOTemplateDocerSaveRecord">
    <vt:lpwstr>eyJoZGlkIjoiNTYzODI2NmVjNTYzOTI1MGViMGYxZGI1NWY3YmQwMDYiLCJ1c2VySWQiOiIxMDM5MDE5OTM0In0=</vt:lpwstr>
  </property>
</Properties>
</file>