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96597"/>
      <w:bookmarkStart w:id="1" w:name="_Toc15377193"/>
      <w:bookmarkStart w:id="2" w:name="_Toc15378441"/>
      <w:bookmarkStart w:id="3" w:name="_Toc15396475"/>
      <w:bookmarkStart w:id="4" w:name="_Toc15377425"/>
      <w:bookmarkStart w:id="5" w:name="_Toc15306267"/>
    </w:p>
    <w:p>
      <w:pPr>
        <w:pStyle w:val="8"/>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jc w:val="both"/>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jc w:val="center"/>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202</w:t>
      </w:r>
      <w:r>
        <w:rPr>
          <w:rFonts w:hint="eastAsia" w:ascii="黑体" w:hAnsi="黑体" w:eastAsia="黑体" w:cs="黑体"/>
          <w:b w:val="0"/>
          <w:bCs/>
          <w:color w:val="000000" w:themeColor="text1"/>
          <w:sz w:val="44"/>
          <w:szCs w:val="44"/>
          <w:lang w:val="en-US" w:eastAsia="zh-CN"/>
          <w14:textFill>
            <w14:solidFill>
              <w14:schemeClr w14:val="tx1"/>
            </w14:solidFill>
          </w14:textFill>
        </w:rPr>
        <w:t>5</w:t>
      </w:r>
      <w:r>
        <w:rPr>
          <w:rFonts w:ascii="黑体" w:hAnsi="黑体" w:eastAsia="黑体" w:cs="黑体"/>
          <w:color w:val="000000"/>
          <w:sz w:val="44"/>
          <w:u w:color="auto"/>
        </w:rPr>
        <w:t>年度</w:t>
      </w:r>
      <w:bookmarkEnd w:id="0"/>
      <w:bookmarkEnd w:id="1"/>
      <w:bookmarkEnd w:id="2"/>
      <w:bookmarkEnd w:id="3"/>
      <w:bookmarkEnd w:id="4"/>
    </w:p>
    <w:bookmarkEnd w:id="5"/>
    <w:p>
      <w:pPr>
        <w:jc w:val="center"/>
        <w:rPr>
          <w:rFonts w:hint="eastAsia" w:ascii="黑体" w:hAnsi="黑体" w:eastAsia="黑体" w:cs="黑体"/>
          <w:b w:val="0"/>
          <w:bCs/>
          <w:color w:val="000000" w:themeColor="text1"/>
          <w:sz w:val="44"/>
          <w:szCs w:val="44"/>
          <w14:textFill>
            <w14:solidFill>
              <w14:schemeClr w14:val="tx1"/>
            </w14:solidFill>
          </w14:textFill>
        </w:rPr>
      </w:pPr>
      <w:bookmarkStart w:id="6" w:name="_Toc15377194"/>
      <w:bookmarkStart w:id="7" w:name="_Toc15378442"/>
      <w:bookmarkStart w:id="8" w:name="_Toc15396598"/>
      <w:bookmarkStart w:id="9" w:name="_Toc15306268"/>
      <w:bookmarkStart w:id="10" w:name="_Toc15377426"/>
      <w:bookmarkStart w:id="11" w:name="_Toc15396476"/>
      <w:r>
        <w:rPr>
          <w:rFonts w:hint="eastAsia" w:ascii="黑体" w:hAnsi="黑体" w:eastAsia="黑体" w:cs="黑体"/>
          <w:b w:val="0"/>
          <w:bCs/>
          <w:color w:val="000000" w:themeColor="text1"/>
          <w:sz w:val="44"/>
          <w:szCs w:val="44"/>
          <w14:textFill>
            <w14:solidFill>
              <w14:schemeClr w14:val="tx1"/>
            </w14:solidFill>
          </w14:textFill>
        </w:rPr>
        <w:t>四川省阿坝藏族羌族自治州茂县凤仪镇小学校</w:t>
      </w:r>
      <w:r>
        <w:rPr>
          <w:rFonts w:ascii="黑体" w:hAnsi="黑体" w:eastAsia="黑体" w:cs="黑体"/>
          <w:color w:val="000000"/>
          <w:sz w:val="44"/>
          <w:u w:color="auto"/>
        </w:rPr>
        <w:t>单位决算</w:t>
      </w:r>
      <w:bookmarkEnd w:id="6"/>
      <w:bookmarkEnd w:id="7"/>
      <w:bookmarkEnd w:id="8"/>
      <w:bookmarkEnd w:id="9"/>
      <w:bookmarkEnd w:id="10"/>
      <w:bookmarkEnd w:id="11"/>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widowControl/>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pPr>
        <w:pStyle w:val="1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25</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w:t>
      </w:r>
      <w:r>
        <w:rPr>
          <w:rFonts w:hint="eastAsia" w:ascii="黑体" w:hAnsi="黑体" w:eastAsia="黑体" w:cs="黑体"/>
          <w:color w:val="000000"/>
          <w:sz w:val="32"/>
          <w:u w:color="auto"/>
          <w:lang w:val="en-US" w:eastAsia="zh-CN"/>
        </w:rPr>
        <w:t>5</w:t>
      </w:r>
      <w:r>
        <w:rPr>
          <w:rFonts w:ascii="黑体" w:hAnsi="黑体" w:eastAsia="黑体" w:cs="黑体"/>
          <w:color w:val="000000"/>
          <w:sz w:val="32"/>
          <w:u w:color="auto"/>
        </w:rPr>
        <w:t>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_Toc31578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_Toc20439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_Toc23467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_Toc18455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_Toc18122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10</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default" w:ascii="黑体" w:hAnsi="黑体" w:eastAsia="黑体" w:cs="黑体"/>
          <w:color w:val="000000" w:themeColor="text1"/>
          <w:sz w:val="32"/>
          <w:szCs w:val="32"/>
          <w:lang w:val="en-US"/>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default"/>
          <w:b/>
          <w:lang w:val="en-US"/>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default" w:ascii="黑体" w:hAnsi="黑体" w:eastAsia="黑体" w:cs="黑体"/>
          <w:smallCaps/>
          <w:color w:val="000000" w:themeColor="text1"/>
          <w:sz w:val="32"/>
          <w:szCs w:val="32"/>
          <w:lang w:val="en-US"/>
          <w14:textFill>
            <w14:solidFill>
              <w14:schemeClr w14:val="tx1"/>
            </w14:solidFill>
          </w14:textFill>
        </w:rPr>
        <w:t>1</w:t>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_Toc21200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31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_Toc16431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_Toc25389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_Toc10450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_Toc15415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_Toc17530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_Toc22032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_Toc3364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_Toc9110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_Toc28582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_Toc6538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_Toc10625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_Toc28356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8"/>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pPr>
        <w:pStyle w:val="5"/>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9016"/>
      <w:bookmarkStart w:id="14" w:name="_Toc111208495"/>
    </w:p>
    <w:p>
      <w:pPr>
        <w:pStyle w:val="5"/>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pPr>
        <w:pStyle w:val="6"/>
        <w:keepNext/>
        <w:keepLines/>
        <w:pageBreakBefore w:val="0"/>
        <w:widowControl w:val="0"/>
        <w:kinsoku/>
        <w:wordWrap/>
        <w:overflowPunct/>
        <w:topLinePunct w:val="0"/>
        <w:autoSpaceDE/>
        <w:autoSpaceDN/>
        <w:bidi w:val="0"/>
        <w:adjustRightInd/>
        <w:snapToGrid/>
        <w:spacing w:before="0" w:after="0" w:line="15" w:lineRule="auto"/>
        <w:jc w:val="both"/>
        <w:textAlignment w:val="auto"/>
        <w:rPr>
          <w:rFonts w:hint="eastAsia" w:ascii="黑体" w:hAnsi="黑体" w:eastAsia="黑体" w:cs="黑体"/>
          <w:b w:val="0"/>
          <w:bCs/>
          <w:color w:val="000000"/>
          <w:lang w:val="en-US" w:eastAsia="zh-CN"/>
        </w:rPr>
      </w:pPr>
      <w:bookmarkStart w:id="15" w:name="_Toc28564"/>
      <w:bookmarkStart w:id="16" w:name="_Toc113981010"/>
      <w:bookmarkStart w:id="17" w:name="_Toc111208496"/>
      <w:bookmarkStart w:id="18" w:name="_Toc15377197"/>
      <w:bookmarkStart w:id="19" w:name="_Toc15377204"/>
      <w:r>
        <w:rPr>
          <w:rFonts w:hint="eastAsia" w:ascii="黑体" w:hAnsi="黑体" w:eastAsia="黑体" w:cs="黑体"/>
          <w:b w:val="0"/>
          <w:bCs/>
          <w:color w:val="000000"/>
        </w:rPr>
        <w:t>一、</w:t>
      </w:r>
      <w:bookmarkEnd w:id="15"/>
      <w:bookmarkEnd w:id="16"/>
      <w:bookmarkEnd w:id="17"/>
      <w:bookmarkEnd w:id="18"/>
      <w:bookmarkStart w:id="20" w:name="_Toc15377198"/>
      <w:bookmarkStart w:id="21" w:name="_Toc15378445"/>
      <w:r>
        <w:rPr>
          <w:rFonts w:hint="eastAsia" w:ascii="黑体" w:hAnsi="黑体" w:eastAsia="黑体" w:cs="黑体"/>
          <w:b w:val="0"/>
          <w:bCs/>
          <w:color w:val="000000"/>
          <w:lang w:val="en-US" w:eastAsia="zh-CN"/>
        </w:rPr>
        <w:t>主要职责</w:t>
      </w:r>
      <w:bookmarkEnd w:id="20"/>
      <w:bookmarkEnd w:id="21"/>
    </w:p>
    <w:p>
      <w:pPr>
        <w:pStyle w:val="6"/>
        <w:keepNext/>
        <w:keepLines/>
        <w:pageBreakBefore w:val="0"/>
        <w:widowControl w:val="0"/>
        <w:kinsoku/>
        <w:wordWrap/>
        <w:overflowPunct/>
        <w:topLinePunct w:val="0"/>
        <w:autoSpaceDE/>
        <w:autoSpaceDN/>
        <w:bidi w:val="0"/>
        <w:adjustRightInd/>
        <w:snapToGrid/>
        <w:spacing w:before="0" w:after="0" w:line="15" w:lineRule="auto"/>
        <w:ind w:firstLine="640" w:firstLineChars="200"/>
        <w:jc w:val="both"/>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lang w:val="en-US" w:eastAsia="zh-CN"/>
        </w:rPr>
        <w:t>实施小学义务教育，促进基础教育发展，服务并保障小学教育教学工作正常开展。</w:t>
      </w:r>
    </w:p>
    <w:p>
      <w:pPr>
        <w:pStyle w:val="6"/>
        <w:keepNext/>
        <w:keepLines/>
        <w:pageBreakBefore w:val="0"/>
        <w:widowControl w:val="0"/>
        <w:kinsoku/>
        <w:wordWrap/>
        <w:overflowPunct/>
        <w:topLinePunct w:val="0"/>
        <w:autoSpaceDE/>
        <w:autoSpaceDN/>
        <w:bidi w:val="0"/>
        <w:adjustRightInd/>
        <w:snapToGrid/>
        <w:spacing w:before="0" w:after="0" w:line="15" w:lineRule="auto"/>
        <w:jc w:val="both"/>
        <w:textAlignment w:val="auto"/>
        <w:rPr>
          <w:rFonts w:hint="eastAsia" w:ascii="黑体" w:hAnsi="黑体" w:eastAsia="黑体" w:cs="黑体"/>
          <w:b w:val="0"/>
          <w:bCs/>
          <w:color w:val="000000"/>
        </w:rPr>
      </w:pPr>
      <w:bookmarkStart w:id="22" w:name="_Toc113981011"/>
      <w:bookmarkStart w:id="23" w:name="_Toc22056"/>
      <w:bookmarkStart w:id="24" w:name="_Toc15377200"/>
      <w:bookmarkStart w:id="25" w:name="_Toc111208497"/>
      <w:r>
        <w:rPr>
          <w:rFonts w:hint="eastAsia" w:ascii="黑体" w:hAnsi="黑体" w:eastAsia="黑体" w:cs="黑体"/>
          <w:b w:val="0"/>
          <w:bCs/>
          <w:color w:val="000000"/>
        </w:rPr>
        <w:t>二、机构设置</w:t>
      </w:r>
      <w:bookmarkEnd w:id="22"/>
      <w:bookmarkEnd w:id="23"/>
      <w:bookmarkEnd w:id="24"/>
      <w:bookmarkEnd w:id="25"/>
    </w:p>
    <w:p>
      <w:pPr>
        <w:pStyle w:val="6"/>
        <w:keepNext/>
        <w:keepLines/>
        <w:pageBreakBefore w:val="0"/>
        <w:widowControl w:val="0"/>
        <w:kinsoku/>
        <w:wordWrap/>
        <w:overflowPunct/>
        <w:topLinePunct w:val="0"/>
        <w:autoSpaceDE/>
        <w:autoSpaceDN/>
        <w:bidi w:val="0"/>
        <w:adjustRightInd/>
        <w:snapToGrid/>
        <w:spacing w:before="0" w:after="0" w:line="15" w:lineRule="auto"/>
        <w:ind w:firstLine="640" w:firstLineChars="200"/>
        <w:jc w:val="both"/>
        <w:textAlignment w:val="auto"/>
        <w:rPr>
          <w:rFonts w:hint="eastAsia" w:ascii="仿宋_GB2312" w:hAnsi="仿宋_GB2312" w:eastAsia="仿宋_GB2312" w:cs="仿宋_GB2312"/>
          <w:b w:val="0"/>
          <w:bCs/>
          <w:color w:val="000000"/>
        </w:rPr>
      </w:pPr>
      <w:r>
        <w:rPr>
          <w:rFonts w:hint="eastAsia" w:ascii="仿宋_GB2312" w:hAnsi="仿宋_GB2312" w:eastAsia="仿宋_GB2312" w:cs="仿宋_GB2312"/>
          <w:b w:val="0"/>
          <w:bCs/>
          <w:color w:val="000000"/>
        </w:rPr>
        <w:t>茂县凤仪镇小学校为县教育局下属二级预算单位</w:t>
      </w:r>
      <w:r>
        <w:rPr>
          <w:rFonts w:hint="eastAsia" w:ascii="仿宋_GB2312" w:hAnsi="仿宋_GB2312" w:eastAsia="仿宋_GB2312" w:cs="仿宋_GB2312"/>
          <w:b w:val="0"/>
          <w:bCs/>
          <w:color w:val="000000"/>
          <w:lang w:eastAsia="zh-CN"/>
        </w:rPr>
        <w:t>，</w:t>
      </w:r>
      <w:r>
        <w:rPr>
          <w:rFonts w:hint="eastAsia" w:ascii="仿宋_GB2312" w:hAnsi="仿宋_GB2312" w:eastAsia="仿宋_GB2312" w:cs="仿宋_GB2312"/>
          <w:b w:val="0"/>
          <w:bCs/>
          <w:color w:val="000000"/>
          <w:lang w:val="en-US" w:eastAsia="zh-CN"/>
        </w:rPr>
        <w:t>编制数143人，实际在岗事业人员148人</w:t>
      </w:r>
      <w:r>
        <w:rPr>
          <w:rFonts w:hint="eastAsia" w:ascii="仿宋_GB2312" w:hAnsi="仿宋_GB2312" w:eastAsia="仿宋_GB2312" w:cs="仿宋_GB2312"/>
          <w:b w:val="0"/>
          <w:bCs/>
          <w:color w:val="000000"/>
        </w:rPr>
        <w:t>。</w:t>
      </w:r>
    </w:p>
    <w:p>
      <w:pPr>
        <w:widowControl/>
        <w:jc w:val="left"/>
        <w:rPr>
          <w:rFonts w:hint="eastAsia" w:ascii="思源黑体 CN Normal" w:hAnsi="思源黑体 CN Normal" w:eastAsia="思源黑体 CN Normal" w:cs="思源黑体 CN Normal"/>
          <w:b/>
          <w:bCs/>
          <w:color w:val="000000"/>
          <w:kern w:val="44"/>
          <w:sz w:val="44"/>
          <w:szCs w:val="44"/>
        </w:rPr>
      </w:pPr>
      <w:r>
        <w:rPr>
          <w:rFonts w:hint="eastAsia" w:ascii="思源黑体 CN Normal" w:hAnsi="思源黑体 CN Normal" w:eastAsia="思源黑体 CN Normal" w:cs="思源黑体 CN Normal"/>
          <w:color w:val="000000"/>
        </w:rPr>
        <w:br w:type="page"/>
      </w:r>
    </w:p>
    <w:p>
      <w:pPr>
        <w:pStyle w:val="5"/>
        <w:jc w:val="center"/>
        <w:rPr>
          <w:rFonts w:hint="eastAsia" w:ascii="黑体" w:hAnsi="黑体" w:eastAsia="黑体" w:cs="黑体"/>
          <w:b w:val="0"/>
          <w:bCs w:val="0"/>
        </w:rPr>
      </w:pPr>
      <w:bookmarkStart w:id="26" w:name="_Toc9058"/>
      <w:bookmarkStart w:id="27" w:name="_Toc11120849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pPr>
        <w:pStyle w:val="6"/>
        <w:keepNext/>
        <w:keepLines/>
        <w:pageBreakBefore w:val="0"/>
        <w:widowControl w:val="0"/>
        <w:kinsoku/>
        <w:wordWrap/>
        <w:overflowPunct/>
        <w:topLinePunct w:val="0"/>
        <w:autoSpaceDE/>
        <w:autoSpaceDN/>
        <w:bidi w:val="0"/>
        <w:adjustRightInd/>
        <w:snapToGrid/>
        <w:spacing w:before="0" w:after="0" w:line="15" w:lineRule="auto"/>
        <w:jc w:val="both"/>
        <w:textAlignment w:val="auto"/>
        <w:rPr>
          <w:rFonts w:hint="eastAsia" w:ascii="黑体" w:hAnsi="黑体" w:eastAsia="黑体" w:cs="黑体"/>
          <w:b w:val="0"/>
          <w:bCs/>
          <w:color w:val="000000"/>
        </w:rPr>
      </w:pPr>
      <w:bookmarkStart w:id="28" w:name="_Toc15377205"/>
      <w:bookmarkStart w:id="29" w:name="_Toc19710"/>
      <w:bookmarkStart w:id="30" w:name="_Toc111208499"/>
      <w:r>
        <w:rPr>
          <w:rFonts w:hint="eastAsia" w:ascii="黑体" w:hAnsi="黑体" w:eastAsia="黑体" w:cs="黑体"/>
          <w:b w:val="0"/>
          <w:bCs/>
          <w:color w:val="000000"/>
        </w:rPr>
        <w:t>一、收入支出决算总体情况说</w:t>
      </w:r>
      <w:bookmarkEnd w:id="28"/>
      <w:r>
        <w:rPr>
          <w:rFonts w:hint="eastAsia" w:ascii="黑体" w:hAnsi="黑体" w:eastAsia="黑体" w:cs="黑体"/>
          <w:b w:val="0"/>
          <w:bCs/>
          <w:color w:val="000000"/>
        </w:rPr>
        <w:t>明</w:t>
      </w:r>
      <w:bookmarkEnd w:id="29"/>
      <w:bookmarkEnd w:id="30"/>
    </w:p>
    <w:p>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u w:color="auto"/>
        </w:rPr>
        <w:t>年度收入、支出总计均为3882.27</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相比，收入、支出总计各</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945.77</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32.20</w:t>
      </w:r>
      <w:r>
        <w:rPr>
          <w:rFonts w:hint="eastAsia" w:ascii="仿宋_GB2312" w:hAnsi="仿宋_GB2312" w:eastAsia="仿宋_GB2312" w:cs="仿宋_GB2312"/>
          <w:color w:val="000000"/>
          <w:sz w:val="32"/>
          <w:u w:color="auto"/>
        </w:rPr>
        <w:t>%。主要变动原因是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收入增加。 </w:t>
      </w:r>
    </w:p>
    <w:p>
      <w:pPr>
        <w:pStyle w:val="8"/>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114300" distR="114300">
            <wp:extent cx="4338955" cy="2423795"/>
            <wp:effectExtent l="5080" t="4445" r="18415" b="1016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6"/>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color w:val="000000"/>
        </w:rPr>
      </w:pPr>
      <w:bookmarkStart w:id="31" w:name="_Toc111208500"/>
      <w:bookmarkStart w:id="32" w:name="_Toc15377206"/>
      <w:bookmarkStart w:id="33" w:name="_Toc8125"/>
    </w:p>
    <w:p>
      <w:pPr>
        <w:pStyle w:val="6"/>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Cs w:val="0"/>
          <w:color w:val="000000"/>
        </w:rPr>
      </w:pPr>
      <w:r>
        <w:rPr>
          <w:rFonts w:hint="eastAsia" w:ascii="黑体" w:hAnsi="黑体" w:eastAsia="黑体" w:cs="黑体"/>
          <w:b w:val="0"/>
          <w:bCs/>
          <w:color w:val="000000"/>
        </w:rPr>
        <w:t>二、收入决算情况说明</w:t>
      </w:r>
      <w:bookmarkEnd w:id="31"/>
      <w:bookmarkEnd w:id="32"/>
      <w:bookmarkEnd w:id="33"/>
    </w:p>
    <w:p>
      <w:pPr>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u w:color="auto"/>
          <w:lang w:val="en-US" w:eastAsia="zh-CN"/>
        </w:rPr>
        <w:t>3882.27</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，其中:一般公共预算财政拨款收入3702.18万元，占95.36%；政府性基金预算财政拨款收入1.50万元，占0.04%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其他收入178.59万元占4.60%。</w:t>
      </w:r>
    </w:p>
    <w:p>
      <w:pPr>
        <w:pStyle w:val="16"/>
        <w:ind w:left="1060" w:hanging="640"/>
        <w:jc w:val="center"/>
        <w:rPr>
          <w:rFonts w:hint="eastAsia" w:ascii="仿宋" w:hAnsi="仿宋" w:eastAsia="仿宋" w:cs="仿宋"/>
        </w:rPr>
      </w:pPr>
      <w:r>
        <w:rPr>
          <w:rFonts w:hint="eastAsia" w:ascii="思源黑体 CN Normal" w:hAnsi="思源黑体 CN Normal" w:eastAsia="思源黑体 CN Normal" w:cs="思源黑体 CN Normal"/>
          <w:color w:val="FF0000"/>
          <w:sz w:val="32"/>
          <w:szCs w:val="32"/>
        </w:rPr>
        <w:drawing>
          <wp:inline distT="0" distB="0" distL="114300" distR="114300">
            <wp:extent cx="5332730" cy="3400425"/>
            <wp:effectExtent l="4445" t="4445" r="15875" b="508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6"/>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Fonts w:hint="eastAsia" w:ascii="黑体" w:hAnsi="黑体" w:eastAsia="黑体" w:cs="黑体"/>
          <w:b w:val="0"/>
          <w:bCs/>
          <w:color w:val="000000"/>
        </w:rPr>
      </w:pPr>
      <w:bookmarkStart w:id="34" w:name="_Toc15377207"/>
      <w:bookmarkStart w:id="35" w:name="_Toc111208501"/>
      <w:bookmarkStart w:id="36" w:name="_Toc28283"/>
    </w:p>
    <w:p>
      <w:pPr>
        <w:pStyle w:val="6"/>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Fonts w:hint="eastAsia" w:ascii="黑体" w:hAnsi="黑体" w:eastAsia="黑体" w:cs="黑体"/>
          <w:b w:val="0"/>
          <w:bCs/>
          <w:color w:val="000000"/>
        </w:rPr>
      </w:pPr>
      <w:r>
        <w:rPr>
          <w:rFonts w:hint="eastAsia" w:ascii="黑体" w:hAnsi="黑体" w:eastAsia="黑体" w:cs="黑体"/>
          <w:b w:val="0"/>
          <w:bCs/>
          <w:color w:val="000000"/>
        </w:rPr>
        <w:t>三、支出决算情况说明</w:t>
      </w:r>
      <w:bookmarkEnd w:id="34"/>
      <w:bookmarkEnd w:id="35"/>
      <w:bookmarkEnd w:id="36"/>
    </w:p>
    <w:p>
      <w:pPr>
        <w:pStyle w:val="8"/>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本年支出合计</w:t>
      </w:r>
      <w:r>
        <w:rPr>
          <w:rFonts w:hint="eastAsia" w:ascii="仿宋_GB2312" w:hAnsi="仿宋_GB2312" w:eastAsia="仿宋_GB2312" w:cs="仿宋_GB2312"/>
          <w:color w:val="000000"/>
          <w:sz w:val="32"/>
          <w:u w:color="auto"/>
          <w:lang w:val="en-US" w:eastAsia="zh-CN"/>
        </w:rPr>
        <w:t>3882.27</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，其中:基本支出3702.15万元，占95.36%；项目支出180.12万元，占4.64%</w:t>
      </w:r>
      <w:r>
        <w:rPr>
          <w:rFonts w:hint="eastAsia" w:ascii="仿宋_GB2312" w:hAnsi="仿宋_GB2312" w:eastAsia="仿宋_GB2312" w:cs="仿宋_GB2312"/>
          <w:color w:val="000000"/>
          <w:sz w:val="32"/>
          <w:szCs w:val="32"/>
        </w:rPr>
        <w:t>。</w:t>
      </w:r>
    </w:p>
    <w:p>
      <w:pPr>
        <w:jc w:val="center"/>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5304155" cy="3429000"/>
            <wp:effectExtent l="4445" t="4445" r="6350"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6"/>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Fonts w:hint="eastAsia" w:ascii="黑体" w:hAnsi="黑体" w:eastAsia="黑体" w:cs="黑体"/>
          <w:b w:val="0"/>
          <w:bCs/>
          <w:color w:val="000000"/>
        </w:rPr>
      </w:pPr>
      <w:bookmarkStart w:id="37" w:name="_Toc111208502"/>
      <w:bookmarkStart w:id="38" w:name="_Toc19521"/>
      <w:bookmarkStart w:id="39" w:name="_Toc15377208"/>
      <w:r>
        <w:rPr>
          <w:rFonts w:hint="eastAsia" w:ascii="黑体" w:hAnsi="黑体" w:eastAsia="黑体" w:cs="黑体"/>
          <w:b w:val="0"/>
          <w:bCs/>
          <w:color w:val="000000"/>
        </w:rPr>
        <w:t>四、财政拨款收入支出决算总体情况说明</w:t>
      </w:r>
      <w:bookmarkEnd w:id="37"/>
      <w:bookmarkEnd w:id="38"/>
      <w:bookmarkEnd w:id="39"/>
    </w:p>
    <w:p>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总计均为</w:t>
      </w:r>
      <w:r>
        <w:rPr>
          <w:rFonts w:hint="eastAsia" w:ascii="仿宋_GB2312" w:hAnsi="仿宋_GB2312" w:eastAsia="仿宋_GB2312" w:cs="仿宋_GB2312"/>
          <w:color w:val="000000"/>
          <w:sz w:val="32"/>
          <w:u w:color="auto"/>
          <w:lang w:val="en-US" w:eastAsia="zh-CN"/>
        </w:rPr>
        <w:t>3702.15</w:t>
      </w:r>
      <w:r>
        <w:rPr>
          <w:rFonts w:hint="eastAsia" w:ascii="仿宋_GB2312" w:hAnsi="仿宋_GB2312" w:eastAsia="仿宋_GB2312" w:cs="仿宋_GB2312"/>
          <w:color w:val="000000"/>
          <w:sz w:val="32"/>
          <w:u w:color="auto"/>
        </w:rPr>
        <w:t>万元。与202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总计各</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767.53</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26.15</w:t>
      </w:r>
      <w:r>
        <w:rPr>
          <w:rFonts w:hint="eastAsia" w:ascii="仿宋_GB2312" w:hAnsi="仿宋_GB2312" w:eastAsia="仿宋_GB2312" w:cs="仿宋_GB2312"/>
          <w:color w:val="000000"/>
          <w:sz w:val="32"/>
          <w:u w:color="auto"/>
        </w:rPr>
        <w:t>%。主要变动原因是</w:t>
      </w:r>
      <w:r>
        <w:rPr>
          <w:rFonts w:hint="eastAsia" w:ascii="仿宋_GB2312" w:hAnsi="仿宋_GB2312" w:eastAsia="仿宋_GB2312" w:cs="仿宋_GB2312"/>
          <w:color w:val="000000"/>
          <w:sz w:val="32"/>
          <w:u w:color="auto"/>
          <w:lang w:eastAsia="zh-CN"/>
        </w:rPr>
        <w:t>：人员</w:t>
      </w:r>
      <w:r>
        <w:rPr>
          <w:rFonts w:hint="eastAsia" w:ascii="仿宋_GB2312" w:hAnsi="仿宋_GB2312" w:eastAsia="仿宋_GB2312" w:cs="仿宋_GB2312"/>
          <w:color w:val="000000"/>
          <w:sz w:val="32"/>
          <w:u w:color="auto"/>
        </w:rPr>
        <w:t xml:space="preserve">增加。 </w:t>
      </w:r>
    </w:p>
    <w:p>
      <w:pPr>
        <w:rPr>
          <w:rFonts w:hint="eastAsia" w:ascii="思源黑体 CN Normal" w:hAnsi="思源黑体 CN Normal" w:eastAsia="思源黑体 CN Normal" w:cs="思源黑体 CN Normal"/>
          <w:color w:val="000000"/>
          <w:sz w:val="32"/>
          <w:szCs w:val="32"/>
        </w:rPr>
      </w:pPr>
      <w:r>
        <w:rPr>
          <w:rFonts w:hint="eastAsia" w:ascii="思源黑体 CN Normal" w:hAnsi="思源黑体 CN Normal" w:eastAsia="思源黑体 CN Normal" w:cs="思源黑体 CN Normal"/>
          <w:color w:val="000000"/>
          <w:sz w:val="32"/>
          <w:szCs w:val="32"/>
        </w:rPr>
        <w:drawing>
          <wp:inline distT="0" distB="0" distL="0" distR="0">
            <wp:extent cx="4981575" cy="3171825"/>
            <wp:effectExtent l="0" t="0" r="9525" b="952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6"/>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Fonts w:hint="eastAsia" w:ascii="黑体" w:hAnsi="黑体" w:eastAsia="黑体" w:cs="黑体"/>
          <w:b w:val="0"/>
          <w:bCs/>
          <w:color w:val="000000"/>
        </w:rPr>
      </w:pPr>
      <w:bookmarkStart w:id="40" w:name="_Toc15377209"/>
      <w:bookmarkStart w:id="41" w:name="_Toc14368"/>
      <w:bookmarkStart w:id="42" w:name="_Toc111208503"/>
    </w:p>
    <w:p>
      <w:pPr>
        <w:pStyle w:val="6"/>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Fonts w:hint="eastAsia" w:ascii="黑体" w:hAnsi="黑体" w:eastAsia="黑体" w:cs="黑体"/>
          <w:b w:val="0"/>
          <w:bCs/>
          <w:color w:val="000000"/>
        </w:rPr>
      </w:pPr>
      <w:r>
        <w:rPr>
          <w:rFonts w:hint="eastAsia" w:ascii="黑体" w:hAnsi="黑体" w:eastAsia="黑体" w:cs="黑体"/>
          <w:b w:val="0"/>
          <w:bCs/>
          <w:color w:val="000000"/>
        </w:rPr>
        <w:t>五、一般公共预算财政拨款支出决算情况说</w:t>
      </w:r>
      <w:bookmarkEnd w:id="40"/>
      <w:r>
        <w:rPr>
          <w:rFonts w:hint="eastAsia" w:ascii="黑体" w:hAnsi="黑体" w:eastAsia="黑体" w:cs="黑体"/>
          <w:b w:val="0"/>
          <w:bCs/>
          <w:color w:val="000000"/>
        </w:rPr>
        <w:t>明</w:t>
      </w:r>
      <w:bookmarkEnd w:id="41"/>
      <w:bookmarkEnd w:id="42"/>
    </w:p>
    <w:p>
      <w:pPr>
        <w:spacing w:line="600" w:lineRule="exact"/>
        <w:ind w:firstLine="642" w:firstLineChars="200"/>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（一）一般公共预算财政拨款支出决算总体情况</w:t>
      </w:r>
      <w:bookmarkEnd w:id="43"/>
    </w:p>
    <w:p>
      <w:pPr>
        <w:spacing w:line="600" w:lineRule="exact"/>
        <w:ind w:firstLine="640" w:firstLineChars="200"/>
        <w:rPr>
          <w:rFonts w:hint="eastAsia" w:ascii="仿宋_GB2312" w:hAnsi="仿宋_GB2312" w:eastAsia="仿宋_GB2312" w:cs="仿宋_GB2312"/>
          <w:b/>
          <w:color w:val="000000"/>
          <w:sz w:val="32"/>
          <w:szCs w:val="32"/>
          <w:lang w:val="en-US" w:eastAsia="zh-CN"/>
        </w:rPr>
      </w:pPr>
      <w:bookmarkStart w:id="44" w:name="_Toc15377211"/>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3702.15</w:t>
      </w:r>
      <w:r>
        <w:rPr>
          <w:rFonts w:hint="eastAsia" w:ascii="仿宋_GB2312" w:hAnsi="仿宋_GB2312" w:eastAsia="仿宋_GB2312" w:cs="仿宋_GB2312"/>
          <w:color w:val="000000"/>
          <w:sz w:val="32"/>
          <w:u w:color="auto"/>
        </w:rPr>
        <w:t>万元，占本年支出合计的</w:t>
      </w:r>
      <w:r>
        <w:rPr>
          <w:rFonts w:hint="eastAsia" w:ascii="仿宋_GB2312" w:hAnsi="仿宋_GB2312" w:eastAsia="仿宋_GB2312" w:cs="仿宋_GB2312"/>
          <w:color w:val="000000"/>
          <w:sz w:val="32"/>
          <w:u w:color="auto"/>
          <w:lang w:val="en-US" w:eastAsia="zh-CN"/>
        </w:rPr>
        <w:t>95.36</w:t>
      </w:r>
      <w:r>
        <w:rPr>
          <w:rFonts w:hint="eastAsia" w:ascii="仿宋_GB2312" w:hAnsi="仿宋_GB2312" w:eastAsia="仿宋_GB2312" w:cs="仿宋_GB2312"/>
          <w:color w:val="000000"/>
          <w:sz w:val="32"/>
          <w:u w:color="auto"/>
        </w:rPr>
        <w:t>%。与202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767.53</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26.15</w:t>
      </w:r>
      <w:r>
        <w:rPr>
          <w:rFonts w:hint="eastAsia" w:ascii="仿宋_GB2312" w:hAnsi="仿宋_GB2312" w:eastAsia="仿宋_GB2312" w:cs="仿宋_GB2312"/>
          <w:color w:val="000000"/>
          <w:sz w:val="32"/>
          <w:u w:color="auto"/>
        </w:rPr>
        <w:t>%。主要变动原因是</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支出增加。 </w:t>
      </w:r>
    </w:p>
    <w:p>
      <w:pPr>
        <w:pStyle w:val="8"/>
        <w:ind w:firstLine="0"/>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drawing>
          <wp:inline distT="0" distB="0" distL="0" distR="0">
            <wp:extent cx="4905375" cy="3569970"/>
            <wp:effectExtent l="0" t="0" r="9525"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3702.15</w:t>
      </w:r>
      <w:r>
        <w:rPr>
          <w:rFonts w:hint="eastAsia" w:ascii="仿宋_GB2312" w:hAnsi="仿宋_GB2312" w:eastAsia="仿宋_GB2312" w:cs="仿宋_GB2312"/>
          <w:color w:val="000000"/>
          <w:sz w:val="32"/>
          <w:u w:color="auto"/>
        </w:rPr>
        <w:t>万元，主要用于以下方面: 教育支出</w:t>
      </w:r>
      <w:r>
        <w:rPr>
          <w:rFonts w:hint="eastAsia" w:ascii="仿宋_GB2312" w:hAnsi="仿宋_GB2312" w:eastAsia="仿宋_GB2312" w:cs="仿宋_GB2312"/>
          <w:color w:val="000000"/>
          <w:sz w:val="32"/>
          <w:u w:color="auto"/>
          <w:lang w:val="en-US" w:eastAsia="zh-CN"/>
        </w:rPr>
        <w:t>2775.85</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75</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000000"/>
          <w:sz w:val="32"/>
          <w:u w:color="auto"/>
          <w:lang w:val="en-US" w:eastAsia="zh-CN"/>
        </w:rPr>
        <w:t>472.8</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12.8</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194.26</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5.2</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259.27</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7</w:t>
      </w:r>
      <w:r>
        <w:rPr>
          <w:rFonts w:hint="eastAsia" w:ascii="仿宋_GB2312" w:hAnsi="仿宋_GB2312" w:eastAsia="仿宋_GB2312" w:cs="仿宋_GB2312"/>
          <w:color w:val="000000"/>
          <w:sz w:val="32"/>
          <w:u w:color="auto"/>
        </w:rPr>
        <w:t>%。</w:t>
      </w:r>
    </w:p>
    <w:p>
      <w:pPr>
        <w:pStyle w:val="8"/>
        <w:rPr>
          <w:rFonts w:hint="eastAsia" w:ascii="思源黑体 CN Normal" w:hAnsi="思源黑体 CN Normal" w:eastAsia="思源黑体 CN Normal" w:cs="思源黑体 CN Normal"/>
        </w:rPr>
      </w:pPr>
      <w:bookmarkStart w:id="45" w:name="_Toc15377212"/>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（三）一般公共预算财政拨款支出决算具体情况</w:t>
      </w:r>
      <w:bookmarkEnd w:id="45"/>
    </w:p>
    <w:p>
      <w:pPr>
        <w:spacing w:line="600" w:lineRule="exact"/>
        <w:ind w:firstLine="640"/>
        <w:rPr>
          <w:rFonts w:hint="eastAsia" w:ascii="仿宋_GB2312" w:hAnsi="仿宋_GB2312" w:eastAsia="仿宋_GB2312" w:cs="仿宋_GB2312"/>
          <w:color w:val="000000"/>
          <w:sz w:val="32"/>
          <w:szCs w:val="32"/>
        </w:rPr>
      </w:pPr>
      <w:bookmarkStart w:id="46" w:name="_Toc15378460"/>
      <w:bookmarkStart w:id="47" w:name="_Toc15377213"/>
      <w:bookmarkStart w:id="48" w:name="_Toc15377444"/>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u w:color="auto"/>
          <w:lang w:val="en-US" w:eastAsia="zh-CN"/>
        </w:rPr>
        <w:t>3702.18</w:t>
      </w:r>
      <w:r>
        <w:rPr>
          <w:rFonts w:hint="eastAsia" w:ascii="仿宋_GB2312" w:hAnsi="仿宋_GB2312" w:eastAsia="仿宋_GB2312" w:cs="仿宋_GB2312"/>
          <w:color w:val="000000"/>
          <w:sz w:val="32"/>
          <w:u w:color="auto"/>
        </w:rPr>
        <w:t>万元，完成预算100%。其中：</w:t>
      </w:r>
      <w:bookmarkEnd w:id="46"/>
      <w:bookmarkEnd w:id="47"/>
      <w:bookmarkEnd w:id="48"/>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）普通教育（</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）小学教育（</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2775.85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316.22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156.57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194.26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258.07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6.住房保障支出（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）购房补贴（</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t>。</w:t>
      </w:r>
    </w:p>
    <w:p>
      <w:pPr>
        <w:pStyle w:val="6"/>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Fonts w:hint="eastAsia" w:ascii="仿宋_GB2312" w:hAnsi="仿宋_GB2312" w:eastAsia="仿宋_GB2312" w:cs="仿宋_GB2312"/>
          <w:b w:val="0"/>
          <w:color w:val="000000"/>
        </w:rPr>
      </w:pPr>
      <w:bookmarkStart w:id="49" w:name="_Toc15377214"/>
      <w:bookmarkStart w:id="50" w:name="_Toc111208504"/>
      <w:bookmarkStart w:id="51" w:name="_Toc31578"/>
      <w:r>
        <w:rPr>
          <w:rFonts w:hint="eastAsia" w:ascii="仿宋_GB2312" w:hAnsi="仿宋_GB2312" w:eastAsia="仿宋_GB2312" w:cs="仿宋_GB2312"/>
          <w:b w:val="0"/>
          <w:bCs/>
          <w:color w:val="000000"/>
        </w:rPr>
        <w:t>六、一般公共预算财政拨款基本支出决算情况说</w:t>
      </w:r>
      <w:bookmarkEnd w:id="49"/>
      <w:r>
        <w:rPr>
          <w:rFonts w:hint="eastAsia" w:ascii="仿宋_GB2312" w:hAnsi="仿宋_GB2312" w:eastAsia="仿宋_GB2312" w:cs="仿宋_GB2312"/>
          <w:b w:val="0"/>
          <w:bCs/>
          <w:color w:val="000000"/>
        </w:rPr>
        <w:t>明</w:t>
      </w:r>
      <w:bookmarkEnd w:id="50"/>
      <w:bookmarkEnd w:id="51"/>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u w:color="auto"/>
          <w:lang w:val="en-US" w:eastAsia="zh-CN"/>
        </w:rPr>
        <w:t>3702.18</w:t>
      </w:r>
      <w:r>
        <w:rPr>
          <w:rFonts w:hint="eastAsia" w:ascii="仿宋_GB2312" w:hAnsi="仿宋_GB2312" w:eastAsia="仿宋_GB2312" w:cs="仿宋_GB2312"/>
          <w:color w:val="000000"/>
          <w:sz w:val="32"/>
          <w:u w:color="auto"/>
        </w:rPr>
        <w:t>万元，其中：</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u w:color="auto"/>
          <w:lang w:val="en-US" w:eastAsia="zh-CN"/>
        </w:rPr>
        <w:t>3495.9</w:t>
      </w:r>
      <w:r>
        <w:rPr>
          <w:rFonts w:hint="eastAsia" w:ascii="仿宋_GB2312" w:hAnsi="仿宋_GB2312" w:eastAsia="仿宋_GB2312" w:cs="仿宋_GB2312"/>
          <w:color w:val="000000"/>
          <w:sz w:val="32"/>
          <w:u w:color="auto"/>
        </w:rPr>
        <w:t>万元，主要包括：基本</w:t>
      </w:r>
      <w:r>
        <w:rPr>
          <w:rFonts w:hint="eastAsia" w:ascii="仿宋_GB2312" w:hAnsi="仿宋_GB2312" w:eastAsia="仿宋_GB2312" w:cs="仿宋_GB2312"/>
          <w:color w:val="000000"/>
          <w:sz w:val="32"/>
          <w:u w:color="auto"/>
          <w:lang w:eastAsia="zh-CN"/>
        </w:rPr>
        <w:t>工资</w:t>
      </w:r>
      <w:r>
        <w:rPr>
          <w:rFonts w:hint="eastAsia" w:ascii="仿宋_GB2312" w:hAnsi="仿宋_GB2312" w:eastAsia="仿宋_GB2312" w:cs="仿宋_GB2312"/>
          <w:color w:val="000000"/>
          <w:sz w:val="32"/>
          <w:u w:color="auto"/>
        </w:rPr>
        <w:t>、津贴补贴、绩效工资、机关事业单位基本养老保险缴费、职业年金缴费、职工基本医疗保险缴费、其他社会保障缴费、住房公积金、医疗费、生活补助、奖励金。</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u w:color="auto"/>
          <w:lang w:val="en-US" w:eastAsia="zh-CN"/>
        </w:rPr>
        <w:t>206.28</w:t>
      </w:r>
      <w:r>
        <w:rPr>
          <w:rFonts w:hint="eastAsia" w:ascii="仿宋_GB2312" w:hAnsi="仿宋_GB2312" w:eastAsia="仿宋_GB2312" w:cs="仿宋_GB2312"/>
          <w:color w:val="000000"/>
          <w:sz w:val="32"/>
          <w:u w:color="auto"/>
        </w:rPr>
        <w:t>万元，主要包括：办公费、水费、电费、邮电费、维修（护）费、培训费、</w:t>
      </w:r>
      <w:r>
        <w:rPr>
          <w:rFonts w:hint="eastAsia" w:ascii="仿宋_GB2312" w:hAnsi="仿宋_GB2312" w:eastAsia="仿宋_GB2312" w:cs="仿宋_GB2312"/>
          <w:color w:val="000000"/>
          <w:sz w:val="32"/>
          <w:u w:color="auto"/>
          <w:lang w:val="en-US" w:eastAsia="zh-CN"/>
        </w:rPr>
        <w:t>福利费</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其它</w:t>
      </w:r>
      <w:r>
        <w:rPr>
          <w:rFonts w:hint="eastAsia" w:ascii="仿宋_GB2312" w:hAnsi="仿宋_GB2312" w:eastAsia="仿宋_GB2312" w:cs="仿宋_GB2312"/>
          <w:color w:val="000000"/>
          <w:sz w:val="32"/>
          <w:u w:color="auto"/>
        </w:rPr>
        <w:t>。</w:t>
      </w:r>
    </w:p>
    <w:p>
      <w:pPr>
        <w:pStyle w:val="6"/>
        <w:keepNext/>
        <w:keepLines/>
        <w:pageBreakBefore w:val="0"/>
        <w:widowControl w:val="0"/>
        <w:kinsoku/>
        <w:wordWrap/>
        <w:overflowPunct/>
        <w:topLinePunct w:val="0"/>
        <w:autoSpaceDE/>
        <w:autoSpaceDN/>
        <w:bidi w:val="0"/>
        <w:adjustRightInd/>
        <w:snapToGrid/>
        <w:spacing w:before="0" w:after="0" w:line="416" w:lineRule="auto"/>
        <w:ind w:firstLine="640" w:firstLineChars="200"/>
        <w:textAlignment w:val="auto"/>
        <w:rPr>
          <w:rFonts w:hint="eastAsia" w:ascii="黑体" w:hAnsi="黑体" w:eastAsia="黑体" w:cs="黑体"/>
          <w:b w:val="0"/>
          <w:bCs/>
          <w:color w:val="000000"/>
        </w:rPr>
      </w:pPr>
      <w:bookmarkStart w:id="52" w:name="_Toc6614"/>
      <w:bookmarkStart w:id="53" w:name="_Toc111208505"/>
      <w:bookmarkStart w:id="54" w:name="_Toc15377215"/>
      <w:r>
        <w:rPr>
          <w:rFonts w:hint="eastAsia" w:ascii="黑体" w:hAnsi="黑体" w:eastAsia="黑体" w:cs="黑体"/>
          <w:b w:val="0"/>
          <w:bCs/>
          <w:color w:val="000000"/>
        </w:rPr>
        <w:t>七、“三公”经费财政拨款支出决算情况说明</w:t>
      </w:r>
      <w:bookmarkEnd w:id="52"/>
      <w:bookmarkEnd w:id="53"/>
      <w:bookmarkEnd w:id="54"/>
    </w:p>
    <w:p>
      <w:pPr>
        <w:spacing w:line="600" w:lineRule="exact"/>
        <w:ind w:firstLine="642" w:firstLineChars="200"/>
        <w:outlineLvl w:val="2"/>
        <w:rPr>
          <w:rFonts w:hint="eastAsia" w:ascii="仿宋" w:hAnsi="仿宋" w:eastAsia="仿宋" w:cs="仿宋"/>
          <w:b/>
          <w:color w:val="000000"/>
          <w:sz w:val="32"/>
          <w:szCs w:val="32"/>
        </w:rPr>
      </w:pPr>
      <w:bookmarkStart w:id="55" w:name="_Toc15377216"/>
      <w:r>
        <w:rPr>
          <w:rFonts w:hint="eastAsia" w:ascii="仿宋" w:hAnsi="仿宋" w:eastAsia="仿宋" w:cs="仿宋"/>
          <w:b/>
          <w:color w:val="000000"/>
          <w:sz w:val="32"/>
          <w:szCs w:val="32"/>
        </w:rPr>
        <w:t>（一）“三公”经费财政拨款支出决算总体情况说明</w:t>
      </w:r>
      <w:bookmarkEnd w:id="55"/>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“三公”经费财政拨款支出决算为</w:t>
      </w:r>
      <w:r>
        <w:rPr>
          <w:rFonts w:hint="eastAsia" w:ascii="仿宋_GB2312" w:hAnsi="仿宋_GB2312" w:eastAsia="仿宋_GB2312" w:cs="仿宋_GB2312"/>
          <w:color w:val="000000"/>
          <w:sz w:val="32"/>
          <w:u w:color="auto"/>
        </w:rPr>
        <w:t>0万元。</w:t>
      </w:r>
      <w:bookmarkStart w:id="56" w:name="_Toc15377217"/>
    </w:p>
    <w:p>
      <w:pPr>
        <w:spacing w:line="600" w:lineRule="exact"/>
        <w:ind w:firstLine="642"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（二）“三公”经费财政拨款支出决算具体情况说明</w:t>
      </w:r>
      <w:bookmarkEnd w:id="56"/>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“三公”经费财政拨款支出</w:t>
      </w:r>
      <w:r>
        <w:rPr>
          <w:rFonts w:hint="eastAsia" w:ascii="仿宋_GB2312" w:hAnsi="仿宋_GB2312" w:eastAsia="仿宋_GB2312" w:cs="仿宋_GB2312"/>
          <w:color w:val="000000"/>
          <w:sz w:val="32"/>
          <w:u w:color="auto"/>
        </w:rPr>
        <w:t>0万元。具体情况如下：</w:t>
      </w:r>
    </w:p>
    <w:p>
      <w:pPr>
        <w:pStyle w:val="8"/>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4333240" cy="2886075"/>
            <wp:effectExtent l="0" t="0" r="1016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numPr>
          <w:ilvl w:val="0"/>
          <w:numId w:val="1"/>
        </w:numPr>
        <w:spacing w:line="600" w:lineRule="exact"/>
        <w:ind w:firstLine="640"/>
        <w:rPr>
          <w:rFonts w:ascii="仿宋" w:hAnsi="仿宋" w:eastAsia="仿宋" w:cs="仿宋"/>
          <w:color w:val="000000"/>
          <w:sz w:val="32"/>
          <w:u w:color="auto"/>
        </w:rPr>
      </w:pPr>
      <w:r>
        <w:rPr>
          <w:rFonts w:hint="eastAsia" w:ascii="仿宋" w:hAnsi="仿宋" w:eastAsia="仿宋" w:cs="仿宋"/>
          <w:b/>
          <w:bCs/>
          <w:color w:val="000000"/>
          <w:sz w:val="32"/>
          <w:szCs w:val="32"/>
        </w:rPr>
        <w:t>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p>
    <w:p>
      <w:pPr>
        <w:numPr>
          <w:ilvl w:val="0"/>
          <w:numId w:val="0"/>
        </w:numPr>
        <w:spacing w:line="600" w:lineRule="exact"/>
        <w:ind w:firstLine="642" w:firstLineChars="200"/>
        <w:rPr>
          <w:rFonts w:hint="eastAsia" w:ascii="仿宋" w:hAnsi="仿宋" w:eastAsia="仿宋" w:cs="仿宋"/>
          <w:color w:val="000000"/>
          <w:sz w:val="32"/>
          <w:szCs w:val="32"/>
        </w:rPr>
      </w:pPr>
      <w:r>
        <w:rPr>
          <w:rFonts w:hint="eastAsia" w:ascii="仿宋" w:hAnsi="仿宋" w:eastAsia="仿宋" w:cs="仿宋"/>
          <w:b/>
          <w:bCs/>
          <w:color w:val="000000"/>
          <w:sz w:val="32"/>
          <w:szCs w:val="32"/>
        </w:rPr>
        <w:t>2.公务用车购置及运行维护费支出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 </w:t>
      </w:r>
    </w:p>
    <w:p>
      <w:pPr>
        <w:spacing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截至</w:t>
      </w:r>
      <w:r>
        <w:rPr>
          <w:rFonts w:hint="eastAsia" w:ascii="仿宋_GB2312" w:hAnsi="仿宋_GB2312" w:eastAsia="仿宋_GB2312" w:cs="仿宋_GB2312"/>
          <w:color w:val="000000"/>
          <w:sz w:val="32"/>
          <w:highlight w:val="none"/>
          <w:u w:color="auto"/>
        </w:rPr>
        <w:t>202</w:t>
      </w:r>
      <w:r>
        <w:rPr>
          <w:rFonts w:hint="eastAsia" w:ascii="仿宋_GB2312" w:hAnsi="仿宋_GB2312" w:eastAsia="仿宋_GB2312" w:cs="仿宋_GB2312"/>
          <w:color w:val="000000"/>
          <w:sz w:val="32"/>
          <w:highlight w:val="none"/>
          <w:u w:color="auto"/>
          <w:lang w:val="en-US" w:eastAsia="zh-CN"/>
        </w:rPr>
        <w:t>5</w:t>
      </w:r>
      <w:r>
        <w:rPr>
          <w:rFonts w:hint="eastAsia" w:ascii="仿宋_GB2312" w:hAnsi="仿宋_GB2312" w:eastAsia="仿宋_GB2312" w:cs="仿宋_GB2312"/>
          <w:color w:val="000000"/>
          <w:sz w:val="32"/>
          <w:highlight w:val="none"/>
          <w:u w:color="auto"/>
        </w:rPr>
        <w:t>年12月</w:t>
      </w:r>
      <w:r>
        <w:rPr>
          <w:rFonts w:hint="eastAsia" w:ascii="仿宋_GB2312" w:hAnsi="仿宋_GB2312" w:eastAsia="仿宋_GB2312" w:cs="仿宋_GB2312"/>
          <w:color w:val="000000"/>
          <w:sz w:val="32"/>
          <w:szCs w:val="32"/>
          <w:highlight w:val="none"/>
          <w:lang w:val="en-US" w:eastAsia="zh-CN"/>
        </w:rPr>
        <w:t>31日</w:t>
      </w:r>
      <w:r>
        <w:rPr>
          <w:rFonts w:hint="eastAsia" w:ascii="仿宋_GB2312" w:hAnsi="仿宋_GB2312" w:eastAsia="仿宋_GB2312" w:cs="仿宋_GB2312"/>
          <w:color w:val="000000"/>
          <w:sz w:val="32"/>
          <w:szCs w:val="32"/>
          <w:highlight w:val="none"/>
        </w:rPr>
        <w:t>，单位共有公务用车</w:t>
      </w:r>
      <w:r>
        <w:rPr>
          <w:rFonts w:hint="eastAsia" w:ascii="仿宋_GB2312" w:hAnsi="仿宋_GB2312" w:eastAsia="仿宋_GB2312" w:cs="仿宋_GB2312"/>
          <w:color w:val="000000"/>
          <w:sz w:val="32"/>
          <w:highlight w:val="none"/>
          <w:u w:color="auto"/>
        </w:rPr>
        <w:t>2辆，其中：轿车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辆、越野车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辆、载客汽车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辆</w:t>
      </w:r>
      <w:r>
        <w:rPr>
          <w:rFonts w:hint="eastAsia" w:ascii="仿宋_GB2312" w:hAnsi="仿宋_GB2312" w:eastAsia="仿宋_GB2312" w:cs="仿宋_GB2312"/>
          <w:color w:val="000000"/>
          <w:sz w:val="32"/>
          <w:szCs w:val="32"/>
          <w:highlight w:val="none"/>
          <w:lang w:val="en-US" w:eastAsia="zh-CN"/>
        </w:rPr>
        <w:t>。</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b/>
          <w:bCs/>
          <w:color w:val="000000"/>
          <w:sz w:val="32"/>
          <w:szCs w:val="32"/>
        </w:rPr>
        <w:t>公务用车运行维护费支出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ascii="仿宋" w:hAnsi="仿宋" w:eastAsia="仿宋" w:cs="仿宋"/>
          <w:color w:val="000000"/>
          <w:sz w:val="32"/>
          <w:u w:color="auto"/>
        </w:rPr>
        <w:t xml:space="preserve"> </w:t>
      </w:r>
    </w:p>
    <w:p>
      <w:pPr>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bookmarkStart w:id="57" w:name="_Toc15377218"/>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其中：</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b/>
          <w:bCs/>
          <w:color w:val="000000"/>
          <w:sz w:val="32"/>
          <w:szCs w:val="32"/>
        </w:rPr>
        <w:t>国内公务接待支出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p>
    <w:p>
      <w:pPr>
        <w:pStyle w:val="8"/>
        <w:rPr>
          <w:rFonts w:hint="eastAsia" w:ascii="仿宋_GB2312" w:hAnsi="仿宋_GB2312" w:eastAsia="仿宋_GB2312" w:cs="仿宋_GB2312"/>
          <w:color w:val="000000"/>
          <w:sz w:val="32"/>
          <w:u w:color="auto"/>
        </w:rPr>
      </w:pPr>
      <w:r>
        <w:rPr>
          <w:rFonts w:hint="eastAsia" w:ascii="仿宋" w:hAnsi="仿宋" w:eastAsia="仿宋" w:cs="仿宋"/>
          <w:b/>
          <w:bCs/>
          <w:color w:val="000000"/>
          <w:sz w:val="32"/>
          <w:szCs w:val="32"/>
        </w:rPr>
        <w:t>外事接待支出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bookmarkStart w:id="58" w:name="_Toc111208506"/>
      <w:bookmarkStart w:id="59" w:name="_Toc20439"/>
    </w:p>
    <w:p>
      <w:pPr>
        <w:pStyle w:val="8"/>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八、政府性基金预算支出决算情况说明</w:t>
      </w:r>
      <w:bookmarkEnd w:id="57"/>
      <w:bookmarkEnd w:id="58"/>
      <w:bookmarkEnd w:id="59"/>
    </w:p>
    <w:p>
      <w:pPr>
        <w:spacing w:line="600" w:lineRule="exact"/>
        <w:ind w:firstLine="640"/>
        <w:rPr>
          <w:rFonts w:hint="eastAsia" w:ascii="仿宋_GB2312" w:hAnsi="仿宋_GB2312" w:eastAsia="仿宋_GB2312" w:cs="仿宋_GB2312"/>
          <w:color w:val="000000"/>
          <w:sz w:val="32"/>
          <w:szCs w:val="32"/>
          <w:u w:color="auto"/>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政府性基金预算拨款支出</w:t>
      </w:r>
      <w:r>
        <w:rPr>
          <w:rFonts w:hint="eastAsia" w:ascii="仿宋_GB2312" w:hAnsi="仿宋_GB2312" w:eastAsia="仿宋_GB2312" w:cs="仿宋_GB2312"/>
          <w:color w:val="000000"/>
          <w:sz w:val="32"/>
          <w:szCs w:val="32"/>
          <w:u w:color="auto"/>
        </w:rPr>
        <w:t>1.</w:t>
      </w:r>
      <w:r>
        <w:rPr>
          <w:rFonts w:hint="eastAsia" w:ascii="仿宋_GB2312" w:hAnsi="仿宋_GB2312" w:eastAsia="仿宋_GB2312" w:cs="仿宋_GB2312"/>
          <w:color w:val="000000"/>
          <w:sz w:val="32"/>
          <w:szCs w:val="32"/>
          <w:u w:color="auto"/>
          <w:lang w:val="en-US" w:eastAsia="zh-CN"/>
        </w:rPr>
        <w:t>5</w:t>
      </w:r>
      <w:r>
        <w:rPr>
          <w:rFonts w:hint="eastAsia" w:ascii="仿宋_GB2312" w:hAnsi="仿宋_GB2312" w:eastAsia="仿宋_GB2312" w:cs="仿宋_GB2312"/>
          <w:color w:val="000000"/>
          <w:sz w:val="32"/>
          <w:szCs w:val="32"/>
          <w:u w:color="auto"/>
        </w:rPr>
        <w:t>万元</w:t>
      </w:r>
      <w:bookmarkStart w:id="60" w:name="_Toc15377219"/>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ascii="仿宋_GB2312" w:hAnsi="仿宋_GB2312" w:eastAsia="仿宋_GB2312" w:cs="仿宋_GB2312"/>
          <w:color w:val="000000"/>
          <w:sz w:val="32"/>
          <w:szCs w:val="32"/>
          <w:lang w:val="en-US" w:eastAsia="zh-CN"/>
        </w:rPr>
        <w:t>0.04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。与</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auto"/>
          <w:kern w:val="2"/>
          <w:sz w:val="32"/>
          <w:szCs w:val="32"/>
          <w:highlight w:val="none"/>
          <w:lang w:val="en-US" w:eastAsia="zh-CN" w:bidi="ar-SA"/>
        </w:rPr>
        <w:t>年度相比，政府性基金预算财政拨款支出</w:t>
      </w:r>
      <w:r>
        <w:rPr>
          <w:rFonts w:hint="eastAsia" w:ascii="仿宋_GB2312" w:hAnsi="仿宋_GB2312" w:eastAsia="仿宋_GB2312" w:cs="仿宋_GB2312"/>
          <w:color w:val="000000"/>
          <w:sz w:val="32"/>
          <w:szCs w:val="32"/>
        </w:rPr>
        <w:t>减少</w:t>
      </w:r>
      <w:r>
        <w:rPr>
          <w:rFonts w:hint="eastAsia" w:ascii="仿宋_GB2312" w:hAnsi="仿宋_GB2312" w:eastAsia="仿宋_GB2312" w:cs="仿宋_GB2312"/>
          <w:color w:val="000000"/>
          <w:sz w:val="32"/>
          <w:szCs w:val="32"/>
          <w:lang w:val="en-US" w:eastAsia="zh-CN"/>
        </w:rPr>
        <w:t>0.38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szCs w:val="32"/>
        </w:rPr>
        <w:t>下降</w:t>
      </w:r>
      <w:r>
        <w:rPr>
          <w:rFonts w:hint="eastAsia" w:ascii="仿宋_GB2312" w:hAnsi="仿宋_GB2312" w:eastAsia="仿宋_GB2312" w:cs="仿宋_GB2312"/>
          <w:color w:val="000000"/>
          <w:sz w:val="32"/>
          <w:szCs w:val="32"/>
          <w:lang w:val="en-US" w:eastAsia="zh-CN"/>
        </w:rPr>
        <w:t>20.21</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u w:color="auto"/>
        </w:rPr>
        <w:t>主要变动原因是</w:t>
      </w:r>
      <w:r>
        <w:rPr>
          <w:rFonts w:hint="eastAsia" w:ascii="仿宋_GB2312" w:hAnsi="仿宋_GB2312" w:eastAsia="仿宋_GB2312" w:cs="仿宋_GB2312"/>
          <w:color w:val="000000"/>
          <w:sz w:val="32"/>
          <w:szCs w:val="32"/>
          <w:u w:color="auto"/>
          <w:lang w:eastAsia="zh-CN"/>
        </w:rPr>
        <w:t>：</w:t>
      </w:r>
      <w:r>
        <w:rPr>
          <w:rFonts w:hint="eastAsia" w:ascii="仿宋_GB2312" w:hAnsi="仿宋_GB2312" w:eastAsia="仿宋_GB2312" w:cs="仿宋_GB2312"/>
          <w:color w:val="000000"/>
          <w:sz w:val="32"/>
          <w:szCs w:val="32"/>
          <w:u w:color="auto"/>
        </w:rPr>
        <w:t xml:space="preserve">基金收入减少。 </w:t>
      </w:r>
      <w:bookmarkStart w:id="61" w:name="_Toc23467"/>
      <w:bookmarkStart w:id="62" w:name="_Toc111208507"/>
    </w:p>
    <w:p>
      <w:pPr>
        <w:numPr>
          <w:ilvl w:val="0"/>
          <w:numId w:val="2"/>
        </w:numPr>
        <w:spacing w:line="600" w:lineRule="exact"/>
        <w:ind w:firstLine="64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国有资本经营预算支出决算情况说明</w:t>
      </w:r>
      <w:bookmarkEnd w:id="60"/>
      <w:bookmarkEnd w:id="61"/>
      <w:bookmarkEnd w:id="62"/>
    </w:p>
    <w:p>
      <w:pPr>
        <w:numPr>
          <w:ilvl w:val="0"/>
          <w:numId w:val="0"/>
        </w:numPr>
        <w:spacing w:line="600" w:lineRule="exact"/>
        <w:ind w:firstLine="640" w:firstLineChars="200"/>
        <w:rPr>
          <w:rFonts w:ascii="仿宋" w:hAnsi="仿宋" w:eastAsia="仿宋" w:cs="仿宋"/>
          <w:color w:val="000000"/>
          <w:sz w:val="32"/>
          <w:u w:color="auto"/>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国有资本经营预算拨款支出</w:t>
      </w:r>
      <w:r>
        <w:rPr>
          <w:rFonts w:hint="eastAsia" w:ascii="仿宋_GB2312" w:hAnsi="仿宋_GB2312" w:eastAsia="仿宋_GB2312" w:cs="仿宋_GB2312"/>
          <w:color w:val="000000"/>
          <w:sz w:val="32"/>
          <w:u w:color="auto"/>
        </w:rPr>
        <w:t>0万元</w:t>
      </w:r>
      <w:r>
        <w:rPr>
          <w:rFonts w:hint="eastAsia" w:ascii="仿宋_GB2312" w:hAnsi="仿宋_GB2312" w:eastAsia="仿宋_GB2312" w:cs="仿宋_GB2312"/>
          <w:color w:val="000000"/>
          <w:sz w:val="32"/>
          <w:szCs w:val="32"/>
        </w:rPr>
        <w:t>。</w:t>
      </w:r>
      <w:r>
        <w:rPr>
          <w:rFonts w:ascii="仿宋" w:hAnsi="仿宋" w:eastAsia="仿宋" w:cs="仿宋"/>
          <w:color w:val="000000"/>
          <w:sz w:val="32"/>
          <w:u w:color="auto"/>
        </w:rPr>
        <w:t xml:space="preserve"> </w:t>
      </w:r>
      <w:bookmarkStart w:id="63" w:name="_Toc18455"/>
      <w:bookmarkStart w:id="64" w:name="_Toc111208508"/>
      <w:bookmarkStart w:id="65" w:name="_Toc15377221"/>
    </w:p>
    <w:p>
      <w:pPr>
        <w:numPr>
          <w:ilvl w:val="0"/>
          <w:numId w:val="0"/>
        </w:numPr>
        <w:spacing w:line="600" w:lineRule="exact"/>
        <w:ind w:firstLine="640" w:firstLineChars="20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十、其他重要事项的情况说明</w:t>
      </w:r>
      <w:bookmarkEnd w:id="63"/>
      <w:bookmarkEnd w:id="64"/>
      <w:bookmarkEnd w:id="65"/>
    </w:p>
    <w:p>
      <w:pPr>
        <w:spacing w:line="600" w:lineRule="exact"/>
        <w:ind w:firstLine="642" w:firstLineChars="200"/>
        <w:outlineLvl w:val="2"/>
        <w:rPr>
          <w:rFonts w:hint="eastAsia" w:ascii="楷体" w:hAnsi="楷体" w:eastAsia="楷体" w:cs="楷体"/>
          <w:b/>
          <w:color w:val="000000"/>
          <w:sz w:val="32"/>
          <w:szCs w:val="32"/>
        </w:rPr>
      </w:pPr>
      <w:bookmarkStart w:id="66" w:name="_Toc15377222"/>
      <w:r>
        <w:rPr>
          <w:rFonts w:hint="eastAsia" w:ascii="楷体" w:hAnsi="楷体" w:eastAsia="楷体" w:cs="楷体"/>
          <w:b/>
          <w:color w:val="000000"/>
          <w:sz w:val="32"/>
          <w:szCs w:val="32"/>
        </w:rPr>
        <w:t>（一）机关运行经费支出情况</w:t>
      </w:r>
      <w:bookmarkEnd w:id="66"/>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四川省阿坝藏族羌族自治州茂县凤仪镇小学校</w:t>
      </w:r>
      <w:r>
        <w:rPr>
          <w:rFonts w:hint="eastAsia" w:ascii="仿宋_GB2312" w:hAnsi="仿宋_GB2312" w:eastAsia="仿宋_GB2312" w:cs="仿宋_GB2312"/>
          <w:color w:val="000000"/>
          <w:sz w:val="32"/>
          <w:u w:color="auto"/>
          <w:lang w:val="en-US" w:eastAsia="zh-CN"/>
        </w:rPr>
        <w:t>无</w:t>
      </w:r>
      <w:r>
        <w:rPr>
          <w:rFonts w:hint="eastAsia" w:ascii="仿宋_GB2312" w:hAnsi="仿宋_GB2312" w:eastAsia="仿宋_GB2312" w:cs="仿宋_GB2312"/>
          <w:color w:val="000000"/>
          <w:sz w:val="32"/>
          <w:u w:color="auto"/>
        </w:rPr>
        <w:t xml:space="preserve">机关运行经费支出。 </w:t>
      </w:r>
    </w:p>
    <w:p>
      <w:pPr>
        <w:spacing w:line="600" w:lineRule="exact"/>
        <w:ind w:firstLine="642" w:firstLineChars="200"/>
        <w:outlineLvl w:val="2"/>
        <w:rPr>
          <w:rFonts w:hint="eastAsia" w:ascii="楷体" w:hAnsi="楷体" w:eastAsia="楷体" w:cs="楷体"/>
          <w:b/>
          <w:color w:val="000000"/>
          <w:sz w:val="32"/>
          <w:szCs w:val="32"/>
        </w:rPr>
      </w:pPr>
      <w:bookmarkStart w:id="67" w:name="_Toc15377223"/>
      <w:r>
        <w:rPr>
          <w:rFonts w:hint="eastAsia" w:ascii="楷体" w:hAnsi="楷体" w:eastAsia="楷体" w:cs="楷体"/>
          <w:b/>
          <w:color w:val="000000"/>
          <w:sz w:val="32"/>
          <w:szCs w:val="32"/>
        </w:rPr>
        <w:t>（二）政府采购支出情况</w:t>
      </w:r>
      <w:bookmarkEnd w:id="67"/>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四川省阿坝藏族羌族自治州茂县凤仪镇小学校政府采购支出总额</w:t>
      </w:r>
      <w:r>
        <w:rPr>
          <w:rFonts w:hint="eastAsia" w:ascii="仿宋_GB2312" w:hAnsi="仿宋_GB2312" w:eastAsia="仿宋_GB2312" w:cs="仿宋_GB2312"/>
          <w:color w:val="000000"/>
          <w:sz w:val="32"/>
          <w:u w:color="auto"/>
          <w:lang w:val="en-US"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pPr>
        <w:spacing w:line="600" w:lineRule="exact"/>
        <w:ind w:firstLine="642" w:firstLineChars="200"/>
        <w:outlineLvl w:val="2"/>
        <w:rPr>
          <w:rFonts w:hint="eastAsia" w:ascii="楷体" w:hAnsi="楷体" w:eastAsia="楷体" w:cs="楷体"/>
          <w:b/>
          <w:color w:val="000000"/>
          <w:sz w:val="32"/>
          <w:szCs w:val="32"/>
        </w:rPr>
      </w:pPr>
      <w:bookmarkStart w:id="68" w:name="_Toc15377224"/>
      <w:r>
        <w:rPr>
          <w:rFonts w:hint="eastAsia" w:ascii="楷体" w:hAnsi="楷体" w:eastAsia="楷体" w:cs="楷体"/>
          <w:b/>
          <w:color w:val="000000"/>
          <w:sz w:val="32"/>
          <w:szCs w:val="32"/>
        </w:rPr>
        <w:t>（三）国有资产占有使用情况</w:t>
      </w:r>
      <w:bookmarkEnd w:id="68"/>
    </w:p>
    <w:p>
      <w:pPr>
        <w:spacing w:line="600" w:lineRule="exact"/>
        <w:ind w:firstLine="64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5</w:t>
      </w:r>
      <w:r>
        <w:rPr>
          <w:rFonts w:hint="eastAsia" w:ascii="仿宋_GB2312" w:hAnsi="仿宋_GB2312" w:eastAsia="仿宋_GB2312" w:cs="仿宋_GB2312"/>
          <w:color w:val="000000"/>
          <w:sz w:val="32"/>
          <w:u w:color="auto"/>
        </w:rPr>
        <w:t>年12月31日，四川省阿坝藏族羌族自治州茂县凤仪镇小学校共有车辆2辆，其中：应急保障用车2辆。</w:t>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（四）预算绩效管理情况</w:t>
      </w:r>
    </w:p>
    <w:p>
      <w:pPr>
        <w:spacing w:line="600" w:lineRule="exact"/>
        <w:ind w:firstLine="640" w:firstLineChars="200"/>
        <w:rPr>
          <w:rFonts w:hint="eastAsia" w:ascii="仿宋_GB2312" w:hAnsi="仿宋_GB2312" w:eastAsia="仿宋_GB2312" w:cs="仿宋_GB2312"/>
          <w:b/>
          <w:color w:val="000000"/>
          <w:sz w:val="32"/>
          <w:szCs w:val="32"/>
        </w:rPr>
      </w:pPr>
      <w:r>
        <w:rPr>
          <w:rFonts w:hint="eastAsia" w:ascii="仿宋" w:hAnsi="仿宋" w:eastAsia="仿宋" w:cs="仿宋"/>
          <w:sz w:val="32"/>
          <w:szCs w:val="32"/>
        </w:rPr>
        <w:t xml:space="preserve"> </w:t>
      </w:r>
      <w:r>
        <w:rPr>
          <w:rFonts w:hint="eastAsia" w:ascii="仿宋_GB2312" w:hAnsi="仿宋_GB2312" w:eastAsia="仿宋_GB2312" w:cs="仿宋_GB2312"/>
          <w:color w:val="auto"/>
          <w:sz w:val="32"/>
          <w:szCs w:val="32"/>
          <w:highlight w:val="none"/>
          <w:lang w:eastAsia="zh-CN"/>
        </w:rPr>
        <w:t>根据预算绩效管理要求，本单位在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lang w:eastAsia="zh-CN"/>
        </w:rPr>
        <w:t>预算编制阶段，组织对凤仪镇</w:t>
      </w:r>
      <w:r>
        <w:rPr>
          <w:rFonts w:hint="eastAsia" w:ascii="仿宋_GB2312" w:hAnsi="仿宋_GB2312" w:eastAsia="仿宋_GB2312" w:cs="仿宋_GB2312"/>
          <w:color w:val="auto"/>
          <w:sz w:val="32"/>
          <w:szCs w:val="32"/>
          <w:highlight w:val="none"/>
          <w:lang w:val="en-US" w:eastAsia="zh-CN"/>
        </w:rPr>
        <w:t>小</w:t>
      </w:r>
      <w:r>
        <w:rPr>
          <w:rFonts w:hint="eastAsia" w:ascii="仿宋_GB2312" w:hAnsi="仿宋_GB2312" w:eastAsia="仿宋_GB2312" w:cs="仿宋_GB2312"/>
          <w:color w:val="auto"/>
          <w:sz w:val="32"/>
          <w:szCs w:val="32"/>
          <w:highlight w:val="none"/>
          <w:lang w:eastAsia="zh-CN"/>
        </w:rPr>
        <w:t>学校少年宫、凤仪镇小学校公用经费等</w:t>
      </w:r>
      <w:r>
        <w:rPr>
          <w:rFonts w:hint="eastAsia" w:ascii="仿宋_GB2312" w:hAnsi="仿宋_GB2312" w:eastAsia="仿宋_GB2312" w:cs="仿宋_GB2312"/>
          <w:color w:val="auto"/>
          <w:sz w:val="32"/>
          <w:szCs w:val="32"/>
          <w:highlight w:val="none"/>
          <w:lang w:val="en-US" w:eastAsia="zh-CN"/>
        </w:rPr>
        <w:t>13个项目</w:t>
      </w:r>
      <w:r>
        <w:rPr>
          <w:rFonts w:hint="eastAsia" w:ascii="仿宋_GB2312" w:hAnsi="仿宋_GB2312" w:eastAsia="仿宋_GB2312" w:cs="仿宋_GB2312"/>
          <w:color w:val="auto"/>
          <w:sz w:val="32"/>
          <w:szCs w:val="32"/>
          <w:highlight w:val="none"/>
          <w:lang w:eastAsia="zh-CN"/>
        </w:rPr>
        <w:t>开展了预算事前绩效评估，对</w:t>
      </w:r>
      <w:r>
        <w:rPr>
          <w:rFonts w:hint="eastAsia" w:ascii="仿宋_GB2312" w:hAnsi="仿宋_GB2312" w:eastAsia="仿宋_GB2312" w:cs="仿宋_GB2312"/>
          <w:color w:val="auto"/>
          <w:sz w:val="32"/>
          <w:szCs w:val="32"/>
          <w:highlight w:val="none"/>
          <w:lang w:val="en-US" w:eastAsia="zh-CN"/>
        </w:rPr>
        <w:t>34</w:t>
      </w:r>
      <w:r>
        <w:rPr>
          <w:rFonts w:hint="eastAsia" w:ascii="仿宋_GB2312" w:hAnsi="仿宋_GB2312" w:eastAsia="仿宋_GB2312" w:cs="仿宋_GB2312"/>
          <w:color w:val="auto"/>
          <w:sz w:val="32"/>
          <w:szCs w:val="32"/>
          <w:highlight w:val="none"/>
          <w:lang w:eastAsia="zh-CN"/>
        </w:rPr>
        <w:t>个项目编制了绩效目标，预算执行过程中，选取</w:t>
      </w:r>
      <w:r>
        <w:rPr>
          <w:rFonts w:hint="eastAsia" w:ascii="仿宋_GB2312" w:hAnsi="仿宋_GB2312" w:eastAsia="仿宋_GB2312" w:cs="仿宋_GB2312"/>
          <w:color w:val="auto"/>
          <w:sz w:val="32"/>
          <w:szCs w:val="32"/>
          <w:highlight w:val="none"/>
          <w:lang w:val="en-US" w:eastAsia="zh-CN"/>
        </w:rPr>
        <w:t>34</w:t>
      </w:r>
      <w:r>
        <w:rPr>
          <w:rFonts w:hint="eastAsia" w:ascii="仿宋_GB2312" w:hAnsi="仿宋_GB2312" w:eastAsia="仿宋_GB2312" w:cs="仿宋_GB2312"/>
          <w:color w:val="auto"/>
          <w:sz w:val="32"/>
          <w:szCs w:val="32"/>
          <w:highlight w:val="none"/>
          <w:lang w:eastAsia="zh-CN"/>
        </w:rPr>
        <w:t>个项目开展绩效监控，组织对</w:t>
      </w:r>
      <w:r>
        <w:rPr>
          <w:rFonts w:hint="eastAsia" w:ascii="仿宋_GB2312" w:hAnsi="仿宋_GB2312" w:eastAsia="仿宋_GB2312" w:cs="仿宋_GB2312"/>
          <w:color w:val="auto"/>
          <w:sz w:val="32"/>
          <w:szCs w:val="32"/>
          <w:highlight w:val="none"/>
          <w:lang w:val="en-US" w:eastAsia="zh-CN"/>
        </w:rPr>
        <w:t>13个项目开展绩效自评，绩效自评表详见第四部分附件。</w:t>
      </w:r>
    </w:p>
    <w:p>
      <w:pPr>
        <w:pStyle w:val="5"/>
        <w:jc w:val="center"/>
        <w:rPr>
          <w:rFonts w:hint="eastAsia" w:ascii="黑体" w:hAnsi="黑体" w:eastAsia="黑体" w:cs="黑体"/>
          <w:b w:val="0"/>
          <w:bCs w:val="0"/>
        </w:rPr>
      </w:pPr>
      <w:bookmarkStart w:id="69" w:name="_Toc18122"/>
      <w:bookmarkStart w:id="70" w:name="_Toc15377225"/>
      <w:bookmarkStart w:id="71" w:name="_Toc111208509"/>
    </w:p>
    <w:p>
      <w:pPr>
        <w:pStyle w:val="5"/>
        <w:jc w:val="center"/>
        <w:rPr>
          <w:rFonts w:hint="eastAsia" w:ascii="黑体" w:hAnsi="黑体" w:eastAsia="黑体" w:cs="黑体"/>
          <w:b w:val="0"/>
          <w:bCs w:val="0"/>
        </w:rPr>
      </w:pPr>
    </w:p>
    <w:p>
      <w:pPr>
        <w:pStyle w:val="5"/>
        <w:jc w:val="center"/>
        <w:rPr>
          <w:rFonts w:hint="eastAsia" w:ascii="黑体" w:hAnsi="黑体" w:eastAsia="黑体" w:cs="黑体"/>
          <w:b w:val="0"/>
          <w:bCs w:val="0"/>
        </w:rPr>
      </w:pPr>
    </w:p>
    <w:p>
      <w:pPr>
        <w:rPr>
          <w:rFonts w:hint="eastAsia" w:ascii="黑体" w:hAnsi="黑体" w:eastAsia="黑体" w:cs="黑体"/>
          <w:b w:val="0"/>
          <w:bCs w:val="0"/>
        </w:rPr>
      </w:pPr>
    </w:p>
    <w:p>
      <w:pPr>
        <w:pStyle w:val="2"/>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bookmarkStart w:id="89" w:name="_GoBack"/>
      <w:bookmarkEnd w:id="89"/>
    </w:p>
    <w:p>
      <w:pPr>
        <w:pStyle w:val="5"/>
        <w:jc w:val="center"/>
        <w:rPr>
          <w:rFonts w:hint="eastAsia" w:ascii="黑体" w:hAnsi="黑体" w:eastAsia="黑体" w:cs="黑体"/>
          <w:b w:val="0"/>
          <w:bCs w:val="0"/>
        </w:rPr>
      </w:pPr>
      <w:r>
        <w:rPr>
          <w:rFonts w:hint="eastAsia" w:ascii="黑体" w:hAnsi="黑体" w:eastAsia="黑体" w:cs="黑体"/>
          <w:b w:val="0"/>
          <w:bCs w:val="0"/>
        </w:rPr>
        <w:t>第三部分 名词解释</w:t>
      </w:r>
      <w:bookmarkEnd w:id="69"/>
      <w:bookmarkEnd w:id="70"/>
      <w:bookmarkEnd w:id="71"/>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1.财政拨款收入：指单位从同级财政部门取得的财政预算资金。</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2.事业收入：指事业单位开展专业业务活动及辅助活动取得的收入。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4.其他收入：指单位取得的除上述收入以外的各项收入。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5.使用非财政拨款结余（含专用结余）：指事业单位使用以前年度积累的非财政拨款结余弥补当年收支差额的金额。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6.年初结转和结余：指以前年度尚未完成、结转到本年按有关规定继续使用的资金。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8.年末结转和结余：指单位按有关规定结转到下年或以后年度继续使用的资金。</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9.教育支出（类）普通教育（款）小学教育（项）:反映各部门举办的小学教育支出。政府各部门对社会组织等举办的小学的资助，如捐赠、补贴等，也在本科目中反映。</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10.社会保障和就业支出（类）行政事业单位养老支出（款）机关事业单位基本养老保险缴费支出（项）:反映机关事业单位实施养老保险制度由单位缴纳的基本养老保险费支出。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11.社会保障和就业支出（类）行政事业单位养老支出（款）机关事业单位职业年金缴费支出（项）:反映机关事业单位实施养老保险制度由单位实际缴纳的职业年金支出。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12.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13.住房保障支出（类）住房改革支出（款）住房公积金（项）:反映行政事业单位按人力资源和社会保障部、财政部规定的基本工资和津贴补贴以及规定比例为职工缴纳的住房公积金。</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14.住房保障支出（类）住房改革支出（款）购房补贴（项）:反映按房改政策规定，行政事业单位向符合条件职工（含离退休人员）、军队（含武警）向转役复员离退休人员发放的用于购买住房的补贴。</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15</w:t>
      </w:r>
      <w:r>
        <w:rPr>
          <w:rFonts w:ascii="仿宋" w:hAnsi="仿宋" w:eastAsia="仿宋" w:cs="仿宋"/>
          <w:color w:val="000000"/>
          <w:sz w:val="32"/>
          <w:u w:color="auto"/>
        </w:rPr>
        <w:t>.基本支出：指为保障机构正常运转、完成日常工作任务而发生的人员支出和公用支出。</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16</w:t>
      </w:r>
      <w:r>
        <w:rPr>
          <w:rFonts w:ascii="仿宋" w:hAnsi="仿宋" w:eastAsia="仿宋" w:cs="仿宋"/>
          <w:color w:val="000000"/>
          <w:sz w:val="32"/>
          <w:u w:color="auto"/>
        </w:rPr>
        <w:t xml:space="preserve">.项目支出：指在基本支出之外为完成特定行政任务和事业发展目标所发生的支出。 </w:t>
      </w:r>
    </w:p>
    <w:p>
      <w:pPr>
        <w:spacing w:line="600" w:lineRule="exact"/>
        <w:ind w:firstLine="640"/>
        <w:rPr>
          <w:rFonts w:ascii="仿宋" w:hAnsi="仿宋" w:eastAsia="仿宋" w:cs="仿宋"/>
          <w:color w:val="000000"/>
          <w:sz w:val="32"/>
          <w:u w:color="auto"/>
        </w:rPr>
      </w:pPr>
      <w:r>
        <w:rPr>
          <w:rFonts w:hint="eastAsia" w:ascii="仿宋" w:hAnsi="仿宋" w:eastAsia="仿宋" w:cs="仿宋"/>
          <w:color w:val="000000"/>
          <w:sz w:val="32"/>
          <w:szCs w:val="32"/>
        </w:rPr>
        <w:t>17</w:t>
      </w:r>
      <w:r>
        <w:rPr>
          <w:rFonts w:ascii="仿宋" w:hAnsi="仿宋" w:eastAsia="仿宋" w:cs="仿宋"/>
          <w:color w:val="000000"/>
          <w:sz w:val="32"/>
          <w:u w:color="auto"/>
        </w:rPr>
        <w:t>.经营支出：指事业单位在专业业务活动及其辅助活动之外开展非独立核算经营活动发生的支出。</w:t>
      </w:r>
    </w:p>
    <w:p>
      <w:pPr>
        <w:pStyle w:val="5"/>
        <w:jc w:val="center"/>
        <w:rPr>
          <w:rFonts w:hint="eastAsia" w:ascii="黑体" w:hAnsi="黑体" w:eastAsia="黑体" w:cs="黑体"/>
          <w:b w:val="0"/>
          <w:bCs w:val="0"/>
        </w:rPr>
      </w:pPr>
      <w:r>
        <w:rPr>
          <w:rFonts w:hint="eastAsia" w:ascii="黑体" w:hAnsi="黑体" w:eastAsia="黑体" w:cs="黑体"/>
          <w:b w:val="0"/>
          <w:bCs w:val="0"/>
        </w:rPr>
        <w:t>第四部分 附件</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75"/>
        <w:gridCol w:w="906"/>
        <w:gridCol w:w="1201"/>
        <w:gridCol w:w="396"/>
        <w:gridCol w:w="891"/>
        <w:gridCol w:w="396"/>
        <w:gridCol w:w="861"/>
        <w:gridCol w:w="486"/>
        <w:gridCol w:w="396"/>
        <w:gridCol w:w="13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51322322T000007143294-凤仪镇小学少年宫项目资金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根据阿州财教【2022】32号文件，关于下达2022年中央专项彩票公益金支持乡村学校少年宫项目资金。</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受益学生数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活动器材使用合格率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常态开展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学生综合素质、心理健康水平持续提升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51322323T000009020312-茂县凤仪镇小学退休干部春节慰问金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学校对老教师的关怀和尊重，希望老教师过一个快乐，祥和的节日。</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凤仪镇小学校104名退休教职工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按时发放退休人员的春节慰问金</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保质保量完成按时完成该项目</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离退休职工感受到组织的温暖</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退休教师满意度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2025年春节慰问金发放金额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67400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51322325T000012125752-家长与教师自交营养餐费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1.2023年春教师自交营养餐费26000元，2.补缴2021年教师自交营养餐费5600元，3.补缴2019-2020年教师自交营养餐费6000元，4.2024年春教师自交营养餐费26800元，5.2023年秋教师自交营养餐费25800元，6.2024年春家长自交营养餐费507939元，共计598139元。此项工作严格按照茂教发【2024】17号文件执行，让学生满意，家长放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上年代管资金（2024）家长自交营养餐结余452.2元。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实施营养餐学校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1803</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让家长，学生，教师放心。</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学生家长自交餐费</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452.2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51322325T000012185524-茂县凤仪镇小学校校园餐经费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本项目通过阿州财教（2024）33号文件主要内容2025年拟申请自交校园餐资金252470.3元，3862.4元总计：256332.7元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222.46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222.46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153.99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153.99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68.47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68.47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保证学生营养均衡，营养达标。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营养餐经费足额支出，充分保障用餐质量，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256332.7</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51322325T000012290519-凤仪镇小学校延时服务费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为切实做好学校学生课后服务工作，根据茂教发【2024】33号文精神，2025年春季学期延时服务费867438元。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实施课后延时服务学校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经费使用合规，保障学校教育工作正常运行</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教师辅导，提高学生学习效率。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课后延时服务经费</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867438</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51322325T000012344453-凤仪镇小学校教师节慰问金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根据茂县人民政府常务会议议定事项通知，茂教【2024】82号文件精神，茂县凤仪镇小学校申请2024年度教师节慰问金88800元。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根据茂县人民政府常务会议议定事项通知，茂教【2025】64号文件精神，茂县凤仪镇小学校申请2024年度教师节慰问金102800元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教职工（退休）人数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102800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按时完成发放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在编在岗退休享受</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财政全额保障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51322325T000012787741-凤仪镇小学校阿坝州民族地区科普基地补助资金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根据阿州财教【2025】10号文精神，严格按照相关要求为学生服务，学有所获，让家长满意，社会放心，本次资金为200000元。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64.59%</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64.59%</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实施学校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有序推进科普活动，提升活动质量。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保证科普活动形式多样，学生学有所获，并做好活动宣传。</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51322325T000012787907-凤仪镇小学校名师名校长工作室经费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教发【2023】年67号及【2024】81号文件精神，工作室经费由工作室领衔人统筹安排使用，用于工作室开展活动期间的相关支出，主要包括领衔人、工作室成员、工作室辐射带动青年教师（校、园长）及外聘专家的课时费，场地租凭费，教学资源费、业务费等费用支出，因工作室活动产生的食宿费、交通费、差旅费，按照其所在县市的有关规定和标准回单位报销。本次资金为100000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上年代管资金结余（名师名师名校长工作室）50000元。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91.77%</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91.77%</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实施学校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经费使用的合规率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教师学习提升，认真辅导提高学生学习效率。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上年代管资金结余</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51322325T000012949022-茂县凤仪镇小学校生均公用经费（县级资金））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本项目是根据茂教发【2024】56号文件。凤仪镇小学校在校生人数1826人，每生人均100元。合计金额182600元。1826人*100元=182600元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18.26</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18.26</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1826</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项目有序推进</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182600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51322325T000013675581-2025年中央公用经费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根据阿州财教（2025）9号资金分配明细表，茂县凤仪镇小学校在校学生数1809人，下拨中央资金1323600元（中央公用经费）。</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132.36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132.36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132.36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132.36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实施公用经费学校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保障学生学习用品和教师办公用品。</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学生家长的满意度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中央公用经费</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1323600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51322325T000013720799-茂县凤仪镇小学校食食堂食品保证金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根据学校与食材供应商签订的《学校食堂原材料供货合同》，商家需缴纳食堂食品安全保证金80000元，共两户商家，保证金总计160000元。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交食堂保证金商家</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实施校园餐学校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保证食堂食品安全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食堂保证金经费</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94"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8"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51322325T000013959309-凤仪镇小学实习生指导及管理费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根据阿坝师范学院教务处关于2024年秋季学期实习指导费的函，保障学校学生实习学有所获。本次预算安排9450元。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充分保障实习学生学有所获</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学生满意度、社会满意度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9450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FF0000"/>
                <w:sz w:val="18"/>
                <w:szCs w:val="18"/>
                <w:u w:val="none"/>
              </w:rPr>
            </w:pPr>
            <w:r>
              <w:rPr>
                <w:rFonts w:ascii="宋体" w:hAnsi="宋体" w:eastAsia="宋体" w:cs="宋体"/>
                <w:i w:val="0"/>
                <w:iCs w:val="0"/>
                <w:color w:val="auto"/>
                <w:kern w:val="0"/>
                <w:sz w:val="18"/>
                <w:szCs w:val="18"/>
                <w:u w:val="none"/>
                <w:lang w:val="en-US" w:eastAsia="zh-CN" w:bidi="ar"/>
              </w:rPr>
              <w:t>51322326T000015030579-凤仪镇小学考务费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386"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2025年下半年全省公开考试录用事业单位笔试工作考务费46500元。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2025年12月6日7日全省公开考试录用公务员工作考务费83700元。</w:t>
            </w:r>
          </w:p>
        </w:tc>
        <w:tc>
          <w:tcPr>
            <w:tcW w:w="16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参加公务员笔试考务学校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公务员笔试工作考务费经费足额发放率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公务员笔试工作考务费完成时效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保障公务员考试安全，为考生提供一个公平、安全的考试环境</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保障公务员考试顺利进行</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参考人员满意度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项目资金总支出</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83700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项目负责人：马涛</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财务负责人：张富</w:t>
            </w:r>
          </w:p>
        </w:tc>
      </w:tr>
    </w:tbl>
    <w:p>
      <w:pPr>
        <w:suppressAutoHyphens/>
        <w:bidi w:val="0"/>
        <w:spacing w:line="600" w:lineRule="exact"/>
        <w:jc w:val="center"/>
        <w:outlineLvl w:val="0"/>
        <w:rPr>
          <w:rStyle w:val="37"/>
          <w:rFonts w:hint="eastAsia" w:ascii="黑体" w:hAnsi="黑体" w:eastAsia="黑体"/>
          <w:b w:val="0"/>
          <w:color w:val="auto"/>
          <w:highlight w:val="none"/>
        </w:rPr>
      </w:pPr>
      <w:bookmarkStart w:id="72" w:name="_Toc111208512"/>
      <w:bookmarkStart w:id="73" w:name="_Toc79163885"/>
      <w:bookmarkStart w:id="74" w:name="_Toc79163635"/>
      <w:bookmarkStart w:id="75" w:name="_Toc21200"/>
    </w:p>
    <w:p>
      <w:pPr>
        <w:suppressAutoHyphens/>
        <w:bidi w:val="0"/>
        <w:spacing w:line="600" w:lineRule="exact"/>
        <w:jc w:val="center"/>
        <w:outlineLvl w:val="0"/>
        <w:rPr>
          <w:rStyle w:val="37"/>
          <w:rFonts w:hint="eastAsia" w:ascii="黑体" w:hAnsi="黑体" w:eastAsia="黑体"/>
          <w:b w:val="0"/>
          <w:color w:val="auto"/>
          <w:highlight w:val="none"/>
        </w:rPr>
      </w:pPr>
    </w:p>
    <w:p>
      <w:pPr>
        <w:suppressAutoHyphens/>
        <w:bidi w:val="0"/>
        <w:spacing w:line="600" w:lineRule="exact"/>
        <w:jc w:val="center"/>
        <w:outlineLvl w:val="0"/>
        <w:rPr>
          <w:rStyle w:val="37"/>
          <w:rFonts w:hint="eastAsia" w:ascii="黑体" w:hAnsi="黑体" w:eastAsia="黑体"/>
          <w:b w:val="0"/>
          <w:color w:val="auto"/>
          <w:highlight w:val="none"/>
        </w:rPr>
      </w:pPr>
    </w:p>
    <w:p>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bookmarkEnd w:id="72"/>
      <w:bookmarkEnd w:id="73"/>
      <w:bookmarkEnd w:id="74"/>
      <w:bookmarkEnd w:id="75"/>
    </w:p>
    <w:p>
      <w:pPr>
        <w:pStyle w:val="6"/>
        <w:ind w:firstLine="640" w:firstLineChars="200"/>
        <w:rPr>
          <w:rFonts w:hint="eastAsia" w:ascii="仿宋" w:hAnsi="仿宋" w:eastAsia="仿宋" w:cs="仿宋"/>
          <w:b w:val="0"/>
          <w:bCs/>
          <w:color w:val="000000"/>
        </w:rPr>
      </w:pPr>
      <w:bookmarkStart w:id="76" w:name="_Toc16431"/>
      <w:r>
        <w:rPr>
          <w:rFonts w:hint="eastAsia" w:ascii="仿宋" w:hAnsi="仿宋" w:eastAsia="仿宋" w:cs="仿宋"/>
          <w:b w:val="0"/>
          <w:bCs/>
          <w:color w:val="000000"/>
        </w:rPr>
        <w:t>一、收入支出决算总表</w:t>
      </w:r>
      <w:bookmarkEnd w:id="76"/>
    </w:p>
    <w:p>
      <w:pPr>
        <w:pStyle w:val="6"/>
        <w:ind w:firstLine="640" w:firstLineChars="200"/>
        <w:rPr>
          <w:rFonts w:hint="eastAsia" w:ascii="仿宋" w:hAnsi="仿宋" w:eastAsia="仿宋" w:cs="仿宋"/>
          <w:b w:val="0"/>
          <w:bCs/>
          <w:color w:val="000000"/>
        </w:rPr>
      </w:pPr>
      <w:bookmarkStart w:id="77" w:name="_Toc25389"/>
      <w:r>
        <w:rPr>
          <w:rFonts w:hint="eastAsia" w:ascii="仿宋" w:hAnsi="仿宋" w:eastAsia="仿宋" w:cs="仿宋"/>
          <w:b w:val="0"/>
          <w:bCs/>
          <w:color w:val="000000"/>
        </w:rPr>
        <w:t>二、收入决算表</w:t>
      </w:r>
      <w:bookmarkEnd w:id="77"/>
    </w:p>
    <w:p>
      <w:pPr>
        <w:pStyle w:val="6"/>
        <w:ind w:firstLine="640" w:firstLineChars="200"/>
        <w:rPr>
          <w:rFonts w:hint="eastAsia" w:ascii="仿宋" w:hAnsi="仿宋" w:eastAsia="仿宋" w:cs="仿宋"/>
          <w:b w:val="0"/>
          <w:bCs/>
          <w:color w:val="000000"/>
        </w:rPr>
      </w:pPr>
      <w:bookmarkStart w:id="78" w:name="_Toc10450"/>
      <w:r>
        <w:rPr>
          <w:rFonts w:hint="eastAsia" w:ascii="仿宋" w:hAnsi="仿宋" w:eastAsia="仿宋" w:cs="仿宋"/>
          <w:b w:val="0"/>
          <w:bCs/>
          <w:color w:val="000000"/>
        </w:rPr>
        <w:t>三、支出决算表</w:t>
      </w:r>
      <w:bookmarkEnd w:id="78"/>
    </w:p>
    <w:p>
      <w:pPr>
        <w:pStyle w:val="6"/>
        <w:ind w:firstLine="640" w:firstLineChars="200"/>
        <w:rPr>
          <w:rFonts w:hint="eastAsia" w:ascii="仿宋" w:hAnsi="仿宋" w:eastAsia="仿宋" w:cs="仿宋"/>
          <w:b w:val="0"/>
          <w:bCs/>
          <w:color w:val="000000"/>
        </w:rPr>
      </w:pPr>
      <w:bookmarkStart w:id="79" w:name="_Toc15415"/>
      <w:r>
        <w:rPr>
          <w:rFonts w:hint="eastAsia" w:ascii="仿宋" w:hAnsi="仿宋" w:eastAsia="仿宋" w:cs="仿宋"/>
          <w:b w:val="0"/>
          <w:bCs/>
          <w:color w:val="000000"/>
        </w:rPr>
        <w:t>四、财政拨款收入支出决算总表</w:t>
      </w:r>
      <w:bookmarkEnd w:id="79"/>
    </w:p>
    <w:p>
      <w:pPr>
        <w:pStyle w:val="6"/>
        <w:ind w:firstLine="640" w:firstLineChars="200"/>
        <w:rPr>
          <w:rFonts w:hint="eastAsia" w:ascii="仿宋" w:hAnsi="仿宋" w:eastAsia="仿宋" w:cs="仿宋"/>
          <w:b w:val="0"/>
          <w:bCs/>
          <w:color w:val="000000"/>
        </w:rPr>
      </w:pPr>
      <w:bookmarkStart w:id="80" w:name="_Toc17530"/>
      <w:r>
        <w:rPr>
          <w:rFonts w:hint="eastAsia" w:ascii="仿宋" w:hAnsi="仿宋" w:eastAsia="仿宋" w:cs="仿宋"/>
          <w:b w:val="0"/>
          <w:bCs/>
          <w:color w:val="000000"/>
        </w:rPr>
        <w:t>五、财政拨款支出决算明细表</w:t>
      </w:r>
      <w:bookmarkEnd w:id="80"/>
    </w:p>
    <w:p>
      <w:pPr>
        <w:pStyle w:val="6"/>
        <w:ind w:firstLine="640" w:firstLineChars="200"/>
        <w:rPr>
          <w:rFonts w:hint="eastAsia" w:ascii="仿宋" w:hAnsi="仿宋" w:eastAsia="仿宋" w:cs="仿宋"/>
          <w:b w:val="0"/>
          <w:bCs/>
          <w:color w:val="000000"/>
        </w:rPr>
      </w:pPr>
      <w:bookmarkStart w:id="81" w:name="_Toc22032"/>
      <w:r>
        <w:rPr>
          <w:rFonts w:hint="eastAsia" w:ascii="仿宋" w:hAnsi="仿宋" w:eastAsia="仿宋" w:cs="仿宋"/>
          <w:b w:val="0"/>
          <w:bCs/>
          <w:color w:val="000000"/>
        </w:rPr>
        <w:t>六、一般公共预算财政拨款支出决算表</w:t>
      </w:r>
      <w:bookmarkEnd w:id="81"/>
    </w:p>
    <w:p>
      <w:pPr>
        <w:pStyle w:val="6"/>
        <w:ind w:firstLine="640" w:firstLineChars="200"/>
        <w:rPr>
          <w:rFonts w:hint="eastAsia" w:ascii="仿宋" w:hAnsi="仿宋" w:eastAsia="仿宋" w:cs="仿宋"/>
          <w:b w:val="0"/>
          <w:bCs/>
          <w:color w:val="000000"/>
        </w:rPr>
      </w:pPr>
      <w:bookmarkStart w:id="82" w:name="_Toc3364"/>
      <w:r>
        <w:rPr>
          <w:rFonts w:hint="eastAsia" w:ascii="仿宋" w:hAnsi="仿宋" w:eastAsia="仿宋" w:cs="仿宋"/>
          <w:b w:val="0"/>
          <w:bCs/>
          <w:color w:val="000000"/>
        </w:rPr>
        <w:t>七、一般公共预算财政拨款支出决算明细表</w:t>
      </w:r>
      <w:bookmarkEnd w:id="82"/>
    </w:p>
    <w:p>
      <w:pPr>
        <w:pStyle w:val="6"/>
        <w:ind w:firstLine="640" w:firstLineChars="200"/>
        <w:rPr>
          <w:rFonts w:hint="eastAsia" w:ascii="仿宋" w:hAnsi="仿宋" w:eastAsia="仿宋" w:cs="仿宋"/>
          <w:b w:val="0"/>
          <w:bCs/>
          <w:color w:val="000000"/>
        </w:rPr>
      </w:pPr>
      <w:bookmarkStart w:id="83" w:name="_Toc9110"/>
      <w:r>
        <w:rPr>
          <w:rFonts w:hint="eastAsia" w:ascii="仿宋" w:hAnsi="仿宋" w:eastAsia="仿宋" w:cs="仿宋"/>
          <w:b w:val="0"/>
          <w:bCs/>
          <w:color w:val="000000"/>
        </w:rPr>
        <w:t>八、一般公共预算财政拨款基本支出决算表</w:t>
      </w:r>
      <w:bookmarkEnd w:id="83"/>
    </w:p>
    <w:p>
      <w:pPr>
        <w:pStyle w:val="6"/>
        <w:ind w:firstLine="640" w:firstLineChars="200"/>
        <w:rPr>
          <w:rFonts w:hint="eastAsia" w:ascii="仿宋" w:hAnsi="仿宋" w:eastAsia="仿宋" w:cs="仿宋"/>
          <w:b w:val="0"/>
          <w:bCs/>
          <w:color w:val="000000"/>
        </w:rPr>
      </w:pPr>
      <w:bookmarkStart w:id="84" w:name="_Toc28582"/>
      <w:r>
        <w:rPr>
          <w:rFonts w:hint="eastAsia" w:ascii="仿宋" w:hAnsi="仿宋" w:eastAsia="仿宋" w:cs="仿宋"/>
          <w:b w:val="0"/>
          <w:bCs/>
          <w:color w:val="000000"/>
        </w:rPr>
        <w:t>九、一般公共预算财政拨款项目支出决算表</w:t>
      </w:r>
      <w:bookmarkEnd w:id="84"/>
    </w:p>
    <w:p>
      <w:pPr>
        <w:pStyle w:val="6"/>
        <w:ind w:firstLine="640" w:firstLineChars="200"/>
        <w:rPr>
          <w:rFonts w:hint="eastAsia" w:ascii="仿宋" w:hAnsi="仿宋" w:eastAsia="仿宋" w:cs="仿宋"/>
          <w:b w:val="0"/>
          <w:bCs/>
          <w:color w:val="000000"/>
        </w:rPr>
      </w:pPr>
      <w:bookmarkStart w:id="85" w:name="_Toc22001"/>
      <w:r>
        <w:rPr>
          <w:rFonts w:hint="eastAsia" w:ascii="仿宋" w:hAnsi="仿宋" w:eastAsia="仿宋" w:cs="仿宋"/>
          <w:b w:val="0"/>
          <w:bCs/>
          <w:color w:val="000000"/>
        </w:rPr>
        <w:t>十、政府性基金预算财政拨款收入支出决算表</w:t>
      </w:r>
      <w:bookmarkEnd w:id="85"/>
    </w:p>
    <w:p>
      <w:pPr>
        <w:pStyle w:val="6"/>
        <w:ind w:firstLine="640" w:firstLineChars="200"/>
        <w:rPr>
          <w:rFonts w:hint="eastAsia" w:ascii="仿宋" w:hAnsi="仿宋" w:eastAsia="仿宋" w:cs="仿宋"/>
          <w:b w:val="0"/>
          <w:bCs/>
          <w:color w:val="000000"/>
        </w:rPr>
      </w:pPr>
      <w:bookmarkStart w:id="86" w:name="_Toc6538"/>
      <w:r>
        <w:rPr>
          <w:rFonts w:hint="eastAsia" w:ascii="仿宋" w:hAnsi="仿宋" w:eastAsia="仿宋" w:cs="仿宋"/>
          <w:b w:val="0"/>
          <w:bCs/>
          <w:color w:val="000000"/>
        </w:rPr>
        <w:t>十一、国有资本经营预算财政拨款收入支出决算表</w:t>
      </w:r>
      <w:bookmarkEnd w:id="86"/>
    </w:p>
    <w:p>
      <w:pPr>
        <w:pStyle w:val="6"/>
        <w:ind w:firstLine="640" w:firstLineChars="200"/>
        <w:rPr>
          <w:rFonts w:hint="eastAsia" w:ascii="仿宋" w:hAnsi="仿宋" w:eastAsia="仿宋" w:cs="仿宋"/>
          <w:b w:val="0"/>
          <w:bCs/>
          <w:color w:val="000000"/>
        </w:rPr>
      </w:pPr>
      <w:bookmarkStart w:id="87" w:name="_Toc10625"/>
      <w:r>
        <w:rPr>
          <w:rFonts w:hint="eastAsia" w:ascii="仿宋" w:hAnsi="仿宋" w:eastAsia="仿宋" w:cs="仿宋"/>
          <w:b w:val="0"/>
          <w:bCs/>
          <w:color w:val="000000"/>
        </w:rPr>
        <w:t>十二、国有资本经营预算财政拨款支出决算表</w:t>
      </w:r>
      <w:bookmarkEnd w:id="87"/>
    </w:p>
    <w:p>
      <w:pPr>
        <w:pStyle w:val="6"/>
        <w:ind w:firstLine="640" w:firstLineChars="200"/>
        <w:rPr>
          <w:rFonts w:hint="eastAsia" w:ascii="仿宋" w:hAnsi="仿宋" w:eastAsia="仿宋" w:cs="仿宋"/>
          <w:b w:val="0"/>
          <w:bCs/>
          <w:color w:val="000000"/>
        </w:rPr>
      </w:pPr>
      <w:bookmarkStart w:id="88" w:name="_Toc28356"/>
      <w:r>
        <w:rPr>
          <w:rFonts w:hint="eastAsia" w:ascii="仿宋" w:hAnsi="仿宋" w:eastAsia="仿宋" w:cs="仿宋"/>
          <w:b w:val="0"/>
          <w:bCs/>
          <w:color w:val="000000"/>
        </w:rPr>
        <w:t>十三、财政拨款“三公”经费支出决算表</w:t>
      </w:r>
      <w:bookmarkEnd w:id="88"/>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方正小标宋简体">
    <w:panose1 w:val="03000509000000000000"/>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A00002BF" w:usb1="38CF7CFA" w:usb2="00082016" w:usb3="00000000" w:csb0="00040001" w:csb1="00000000"/>
  </w:font>
  <w:font w:name="FreeSerif">
    <w:panose1 w:val="02020603050405020304"/>
    <w:charset w:val="00"/>
    <w:family w:val="auto"/>
    <w:pitch w:val="default"/>
    <w:sig w:usb0="E59FAFFF" w:usb1="C200FDFF" w:usb2="43501B29" w:usb3="04000043" w:csb0="600101FF" w:csb1="FFFF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sdt>
                    <w:sdtPr>
                      <w:id w:val="147464856"/>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2"/>
                    </w:pP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7CDD5F"/>
    <w:multiLevelType w:val="singleLevel"/>
    <w:tmpl w:val="8C7CDD5F"/>
    <w:lvl w:ilvl="0" w:tentative="0">
      <w:start w:val="9"/>
      <w:numFmt w:val="chineseCounting"/>
      <w:suff w:val="nothing"/>
      <w:lvlText w:val="%1、"/>
      <w:lvlJc w:val="left"/>
      <w:rPr>
        <w:rFonts w:hint="eastAsia"/>
      </w:rPr>
    </w:lvl>
  </w:abstractNum>
  <w:abstractNum w:abstractNumId="1">
    <w:nsid w:val="2D1890BF"/>
    <w:multiLevelType w:val="singleLevel"/>
    <w:tmpl w:val="2D1890BF"/>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0BC"/>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67511D"/>
    <w:rsid w:val="01B354EA"/>
    <w:rsid w:val="01CF32DE"/>
    <w:rsid w:val="01D74DB7"/>
    <w:rsid w:val="01D86637"/>
    <w:rsid w:val="01F04616"/>
    <w:rsid w:val="025A704C"/>
    <w:rsid w:val="037A757D"/>
    <w:rsid w:val="03D168E4"/>
    <w:rsid w:val="03F359AA"/>
    <w:rsid w:val="043A3897"/>
    <w:rsid w:val="045647CC"/>
    <w:rsid w:val="0463543B"/>
    <w:rsid w:val="048D6B52"/>
    <w:rsid w:val="04A56E6E"/>
    <w:rsid w:val="04D45254"/>
    <w:rsid w:val="04D550AF"/>
    <w:rsid w:val="051A6F96"/>
    <w:rsid w:val="057E3312"/>
    <w:rsid w:val="05C25E8C"/>
    <w:rsid w:val="05F41A51"/>
    <w:rsid w:val="06951176"/>
    <w:rsid w:val="07001BE1"/>
    <w:rsid w:val="07267DE7"/>
    <w:rsid w:val="088F55D5"/>
    <w:rsid w:val="089C4B49"/>
    <w:rsid w:val="08EC1DAE"/>
    <w:rsid w:val="09081517"/>
    <w:rsid w:val="091B747D"/>
    <w:rsid w:val="092E626A"/>
    <w:rsid w:val="09A572B6"/>
    <w:rsid w:val="0A19737C"/>
    <w:rsid w:val="0AA417AC"/>
    <w:rsid w:val="0B7218AA"/>
    <w:rsid w:val="0B99373B"/>
    <w:rsid w:val="0BA37CB5"/>
    <w:rsid w:val="0CCA3020"/>
    <w:rsid w:val="0D0429D6"/>
    <w:rsid w:val="0D093B48"/>
    <w:rsid w:val="0D322E51"/>
    <w:rsid w:val="0D6C338E"/>
    <w:rsid w:val="0DB37F58"/>
    <w:rsid w:val="0DB742A8"/>
    <w:rsid w:val="0E5232CD"/>
    <w:rsid w:val="0E6D2010"/>
    <w:rsid w:val="0EC00B7E"/>
    <w:rsid w:val="0F5E6610"/>
    <w:rsid w:val="0FB52B86"/>
    <w:rsid w:val="0FDB629D"/>
    <w:rsid w:val="0FFC1ECE"/>
    <w:rsid w:val="0FFD0B0D"/>
    <w:rsid w:val="103747CF"/>
    <w:rsid w:val="103F4D68"/>
    <w:rsid w:val="10C055FF"/>
    <w:rsid w:val="10D0167B"/>
    <w:rsid w:val="11201344"/>
    <w:rsid w:val="116A6D7C"/>
    <w:rsid w:val="11761AF6"/>
    <w:rsid w:val="11851C0B"/>
    <w:rsid w:val="11D56DF6"/>
    <w:rsid w:val="11ED6591"/>
    <w:rsid w:val="11F85D8C"/>
    <w:rsid w:val="120E1C01"/>
    <w:rsid w:val="13367661"/>
    <w:rsid w:val="136F089E"/>
    <w:rsid w:val="13D81ACD"/>
    <w:rsid w:val="13E00400"/>
    <w:rsid w:val="14D728AA"/>
    <w:rsid w:val="15F1786F"/>
    <w:rsid w:val="1665477F"/>
    <w:rsid w:val="16BB723D"/>
    <w:rsid w:val="17283764"/>
    <w:rsid w:val="17BC7656"/>
    <w:rsid w:val="17DD62FD"/>
    <w:rsid w:val="17EA348C"/>
    <w:rsid w:val="1840212F"/>
    <w:rsid w:val="184656CF"/>
    <w:rsid w:val="193C261A"/>
    <w:rsid w:val="19934117"/>
    <w:rsid w:val="19943114"/>
    <w:rsid w:val="19DE22C0"/>
    <w:rsid w:val="1AB026BC"/>
    <w:rsid w:val="1ABB32B6"/>
    <w:rsid w:val="1B787B60"/>
    <w:rsid w:val="1BF70747"/>
    <w:rsid w:val="1BFB3D05"/>
    <w:rsid w:val="1C06153F"/>
    <w:rsid w:val="1C986C96"/>
    <w:rsid w:val="1D7371C3"/>
    <w:rsid w:val="1DDC2BB3"/>
    <w:rsid w:val="1E34479D"/>
    <w:rsid w:val="1EF81F78"/>
    <w:rsid w:val="1F620905"/>
    <w:rsid w:val="1FD12B34"/>
    <w:rsid w:val="1FD3414D"/>
    <w:rsid w:val="201A6AB0"/>
    <w:rsid w:val="203B66A0"/>
    <w:rsid w:val="206D278F"/>
    <w:rsid w:val="20A774A8"/>
    <w:rsid w:val="20BE2A44"/>
    <w:rsid w:val="211A679A"/>
    <w:rsid w:val="21253DA0"/>
    <w:rsid w:val="21A94BCD"/>
    <w:rsid w:val="22857975"/>
    <w:rsid w:val="23700C36"/>
    <w:rsid w:val="23844B7E"/>
    <w:rsid w:val="23902475"/>
    <w:rsid w:val="23FA0B3C"/>
    <w:rsid w:val="240371BF"/>
    <w:rsid w:val="2435534E"/>
    <w:rsid w:val="244017F7"/>
    <w:rsid w:val="24534F10"/>
    <w:rsid w:val="24B91EA0"/>
    <w:rsid w:val="24DF6C66"/>
    <w:rsid w:val="253D03DB"/>
    <w:rsid w:val="253F66D1"/>
    <w:rsid w:val="25A20B86"/>
    <w:rsid w:val="25B1070F"/>
    <w:rsid w:val="25BC6564"/>
    <w:rsid w:val="25DD571A"/>
    <w:rsid w:val="265C1D1F"/>
    <w:rsid w:val="26BB36DB"/>
    <w:rsid w:val="271C5A93"/>
    <w:rsid w:val="276F1834"/>
    <w:rsid w:val="27B459F9"/>
    <w:rsid w:val="27C51E91"/>
    <w:rsid w:val="280173B2"/>
    <w:rsid w:val="28513369"/>
    <w:rsid w:val="28BF6D42"/>
    <w:rsid w:val="28C822A0"/>
    <w:rsid w:val="292E058E"/>
    <w:rsid w:val="29FD04D3"/>
    <w:rsid w:val="2AD92680"/>
    <w:rsid w:val="2C1E1BB4"/>
    <w:rsid w:val="2CAE1BBE"/>
    <w:rsid w:val="2CCF04B2"/>
    <w:rsid w:val="2DF079DB"/>
    <w:rsid w:val="2E4C04E0"/>
    <w:rsid w:val="2E67588F"/>
    <w:rsid w:val="2F803D16"/>
    <w:rsid w:val="2FAC59A8"/>
    <w:rsid w:val="2FF22B1D"/>
    <w:rsid w:val="2FF250E5"/>
    <w:rsid w:val="30B8125D"/>
    <w:rsid w:val="30CB71E3"/>
    <w:rsid w:val="30E36C85"/>
    <w:rsid w:val="31561180"/>
    <w:rsid w:val="31701B38"/>
    <w:rsid w:val="31810DA9"/>
    <w:rsid w:val="31903F88"/>
    <w:rsid w:val="319F7F4E"/>
    <w:rsid w:val="31B72CAD"/>
    <w:rsid w:val="32004B5E"/>
    <w:rsid w:val="323A1C2F"/>
    <w:rsid w:val="329448A6"/>
    <w:rsid w:val="32F45598"/>
    <w:rsid w:val="32F53FB6"/>
    <w:rsid w:val="33204932"/>
    <w:rsid w:val="33447C07"/>
    <w:rsid w:val="337A0A4C"/>
    <w:rsid w:val="345D075E"/>
    <w:rsid w:val="35244754"/>
    <w:rsid w:val="358330E2"/>
    <w:rsid w:val="361C390A"/>
    <w:rsid w:val="364D41F6"/>
    <w:rsid w:val="36FD0156"/>
    <w:rsid w:val="38207F4E"/>
    <w:rsid w:val="38F8371D"/>
    <w:rsid w:val="39226F5F"/>
    <w:rsid w:val="39902098"/>
    <w:rsid w:val="39FD5F33"/>
    <w:rsid w:val="3A3A0F35"/>
    <w:rsid w:val="3A4E1148"/>
    <w:rsid w:val="3AF15A98"/>
    <w:rsid w:val="3AFD61EB"/>
    <w:rsid w:val="3BC266F1"/>
    <w:rsid w:val="3C8D2F9D"/>
    <w:rsid w:val="3CE0510E"/>
    <w:rsid w:val="3D0E3B71"/>
    <w:rsid w:val="3D1927CA"/>
    <w:rsid w:val="3D1E4B3E"/>
    <w:rsid w:val="3D6F2272"/>
    <w:rsid w:val="3D8344ED"/>
    <w:rsid w:val="3E03620E"/>
    <w:rsid w:val="3E343C22"/>
    <w:rsid w:val="3F512FA9"/>
    <w:rsid w:val="3F7C601F"/>
    <w:rsid w:val="3FAC4683"/>
    <w:rsid w:val="3FEA5DFB"/>
    <w:rsid w:val="40035B02"/>
    <w:rsid w:val="401C35B7"/>
    <w:rsid w:val="4096677B"/>
    <w:rsid w:val="40EA7211"/>
    <w:rsid w:val="41171FD0"/>
    <w:rsid w:val="4119235A"/>
    <w:rsid w:val="41677310"/>
    <w:rsid w:val="422C2C46"/>
    <w:rsid w:val="4251506E"/>
    <w:rsid w:val="42B75819"/>
    <w:rsid w:val="43684120"/>
    <w:rsid w:val="43D475AB"/>
    <w:rsid w:val="44242EBE"/>
    <w:rsid w:val="444F07DA"/>
    <w:rsid w:val="44601E28"/>
    <w:rsid w:val="472E4611"/>
    <w:rsid w:val="475E72DC"/>
    <w:rsid w:val="47944A27"/>
    <w:rsid w:val="47F514AF"/>
    <w:rsid w:val="4839282C"/>
    <w:rsid w:val="48FD75BD"/>
    <w:rsid w:val="49243056"/>
    <w:rsid w:val="494C4A06"/>
    <w:rsid w:val="4A113668"/>
    <w:rsid w:val="4A251388"/>
    <w:rsid w:val="4A277A41"/>
    <w:rsid w:val="4A745623"/>
    <w:rsid w:val="4B187071"/>
    <w:rsid w:val="4B2B2DCB"/>
    <w:rsid w:val="4B6A5BC2"/>
    <w:rsid w:val="4B6D2BD3"/>
    <w:rsid w:val="4C7555EC"/>
    <w:rsid w:val="4CA01785"/>
    <w:rsid w:val="4D135D42"/>
    <w:rsid w:val="4D846266"/>
    <w:rsid w:val="4D8D78A2"/>
    <w:rsid w:val="4DBA1DA1"/>
    <w:rsid w:val="4DF123A8"/>
    <w:rsid w:val="4E290981"/>
    <w:rsid w:val="4E832A53"/>
    <w:rsid w:val="4E9E44C2"/>
    <w:rsid w:val="4EBC1A30"/>
    <w:rsid w:val="4F18763F"/>
    <w:rsid w:val="4F395B30"/>
    <w:rsid w:val="4F3B530F"/>
    <w:rsid w:val="4F6F7A34"/>
    <w:rsid w:val="4FD74194"/>
    <w:rsid w:val="4FDA49F5"/>
    <w:rsid w:val="50AE413E"/>
    <w:rsid w:val="50BB74BE"/>
    <w:rsid w:val="50FD6AED"/>
    <w:rsid w:val="51E1640E"/>
    <w:rsid w:val="51EE42CA"/>
    <w:rsid w:val="52195E38"/>
    <w:rsid w:val="52302EF2"/>
    <w:rsid w:val="52666914"/>
    <w:rsid w:val="526E48F5"/>
    <w:rsid w:val="52ED6284"/>
    <w:rsid w:val="5322283B"/>
    <w:rsid w:val="532B0C13"/>
    <w:rsid w:val="533D4F08"/>
    <w:rsid w:val="53BA6F17"/>
    <w:rsid w:val="53BE2B80"/>
    <w:rsid w:val="54136CE6"/>
    <w:rsid w:val="541505F1"/>
    <w:rsid w:val="542D2749"/>
    <w:rsid w:val="54416526"/>
    <w:rsid w:val="54424E4C"/>
    <w:rsid w:val="54992FD0"/>
    <w:rsid w:val="55872E29"/>
    <w:rsid w:val="55923320"/>
    <w:rsid w:val="56D0674C"/>
    <w:rsid w:val="57D23F06"/>
    <w:rsid w:val="58BA52C3"/>
    <w:rsid w:val="58BC5D23"/>
    <w:rsid w:val="58D8399B"/>
    <w:rsid w:val="59177DCC"/>
    <w:rsid w:val="59E040FC"/>
    <w:rsid w:val="59E11CD3"/>
    <w:rsid w:val="5A857BDE"/>
    <w:rsid w:val="5B2A4567"/>
    <w:rsid w:val="5B614E6B"/>
    <w:rsid w:val="5BE202EA"/>
    <w:rsid w:val="5CAD7C22"/>
    <w:rsid w:val="5CE95B0C"/>
    <w:rsid w:val="5CFA7F1D"/>
    <w:rsid w:val="5D343D50"/>
    <w:rsid w:val="5D577E65"/>
    <w:rsid w:val="5D6F6B2F"/>
    <w:rsid w:val="5DEE85AC"/>
    <w:rsid w:val="5DF26E27"/>
    <w:rsid w:val="5E2506F8"/>
    <w:rsid w:val="5E5E7F75"/>
    <w:rsid w:val="5EA316D6"/>
    <w:rsid w:val="5ECE1AC8"/>
    <w:rsid w:val="5EF556B7"/>
    <w:rsid w:val="5F3A07D2"/>
    <w:rsid w:val="5F593A88"/>
    <w:rsid w:val="5FE356D0"/>
    <w:rsid w:val="5FF5187C"/>
    <w:rsid w:val="5FF901AE"/>
    <w:rsid w:val="60651EAC"/>
    <w:rsid w:val="60BB3927"/>
    <w:rsid w:val="6200749A"/>
    <w:rsid w:val="620F0B35"/>
    <w:rsid w:val="6240022D"/>
    <w:rsid w:val="62A20B33"/>
    <w:rsid w:val="62A42EE2"/>
    <w:rsid w:val="62BE686B"/>
    <w:rsid w:val="62F14F12"/>
    <w:rsid w:val="630D013F"/>
    <w:rsid w:val="63347FC4"/>
    <w:rsid w:val="63604CB9"/>
    <w:rsid w:val="646B75DB"/>
    <w:rsid w:val="64A36D0B"/>
    <w:rsid w:val="64C656C1"/>
    <w:rsid w:val="64F77166"/>
    <w:rsid w:val="65201386"/>
    <w:rsid w:val="657F4183"/>
    <w:rsid w:val="658466A7"/>
    <w:rsid w:val="6596487B"/>
    <w:rsid w:val="65DF63C9"/>
    <w:rsid w:val="65E950BC"/>
    <w:rsid w:val="662A7F2C"/>
    <w:rsid w:val="66627873"/>
    <w:rsid w:val="66A9039E"/>
    <w:rsid w:val="66D65FFA"/>
    <w:rsid w:val="67304223"/>
    <w:rsid w:val="67550FD9"/>
    <w:rsid w:val="67C24194"/>
    <w:rsid w:val="67EB36EB"/>
    <w:rsid w:val="68DA2DB6"/>
    <w:rsid w:val="69725134"/>
    <w:rsid w:val="6B3377AD"/>
    <w:rsid w:val="6B3E7FD6"/>
    <w:rsid w:val="6B4666B6"/>
    <w:rsid w:val="6BB306BC"/>
    <w:rsid w:val="6CC85DA9"/>
    <w:rsid w:val="6D2A5F93"/>
    <w:rsid w:val="6D8F2D6B"/>
    <w:rsid w:val="6DB91990"/>
    <w:rsid w:val="6DC31436"/>
    <w:rsid w:val="6E6F4E2B"/>
    <w:rsid w:val="6E9D166C"/>
    <w:rsid w:val="6ECB49CF"/>
    <w:rsid w:val="6ECB5A2B"/>
    <w:rsid w:val="6F0B0D55"/>
    <w:rsid w:val="6F4D197C"/>
    <w:rsid w:val="6F806E0F"/>
    <w:rsid w:val="70202A42"/>
    <w:rsid w:val="70ED3F4C"/>
    <w:rsid w:val="72227D09"/>
    <w:rsid w:val="72C708B1"/>
    <w:rsid w:val="72E476B5"/>
    <w:rsid w:val="72F22338"/>
    <w:rsid w:val="73327580"/>
    <w:rsid w:val="733572FD"/>
    <w:rsid w:val="7378220E"/>
    <w:rsid w:val="73BE3A62"/>
    <w:rsid w:val="746C7E4B"/>
    <w:rsid w:val="74940471"/>
    <w:rsid w:val="750E6C6B"/>
    <w:rsid w:val="755E374E"/>
    <w:rsid w:val="75884CEA"/>
    <w:rsid w:val="75B310E7"/>
    <w:rsid w:val="75B318F4"/>
    <w:rsid w:val="75F61299"/>
    <w:rsid w:val="761A4623"/>
    <w:rsid w:val="76377F56"/>
    <w:rsid w:val="764B35A7"/>
    <w:rsid w:val="769E6A57"/>
    <w:rsid w:val="77B238DE"/>
    <w:rsid w:val="78544995"/>
    <w:rsid w:val="78A4106B"/>
    <w:rsid w:val="79975481"/>
    <w:rsid w:val="79B4511D"/>
    <w:rsid w:val="79F60BE5"/>
    <w:rsid w:val="7A1B4027"/>
    <w:rsid w:val="7A965738"/>
    <w:rsid w:val="7ABC1C9C"/>
    <w:rsid w:val="7B022DCE"/>
    <w:rsid w:val="7B272834"/>
    <w:rsid w:val="7B8F71DF"/>
    <w:rsid w:val="7C1568F9"/>
    <w:rsid w:val="7CB2612E"/>
    <w:rsid w:val="7CC25607"/>
    <w:rsid w:val="7DE859ED"/>
    <w:rsid w:val="7DFB3603"/>
    <w:rsid w:val="7E4C610E"/>
    <w:rsid w:val="7ECA59B1"/>
    <w:rsid w:val="7F09108F"/>
    <w:rsid w:val="7FDC49A0"/>
    <w:rsid w:val="BFF5888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收、支决算总计变动情况图</a:t>
            </a:r>
            <a:endParaRPr lang="en-US" sz="1100"/>
          </a:p>
        </c:rich>
      </c:tx>
      <c:layout/>
      <c:overlay val="0"/>
    </c:title>
    <c:autoTitleDeleted val="0"/>
    <c:plotArea>
      <c:layout>
        <c:manualLayout>
          <c:layoutTarget val="inner"/>
          <c:xMode val="edge"/>
          <c:yMode val="edge"/>
          <c:x val="0.0559816218099468"/>
          <c:y val="0.247865112907836"/>
          <c:w val="0.800713012477719"/>
          <c:h val="0.654027777777778"/>
        </c:manualLayout>
      </c:layout>
      <c:barChart>
        <c:barDir val="col"/>
        <c:grouping val="clustered"/>
        <c:varyColors val="0"/>
        <c:ser>
          <c:idx val="1"/>
          <c:order val="0"/>
          <c:tx>
            <c:strRef>
              <c:f>收支总计</c:f>
              <c:strCache>
                <c:ptCount val="1"/>
                <c:pt idx="0">
                  <c:v>收支总计</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2936.5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3882.27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{"2024","2025"}</c:f>
              <c:numCache>
                <c:formatCode>General</c:formatCode>
                <c:ptCount val="2"/>
                <c:pt idx="0">
                  <c:v>2024</c:v>
                </c:pt>
                <c:pt idx="1">
                  <c:v>2025</c:v>
                </c:pt>
              </c:numCache>
            </c:numRef>
          </c:cat>
          <c:val>
            <c:numRef>
              <c:f>{2915.81,2936.5}</c:f>
              <c:numCache>
                <c:formatCode>General</c:formatCode>
                <c:ptCount val="2"/>
                <c:pt idx="0">
                  <c:v>2915.81</c:v>
                </c:pt>
                <c:pt idx="1">
                  <c:v>2936.5</c:v>
                </c:pt>
              </c:numCache>
            </c:numRef>
          </c:val>
        </c:ser>
        <c:dLbls>
          <c:showLegendKey val="0"/>
          <c:showVal val="1"/>
          <c:showCatName val="0"/>
          <c:showSerName val="0"/>
          <c:showPercent val="0"/>
          <c:showBubbleSize val="0"/>
        </c:dLbls>
        <c:gapWidth val="41"/>
        <c:axId val="261387392"/>
        <c:axId val="261388928"/>
      </c:barChart>
      <c:catAx>
        <c:axId val="261387392"/>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261388928"/>
        <c:crosses val="autoZero"/>
        <c:auto val="1"/>
        <c:lblAlgn val="ctr"/>
        <c:lblOffset val="100"/>
        <c:noMultiLvlLbl val="0"/>
      </c:catAx>
      <c:valAx>
        <c:axId val="261388928"/>
        <c:scaling>
          <c:orientation val="minMax"/>
        </c:scaling>
        <c:delete val="1"/>
        <c:axPos val="l"/>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38739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l">
              <a:defRPr lang="zh-CN" sz="1400" b="1" i="0" u="none" strike="noStrike" kern="1200" baseline="0">
                <a:solidFill>
                  <a:schemeClr val="dk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1"/>
          <c:order val="0"/>
          <c:tx>
            <c:strRef>
              <c:f>Sheet1!$B$3</c:f>
              <c:strCache>
                <c:ptCount val="1"/>
                <c:pt idx="0">
                  <c:v>0.04</c:v>
                </c:pt>
              </c:strCache>
            </c:strRef>
          </c:tx>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16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16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160000" scaled="1"/>
                </a:gra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95.36</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manualLayout>
                  <c:x val="-0.0203333459513638"/>
                  <c:y val="0.050875081880408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0.04</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4.6</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{"一般公共预算财政拨款收入","政府性基金预算财政拨款收入","其他收入"}</c:f>
              <c:strCache>
                <c:ptCount val="3"/>
                <c:pt idx="0">
                  <c:v>一般公共预算财政拨款收入</c:v>
                </c:pt>
                <c:pt idx="1">
                  <c:v>政府性基金预算财政拨款收入</c:v>
                </c:pt>
                <c:pt idx="2">
                  <c:v>其他收入</c:v>
                </c:pt>
              </c:strCache>
            </c:strRef>
          </c:cat>
          <c:val>
            <c:numRef>
              <c:f>{95.36,0.04,4.6}</c:f>
              <c:numCache>
                <c:formatCode>General</c:formatCode>
                <c:ptCount val="3"/>
                <c:pt idx="0">
                  <c:v>95.36</c:v>
                </c:pt>
                <c:pt idx="1">
                  <c:v>0.04</c:v>
                </c:pt>
                <c:pt idx="2">
                  <c:v>4.6</c:v>
                </c:pt>
              </c:numCache>
            </c:numRef>
          </c:val>
        </c:ser>
        <c:dLbls>
          <c:showLegendKey val="0"/>
          <c:showVal val="0"/>
          <c:showCatName val="0"/>
          <c:showSerName val="0"/>
          <c:showPercent val="1"/>
          <c:showBubbleSize val="0"/>
          <c:showLeaderLines val="1"/>
        </c:dLbls>
        <c:firstSliceAng val="6"/>
        <c:extLst>
          <c:ext xmlns:c15="http://schemas.microsoft.com/office/drawing/2012/chart" uri="{02D57815-91ED-43cb-92C2-25804820EDAC}">
            <c15:filteredPieSeries>
              <c15:ser>
                <c:idx val="0"/>
                <c:order val="1"/>
                <c:tx>
                  <c:strRef>
                    <c:extLst>
                      <c:ext uri="{02D57815-91ED-43cb-92C2-25804820EDAC}">
                        <c15:formulaRef>
                          <c15:sqref>"其他收入"</c15:sqref>
                        </c15:formulaRef>
                      </c:ext>
                    </c:extLst>
                    <c:strCache>
                      <c:ptCount val="1"/>
                      <c:pt idx="0">
                        <c:v>其他收入</c:v>
                      </c:pt>
                    </c:strCache>
                  </c:strRef>
                </c:tx>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160000" scaled="1"/>
                      </a:gra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extLst>
                      <c:ext uri="{02D57815-91ED-43cb-92C2-25804820EDAC}">
                        <c15:fullRef>
                          <c15:sqref/>
                        </c15:fullRef>
                        <c15:formulaRef>
                          <c15:sqref>{"一般公共预算财政拨款收入","政府性基金预算财政拨款收入","其他收入"}</c15:sqref>
                        </c15:formulaRef>
                      </c:ext>
                    </c:extLst>
                    <c:strCache>
                      <c:ptCount val="3"/>
                      <c:pt idx="0">
                        <c:v>一般公共预算财政拨款收入</c:v>
                      </c:pt>
                      <c:pt idx="1">
                        <c:v>政府性基金预算财政拨款收入</c:v>
                      </c:pt>
                      <c:pt idx="2">
                        <c:v>其他收入</c:v>
                      </c:pt>
                    </c:strCache>
                  </c:strRef>
                </c:cat>
                <c:val>
                  <c:numRef>
                    <c:extLst>
                      <c:ext uri="{02D57815-91ED-43cb-92C2-25804820EDAC}">
                        <c15:formulaRef>
                          <c15:sqref>{1}</c15:sqref>
                        </c15:formulaRef>
                      </c:ext>
                    </c:extLst>
                    <c:numCache>
                      <c:formatCode>General</c:formatCode>
                      <c:ptCount val="1"/>
                      <c:pt idx="0">
                        <c:v>1</c:v>
                      </c:pt>
                    </c:numCache>
                  </c:numRef>
                </c:val>
              </c15:ser>
            </c15:filteredPieSeries>
          </c:ext>
        </c:extLst>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0"/>
    <c:dispBlanksAs val="zero"/>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支出决算结构图</a:t>
            </a:r>
            <a:endParaRPr lang="en-US" sz="1100"/>
          </a:p>
        </c:rich>
      </c:tx>
      <c:layout/>
      <c:overlay val="0"/>
    </c:title>
    <c:autoTitleDeleted val="0"/>
    <c:plotArea>
      <c:layout/>
      <c:pieChart>
        <c:varyColors val="1"/>
        <c:ser>
          <c:idx val="1"/>
          <c:order val="0"/>
          <c:explosion val="0"/>
          <c:dPt>
            <c:idx val="0"/>
            <c:bubble3D val="0"/>
          </c:dPt>
          <c:dPt>
            <c:idx val="1"/>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85.36%</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4.64%</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{3702.15,180.12}</c:f>
              <c:numCache>
                <c:formatCode>General</c:formatCode>
                <c:ptCount val="2"/>
                <c:pt idx="0">
                  <c:v>3702.15</c:v>
                </c:pt>
                <c:pt idx="1">
                  <c:v>180.12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02"/>
    </mc:Choice>
    <mc:Fallback>
      <c:style val="1000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1"/>
          <c:order val="0"/>
          <c:tx>
            <c:strRef>
              <c:f>收支总计</c:f>
              <c:strCache>
                <c:ptCount val="1"/>
                <c:pt idx="0">
                  <c:v>收支总计</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2934.62</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3702.15</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numRef>
              <c:f>{"2024","2025"}</c:f>
              <c:numCache>
                <c:formatCode>General</c:formatCode>
                <c:ptCount val="2"/>
                <c:pt idx="0">
                  <c:v>2024</c:v>
                </c:pt>
                <c:pt idx="1">
                  <c:v>2025</c:v>
                </c:pt>
              </c:numCache>
            </c:numRef>
          </c:cat>
          <c:val>
            <c:numRef>
              <c:f>{2915.81,2936.5}</c:f>
              <c:numCache>
                <c:formatCode>General</c:formatCode>
                <c:ptCount val="2"/>
                <c:pt idx="0">
                  <c:v>2915.81</c:v>
                </c:pt>
                <c:pt idx="1">
                  <c:v>2936.5</c:v>
                </c:pt>
              </c:numCache>
            </c:numRef>
          </c:val>
        </c:ser>
        <c:dLbls>
          <c:showLegendKey val="0"/>
          <c:showVal val="1"/>
          <c:showCatName val="0"/>
          <c:showSerName val="0"/>
          <c:showPercent val="0"/>
          <c:showBubbleSize val="0"/>
        </c:dLbls>
        <c:gapWidth val="260"/>
        <c:overlap val="-32"/>
        <c:axId val="263359104"/>
        <c:axId val="263373184"/>
      </c:barChart>
      <c:catAx>
        <c:axId val="263359104"/>
        <c:scaling>
          <c:orientation val="minMax"/>
        </c:scaling>
        <c:delete val="0"/>
        <c:axPos val="b"/>
        <c:title>
          <c:tx>
            <c:rich>
              <a:bodyPr rot="0" spcFirstLastPara="0" vertOverflow="ellipsis" vert="horz" wrap="square" anchor="ctr" anchorCtr="1"/>
              <a:lstStyle/>
              <a:p>
                <a:pPr algn="l">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373184"/>
        <c:crosses val="autoZero"/>
        <c:auto val="1"/>
        <c:lblAlgn val="ctr"/>
        <c:lblOffset val="100"/>
        <c:noMultiLvlLbl val="0"/>
      </c:catAx>
      <c:valAx>
        <c:axId val="263373184"/>
        <c:scaling>
          <c:orientation val="minMax"/>
        </c:scaling>
        <c:delete val="1"/>
        <c:axPos val="l"/>
        <c:title>
          <c:tx>
            <c:rich>
              <a:bodyPr rot="-5400000" spcFirstLastPara="0" vertOverflow="ellipsis" vert="horz" wrap="square" anchor="ctr" anchorCtr="1"/>
              <a:lstStyle/>
              <a:p>
                <a:pPr algn="l">
                  <a:defRPr lang="zh-CN" sz="1000" b="0" i="0" u="none" strike="noStrike" kern="1200" baseline="0">
                    <a:solidFill>
                      <a:schemeClr val="tx1">
                        <a:lumMod val="65000"/>
                        <a:lumOff val="35000"/>
                      </a:schemeClr>
                    </a:solidFill>
                    <a:latin typeface="+mn-lt"/>
                    <a:ea typeface="+mn-ea"/>
                    <a:cs typeface="+mn-cs"/>
                  </a:defRPr>
                </a:pPr>
                <a:r>
                  <a:t> </a:t>
                </a:r>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35910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ltLang="en-US" sz="1200"/>
              <a:t>一般公共预算财政拨款支出</a:t>
            </a:r>
            <a:endParaRPr lang="zh-CN" altLang="en-US" sz="1200"/>
          </a:p>
        </c:rich>
      </c:tx>
      <c:layout/>
      <c:overlay val="0"/>
      <c:spPr>
        <a:noFill/>
        <a:ln>
          <a:noFill/>
        </a:ln>
        <a:effectLst/>
      </c:spPr>
    </c:title>
    <c:autoTitleDeleted val="0"/>
    <c:plotArea>
      <c:layout>
        <c:manualLayout>
          <c:layoutTarget val="inner"/>
          <c:xMode val="edge"/>
          <c:yMode val="edge"/>
          <c:x val="0.0736333103993069"/>
          <c:y val="0.199582873033408"/>
          <c:w val="0.767623678108199"/>
          <c:h val="0.708506514060342"/>
        </c:manualLayout>
      </c:layout>
      <c:barChart>
        <c:barDir val="col"/>
        <c:grouping val="clustered"/>
        <c:varyColors val="0"/>
        <c:ser>
          <c:idx val="1"/>
          <c:order val="0"/>
          <c:tx>
            <c:strRef>
              <c:f>"2024"</c:f>
              <c:strCache>
                <c:ptCount val="1"/>
                <c:pt idx="0">
                  <c:v>2024</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{2934.62}</c:f>
              <c:numCache>
                <c:formatCode>General</c:formatCode>
                <c:ptCount val="1"/>
                <c:pt idx="0">
                  <c:v>2934.62</c:v>
                </c:pt>
              </c:numCache>
            </c:numRef>
          </c:val>
        </c:ser>
        <c:ser>
          <c:idx val="2"/>
          <c:order val="1"/>
          <c:tx>
            <c:strRef>
              <c:f>"2025"</c:f>
              <c:strCache>
                <c:ptCount val="1"/>
                <c:pt idx="0">
                  <c:v>2025</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{3702.15}</c:f>
              <c:numCache>
                <c:formatCode>General</c:formatCode>
                <c:ptCount val="1"/>
                <c:pt idx="0">
                  <c:v>3702.15</c:v>
                </c:pt>
              </c:numCache>
            </c:numRef>
          </c:val>
        </c:ser>
        <c:dLbls>
          <c:showLegendKey val="0"/>
          <c:showVal val="1"/>
          <c:showCatName val="0"/>
          <c:showSerName val="0"/>
          <c:showPercent val="0"/>
          <c:showBubbleSize val="0"/>
        </c:dLbls>
        <c:gapWidth val="100"/>
        <c:overlap val="-24"/>
        <c:axId val="263440640"/>
        <c:axId val="263135232"/>
      </c:barChart>
      <c:catAx>
        <c:axId val="263440640"/>
        <c:scaling>
          <c:orientation val="minMax"/>
        </c:scaling>
        <c:delete val="1"/>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3135232"/>
        <c:crosses val="autoZero"/>
        <c:auto val="1"/>
        <c:lblAlgn val="ctr"/>
        <c:lblOffset val="100"/>
        <c:noMultiLvlLbl val="0"/>
      </c:catAx>
      <c:valAx>
        <c:axId val="26313523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44064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一般公共预算财政拨款支出</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{"教育支出","社会保障和就业支出","卫生健康支出","住房保障支出"}</c:f>
              <c:strCache>
                <c:ptCount val="4"/>
                <c:pt idx="0">
                  <c:v>教育支出</c:v>
                </c:pt>
                <c:pt idx="1">
                  <c:v>社会保障和就业支出</c:v>
                </c:pt>
                <c:pt idx="2">
                  <c:v>卫生健康支出</c:v>
                </c:pt>
                <c:pt idx="3">
                  <c:v>住房保障支出</c:v>
                </c:pt>
              </c:strCache>
            </c:strRef>
          </c:cat>
          <c:val>
            <c:numRef>
              <c:f>{2775.85,472.8,194.26,259.27}</c:f>
              <c:numCache>
                <c:formatCode>General</c:formatCode>
                <c:ptCount val="4"/>
                <c:pt idx="0">
                  <c:v>2775.85</c:v>
                </c:pt>
                <c:pt idx="1">
                  <c:v>472.8</c:v>
                </c:pt>
                <c:pt idx="2">
                  <c:v>194.26</c:v>
                </c:pt>
                <c:pt idx="3">
                  <c:v>259.27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89">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3400</Words>
  <Characters>3812</Characters>
  <Lines>48</Lines>
  <Paragraphs>13</Paragraphs>
  <TotalTime>6</TotalTime>
  <ScaleCrop>false</ScaleCrop>
  <LinksUpToDate>false</LinksUpToDate>
  <CharactersWithSpaces>3906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2023-08-19T07:28:00Z</dcterms:created>
  <dc:creator>pjf</dc:creator>
  <cp:lastModifiedBy>user</cp:lastModifiedBy>
  <cp:lastPrinted>2026-09-03T02:18:00Z</cp:lastPrinted>
  <dcterms:modified xsi:type="dcterms:W3CDTF">2026-09-04T11:09:49Z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A5DEECD218E44B2584DCC237C3CDC4BF_13</vt:lpwstr>
  </property>
  <property fmtid="{D5CDD505-2E9C-101B-9397-08002B2CF9AE}" pid="4" name="KSOTemplateDocerSaveRecord">
    <vt:lpwstr>eyJoZGlkIjoiNjEzZWQxODE0MzEzMmUwZWE3ZWY3NjdiZmE1YzI1NWUiLCJ1c2VySWQiOiI0MTU4NDE5ODEifQ==</vt:lpwstr>
  </property>
</Properties>
</file>