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drawings/drawing1.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9A957D">
      <w:pPr>
        <w:pStyle w:val="13"/>
        <w:keepNext w:val="0"/>
        <w:keepLines w:val="0"/>
        <w:pageBreakBefore w:val="0"/>
        <w:widowControl w:val="0"/>
        <w:suppressLineNumbers w:val="0"/>
        <w:kinsoku/>
        <w:wordWrap/>
        <w:overflowPunct/>
        <w:topLinePunct w:val="0"/>
        <w:bidi w:val="0"/>
        <w:snapToGrid/>
        <w:spacing w:before="0" w:beforeAutospacing="0"/>
        <w:ind w:left="0"/>
        <w:jc w:val="both"/>
        <w:rPr>
          <w:rFonts w:hint="default" w:eastAsiaTheme="minorEastAsia"/>
          <w:sz w:val="42"/>
          <w:szCs w:val="42"/>
          <w:shd w:val="clear" w:fill="FFFFFF"/>
          <w:lang w:val="en-US" w:eastAsia="zh-CN"/>
        </w:rPr>
      </w:pPr>
    </w:p>
    <w:p w14:paraId="03EFA14F">
      <w:pPr>
        <w:pStyle w:val="13"/>
        <w:keepNext w:val="0"/>
        <w:keepLines w:val="0"/>
        <w:pageBreakBefore w:val="0"/>
        <w:widowControl w:val="0"/>
        <w:suppressLineNumbers w:val="0"/>
        <w:kinsoku/>
        <w:wordWrap/>
        <w:overflowPunct/>
        <w:topLinePunct w:val="0"/>
        <w:bidi w:val="0"/>
        <w:snapToGrid/>
        <w:spacing w:before="0" w:beforeAutospacing="0"/>
        <w:ind w:left="0"/>
        <w:jc w:val="both"/>
        <w:rPr>
          <w:rFonts w:hint="default" w:eastAsiaTheme="minorEastAsia"/>
          <w:sz w:val="42"/>
          <w:szCs w:val="42"/>
          <w:shd w:val="clear" w:fill="FFFFFF"/>
          <w:lang w:val="en-US" w:eastAsia="zh-CN"/>
        </w:rPr>
      </w:pPr>
    </w:p>
    <w:p w14:paraId="674A7E38">
      <w:pPr>
        <w:pStyle w:val="13"/>
        <w:keepNext w:val="0"/>
        <w:keepLines w:val="0"/>
        <w:pageBreakBefore w:val="0"/>
        <w:widowControl w:val="0"/>
        <w:suppressLineNumbers w:val="0"/>
        <w:kinsoku/>
        <w:wordWrap/>
        <w:overflowPunct/>
        <w:topLinePunct w:val="0"/>
        <w:bidi w:val="0"/>
        <w:snapToGrid/>
        <w:spacing w:before="0" w:beforeAutospacing="0"/>
        <w:ind w:left="0"/>
        <w:jc w:val="both"/>
        <w:rPr>
          <w:rFonts w:hint="default" w:eastAsiaTheme="minorEastAsia"/>
          <w:sz w:val="42"/>
          <w:szCs w:val="42"/>
          <w:shd w:val="clear" w:fill="FFFFFF"/>
          <w:lang w:val="en-US" w:eastAsia="zh-CN"/>
        </w:rPr>
      </w:pPr>
    </w:p>
    <w:p w14:paraId="142650C7">
      <w:pPr>
        <w:pStyle w:val="13"/>
        <w:keepNext w:val="0"/>
        <w:keepLines w:val="0"/>
        <w:pageBreakBefore w:val="0"/>
        <w:widowControl w:val="0"/>
        <w:suppressLineNumbers w:val="0"/>
        <w:kinsoku/>
        <w:wordWrap/>
        <w:overflowPunct/>
        <w:topLinePunct w:val="0"/>
        <w:bidi w:val="0"/>
        <w:snapToGrid/>
        <w:spacing w:before="0" w:beforeAutospacing="0"/>
        <w:ind w:left="0"/>
        <w:jc w:val="center"/>
        <w:rPr>
          <w:sz w:val="42"/>
          <w:szCs w:val="42"/>
          <w:shd w:val="clear" w:fill="FFFFFF"/>
        </w:rPr>
      </w:pPr>
    </w:p>
    <w:p w14:paraId="5E168D5C">
      <w:pPr>
        <w:pStyle w:val="13"/>
        <w:keepNext w:val="0"/>
        <w:keepLines w:val="0"/>
        <w:pageBreakBefore w:val="0"/>
        <w:widowControl w:val="0"/>
        <w:suppressLineNumbers w:val="0"/>
        <w:kinsoku/>
        <w:wordWrap/>
        <w:overflowPunct/>
        <w:topLinePunct w:val="0"/>
        <w:bidi w:val="0"/>
        <w:snapToGrid/>
        <w:spacing w:before="0" w:beforeAutospacing="0"/>
        <w:ind w:left="0"/>
        <w:jc w:val="center"/>
        <w:rPr>
          <w:rFonts w:hint="default" w:ascii="黑体" w:hAnsi="黑体" w:eastAsia="黑体" w:cs="黑体"/>
          <w:sz w:val="44"/>
          <w:szCs w:val="44"/>
          <w:lang w:val="en-US" w:eastAsia="zh-CN"/>
        </w:rPr>
      </w:pPr>
      <w:r>
        <w:rPr>
          <w:rFonts w:hint="eastAsia" w:ascii="黑体" w:hAnsi="黑体" w:eastAsia="黑体" w:cs="黑体"/>
          <w:sz w:val="44"/>
          <w:szCs w:val="44"/>
          <w:shd w:val="clear" w:fill="FFFFFF"/>
        </w:rPr>
        <w:t>202</w:t>
      </w:r>
      <w:r>
        <w:rPr>
          <w:rFonts w:hint="eastAsia" w:ascii="黑体" w:hAnsi="黑体" w:eastAsia="黑体" w:cs="黑体"/>
          <w:sz w:val="44"/>
          <w:szCs w:val="44"/>
          <w:shd w:val="clear" w:fill="FFFFFF"/>
          <w:lang w:val="en-US" w:eastAsia="zh-CN"/>
        </w:rPr>
        <w:t>5</w:t>
      </w:r>
      <w:r>
        <w:rPr>
          <w:rFonts w:hint="eastAsia" w:ascii="黑体" w:hAnsi="黑体" w:eastAsia="黑体" w:cs="黑体"/>
          <w:sz w:val="44"/>
          <w:szCs w:val="44"/>
          <w:shd w:val="clear" w:fill="FFFFFF"/>
        </w:rPr>
        <w:t>年度</w:t>
      </w:r>
      <w:r>
        <w:rPr>
          <w:rFonts w:hint="eastAsia" w:ascii="黑体" w:hAnsi="黑体" w:eastAsia="黑体" w:cs="黑体"/>
          <w:sz w:val="44"/>
          <w:szCs w:val="44"/>
          <w:shd w:val="clear" w:fill="FFFFFF"/>
          <w:lang w:val="en-US" w:eastAsia="zh-CN"/>
        </w:rPr>
        <w:t>四川省阿坝州</w:t>
      </w:r>
    </w:p>
    <w:p w14:paraId="076B1409">
      <w:pPr>
        <w:pStyle w:val="13"/>
        <w:keepNext w:val="0"/>
        <w:keepLines w:val="0"/>
        <w:pageBreakBefore w:val="0"/>
        <w:widowControl w:val="0"/>
        <w:suppressLineNumbers w:val="0"/>
        <w:kinsoku/>
        <w:wordWrap/>
        <w:overflowPunct/>
        <w:topLinePunct w:val="0"/>
        <w:bidi w:val="0"/>
        <w:snapToGrid/>
        <w:spacing w:before="0" w:beforeAutospacing="0"/>
        <w:ind w:left="0"/>
        <w:jc w:val="center"/>
        <w:outlineLvl w:val="9"/>
        <w:rPr>
          <w:rFonts w:hint="eastAsia" w:ascii="黑体" w:hAnsi="黑体" w:eastAsia="黑体" w:cs="黑体"/>
          <w:sz w:val="44"/>
          <w:szCs w:val="44"/>
        </w:rPr>
      </w:pPr>
      <w:r>
        <w:rPr>
          <w:rFonts w:hint="eastAsia" w:ascii="黑体" w:hAnsi="黑体" w:eastAsia="黑体" w:cs="黑体"/>
          <w:sz w:val="44"/>
          <w:szCs w:val="44"/>
          <w:shd w:val="clear" w:fill="FFFFFF"/>
        </w:rPr>
        <w:t>茂县生产力促进中心单位决算公开</w:t>
      </w:r>
    </w:p>
    <w:p w14:paraId="40912142">
      <w:pPr>
        <w:pStyle w:val="13"/>
        <w:keepNext w:val="0"/>
        <w:keepLines w:val="0"/>
        <w:pageBreakBefore w:val="0"/>
        <w:widowControl w:val="0"/>
        <w:suppressLineNumbers w:val="0"/>
        <w:kinsoku/>
        <w:wordWrap/>
        <w:overflowPunct/>
        <w:topLinePunct w:val="0"/>
        <w:bidi w:val="0"/>
        <w:snapToGrid/>
        <w:spacing w:before="0" w:beforeAutospacing="0"/>
        <w:ind w:left="0"/>
        <w:jc w:val="center"/>
      </w:pPr>
      <w:r>
        <w:rPr>
          <w:shd w:val="clear" w:fill="FFFFFF"/>
        </w:rPr>
        <w:t> </w:t>
      </w:r>
    </w:p>
    <w:p w14:paraId="551B5128">
      <w:pPr>
        <w:pStyle w:val="13"/>
        <w:keepNext w:val="0"/>
        <w:keepLines w:val="0"/>
        <w:pageBreakBefore w:val="0"/>
        <w:widowControl w:val="0"/>
        <w:suppressLineNumbers w:val="0"/>
        <w:kinsoku/>
        <w:wordWrap/>
        <w:overflowPunct/>
        <w:topLinePunct w:val="0"/>
        <w:bidi w:val="0"/>
        <w:snapToGrid/>
        <w:spacing w:before="0" w:beforeAutospacing="0"/>
        <w:ind w:left="0"/>
        <w:jc w:val="center"/>
      </w:pPr>
      <w:r>
        <w:rPr>
          <w:shd w:val="clear" w:fill="FFFFFF"/>
        </w:rPr>
        <w:t> </w:t>
      </w:r>
    </w:p>
    <w:p w14:paraId="7EA6599E">
      <w:pPr>
        <w:pStyle w:val="13"/>
        <w:keepNext w:val="0"/>
        <w:keepLines w:val="0"/>
        <w:pageBreakBefore w:val="0"/>
        <w:widowControl w:val="0"/>
        <w:suppressLineNumbers w:val="0"/>
        <w:kinsoku/>
        <w:wordWrap/>
        <w:overflowPunct/>
        <w:topLinePunct w:val="0"/>
        <w:bidi w:val="0"/>
        <w:snapToGrid/>
        <w:spacing w:before="0" w:beforeAutospacing="0"/>
        <w:ind w:left="0"/>
        <w:jc w:val="center"/>
      </w:pPr>
      <w:r>
        <w:rPr>
          <w:shd w:val="clear" w:fill="FFFFFF"/>
        </w:rPr>
        <w:t> </w:t>
      </w:r>
    </w:p>
    <w:p w14:paraId="7102AE36">
      <w:pPr>
        <w:pStyle w:val="13"/>
        <w:keepNext w:val="0"/>
        <w:keepLines w:val="0"/>
        <w:pageBreakBefore w:val="0"/>
        <w:widowControl w:val="0"/>
        <w:suppressLineNumbers w:val="0"/>
        <w:kinsoku/>
        <w:wordWrap/>
        <w:overflowPunct/>
        <w:topLinePunct w:val="0"/>
        <w:bidi w:val="0"/>
        <w:snapToGrid/>
        <w:spacing w:before="0" w:beforeAutospacing="0"/>
        <w:ind w:left="0"/>
        <w:jc w:val="center"/>
      </w:pPr>
      <w:r>
        <w:rPr>
          <w:shd w:val="clear" w:fill="FFFFFF"/>
        </w:rPr>
        <w:t> </w:t>
      </w:r>
    </w:p>
    <w:p w14:paraId="0AB2C059">
      <w:pPr>
        <w:pStyle w:val="13"/>
        <w:keepNext w:val="0"/>
        <w:keepLines w:val="0"/>
        <w:pageBreakBefore w:val="0"/>
        <w:widowControl w:val="0"/>
        <w:suppressLineNumbers w:val="0"/>
        <w:kinsoku/>
        <w:wordWrap/>
        <w:overflowPunct/>
        <w:topLinePunct w:val="0"/>
        <w:bidi w:val="0"/>
        <w:snapToGrid/>
        <w:spacing w:before="0" w:beforeAutospacing="0"/>
        <w:ind w:left="0"/>
        <w:jc w:val="center"/>
      </w:pPr>
      <w:r>
        <w:rPr>
          <w:shd w:val="clear" w:fill="FFFFFF"/>
        </w:rPr>
        <w:t> </w:t>
      </w:r>
    </w:p>
    <w:p w14:paraId="322BEA30">
      <w:pPr>
        <w:pStyle w:val="13"/>
        <w:keepNext w:val="0"/>
        <w:keepLines w:val="0"/>
        <w:pageBreakBefore w:val="0"/>
        <w:widowControl w:val="0"/>
        <w:suppressLineNumbers w:val="0"/>
        <w:kinsoku/>
        <w:wordWrap/>
        <w:overflowPunct/>
        <w:topLinePunct w:val="0"/>
        <w:bidi w:val="0"/>
        <w:snapToGrid/>
        <w:spacing w:before="0" w:beforeAutospacing="0"/>
        <w:ind w:left="0"/>
        <w:jc w:val="center"/>
      </w:pPr>
      <w:r>
        <w:rPr>
          <w:shd w:val="clear" w:fill="FFFFFF"/>
        </w:rPr>
        <w:t> </w:t>
      </w:r>
    </w:p>
    <w:p w14:paraId="21C2476D">
      <w:pPr>
        <w:pStyle w:val="13"/>
        <w:keepNext w:val="0"/>
        <w:keepLines w:val="0"/>
        <w:pageBreakBefore w:val="0"/>
        <w:widowControl w:val="0"/>
        <w:suppressLineNumbers w:val="0"/>
        <w:kinsoku/>
        <w:wordWrap/>
        <w:overflowPunct/>
        <w:topLinePunct w:val="0"/>
        <w:bidi w:val="0"/>
        <w:snapToGrid/>
        <w:spacing w:before="0" w:beforeAutospacing="0"/>
        <w:ind w:left="0"/>
        <w:jc w:val="center"/>
      </w:pPr>
      <w:r>
        <w:rPr>
          <w:shd w:val="clear" w:fill="FFFFFF"/>
        </w:rPr>
        <w:t> </w:t>
      </w:r>
    </w:p>
    <w:p w14:paraId="4AC389DD">
      <w:pPr>
        <w:pStyle w:val="13"/>
        <w:keepNext w:val="0"/>
        <w:keepLines w:val="0"/>
        <w:pageBreakBefore w:val="0"/>
        <w:widowControl w:val="0"/>
        <w:suppressLineNumbers w:val="0"/>
        <w:kinsoku/>
        <w:wordWrap/>
        <w:overflowPunct/>
        <w:topLinePunct w:val="0"/>
        <w:bidi w:val="0"/>
        <w:snapToGrid/>
        <w:spacing w:before="0" w:beforeAutospacing="0"/>
        <w:ind w:left="0"/>
        <w:jc w:val="center"/>
      </w:pPr>
    </w:p>
    <w:p w14:paraId="2B5DD548">
      <w:pPr>
        <w:pStyle w:val="13"/>
        <w:keepNext w:val="0"/>
        <w:keepLines w:val="0"/>
        <w:pageBreakBefore w:val="0"/>
        <w:widowControl w:val="0"/>
        <w:suppressLineNumbers w:val="0"/>
        <w:kinsoku/>
        <w:wordWrap/>
        <w:overflowPunct/>
        <w:topLinePunct w:val="0"/>
        <w:bidi w:val="0"/>
        <w:snapToGrid/>
        <w:spacing w:before="0" w:beforeAutospacing="0"/>
        <w:ind w:left="0"/>
        <w:jc w:val="left"/>
        <w:rPr>
          <w:shd w:val="clear" w:fill="FFFFFF"/>
        </w:rPr>
      </w:pPr>
      <w:r>
        <w:rPr>
          <w:shd w:val="clear" w:fill="FFFFFF"/>
        </w:rPr>
        <w:t> </w:t>
      </w:r>
    </w:p>
    <w:p w14:paraId="216FC1CD">
      <w:pPr>
        <w:pStyle w:val="13"/>
        <w:keepNext w:val="0"/>
        <w:keepLines w:val="0"/>
        <w:pageBreakBefore w:val="0"/>
        <w:widowControl w:val="0"/>
        <w:suppressLineNumbers w:val="0"/>
        <w:kinsoku/>
        <w:wordWrap/>
        <w:overflowPunct/>
        <w:topLinePunct w:val="0"/>
        <w:bidi w:val="0"/>
        <w:snapToGrid/>
        <w:spacing w:before="0" w:beforeAutospacing="0"/>
        <w:ind w:left="0"/>
        <w:jc w:val="left"/>
        <w:rPr>
          <w:shd w:val="clear" w:fill="FFFFFF"/>
        </w:rPr>
      </w:pPr>
    </w:p>
    <w:p w14:paraId="5B579D66">
      <w:pPr>
        <w:pStyle w:val="13"/>
        <w:keepNext w:val="0"/>
        <w:keepLines w:val="0"/>
        <w:pageBreakBefore w:val="0"/>
        <w:widowControl w:val="0"/>
        <w:suppressLineNumbers w:val="0"/>
        <w:kinsoku/>
        <w:wordWrap/>
        <w:overflowPunct/>
        <w:topLinePunct w:val="0"/>
        <w:bidi w:val="0"/>
        <w:snapToGrid/>
        <w:spacing w:before="0" w:beforeAutospacing="0"/>
        <w:ind w:left="0"/>
        <w:jc w:val="left"/>
        <w:rPr>
          <w:shd w:val="clear" w:fill="FFFFFF"/>
        </w:rPr>
      </w:pPr>
    </w:p>
    <w:p w14:paraId="79B28130">
      <w:pPr>
        <w:pStyle w:val="13"/>
        <w:keepNext w:val="0"/>
        <w:keepLines w:val="0"/>
        <w:pageBreakBefore w:val="0"/>
        <w:widowControl w:val="0"/>
        <w:suppressLineNumbers w:val="0"/>
        <w:kinsoku/>
        <w:wordWrap/>
        <w:overflowPunct/>
        <w:topLinePunct w:val="0"/>
        <w:bidi w:val="0"/>
        <w:snapToGrid/>
        <w:spacing w:before="0" w:beforeAutospacing="0"/>
        <w:ind w:left="0"/>
        <w:jc w:val="left"/>
        <w:rPr>
          <w:shd w:val="clear" w:fill="FFFFFF"/>
        </w:rPr>
      </w:pPr>
    </w:p>
    <w:p w14:paraId="1AD15851">
      <w:pPr>
        <w:pStyle w:val="13"/>
        <w:keepNext w:val="0"/>
        <w:keepLines w:val="0"/>
        <w:pageBreakBefore w:val="0"/>
        <w:widowControl w:val="0"/>
        <w:suppressLineNumbers w:val="0"/>
        <w:kinsoku/>
        <w:wordWrap/>
        <w:overflowPunct/>
        <w:topLinePunct w:val="0"/>
        <w:bidi w:val="0"/>
        <w:snapToGrid/>
        <w:spacing w:before="0" w:beforeAutospacing="0"/>
        <w:ind w:left="0"/>
        <w:jc w:val="center"/>
      </w:pPr>
      <w:r>
        <w:rPr>
          <w:shd w:val="clear" w:fill="FFFFFF"/>
        </w:rPr>
        <w:t> </w:t>
      </w:r>
    </w:p>
    <w:p w14:paraId="520CF5CF">
      <w:pPr>
        <w:pStyle w:val="13"/>
        <w:keepNext w:val="0"/>
        <w:keepLines w:val="0"/>
        <w:pageBreakBefore w:val="0"/>
        <w:widowControl w:val="0"/>
        <w:suppressLineNumbers w:val="0"/>
        <w:kinsoku/>
        <w:wordWrap/>
        <w:overflowPunct/>
        <w:topLinePunct w:val="0"/>
        <w:bidi w:val="0"/>
        <w:snapToGrid/>
        <w:spacing w:before="0" w:beforeAutospacing="0"/>
        <w:ind w:left="0"/>
        <w:jc w:val="left"/>
      </w:pPr>
      <w:r>
        <w:rPr>
          <w:shd w:val="clear" w:fill="FFFFFF"/>
        </w:rPr>
        <w:t> </w:t>
      </w:r>
    </w:p>
    <w:p w14:paraId="767CD04B">
      <w:pPr>
        <w:pStyle w:val="13"/>
        <w:keepNext w:val="0"/>
        <w:keepLines w:val="0"/>
        <w:pageBreakBefore w:val="0"/>
        <w:widowControl w:val="0"/>
        <w:suppressLineNumbers w:val="0"/>
        <w:kinsoku/>
        <w:wordWrap/>
        <w:overflowPunct/>
        <w:topLinePunct w:val="0"/>
        <w:bidi w:val="0"/>
        <w:snapToGrid/>
        <w:spacing w:before="0" w:beforeAutospacing="0"/>
        <w:ind w:left="0"/>
        <w:jc w:val="center"/>
        <w:rPr>
          <w:rFonts w:hint="eastAsia" w:ascii="黑体" w:hAnsi="黑体" w:eastAsia="黑体" w:cs="黑体"/>
          <w:b/>
          <w:bCs/>
          <w:sz w:val="24"/>
          <w:szCs w:val="24"/>
        </w:rPr>
      </w:pPr>
      <w:r>
        <w:rPr>
          <w:rFonts w:hint="eastAsia" w:ascii="黑体" w:hAnsi="黑体" w:eastAsia="黑体" w:cs="黑体"/>
          <w:b/>
          <w:bCs/>
          <w:sz w:val="24"/>
          <w:szCs w:val="24"/>
          <w:shd w:val="clear" w:fill="FFFFFF"/>
        </w:rPr>
        <w:t>目录 </w:t>
      </w:r>
    </w:p>
    <w:p w14:paraId="54038868">
      <w:pPr>
        <w:pStyle w:val="13"/>
        <w:keepNext w:val="0"/>
        <w:keepLines w:val="0"/>
        <w:pageBreakBefore w:val="0"/>
        <w:widowControl w:val="0"/>
        <w:suppressLineNumbers w:val="0"/>
        <w:kinsoku/>
        <w:wordWrap/>
        <w:overflowPunct/>
        <w:topLinePunct w:val="0"/>
        <w:bidi w:val="0"/>
        <w:snapToGrid/>
        <w:spacing w:before="0" w:beforeAutospacing="0"/>
        <w:ind w:left="0"/>
        <w:jc w:val="center"/>
        <w:rPr>
          <w:rFonts w:hint="eastAsia" w:ascii="黑体" w:hAnsi="黑体" w:eastAsia="黑体" w:cs="黑体"/>
          <w:b/>
          <w:bCs/>
          <w:sz w:val="24"/>
          <w:szCs w:val="24"/>
          <w:highlight w:val="none"/>
          <w:lang w:val="en-US" w:eastAsia="zh-CN"/>
        </w:rPr>
      </w:pPr>
      <w:r>
        <w:rPr>
          <w:rFonts w:hint="eastAsia" w:ascii="黑体" w:hAnsi="黑体" w:eastAsia="黑体" w:cs="黑体"/>
          <w:b/>
          <w:bCs/>
          <w:sz w:val="24"/>
          <w:szCs w:val="24"/>
          <w:highlight w:val="none"/>
          <w:shd w:val="clear" w:fill="FFFFFF"/>
        </w:rPr>
        <w:t>公开时间：202</w:t>
      </w:r>
      <w:r>
        <w:rPr>
          <w:rFonts w:hint="eastAsia" w:ascii="黑体" w:hAnsi="黑体" w:eastAsia="黑体" w:cs="黑体"/>
          <w:b/>
          <w:bCs/>
          <w:sz w:val="24"/>
          <w:szCs w:val="24"/>
          <w:highlight w:val="none"/>
          <w:shd w:val="clear" w:fill="FFFFFF"/>
          <w:lang w:val="en-US" w:eastAsia="zh-CN"/>
        </w:rPr>
        <w:t>6</w:t>
      </w:r>
      <w:r>
        <w:rPr>
          <w:rFonts w:hint="eastAsia" w:ascii="黑体" w:hAnsi="黑体" w:eastAsia="黑体" w:cs="黑体"/>
          <w:b/>
          <w:bCs/>
          <w:sz w:val="24"/>
          <w:szCs w:val="24"/>
          <w:highlight w:val="none"/>
          <w:shd w:val="clear" w:fill="FFFFFF"/>
        </w:rPr>
        <w:t>年</w:t>
      </w:r>
      <w:r>
        <w:rPr>
          <w:rFonts w:hint="eastAsia" w:ascii="黑体" w:hAnsi="黑体" w:eastAsia="黑体" w:cs="黑体"/>
          <w:b/>
          <w:bCs/>
          <w:sz w:val="24"/>
          <w:szCs w:val="24"/>
          <w:highlight w:val="none"/>
          <w:shd w:val="clear" w:fill="FFFFFF"/>
          <w:lang w:val="en-US" w:eastAsia="zh-CN"/>
        </w:rPr>
        <w:t>9</w:t>
      </w:r>
      <w:r>
        <w:rPr>
          <w:rFonts w:hint="eastAsia" w:ascii="黑体" w:hAnsi="黑体" w:eastAsia="黑体" w:cs="黑体"/>
          <w:b/>
          <w:bCs/>
          <w:sz w:val="24"/>
          <w:szCs w:val="24"/>
          <w:highlight w:val="none"/>
          <w:shd w:val="clear" w:fill="FFFFFF"/>
        </w:rPr>
        <w:t>月</w:t>
      </w:r>
      <w:r>
        <w:rPr>
          <w:rFonts w:hint="eastAsia" w:ascii="黑体" w:hAnsi="黑体" w:eastAsia="黑体" w:cs="黑体"/>
          <w:b/>
          <w:bCs/>
          <w:sz w:val="24"/>
          <w:szCs w:val="24"/>
          <w:highlight w:val="none"/>
          <w:shd w:val="clear" w:fill="FFFFFF"/>
          <w:lang w:val="en-US" w:eastAsia="zh-CN"/>
        </w:rPr>
        <w:t>4</w:t>
      </w:r>
      <w:r>
        <w:rPr>
          <w:rFonts w:hint="eastAsia" w:ascii="黑体" w:hAnsi="黑体" w:eastAsia="黑体" w:cs="黑体"/>
          <w:b/>
          <w:bCs/>
          <w:sz w:val="24"/>
          <w:szCs w:val="24"/>
          <w:highlight w:val="none"/>
          <w:shd w:val="clear" w:fill="FFFFFF"/>
        </w:rPr>
        <w:t>日</w:t>
      </w:r>
    </w:p>
    <w:sdt>
      <w:sdtPr>
        <w:rPr>
          <w:rFonts w:hint="eastAsia" w:asciiTheme="minorEastAsia" w:hAnsiTheme="minorEastAsia" w:eastAsiaTheme="minorEastAsia" w:cstheme="minorEastAsia"/>
          <w:kern w:val="0"/>
          <w:sz w:val="24"/>
          <w:szCs w:val="24"/>
          <w:lang w:val="en-US" w:eastAsia="zh-CN" w:bidi="ar"/>
        </w:rPr>
        <w:id w:val="147471481"/>
        <w15:color w:val="DBDBDB"/>
        <w:docPartObj>
          <w:docPartGallery w:val="Table of Contents"/>
          <w:docPartUnique/>
        </w:docPartObj>
      </w:sdtPr>
      <w:sdtEndPr>
        <w:rPr>
          <w:rFonts w:hint="eastAsia" w:ascii="黑体" w:hAnsi="黑体" w:eastAsia="黑体" w:cs="黑体"/>
          <w:b/>
          <w:kern w:val="0"/>
          <w:sz w:val="24"/>
          <w:szCs w:val="24"/>
          <w:lang w:val="en-US" w:eastAsia="zh-CN" w:bidi="ar"/>
        </w:rPr>
      </w:sdtEndPr>
      <w:sdtContent>
        <w:p w14:paraId="5AC76E20">
          <w:pPr>
            <w:keepNext w:val="0"/>
            <w:keepLines w:val="0"/>
            <w:pageBreakBefore w:val="0"/>
            <w:widowControl w:val="0"/>
            <w:kinsoku/>
            <w:wordWrap/>
            <w:overflowPunct/>
            <w:topLinePunct w:val="0"/>
            <w:bidi w:val="0"/>
            <w:snapToGrid/>
            <w:spacing w:before="0" w:beforeLines="0" w:after="0" w:afterLines="0" w:line="240" w:lineRule="auto"/>
            <w:ind w:left="0" w:leftChars="0" w:right="0" w:rightChars="0" w:firstLine="0" w:firstLineChars="0"/>
            <w:jc w:val="center"/>
            <w:rPr>
              <w:rFonts w:hint="eastAsia" w:asciiTheme="minorEastAsia" w:hAnsiTheme="minorEastAsia" w:eastAsiaTheme="minorEastAsia" w:cstheme="minorEastAsia"/>
              <w:sz w:val="24"/>
              <w:szCs w:val="24"/>
            </w:rPr>
          </w:pPr>
        </w:p>
        <w:p w14:paraId="1F7B6763">
          <w:pPr>
            <w:pStyle w:val="10"/>
            <w:tabs>
              <w:tab w:val="right" w:leader="dot" w:pos="8315"/>
            </w:tabs>
          </w:pP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TOC \o "1-2" \h \u </w:instrText>
          </w:r>
          <w:r>
            <w:rPr>
              <w:rFonts w:hint="eastAsia" w:ascii="黑体" w:hAnsi="黑体" w:eastAsia="黑体" w:cs="黑体"/>
              <w:sz w:val="24"/>
              <w:szCs w:val="24"/>
            </w:rPr>
            <w:fldChar w:fldCharType="separate"/>
          </w:r>
          <w:r>
            <w:rPr>
              <w:rFonts w:hint="eastAsia" w:ascii="黑体" w:hAnsi="黑体" w:eastAsia="黑体" w:cs="黑体"/>
              <w:szCs w:val="24"/>
            </w:rPr>
            <w:fldChar w:fldCharType="begin"/>
          </w:r>
          <w:r>
            <w:rPr>
              <w:rFonts w:hint="eastAsia" w:ascii="黑体" w:hAnsi="黑体" w:eastAsia="黑体" w:cs="黑体"/>
              <w:szCs w:val="24"/>
            </w:rPr>
            <w:instrText xml:space="preserve"> HYPERLINK \l _Toc1217231893 </w:instrText>
          </w:r>
          <w:r>
            <w:rPr>
              <w:rFonts w:hint="eastAsia" w:ascii="黑体" w:hAnsi="黑体" w:eastAsia="黑体" w:cs="黑体"/>
              <w:szCs w:val="24"/>
            </w:rPr>
            <w:fldChar w:fldCharType="separate"/>
          </w:r>
          <w:r>
            <w:rPr>
              <w:rFonts w:hint="eastAsia" w:ascii="黑体" w:hAnsi="黑体" w:eastAsia="黑体" w:cs="黑体"/>
              <w:bCs w:val="0"/>
              <w:szCs w:val="44"/>
              <w:shd w:val="clear" w:fill="FFFFFF"/>
            </w:rPr>
            <w:t>第一部分 单位概况</w:t>
          </w:r>
          <w:r>
            <w:tab/>
          </w:r>
          <w:r>
            <w:fldChar w:fldCharType="begin"/>
          </w:r>
          <w:r>
            <w:instrText xml:space="preserve"> PAGEREF _Toc1217231893 \h </w:instrText>
          </w:r>
          <w:r>
            <w:fldChar w:fldCharType="separate"/>
          </w:r>
          <w:r>
            <w:t>1</w:t>
          </w:r>
          <w:r>
            <w:fldChar w:fldCharType="end"/>
          </w:r>
          <w:r>
            <w:rPr>
              <w:rFonts w:hint="eastAsia" w:ascii="黑体" w:hAnsi="黑体" w:eastAsia="黑体" w:cs="黑体"/>
              <w:szCs w:val="24"/>
            </w:rPr>
            <w:fldChar w:fldCharType="end"/>
          </w:r>
        </w:p>
        <w:p w14:paraId="612739F9">
          <w:pPr>
            <w:pStyle w:val="12"/>
            <w:tabs>
              <w:tab w:val="right" w:leader="dot" w:pos="8315"/>
            </w:tabs>
          </w:pPr>
          <w:r>
            <w:rPr>
              <w:rFonts w:hint="eastAsia" w:ascii="黑体" w:hAnsi="黑体" w:eastAsia="黑体" w:cs="黑体"/>
              <w:szCs w:val="24"/>
            </w:rPr>
            <w:fldChar w:fldCharType="begin"/>
          </w:r>
          <w:r>
            <w:rPr>
              <w:rFonts w:hint="eastAsia" w:ascii="黑体" w:hAnsi="黑体" w:eastAsia="黑体" w:cs="黑体"/>
              <w:szCs w:val="24"/>
            </w:rPr>
            <w:instrText xml:space="preserve"> HYPERLINK \l _Toc738927693 </w:instrText>
          </w:r>
          <w:r>
            <w:rPr>
              <w:rFonts w:hint="eastAsia" w:ascii="黑体" w:hAnsi="黑体" w:eastAsia="黑体" w:cs="黑体"/>
              <w:szCs w:val="24"/>
            </w:rPr>
            <w:fldChar w:fldCharType="separate"/>
          </w:r>
          <w:r>
            <w:rPr>
              <w:rFonts w:hint="eastAsia" w:ascii="黑体" w:hAnsi="黑体" w:eastAsia="黑体" w:cs="黑体"/>
              <w:bCs w:val="0"/>
              <w:szCs w:val="32"/>
              <w:shd w:val="clear" w:fill="FFFFFF"/>
            </w:rPr>
            <w:t>一、主要职责</w:t>
          </w:r>
          <w:r>
            <w:tab/>
          </w:r>
          <w:r>
            <w:fldChar w:fldCharType="begin"/>
          </w:r>
          <w:r>
            <w:instrText xml:space="preserve"> PAGEREF _Toc738927693 \h </w:instrText>
          </w:r>
          <w:r>
            <w:fldChar w:fldCharType="separate"/>
          </w:r>
          <w:r>
            <w:t>1</w:t>
          </w:r>
          <w:r>
            <w:fldChar w:fldCharType="end"/>
          </w:r>
          <w:r>
            <w:rPr>
              <w:rFonts w:hint="eastAsia" w:ascii="黑体" w:hAnsi="黑体" w:eastAsia="黑体" w:cs="黑体"/>
              <w:szCs w:val="24"/>
            </w:rPr>
            <w:fldChar w:fldCharType="end"/>
          </w:r>
        </w:p>
        <w:p w14:paraId="0969A950">
          <w:pPr>
            <w:pStyle w:val="12"/>
            <w:tabs>
              <w:tab w:val="right" w:leader="dot" w:pos="8315"/>
            </w:tabs>
          </w:pPr>
          <w:r>
            <w:rPr>
              <w:rFonts w:hint="eastAsia" w:ascii="黑体" w:hAnsi="黑体" w:eastAsia="黑体" w:cs="黑体"/>
              <w:szCs w:val="24"/>
            </w:rPr>
            <w:fldChar w:fldCharType="begin"/>
          </w:r>
          <w:r>
            <w:rPr>
              <w:rFonts w:hint="eastAsia" w:ascii="黑体" w:hAnsi="黑体" w:eastAsia="黑体" w:cs="黑体"/>
              <w:szCs w:val="24"/>
            </w:rPr>
            <w:instrText xml:space="preserve"> HYPERLINK \l _Toc46504424 </w:instrText>
          </w:r>
          <w:r>
            <w:rPr>
              <w:rFonts w:hint="eastAsia" w:ascii="黑体" w:hAnsi="黑体" w:eastAsia="黑体" w:cs="黑体"/>
              <w:szCs w:val="24"/>
            </w:rPr>
            <w:fldChar w:fldCharType="separate"/>
          </w:r>
          <w:r>
            <w:rPr>
              <w:rFonts w:hint="eastAsia" w:ascii="黑体" w:hAnsi="黑体" w:eastAsia="黑体" w:cs="黑体"/>
              <w:bCs w:val="0"/>
              <w:szCs w:val="32"/>
              <w:shd w:val="clear" w:fill="FFFFFF"/>
            </w:rPr>
            <w:t>二、机构设置</w:t>
          </w:r>
          <w:r>
            <w:tab/>
          </w:r>
          <w:r>
            <w:fldChar w:fldCharType="begin"/>
          </w:r>
          <w:r>
            <w:instrText xml:space="preserve"> PAGEREF _Toc46504424 \h </w:instrText>
          </w:r>
          <w:r>
            <w:fldChar w:fldCharType="separate"/>
          </w:r>
          <w:r>
            <w:t>3</w:t>
          </w:r>
          <w:r>
            <w:fldChar w:fldCharType="end"/>
          </w:r>
          <w:r>
            <w:rPr>
              <w:rFonts w:hint="eastAsia" w:ascii="黑体" w:hAnsi="黑体" w:eastAsia="黑体" w:cs="黑体"/>
              <w:szCs w:val="24"/>
            </w:rPr>
            <w:fldChar w:fldCharType="end"/>
          </w:r>
        </w:p>
        <w:p w14:paraId="69108C7E">
          <w:pPr>
            <w:pStyle w:val="10"/>
            <w:tabs>
              <w:tab w:val="right" w:leader="dot" w:pos="8315"/>
            </w:tabs>
          </w:pPr>
          <w:r>
            <w:rPr>
              <w:rFonts w:hint="eastAsia" w:ascii="黑体" w:hAnsi="黑体" w:eastAsia="黑体" w:cs="黑体"/>
              <w:szCs w:val="24"/>
            </w:rPr>
            <w:fldChar w:fldCharType="begin"/>
          </w:r>
          <w:r>
            <w:rPr>
              <w:rFonts w:hint="eastAsia" w:ascii="黑体" w:hAnsi="黑体" w:eastAsia="黑体" w:cs="黑体"/>
              <w:szCs w:val="24"/>
            </w:rPr>
            <w:instrText xml:space="preserve"> HYPERLINK \l _Toc1794496988 </w:instrText>
          </w:r>
          <w:r>
            <w:rPr>
              <w:rFonts w:hint="eastAsia" w:ascii="黑体" w:hAnsi="黑体" w:eastAsia="黑体" w:cs="黑体"/>
              <w:szCs w:val="24"/>
            </w:rPr>
            <w:fldChar w:fldCharType="separate"/>
          </w:r>
          <w:r>
            <w:rPr>
              <w:rFonts w:hint="eastAsia" w:ascii="黑体" w:hAnsi="黑体" w:eastAsia="黑体" w:cs="黑体"/>
              <w:bCs w:val="0"/>
              <w:szCs w:val="44"/>
              <w:shd w:val="clear" w:fill="FFFFFF"/>
            </w:rPr>
            <w:t xml:space="preserve">第二部分 </w:t>
          </w:r>
          <w:r>
            <w:rPr>
              <w:rFonts w:hint="eastAsia" w:ascii="黑体" w:hAnsi="黑体" w:eastAsia="黑体" w:cs="黑体"/>
              <w:bCs w:val="0"/>
              <w:szCs w:val="44"/>
              <w:shd w:val="clear" w:fill="FFFFFF"/>
              <w:lang w:eastAsia="zh-CN"/>
            </w:rPr>
            <w:t>2025</w:t>
          </w:r>
          <w:r>
            <w:rPr>
              <w:rFonts w:hint="eastAsia" w:ascii="黑体" w:hAnsi="黑体" w:eastAsia="黑体" w:cs="黑体"/>
              <w:bCs w:val="0"/>
              <w:szCs w:val="44"/>
              <w:shd w:val="clear" w:fill="FFFFFF"/>
            </w:rPr>
            <w:t>年度单位决算情况说明</w:t>
          </w:r>
          <w:r>
            <w:tab/>
          </w:r>
          <w:r>
            <w:fldChar w:fldCharType="begin"/>
          </w:r>
          <w:r>
            <w:instrText xml:space="preserve"> PAGEREF _Toc1794496988 \h </w:instrText>
          </w:r>
          <w:r>
            <w:fldChar w:fldCharType="separate"/>
          </w:r>
          <w:r>
            <w:t>4</w:t>
          </w:r>
          <w:r>
            <w:fldChar w:fldCharType="end"/>
          </w:r>
          <w:r>
            <w:rPr>
              <w:rFonts w:hint="eastAsia" w:ascii="黑体" w:hAnsi="黑体" w:eastAsia="黑体" w:cs="黑体"/>
              <w:szCs w:val="24"/>
            </w:rPr>
            <w:fldChar w:fldCharType="end"/>
          </w:r>
        </w:p>
        <w:p w14:paraId="12F5BBAD">
          <w:pPr>
            <w:pStyle w:val="12"/>
            <w:tabs>
              <w:tab w:val="right" w:leader="dot" w:pos="8315"/>
            </w:tabs>
          </w:pPr>
          <w:r>
            <w:rPr>
              <w:rFonts w:hint="eastAsia" w:ascii="黑体" w:hAnsi="黑体" w:eastAsia="黑体" w:cs="黑体"/>
              <w:szCs w:val="24"/>
            </w:rPr>
            <w:fldChar w:fldCharType="begin"/>
          </w:r>
          <w:r>
            <w:rPr>
              <w:rFonts w:hint="eastAsia" w:ascii="黑体" w:hAnsi="黑体" w:eastAsia="黑体" w:cs="黑体"/>
              <w:szCs w:val="24"/>
            </w:rPr>
            <w:instrText xml:space="preserve"> HYPERLINK \l _Toc1602897963 </w:instrText>
          </w:r>
          <w:r>
            <w:rPr>
              <w:rFonts w:hint="eastAsia" w:ascii="黑体" w:hAnsi="黑体" w:eastAsia="黑体" w:cs="黑体"/>
              <w:szCs w:val="24"/>
            </w:rPr>
            <w:fldChar w:fldCharType="separate"/>
          </w:r>
          <w:r>
            <w:rPr>
              <w:rFonts w:hint="eastAsia" w:ascii="黑体" w:hAnsi="黑体" w:eastAsia="黑体" w:cs="黑体"/>
              <w:bCs/>
              <w:szCs w:val="32"/>
              <w:lang w:val="en-US" w:eastAsia="zh-CN"/>
            </w:rPr>
            <w:t>一、收入支出决算总体情况说明</w:t>
          </w:r>
          <w:r>
            <w:tab/>
          </w:r>
          <w:r>
            <w:fldChar w:fldCharType="begin"/>
          </w:r>
          <w:r>
            <w:instrText xml:space="preserve"> PAGEREF _Toc1602897963 \h </w:instrText>
          </w:r>
          <w:r>
            <w:fldChar w:fldCharType="separate"/>
          </w:r>
          <w:r>
            <w:t>4</w:t>
          </w:r>
          <w:r>
            <w:fldChar w:fldCharType="end"/>
          </w:r>
          <w:r>
            <w:rPr>
              <w:rFonts w:hint="eastAsia" w:ascii="黑体" w:hAnsi="黑体" w:eastAsia="黑体" w:cs="黑体"/>
              <w:szCs w:val="24"/>
            </w:rPr>
            <w:fldChar w:fldCharType="end"/>
          </w:r>
        </w:p>
        <w:p w14:paraId="320E3347">
          <w:pPr>
            <w:pStyle w:val="12"/>
            <w:tabs>
              <w:tab w:val="right" w:leader="dot" w:pos="8315"/>
            </w:tabs>
          </w:pPr>
          <w:r>
            <w:rPr>
              <w:rFonts w:hint="eastAsia" w:ascii="黑体" w:hAnsi="黑体" w:eastAsia="黑体" w:cs="黑体"/>
              <w:szCs w:val="24"/>
            </w:rPr>
            <w:fldChar w:fldCharType="begin"/>
          </w:r>
          <w:r>
            <w:rPr>
              <w:rFonts w:hint="eastAsia" w:ascii="黑体" w:hAnsi="黑体" w:eastAsia="黑体" w:cs="黑体"/>
              <w:szCs w:val="24"/>
            </w:rPr>
            <w:instrText xml:space="preserve"> HYPERLINK \l _Toc457472553 </w:instrText>
          </w:r>
          <w:r>
            <w:rPr>
              <w:rFonts w:hint="eastAsia" w:ascii="黑体" w:hAnsi="黑体" w:eastAsia="黑体" w:cs="黑体"/>
              <w:szCs w:val="24"/>
            </w:rPr>
            <w:fldChar w:fldCharType="separate"/>
          </w:r>
          <w:r>
            <w:rPr>
              <w:rFonts w:hint="eastAsia" w:ascii="黑体" w:hAnsi="黑体" w:eastAsia="黑体" w:cs="黑体"/>
              <w:bCs/>
              <w:szCs w:val="32"/>
              <w:lang w:val="en-US" w:eastAsia="zh-CN"/>
            </w:rPr>
            <w:t>二、收入决算情况说明</w:t>
          </w:r>
          <w:r>
            <w:tab/>
          </w:r>
          <w:r>
            <w:fldChar w:fldCharType="begin"/>
          </w:r>
          <w:r>
            <w:instrText xml:space="preserve"> PAGEREF _Toc457472553 \h </w:instrText>
          </w:r>
          <w:r>
            <w:fldChar w:fldCharType="separate"/>
          </w:r>
          <w:r>
            <w:t>4</w:t>
          </w:r>
          <w:r>
            <w:fldChar w:fldCharType="end"/>
          </w:r>
          <w:r>
            <w:rPr>
              <w:rFonts w:hint="eastAsia" w:ascii="黑体" w:hAnsi="黑体" w:eastAsia="黑体" w:cs="黑体"/>
              <w:szCs w:val="24"/>
            </w:rPr>
            <w:fldChar w:fldCharType="end"/>
          </w:r>
        </w:p>
        <w:p w14:paraId="76C942B9">
          <w:pPr>
            <w:pStyle w:val="12"/>
            <w:tabs>
              <w:tab w:val="right" w:leader="dot" w:pos="8315"/>
            </w:tabs>
          </w:pPr>
          <w:r>
            <w:rPr>
              <w:rFonts w:hint="eastAsia" w:ascii="黑体" w:hAnsi="黑体" w:eastAsia="黑体" w:cs="黑体"/>
              <w:szCs w:val="24"/>
            </w:rPr>
            <w:fldChar w:fldCharType="begin"/>
          </w:r>
          <w:r>
            <w:rPr>
              <w:rFonts w:hint="eastAsia" w:ascii="黑体" w:hAnsi="黑体" w:eastAsia="黑体" w:cs="黑体"/>
              <w:szCs w:val="24"/>
            </w:rPr>
            <w:instrText xml:space="preserve"> HYPERLINK \l _Toc1328743921 </w:instrText>
          </w:r>
          <w:r>
            <w:rPr>
              <w:rFonts w:hint="eastAsia" w:ascii="黑体" w:hAnsi="黑体" w:eastAsia="黑体" w:cs="黑体"/>
              <w:szCs w:val="24"/>
            </w:rPr>
            <w:fldChar w:fldCharType="separate"/>
          </w:r>
          <w:r>
            <w:rPr>
              <w:rFonts w:hint="eastAsia" w:ascii="黑体" w:hAnsi="黑体" w:eastAsia="黑体" w:cs="黑体"/>
              <w:bCs/>
              <w:szCs w:val="32"/>
              <w:lang w:val="en-US" w:eastAsia="zh-CN"/>
            </w:rPr>
            <w:t>三、支出决算情况说明</w:t>
          </w:r>
          <w:r>
            <w:tab/>
          </w:r>
          <w:r>
            <w:fldChar w:fldCharType="begin"/>
          </w:r>
          <w:r>
            <w:instrText xml:space="preserve"> PAGEREF _Toc1328743921 \h </w:instrText>
          </w:r>
          <w:r>
            <w:fldChar w:fldCharType="separate"/>
          </w:r>
          <w:r>
            <w:t>5</w:t>
          </w:r>
          <w:r>
            <w:fldChar w:fldCharType="end"/>
          </w:r>
          <w:r>
            <w:rPr>
              <w:rFonts w:hint="eastAsia" w:ascii="黑体" w:hAnsi="黑体" w:eastAsia="黑体" w:cs="黑体"/>
              <w:szCs w:val="24"/>
            </w:rPr>
            <w:fldChar w:fldCharType="end"/>
          </w:r>
        </w:p>
        <w:p w14:paraId="6EC58C70">
          <w:pPr>
            <w:pStyle w:val="12"/>
            <w:tabs>
              <w:tab w:val="right" w:leader="dot" w:pos="8315"/>
            </w:tabs>
          </w:pPr>
          <w:r>
            <w:rPr>
              <w:rFonts w:hint="eastAsia" w:ascii="黑体" w:hAnsi="黑体" w:eastAsia="黑体" w:cs="黑体"/>
              <w:szCs w:val="24"/>
            </w:rPr>
            <w:fldChar w:fldCharType="begin"/>
          </w:r>
          <w:r>
            <w:rPr>
              <w:rFonts w:hint="eastAsia" w:ascii="黑体" w:hAnsi="黑体" w:eastAsia="黑体" w:cs="黑体"/>
              <w:szCs w:val="24"/>
            </w:rPr>
            <w:instrText xml:space="preserve"> HYPERLINK \l _Toc493455389 </w:instrText>
          </w:r>
          <w:r>
            <w:rPr>
              <w:rFonts w:hint="eastAsia" w:ascii="黑体" w:hAnsi="黑体" w:eastAsia="黑体" w:cs="黑体"/>
              <w:szCs w:val="24"/>
            </w:rPr>
            <w:fldChar w:fldCharType="separate"/>
          </w:r>
          <w:r>
            <w:rPr>
              <w:rFonts w:hint="eastAsia" w:ascii="黑体" w:hAnsi="黑体" w:eastAsia="黑体" w:cs="黑体"/>
              <w:bCs/>
              <w:szCs w:val="32"/>
              <w:lang w:val="en-US" w:eastAsia="zh-CN"/>
            </w:rPr>
            <w:t>四、财政拨款收入支出决算总体情况说明</w:t>
          </w:r>
          <w:r>
            <w:tab/>
          </w:r>
          <w:r>
            <w:fldChar w:fldCharType="begin"/>
          </w:r>
          <w:r>
            <w:instrText xml:space="preserve"> PAGEREF _Toc493455389 \h </w:instrText>
          </w:r>
          <w:r>
            <w:fldChar w:fldCharType="separate"/>
          </w:r>
          <w:r>
            <w:t>5</w:t>
          </w:r>
          <w:r>
            <w:fldChar w:fldCharType="end"/>
          </w:r>
          <w:r>
            <w:rPr>
              <w:rFonts w:hint="eastAsia" w:ascii="黑体" w:hAnsi="黑体" w:eastAsia="黑体" w:cs="黑体"/>
              <w:szCs w:val="24"/>
            </w:rPr>
            <w:fldChar w:fldCharType="end"/>
          </w:r>
        </w:p>
        <w:p w14:paraId="1BF5C65D">
          <w:pPr>
            <w:pStyle w:val="12"/>
            <w:tabs>
              <w:tab w:val="right" w:leader="dot" w:pos="8315"/>
            </w:tabs>
          </w:pPr>
          <w:r>
            <w:rPr>
              <w:rFonts w:hint="eastAsia" w:ascii="黑体" w:hAnsi="黑体" w:eastAsia="黑体" w:cs="黑体"/>
              <w:szCs w:val="24"/>
            </w:rPr>
            <w:fldChar w:fldCharType="begin"/>
          </w:r>
          <w:r>
            <w:rPr>
              <w:rFonts w:hint="eastAsia" w:ascii="黑体" w:hAnsi="黑体" w:eastAsia="黑体" w:cs="黑体"/>
              <w:szCs w:val="24"/>
            </w:rPr>
            <w:instrText xml:space="preserve"> HYPERLINK \l _Toc460412254 </w:instrText>
          </w:r>
          <w:r>
            <w:rPr>
              <w:rFonts w:hint="eastAsia" w:ascii="黑体" w:hAnsi="黑体" w:eastAsia="黑体" w:cs="黑体"/>
              <w:szCs w:val="24"/>
            </w:rPr>
            <w:fldChar w:fldCharType="separate"/>
          </w:r>
          <w:r>
            <w:rPr>
              <w:rFonts w:hint="eastAsia" w:ascii="黑体" w:hAnsi="黑体" w:eastAsia="黑体" w:cs="黑体"/>
              <w:bCs/>
              <w:szCs w:val="32"/>
              <w:lang w:val="en-US" w:eastAsia="zh-CN"/>
            </w:rPr>
            <w:t>五、一般公共预算财政拨款支出决算情况说明</w:t>
          </w:r>
          <w:r>
            <w:tab/>
          </w:r>
          <w:r>
            <w:fldChar w:fldCharType="begin"/>
          </w:r>
          <w:r>
            <w:instrText xml:space="preserve"> PAGEREF _Toc460412254 \h </w:instrText>
          </w:r>
          <w:r>
            <w:fldChar w:fldCharType="separate"/>
          </w:r>
          <w:r>
            <w:t>6</w:t>
          </w:r>
          <w:r>
            <w:fldChar w:fldCharType="end"/>
          </w:r>
          <w:r>
            <w:rPr>
              <w:rFonts w:hint="eastAsia" w:ascii="黑体" w:hAnsi="黑体" w:eastAsia="黑体" w:cs="黑体"/>
              <w:szCs w:val="24"/>
            </w:rPr>
            <w:fldChar w:fldCharType="end"/>
          </w:r>
        </w:p>
        <w:p w14:paraId="77DD5DBD">
          <w:pPr>
            <w:pStyle w:val="12"/>
            <w:tabs>
              <w:tab w:val="right" w:leader="dot" w:pos="8315"/>
            </w:tabs>
          </w:pPr>
          <w:r>
            <w:rPr>
              <w:rFonts w:hint="eastAsia" w:ascii="黑体" w:hAnsi="黑体" w:eastAsia="黑体" w:cs="黑体"/>
              <w:szCs w:val="24"/>
            </w:rPr>
            <w:fldChar w:fldCharType="begin"/>
          </w:r>
          <w:r>
            <w:rPr>
              <w:rFonts w:hint="eastAsia" w:ascii="黑体" w:hAnsi="黑体" w:eastAsia="黑体" w:cs="黑体"/>
              <w:szCs w:val="24"/>
            </w:rPr>
            <w:instrText xml:space="preserve"> HYPERLINK \l _Toc141830902 </w:instrText>
          </w:r>
          <w:r>
            <w:rPr>
              <w:rFonts w:hint="eastAsia" w:ascii="黑体" w:hAnsi="黑体" w:eastAsia="黑体" w:cs="黑体"/>
              <w:szCs w:val="24"/>
            </w:rPr>
            <w:fldChar w:fldCharType="separate"/>
          </w:r>
          <w:r>
            <w:rPr>
              <w:rFonts w:hint="eastAsia" w:ascii="黑体" w:hAnsi="黑体" w:eastAsia="黑体" w:cs="黑体"/>
              <w:szCs w:val="32"/>
              <w:shd w:val="clear" w:fill="FFFFFF"/>
            </w:rPr>
            <w:t>六、一般公共预算财政拨款基本支出决算情况说明  </w:t>
          </w:r>
          <w:r>
            <w:rPr>
              <w:shd w:val="clear" w:fill="FFFFFF"/>
            </w:rPr>
            <w:t> </w:t>
          </w:r>
          <w:r>
            <w:tab/>
          </w:r>
          <w:r>
            <w:fldChar w:fldCharType="begin"/>
          </w:r>
          <w:r>
            <w:instrText xml:space="preserve"> PAGEREF _Toc141830902 \h </w:instrText>
          </w:r>
          <w:r>
            <w:fldChar w:fldCharType="separate"/>
          </w:r>
          <w:r>
            <w:t>8</w:t>
          </w:r>
          <w:r>
            <w:fldChar w:fldCharType="end"/>
          </w:r>
          <w:r>
            <w:rPr>
              <w:rFonts w:hint="eastAsia" w:ascii="黑体" w:hAnsi="黑体" w:eastAsia="黑体" w:cs="黑体"/>
              <w:szCs w:val="24"/>
            </w:rPr>
            <w:fldChar w:fldCharType="end"/>
          </w:r>
        </w:p>
        <w:p w14:paraId="39533C52">
          <w:pPr>
            <w:pStyle w:val="12"/>
            <w:tabs>
              <w:tab w:val="right" w:leader="dot" w:pos="8315"/>
            </w:tabs>
          </w:pPr>
          <w:r>
            <w:rPr>
              <w:rFonts w:hint="eastAsia" w:ascii="黑体" w:hAnsi="黑体" w:eastAsia="黑体" w:cs="黑体"/>
              <w:szCs w:val="24"/>
            </w:rPr>
            <w:fldChar w:fldCharType="begin"/>
          </w:r>
          <w:r>
            <w:rPr>
              <w:rFonts w:hint="eastAsia" w:ascii="黑体" w:hAnsi="黑体" w:eastAsia="黑体" w:cs="黑体"/>
              <w:szCs w:val="24"/>
            </w:rPr>
            <w:instrText xml:space="preserve"> HYPERLINK \l _Toc1306027105 </w:instrText>
          </w:r>
          <w:r>
            <w:rPr>
              <w:rFonts w:hint="eastAsia" w:ascii="黑体" w:hAnsi="黑体" w:eastAsia="黑体" w:cs="黑体"/>
              <w:szCs w:val="24"/>
            </w:rPr>
            <w:fldChar w:fldCharType="separate"/>
          </w:r>
          <w:r>
            <w:rPr>
              <w:rFonts w:hint="eastAsia" w:ascii="黑体" w:hAnsi="Calibri" w:eastAsia="黑体" w:cs="Times New Roman"/>
              <w:kern w:val="2"/>
              <w:szCs w:val="32"/>
              <w:lang w:val="en-US" w:eastAsia="zh-CN" w:bidi="ar-SA"/>
            </w:rPr>
            <w:t>七、财政拨款“三公”经费支出决算情况说明</w:t>
          </w:r>
          <w:r>
            <w:tab/>
          </w:r>
          <w:r>
            <w:fldChar w:fldCharType="begin"/>
          </w:r>
          <w:r>
            <w:instrText xml:space="preserve"> PAGEREF _Toc1306027105 \h </w:instrText>
          </w:r>
          <w:r>
            <w:fldChar w:fldCharType="separate"/>
          </w:r>
          <w:r>
            <w:t>8</w:t>
          </w:r>
          <w:r>
            <w:fldChar w:fldCharType="end"/>
          </w:r>
          <w:r>
            <w:rPr>
              <w:rFonts w:hint="eastAsia" w:ascii="黑体" w:hAnsi="黑体" w:eastAsia="黑体" w:cs="黑体"/>
              <w:szCs w:val="24"/>
            </w:rPr>
            <w:fldChar w:fldCharType="end"/>
          </w:r>
        </w:p>
        <w:p w14:paraId="5E3EFD6C">
          <w:pPr>
            <w:pStyle w:val="12"/>
            <w:tabs>
              <w:tab w:val="right" w:leader="dot" w:pos="8315"/>
            </w:tabs>
          </w:pPr>
          <w:r>
            <w:rPr>
              <w:rFonts w:hint="eastAsia" w:ascii="黑体" w:hAnsi="黑体" w:eastAsia="黑体" w:cs="黑体"/>
              <w:szCs w:val="24"/>
            </w:rPr>
            <w:fldChar w:fldCharType="begin"/>
          </w:r>
          <w:r>
            <w:rPr>
              <w:rFonts w:hint="eastAsia" w:ascii="黑体" w:hAnsi="黑体" w:eastAsia="黑体" w:cs="黑体"/>
              <w:szCs w:val="24"/>
            </w:rPr>
            <w:instrText xml:space="preserve"> HYPERLINK \l _Toc151849343 </w:instrText>
          </w:r>
          <w:r>
            <w:rPr>
              <w:rFonts w:hint="eastAsia" w:ascii="黑体" w:hAnsi="黑体" w:eastAsia="黑体" w:cs="黑体"/>
              <w:szCs w:val="24"/>
            </w:rPr>
            <w:fldChar w:fldCharType="separate"/>
          </w:r>
          <w:r>
            <w:rPr>
              <w:rFonts w:hint="eastAsia" w:ascii="黑体" w:hAnsi="黑体" w:eastAsia="黑体" w:cs="黑体"/>
              <w:szCs w:val="32"/>
              <w:shd w:val="clear" w:fill="FFFFFF"/>
            </w:rPr>
            <w:t>八、政府性基金预算支出决算情况说明</w:t>
          </w:r>
          <w:r>
            <w:tab/>
          </w:r>
          <w:r>
            <w:fldChar w:fldCharType="begin"/>
          </w:r>
          <w:r>
            <w:instrText xml:space="preserve"> PAGEREF _Toc151849343 \h </w:instrText>
          </w:r>
          <w:r>
            <w:fldChar w:fldCharType="separate"/>
          </w:r>
          <w:r>
            <w:t>10</w:t>
          </w:r>
          <w:r>
            <w:fldChar w:fldCharType="end"/>
          </w:r>
          <w:r>
            <w:rPr>
              <w:rFonts w:hint="eastAsia" w:ascii="黑体" w:hAnsi="黑体" w:eastAsia="黑体" w:cs="黑体"/>
              <w:szCs w:val="24"/>
            </w:rPr>
            <w:fldChar w:fldCharType="end"/>
          </w:r>
        </w:p>
        <w:p w14:paraId="0C78CF30">
          <w:pPr>
            <w:pStyle w:val="12"/>
            <w:tabs>
              <w:tab w:val="right" w:leader="dot" w:pos="8315"/>
            </w:tabs>
          </w:pPr>
          <w:r>
            <w:rPr>
              <w:rFonts w:hint="eastAsia" w:ascii="黑体" w:hAnsi="黑体" w:eastAsia="黑体" w:cs="黑体"/>
              <w:szCs w:val="24"/>
            </w:rPr>
            <w:fldChar w:fldCharType="begin"/>
          </w:r>
          <w:r>
            <w:rPr>
              <w:rFonts w:hint="eastAsia" w:ascii="黑体" w:hAnsi="黑体" w:eastAsia="黑体" w:cs="黑体"/>
              <w:szCs w:val="24"/>
            </w:rPr>
            <w:instrText xml:space="preserve"> HYPERLINK \l _Toc1153165510 </w:instrText>
          </w:r>
          <w:r>
            <w:rPr>
              <w:rFonts w:hint="eastAsia" w:ascii="黑体" w:hAnsi="黑体" w:eastAsia="黑体" w:cs="黑体"/>
              <w:szCs w:val="24"/>
            </w:rPr>
            <w:fldChar w:fldCharType="separate"/>
          </w:r>
          <w:r>
            <w:rPr>
              <w:rFonts w:hint="eastAsia" w:ascii="黑体" w:hAnsi="黑体" w:eastAsia="黑体" w:cs="黑体"/>
              <w:szCs w:val="32"/>
              <w:shd w:val="clear" w:fill="FFFFFF"/>
            </w:rPr>
            <w:t>九、国有资本经营预算支出决算情况说明</w:t>
          </w:r>
          <w:r>
            <w:tab/>
          </w:r>
          <w:r>
            <w:fldChar w:fldCharType="begin"/>
          </w:r>
          <w:r>
            <w:instrText xml:space="preserve"> PAGEREF _Toc1153165510 \h </w:instrText>
          </w:r>
          <w:r>
            <w:fldChar w:fldCharType="separate"/>
          </w:r>
          <w:r>
            <w:t>10</w:t>
          </w:r>
          <w:r>
            <w:fldChar w:fldCharType="end"/>
          </w:r>
          <w:r>
            <w:rPr>
              <w:rFonts w:hint="eastAsia" w:ascii="黑体" w:hAnsi="黑体" w:eastAsia="黑体" w:cs="黑体"/>
              <w:szCs w:val="24"/>
            </w:rPr>
            <w:fldChar w:fldCharType="end"/>
          </w:r>
        </w:p>
        <w:p w14:paraId="5A7FB66D">
          <w:pPr>
            <w:pStyle w:val="12"/>
            <w:tabs>
              <w:tab w:val="right" w:leader="dot" w:pos="8315"/>
            </w:tabs>
          </w:pPr>
          <w:r>
            <w:rPr>
              <w:rFonts w:hint="eastAsia" w:ascii="黑体" w:hAnsi="黑体" w:eastAsia="黑体" w:cs="黑体"/>
              <w:szCs w:val="24"/>
            </w:rPr>
            <w:fldChar w:fldCharType="begin"/>
          </w:r>
          <w:r>
            <w:rPr>
              <w:rFonts w:hint="eastAsia" w:ascii="黑体" w:hAnsi="黑体" w:eastAsia="黑体" w:cs="黑体"/>
              <w:szCs w:val="24"/>
            </w:rPr>
            <w:instrText xml:space="preserve"> HYPERLINK \l _Toc633426180 </w:instrText>
          </w:r>
          <w:r>
            <w:rPr>
              <w:rFonts w:hint="eastAsia" w:ascii="黑体" w:hAnsi="黑体" w:eastAsia="黑体" w:cs="黑体"/>
              <w:szCs w:val="24"/>
            </w:rPr>
            <w:fldChar w:fldCharType="separate"/>
          </w:r>
          <w:r>
            <w:rPr>
              <w:rFonts w:hint="eastAsia" w:ascii="黑体" w:hAnsi="黑体" w:eastAsia="黑体" w:cs="黑体"/>
              <w:szCs w:val="32"/>
              <w:shd w:val="clear" w:fill="FFFFFF"/>
            </w:rPr>
            <w:t>十、其他重要事项的情况说明</w:t>
          </w:r>
          <w:r>
            <w:tab/>
          </w:r>
          <w:r>
            <w:fldChar w:fldCharType="begin"/>
          </w:r>
          <w:r>
            <w:instrText xml:space="preserve"> PAGEREF _Toc633426180 \h </w:instrText>
          </w:r>
          <w:r>
            <w:fldChar w:fldCharType="separate"/>
          </w:r>
          <w:r>
            <w:t>10</w:t>
          </w:r>
          <w:r>
            <w:fldChar w:fldCharType="end"/>
          </w:r>
          <w:r>
            <w:rPr>
              <w:rFonts w:hint="eastAsia" w:ascii="黑体" w:hAnsi="黑体" w:eastAsia="黑体" w:cs="黑体"/>
              <w:szCs w:val="24"/>
            </w:rPr>
            <w:fldChar w:fldCharType="end"/>
          </w:r>
        </w:p>
        <w:p w14:paraId="4165283D">
          <w:pPr>
            <w:pStyle w:val="10"/>
            <w:tabs>
              <w:tab w:val="right" w:leader="dot" w:pos="8315"/>
            </w:tabs>
          </w:pPr>
          <w:r>
            <w:rPr>
              <w:rFonts w:hint="eastAsia" w:ascii="黑体" w:hAnsi="黑体" w:eastAsia="黑体" w:cs="黑体"/>
              <w:szCs w:val="24"/>
            </w:rPr>
            <w:fldChar w:fldCharType="begin"/>
          </w:r>
          <w:r>
            <w:rPr>
              <w:rFonts w:hint="eastAsia" w:ascii="黑体" w:hAnsi="黑体" w:eastAsia="黑体" w:cs="黑体"/>
              <w:szCs w:val="24"/>
            </w:rPr>
            <w:instrText xml:space="preserve"> HYPERLINK \l _Toc1103032562 </w:instrText>
          </w:r>
          <w:r>
            <w:rPr>
              <w:rFonts w:hint="eastAsia" w:ascii="黑体" w:hAnsi="黑体" w:eastAsia="黑体" w:cs="黑体"/>
              <w:szCs w:val="24"/>
            </w:rPr>
            <w:fldChar w:fldCharType="separate"/>
          </w:r>
          <w:r>
            <w:rPr>
              <w:rFonts w:hint="eastAsia" w:ascii="黑体" w:hAnsi="黑体" w:eastAsia="黑体" w:cs="黑体"/>
              <w:bCs w:val="0"/>
              <w:szCs w:val="44"/>
              <w:shd w:val="clear" w:fill="FFFFFF"/>
              <w:lang w:val="en-US" w:eastAsia="zh-CN"/>
            </w:rPr>
            <w:t>第三部分 名词解释</w:t>
          </w:r>
          <w:r>
            <w:tab/>
          </w:r>
          <w:r>
            <w:fldChar w:fldCharType="begin"/>
          </w:r>
          <w:r>
            <w:instrText xml:space="preserve"> PAGEREF _Toc1103032562 \h </w:instrText>
          </w:r>
          <w:r>
            <w:fldChar w:fldCharType="separate"/>
          </w:r>
          <w:r>
            <w:t>11</w:t>
          </w:r>
          <w:r>
            <w:fldChar w:fldCharType="end"/>
          </w:r>
          <w:r>
            <w:rPr>
              <w:rFonts w:hint="eastAsia" w:ascii="黑体" w:hAnsi="黑体" w:eastAsia="黑体" w:cs="黑体"/>
              <w:szCs w:val="24"/>
            </w:rPr>
            <w:fldChar w:fldCharType="end"/>
          </w:r>
        </w:p>
        <w:p w14:paraId="5C0E8D8B">
          <w:pPr>
            <w:pStyle w:val="10"/>
            <w:tabs>
              <w:tab w:val="right" w:leader="dot" w:pos="8315"/>
            </w:tabs>
          </w:pPr>
          <w:r>
            <w:rPr>
              <w:rFonts w:hint="eastAsia" w:ascii="黑体" w:hAnsi="黑体" w:eastAsia="黑体" w:cs="黑体"/>
              <w:szCs w:val="24"/>
            </w:rPr>
            <w:fldChar w:fldCharType="begin"/>
          </w:r>
          <w:r>
            <w:rPr>
              <w:rFonts w:hint="eastAsia" w:ascii="黑体" w:hAnsi="黑体" w:eastAsia="黑体" w:cs="黑体"/>
              <w:szCs w:val="24"/>
            </w:rPr>
            <w:instrText xml:space="preserve"> HYPERLINK \l _Toc1722866379 </w:instrText>
          </w:r>
          <w:r>
            <w:rPr>
              <w:rFonts w:hint="eastAsia" w:ascii="黑体" w:hAnsi="黑体" w:eastAsia="黑体" w:cs="黑体"/>
              <w:szCs w:val="24"/>
            </w:rPr>
            <w:fldChar w:fldCharType="separate"/>
          </w:r>
          <w:r>
            <w:rPr>
              <w:rFonts w:hint="eastAsia" w:ascii="黑体" w:hAnsi="黑体" w:eastAsia="黑体" w:cs="黑体"/>
              <w:bCs w:val="0"/>
              <w:szCs w:val="44"/>
              <w:shd w:val="clear" w:fill="FFFFFF"/>
              <w:lang w:val="en-US" w:eastAsia="zh-CN"/>
            </w:rPr>
            <w:t>第四部分 附件</w:t>
          </w:r>
          <w:r>
            <w:tab/>
          </w:r>
          <w:r>
            <w:fldChar w:fldCharType="begin"/>
          </w:r>
          <w:r>
            <w:instrText xml:space="preserve"> PAGEREF _Toc1722866379 \h </w:instrText>
          </w:r>
          <w:r>
            <w:fldChar w:fldCharType="separate"/>
          </w:r>
          <w:r>
            <w:t>13</w:t>
          </w:r>
          <w:r>
            <w:fldChar w:fldCharType="end"/>
          </w:r>
          <w:r>
            <w:rPr>
              <w:rFonts w:hint="eastAsia" w:ascii="黑体" w:hAnsi="黑体" w:eastAsia="黑体" w:cs="黑体"/>
              <w:szCs w:val="24"/>
            </w:rPr>
            <w:fldChar w:fldCharType="end"/>
          </w:r>
        </w:p>
        <w:p w14:paraId="217D1DAB">
          <w:pPr>
            <w:pStyle w:val="10"/>
            <w:tabs>
              <w:tab w:val="right" w:leader="dot" w:pos="8315"/>
            </w:tabs>
          </w:pPr>
          <w:r>
            <w:rPr>
              <w:rFonts w:hint="eastAsia" w:ascii="黑体" w:hAnsi="黑体" w:eastAsia="黑体" w:cs="黑体"/>
              <w:szCs w:val="24"/>
            </w:rPr>
            <w:fldChar w:fldCharType="begin"/>
          </w:r>
          <w:r>
            <w:rPr>
              <w:rFonts w:hint="eastAsia" w:ascii="黑体" w:hAnsi="黑体" w:eastAsia="黑体" w:cs="黑体"/>
              <w:szCs w:val="24"/>
            </w:rPr>
            <w:instrText xml:space="preserve"> HYPERLINK \l _Toc1344633447 </w:instrText>
          </w:r>
          <w:r>
            <w:rPr>
              <w:rFonts w:hint="eastAsia" w:ascii="黑体" w:hAnsi="黑体" w:eastAsia="黑体" w:cs="黑体"/>
              <w:szCs w:val="24"/>
            </w:rPr>
            <w:fldChar w:fldCharType="separate"/>
          </w:r>
          <w:r>
            <w:rPr>
              <w:rFonts w:hint="eastAsia" w:ascii="黑体" w:hAnsi="黑体" w:eastAsia="黑体" w:cs="黑体"/>
              <w:bCs w:val="0"/>
              <w:szCs w:val="44"/>
              <w:shd w:val="clear" w:fill="FFFFFF"/>
              <w:lang w:val="en-US" w:eastAsia="zh-CN"/>
            </w:rPr>
            <w:t>第五部分 附表</w:t>
          </w:r>
          <w:r>
            <w:tab/>
          </w:r>
          <w:r>
            <w:fldChar w:fldCharType="begin"/>
          </w:r>
          <w:r>
            <w:instrText xml:space="preserve"> PAGEREF _Toc1344633447 \h </w:instrText>
          </w:r>
          <w:r>
            <w:fldChar w:fldCharType="separate"/>
          </w:r>
          <w:r>
            <w:t>15</w:t>
          </w:r>
          <w:r>
            <w:fldChar w:fldCharType="end"/>
          </w:r>
          <w:r>
            <w:rPr>
              <w:rFonts w:hint="eastAsia" w:ascii="黑体" w:hAnsi="黑体" w:eastAsia="黑体" w:cs="黑体"/>
              <w:szCs w:val="24"/>
            </w:rPr>
            <w:fldChar w:fldCharType="end"/>
          </w:r>
        </w:p>
        <w:p w14:paraId="77584C2D">
          <w:pPr>
            <w:pStyle w:val="12"/>
            <w:tabs>
              <w:tab w:val="right" w:leader="dot" w:pos="8315"/>
            </w:tabs>
          </w:pPr>
          <w:r>
            <w:rPr>
              <w:rFonts w:hint="eastAsia" w:ascii="黑体" w:hAnsi="黑体" w:eastAsia="黑体" w:cs="黑体"/>
              <w:szCs w:val="24"/>
            </w:rPr>
            <w:fldChar w:fldCharType="begin"/>
          </w:r>
          <w:r>
            <w:rPr>
              <w:rFonts w:hint="eastAsia" w:ascii="黑体" w:hAnsi="黑体" w:eastAsia="黑体" w:cs="黑体"/>
              <w:szCs w:val="24"/>
            </w:rPr>
            <w:instrText xml:space="preserve"> HYPERLINK \l _Toc1771763676 </w:instrText>
          </w:r>
          <w:r>
            <w:rPr>
              <w:rFonts w:hint="eastAsia" w:ascii="黑体" w:hAnsi="黑体" w:eastAsia="黑体" w:cs="黑体"/>
              <w:szCs w:val="24"/>
            </w:rPr>
            <w:fldChar w:fldCharType="separate"/>
          </w:r>
          <w:r>
            <w:rPr>
              <w:rFonts w:hint="eastAsia" w:ascii="黑体" w:hAnsi="黑体" w:eastAsia="黑体" w:cs="黑体"/>
              <w:bCs/>
              <w:kern w:val="0"/>
              <w:szCs w:val="32"/>
              <w:lang w:val="en-US" w:eastAsia="zh-CN" w:bidi="ar"/>
            </w:rPr>
            <w:t>一、收入支出决算总表</w:t>
          </w:r>
          <w:r>
            <w:tab/>
          </w:r>
          <w:r>
            <w:fldChar w:fldCharType="begin"/>
          </w:r>
          <w:r>
            <w:instrText xml:space="preserve"> PAGEREF _Toc1771763676 \h </w:instrText>
          </w:r>
          <w:r>
            <w:fldChar w:fldCharType="separate"/>
          </w:r>
          <w:r>
            <w:t>15</w:t>
          </w:r>
          <w:r>
            <w:fldChar w:fldCharType="end"/>
          </w:r>
          <w:r>
            <w:rPr>
              <w:rFonts w:hint="eastAsia" w:ascii="黑体" w:hAnsi="黑体" w:eastAsia="黑体" w:cs="黑体"/>
              <w:szCs w:val="24"/>
            </w:rPr>
            <w:fldChar w:fldCharType="end"/>
          </w:r>
        </w:p>
        <w:p w14:paraId="69B67A84">
          <w:pPr>
            <w:pStyle w:val="12"/>
            <w:tabs>
              <w:tab w:val="right" w:leader="dot" w:pos="8315"/>
            </w:tabs>
          </w:pPr>
          <w:r>
            <w:rPr>
              <w:rFonts w:hint="eastAsia" w:ascii="黑体" w:hAnsi="黑体" w:eastAsia="黑体" w:cs="黑体"/>
              <w:szCs w:val="24"/>
            </w:rPr>
            <w:fldChar w:fldCharType="begin"/>
          </w:r>
          <w:r>
            <w:rPr>
              <w:rFonts w:hint="eastAsia" w:ascii="黑体" w:hAnsi="黑体" w:eastAsia="黑体" w:cs="黑体"/>
              <w:szCs w:val="24"/>
            </w:rPr>
            <w:instrText xml:space="preserve"> HYPERLINK \l _Toc1631651573 </w:instrText>
          </w:r>
          <w:r>
            <w:rPr>
              <w:rFonts w:hint="eastAsia" w:ascii="黑体" w:hAnsi="黑体" w:eastAsia="黑体" w:cs="黑体"/>
              <w:szCs w:val="24"/>
            </w:rPr>
            <w:fldChar w:fldCharType="separate"/>
          </w:r>
          <w:r>
            <w:rPr>
              <w:rFonts w:hint="eastAsia" w:ascii="黑体" w:hAnsi="黑体" w:eastAsia="黑体" w:cs="黑体"/>
              <w:bCs/>
              <w:kern w:val="0"/>
              <w:szCs w:val="32"/>
              <w:lang w:val="en-US" w:eastAsia="zh-CN" w:bidi="ar"/>
            </w:rPr>
            <w:t>二、收入决算表</w:t>
          </w:r>
          <w:r>
            <w:tab/>
          </w:r>
          <w:r>
            <w:fldChar w:fldCharType="begin"/>
          </w:r>
          <w:r>
            <w:instrText xml:space="preserve"> PAGEREF _Toc1631651573 \h </w:instrText>
          </w:r>
          <w:r>
            <w:fldChar w:fldCharType="separate"/>
          </w:r>
          <w:r>
            <w:t>15</w:t>
          </w:r>
          <w:r>
            <w:fldChar w:fldCharType="end"/>
          </w:r>
          <w:r>
            <w:rPr>
              <w:rFonts w:hint="eastAsia" w:ascii="黑体" w:hAnsi="黑体" w:eastAsia="黑体" w:cs="黑体"/>
              <w:szCs w:val="24"/>
            </w:rPr>
            <w:fldChar w:fldCharType="end"/>
          </w:r>
        </w:p>
        <w:p w14:paraId="304034DF">
          <w:pPr>
            <w:pStyle w:val="12"/>
            <w:tabs>
              <w:tab w:val="right" w:leader="dot" w:pos="8315"/>
            </w:tabs>
          </w:pPr>
          <w:r>
            <w:rPr>
              <w:rFonts w:hint="eastAsia" w:ascii="黑体" w:hAnsi="黑体" w:eastAsia="黑体" w:cs="黑体"/>
              <w:szCs w:val="24"/>
            </w:rPr>
            <w:fldChar w:fldCharType="begin"/>
          </w:r>
          <w:r>
            <w:rPr>
              <w:rFonts w:hint="eastAsia" w:ascii="黑体" w:hAnsi="黑体" w:eastAsia="黑体" w:cs="黑体"/>
              <w:szCs w:val="24"/>
            </w:rPr>
            <w:instrText xml:space="preserve"> HYPERLINK \l _Toc1468361692 </w:instrText>
          </w:r>
          <w:r>
            <w:rPr>
              <w:rFonts w:hint="eastAsia" w:ascii="黑体" w:hAnsi="黑体" w:eastAsia="黑体" w:cs="黑体"/>
              <w:szCs w:val="24"/>
            </w:rPr>
            <w:fldChar w:fldCharType="separate"/>
          </w:r>
          <w:r>
            <w:rPr>
              <w:rFonts w:hint="eastAsia" w:ascii="黑体" w:hAnsi="黑体" w:eastAsia="黑体" w:cs="黑体"/>
              <w:bCs/>
              <w:kern w:val="0"/>
              <w:szCs w:val="32"/>
              <w:lang w:val="en-US" w:eastAsia="zh-CN" w:bidi="ar"/>
            </w:rPr>
            <w:t>三、支出决算表</w:t>
          </w:r>
          <w:r>
            <w:tab/>
          </w:r>
          <w:r>
            <w:fldChar w:fldCharType="begin"/>
          </w:r>
          <w:r>
            <w:instrText xml:space="preserve"> PAGEREF _Toc1468361692 \h </w:instrText>
          </w:r>
          <w:r>
            <w:fldChar w:fldCharType="separate"/>
          </w:r>
          <w:r>
            <w:t>15</w:t>
          </w:r>
          <w:r>
            <w:fldChar w:fldCharType="end"/>
          </w:r>
          <w:r>
            <w:rPr>
              <w:rFonts w:hint="eastAsia" w:ascii="黑体" w:hAnsi="黑体" w:eastAsia="黑体" w:cs="黑体"/>
              <w:szCs w:val="24"/>
            </w:rPr>
            <w:fldChar w:fldCharType="end"/>
          </w:r>
        </w:p>
        <w:p w14:paraId="519ECC7D">
          <w:pPr>
            <w:pStyle w:val="12"/>
            <w:tabs>
              <w:tab w:val="right" w:leader="dot" w:pos="8315"/>
            </w:tabs>
          </w:pPr>
          <w:r>
            <w:rPr>
              <w:rFonts w:hint="eastAsia" w:ascii="黑体" w:hAnsi="黑体" w:eastAsia="黑体" w:cs="黑体"/>
              <w:szCs w:val="24"/>
            </w:rPr>
            <w:fldChar w:fldCharType="begin"/>
          </w:r>
          <w:r>
            <w:rPr>
              <w:rFonts w:hint="eastAsia" w:ascii="黑体" w:hAnsi="黑体" w:eastAsia="黑体" w:cs="黑体"/>
              <w:szCs w:val="24"/>
            </w:rPr>
            <w:instrText xml:space="preserve"> HYPERLINK \l _Toc917806926 </w:instrText>
          </w:r>
          <w:r>
            <w:rPr>
              <w:rFonts w:hint="eastAsia" w:ascii="黑体" w:hAnsi="黑体" w:eastAsia="黑体" w:cs="黑体"/>
              <w:szCs w:val="24"/>
            </w:rPr>
            <w:fldChar w:fldCharType="separate"/>
          </w:r>
          <w:r>
            <w:rPr>
              <w:rFonts w:hint="eastAsia" w:ascii="黑体" w:hAnsi="黑体" w:eastAsia="黑体" w:cs="黑体"/>
              <w:bCs/>
              <w:kern w:val="0"/>
              <w:szCs w:val="32"/>
              <w:lang w:val="en-US" w:eastAsia="zh-CN" w:bidi="ar"/>
            </w:rPr>
            <w:t>四、财政拨款收入支出决算总表</w:t>
          </w:r>
          <w:r>
            <w:tab/>
          </w:r>
          <w:r>
            <w:fldChar w:fldCharType="begin"/>
          </w:r>
          <w:r>
            <w:instrText xml:space="preserve"> PAGEREF _Toc917806926 \h </w:instrText>
          </w:r>
          <w:r>
            <w:fldChar w:fldCharType="separate"/>
          </w:r>
          <w:r>
            <w:t>15</w:t>
          </w:r>
          <w:r>
            <w:fldChar w:fldCharType="end"/>
          </w:r>
          <w:r>
            <w:rPr>
              <w:rFonts w:hint="eastAsia" w:ascii="黑体" w:hAnsi="黑体" w:eastAsia="黑体" w:cs="黑体"/>
              <w:szCs w:val="24"/>
            </w:rPr>
            <w:fldChar w:fldCharType="end"/>
          </w:r>
        </w:p>
        <w:p w14:paraId="74F9BDBE">
          <w:pPr>
            <w:pStyle w:val="12"/>
            <w:tabs>
              <w:tab w:val="right" w:leader="dot" w:pos="8315"/>
            </w:tabs>
          </w:pPr>
          <w:r>
            <w:rPr>
              <w:rFonts w:hint="eastAsia" w:ascii="黑体" w:hAnsi="黑体" w:eastAsia="黑体" w:cs="黑体"/>
              <w:szCs w:val="24"/>
            </w:rPr>
            <w:fldChar w:fldCharType="begin"/>
          </w:r>
          <w:r>
            <w:rPr>
              <w:rFonts w:hint="eastAsia" w:ascii="黑体" w:hAnsi="黑体" w:eastAsia="黑体" w:cs="黑体"/>
              <w:szCs w:val="24"/>
            </w:rPr>
            <w:instrText xml:space="preserve"> HYPERLINK \l _Toc673552542 </w:instrText>
          </w:r>
          <w:r>
            <w:rPr>
              <w:rFonts w:hint="eastAsia" w:ascii="黑体" w:hAnsi="黑体" w:eastAsia="黑体" w:cs="黑体"/>
              <w:szCs w:val="24"/>
            </w:rPr>
            <w:fldChar w:fldCharType="separate"/>
          </w:r>
          <w:r>
            <w:rPr>
              <w:rFonts w:hint="eastAsia" w:ascii="黑体" w:hAnsi="黑体" w:eastAsia="黑体" w:cs="黑体"/>
              <w:bCs/>
              <w:kern w:val="0"/>
              <w:szCs w:val="32"/>
              <w:lang w:val="en-US" w:eastAsia="zh-CN" w:bidi="ar"/>
            </w:rPr>
            <w:t>五、财政拨款支出决算明细表</w:t>
          </w:r>
          <w:r>
            <w:tab/>
          </w:r>
          <w:r>
            <w:fldChar w:fldCharType="begin"/>
          </w:r>
          <w:r>
            <w:instrText xml:space="preserve"> PAGEREF _Toc673552542 \h </w:instrText>
          </w:r>
          <w:r>
            <w:fldChar w:fldCharType="separate"/>
          </w:r>
          <w:r>
            <w:t>15</w:t>
          </w:r>
          <w:r>
            <w:fldChar w:fldCharType="end"/>
          </w:r>
          <w:r>
            <w:rPr>
              <w:rFonts w:hint="eastAsia" w:ascii="黑体" w:hAnsi="黑体" w:eastAsia="黑体" w:cs="黑体"/>
              <w:szCs w:val="24"/>
            </w:rPr>
            <w:fldChar w:fldCharType="end"/>
          </w:r>
        </w:p>
        <w:p w14:paraId="1BA36FD2">
          <w:pPr>
            <w:pStyle w:val="12"/>
            <w:tabs>
              <w:tab w:val="right" w:leader="dot" w:pos="8315"/>
            </w:tabs>
          </w:pPr>
          <w:r>
            <w:rPr>
              <w:rFonts w:hint="eastAsia" w:ascii="黑体" w:hAnsi="黑体" w:eastAsia="黑体" w:cs="黑体"/>
              <w:szCs w:val="24"/>
            </w:rPr>
            <w:fldChar w:fldCharType="begin"/>
          </w:r>
          <w:r>
            <w:rPr>
              <w:rFonts w:hint="eastAsia" w:ascii="黑体" w:hAnsi="黑体" w:eastAsia="黑体" w:cs="黑体"/>
              <w:szCs w:val="24"/>
            </w:rPr>
            <w:instrText xml:space="preserve"> HYPERLINK \l _Toc977696760 </w:instrText>
          </w:r>
          <w:r>
            <w:rPr>
              <w:rFonts w:hint="eastAsia" w:ascii="黑体" w:hAnsi="黑体" w:eastAsia="黑体" w:cs="黑体"/>
              <w:szCs w:val="24"/>
            </w:rPr>
            <w:fldChar w:fldCharType="separate"/>
          </w:r>
          <w:r>
            <w:rPr>
              <w:rFonts w:hint="eastAsia" w:ascii="黑体" w:hAnsi="黑体" w:eastAsia="黑体" w:cs="黑体"/>
              <w:bCs/>
              <w:kern w:val="0"/>
              <w:szCs w:val="32"/>
              <w:lang w:val="en-US" w:eastAsia="zh-CN" w:bidi="ar"/>
            </w:rPr>
            <w:t>六、一般公共预算财政拨款支出决算表</w:t>
          </w:r>
          <w:r>
            <w:tab/>
          </w:r>
          <w:r>
            <w:fldChar w:fldCharType="begin"/>
          </w:r>
          <w:r>
            <w:instrText xml:space="preserve"> PAGEREF _Toc977696760 \h </w:instrText>
          </w:r>
          <w:r>
            <w:fldChar w:fldCharType="separate"/>
          </w:r>
          <w:r>
            <w:t>15</w:t>
          </w:r>
          <w:r>
            <w:fldChar w:fldCharType="end"/>
          </w:r>
          <w:r>
            <w:rPr>
              <w:rFonts w:hint="eastAsia" w:ascii="黑体" w:hAnsi="黑体" w:eastAsia="黑体" w:cs="黑体"/>
              <w:szCs w:val="24"/>
            </w:rPr>
            <w:fldChar w:fldCharType="end"/>
          </w:r>
        </w:p>
        <w:p w14:paraId="4C139595">
          <w:pPr>
            <w:pStyle w:val="12"/>
            <w:tabs>
              <w:tab w:val="right" w:leader="dot" w:pos="8315"/>
            </w:tabs>
          </w:pPr>
          <w:r>
            <w:rPr>
              <w:rFonts w:hint="eastAsia" w:ascii="黑体" w:hAnsi="黑体" w:eastAsia="黑体" w:cs="黑体"/>
              <w:szCs w:val="24"/>
            </w:rPr>
            <w:fldChar w:fldCharType="begin"/>
          </w:r>
          <w:r>
            <w:rPr>
              <w:rFonts w:hint="eastAsia" w:ascii="黑体" w:hAnsi="黑体" w:eastAsia="黑体" w:cs="黑体"/>
              <w:szCs w:val="24"/>
            </w:rPr>
            <w:instrText xml:space="preserve"> HYPERLINK \l _Toc1385101442 </w:instrText>
          </w:r>
          <w:r>
            <w:rPr>
              <w:rFonts w:hint="eastAsia" w:ascii="黑体" w:hAnsi="黑体" w:eastAsia="黑体" w:cs="黑体"/>
              <w:szCs w:val="24"/>
            </w:rPr>
            <w:fldChar w:fldCharType="separate"/>
          </w:r>
          <w:r>
            <w:rPr>
              <w:rFonts w:hint="eastAsia" w:ascii="黑体" w:hAnsi="黑体" w:eastAsia="黑体" w:cs="黑体"/>
              <w:bCs/>
              <w:kern w:val="0"/>
              <w:szCs w:val="32"/>
              <w:lang w:val="en-US" w:eastAsia="zh-CN" w:bidi="ar"/>
            </w:rPr>
            <w:t>七、一般公共预算财政拨款支出决算明细表</w:t>
          </w:r>
          <w:r>
            <w:tab/>
          </w:r>
          <w:r>
            <w:fldChar w:fldCharType="begin"/>
          </w:r>
          <w:r>
            <w:instrText xml:space="preserve"> PAGEREF _Toc1385101442 \h </w:instrText>
          </w:r>
          <w:r>
            <w:fldChar w:fldCharType="separate"/>
          </w:r>
          <w:r>
            <w:t>15</w:t>
          </w:r>
          <w:r>
            <w:fldChar w:fldCharType="end"/>
          </w:r>
          <w:r>
            <w:rPr>
              <w:rFonts w:hint="eastAsia" w:ascii="黑体" w:hAnsi="黑体" w:eastAsia="黑体" w:cs="黑体"/>
              <w:szCs w:val="24"/>
            </w:rPr>
            <w:fldChar w:fldCharType="end"/>
          </w:r>
        </w:p>
        <w:p w14:paraId="2858D54E">
          <w:pPr>
            <w:pStyle w:val="12"/>
            <w:tabs>
              <w:tab w:val="right" w:leader="dot" w:pos="8315"/>
            </w:tabs>
          </w:pPr>
          <w:r>
            <w:rPr>
              <w:rFonts w:hint="eastAsia" w:ascii="黑体" w:hAnsi="黑体" w:eastAsia="黑体" w:cs="黑体"/>
              <w:szCs w:val="24"/>
            </w:rPr>
            <w:fldChar w:fldCharType="begin"/>
          </w:r>
          <w:r>
            <w:rPr>
              <w:rFonts w:hint="eastAsia" w:ascii="黑体" w:hAnsi="黑体" w:eastAsia="黑体" w:cs="黑体"/>
              <w:szCs w:val="24"/>
            </w:rPr>
            <w:instrText xml:space="preserve"> HYPERLINK \l _Toc1191084842 </w:instrText>
          </w:r>
          <w:r>
            <w:rPr>
              <w:rFonts w:hint="eastAsia" w:ascii="黑体" w:hAnsi="黑体" w:eastAsia="黑体" w:cs="黑体"/>
              <w:szCs w:val="24"/>
            </w:rPr>
            <w:fldChar w:fldCharType="separate"/>
          </w:r>
          <w:r>
            <w:rPr>
              <w:rFonts w:hint="eastAsia" w:ascii="黑体" w:hAnsi="黑体" w:eastAsia="黑体" w:cs="黑体"/>
              <w:bCs/>
              <w:kern w:val="0"/>
              <w:szCs w:val="32"/>
              <w:lang w:val="en-US" w:eastAsia="zh-CN" w:bidi="ar"/>
            </w:rPr>
            <w:t>八、一般公共预算财政拨款基本支出决算表</w:t>
          </w:r>
          <w:r>
            <w:tab/>
          </w:r>
          <w:r>
            <w:fldChar w:fldCharType="begin"/>
          </w:r>
          <w:r>
            <w:instrText xml:space="preserve"> PAGEREF _Toc1191084842 \h </w:instrText>
          </w:r>
          <w:r>
            <w:fldChar w:fldCharType="separate"/>
          </w:r>
          <w:r>
            <w:t>15</w:t>
          </w:r>
          <w:r>
            <w:fldChar w:fldCharType="end"/>
          </w:r>
          <w:r>
            <w:rPr>
              <w:rFonts w:hint="eastAsia" w:ascii="黑体" w:hAnsi="黑体" w:eastAsia="黑体" w:cs="黑体"/>
              <w:szCs w:val="24"/>
            </w:rPr>
            <w:fldChar w:fldCharType="end"/>
          </w:r>
        </w:p>
        <w:p w14:paraId="589722F4">
          <w:pPr>
            <w:pStyle w:val="12"/>
            <w:tabs>
              <w:tab w:val="right" w:leader="dot" w:pos="8315"/>
            </w:tabs>
          </w:pPr>
          <w:r>
            <w:rPr>
              <w:rFonts w:hint="eastAsia" w:ascii="黑体" w:hAnsi="黑体" w:eastAsia="黑体" w:cs="黑体"/>
              <w:szCs w:val="24"/>
            </w:rPr>
            <w:fldChar w:fldCharType="begin"/>
          </w:r>
          <w:r>
            <w:rPr>
              <w:rFonts w:hint="eastAsia" w:ascii="黑体" w:hAnsi="黑体" w:eastAsia="黑体" w:cs="黑体"/>
              <w:szCs w:val="24"/>
            </w:rPr>
            <w:instrText xml:space="preserve"> HYPERLINK \l _Toc741383512 </w:instrText>
          </w:r>
          <w:r>
            <w:rPr>
              <w:rFonts w:hint="eastAsia" w:ascii="黑体" w:hAnsi="黑体" w:eastAsia="黑体" w:cs="黑体"/>
              <w:szCs w:val="24"/>
            </w:rPr>
            <w:fldChar w:fldCharType="separate"/>
          </w:r>
          <w:r>
            <w:rPr>
              <w:rFonts w:hint="eastAsia" w:ascii="黑体" w:hAnsi="黑体" w:eastAsia="黑体" w:cs="黑体"/>
              <w:bCs/>
              <w:kern w:val="0"/>
              <w:szCs w:val="32"/>
              <w:lang w:val="en-US" w:eastAsia="zh-CN" w:bidi="ar"/>
            </w:rPr>
            <w:t>九、一般公共预算财政拨款项目支出决算表</w:t>
          </w:r>
          <w:r>
            <w:tab/>
          </w:r>
          <w:r>
            <w:fldChar w:fldCharType="begin"/>
          </w:r>
          <w:r>
            <w:instrText xml:space="preserve"> PAGEREF _Toc741383512 \h </w:instrText>
          </w:r>
          <w:r>
            <w:fldChar w:fldCharType="separate"/>
          </w:r>
          <w:r>
            <w:t>15</w:t>
          </w:r>
          <w:r>
            <w:fldChar w:fldCharType="end"/>
          </w:r>
          <w:r>
            <w:rPr>
              <w:rFonts w:hint="eastAsia" w:ascii="黑体" w:hAnsi="黑体" w:eastAsia="黑体" w:cs="黑体"/>
              <w:szCs w:val="24"/>
            </w:rPr>
            <w:fldChar w:fldCharType="end"/>
          </w:r>
        </w:p>
        <w:p w14:paraId="69583E74">
          <w:pPr>
            <w:pStyle w:val="12"/>
            <w:tabs>
              <w:tab w:val="right" w:leader="dot" w:pos="8315"/>
            </w:tabs>
          </w:pPr>
          <w:r>
            <w:rPr>
              <w:rFonts w:hint="eastAsia" w:ascii="黑体" w:hAnsi="黑体" w:eastAsia="黑体" w:cs="黑体"/>
              <w:szCs w:val="24"/>
            </w:rPr>
            <w:fldChar w:fldCharType="begin"/>
          </w:r>
          <w:r>
            <w:rPr>
              <w:rFonts w:hint="eastAsia" w:ascii="黑体" w:hAnsi="黑体" w:eastAsia="黑体" w:cs="黑体"/>
              <w:szCs w:val="24"/>
            </w:rPr>
            <w:instrText xml:space="preserve"> HYPERLINK \l _Toc272389604 </w:instrText>
          </w:r>
          <w:r>
            <w:rPr>
              <w:rFonts w:hint="eastAsia" w:ascii="黑体" w:hAnsi="黑体" w:eastAsia="黑体" w:cs="黑体"/>
              <w:szCs w:val="24"/>
            </w:rPr>
            <w:fldChar w:fldCharType="separate"/>
          </w:r>
          <w:r>
            <w:rPr>
              <w:rFonts w:hint="eastAsia" w:ascii="黑体" w:hAnsi="黑体" w:eastAsia="黑体" w:cs="黑体"/>
              <w:bCs/>
              <w:kern w:val="0"/>
              <w:szCs w:val="32"/>
              <w:lang w:val="en-US" w:eastAsia="zh-CN" w:bidi="ar"/>
            </w:rPr>
            <w:t>十、政府性基金预算财政拨款收入支出决算表</w:t>
          </w:r>
          <w:r>
            <w:tab/>
          </w:r>
          <w:r>
            <w:fldChar w:fldCharType="begin"/>
          </w:r>
          <w:r>
            <w:instrText xml:space="preserve"> PAGEREF _Toc272389604 \h </w:instrText>
          </w:r>
          <w:r>
            <w:fldChar w:fldCharType="separate"/>
          </w:r>
          <w:r>
            <w:t>15</w:t>
          </w:r>
          <w:r>
            <w:fldChar w:fldCharType="end"/>
          </w:r>
          <w:r>
            <w:rPr>
              <w:rFonts w:hint="eastAsia" w:ascii="黑体" w:hAnsi="黑体" w:eastAsia="黑体" w:cs="黑体"/>
              <w:szCs w:val="24"/>
            </w:rPr>
            <w:fldChar w:fldCharType="end"/>
          </w:r>
        </w:p>
        <w:p w14:paraId="307DBB6B">
          <w:pPr>
            <w:pStyle w:val="12"/>
            <w:tabs>
              <w:tab w:val="right" w:leader="dot" w:pos="8315"/>
            </w:tabs>
          </w:pPr>
          <w:r>
            <w:rPr>
              <w:rFonts w:hint="eastAsia" w:ascii="黑体" w:hAnsi="黑体" w:eastAsia="黑体" w:cs="黑体"/>
              <w:szCs w:val="24"/>
            </w:rPr>
            <w:fldChar w:fldCharType="begin"/>
          </w:r>
          <w:r>
            <w:rPr>
              <w:rFonts w:hint="eastAsia" w:ascii="黑体" w:hAnsi="黑体" w:eastAsia="黑体" w:cs="黑体"/>
              <w:szCs w:val="24"/>
            </w:rPr>
            <w:instrText xml:space="preserve"> HYPERLINK \l _Toc109733753 </w:instrText>
          </w:r>
          <w:r>
            <w:rPr>
              <w:rFonts w:hint="eastAsia" w:ascii="黑体" w:hAnsi="黑体" w:eastAsia="黑体" w:cs="黑体"/>
              <w:szCs w:val="24"/>
            </w:rPr>
            <w:fldChar w:fldCharType="separate"/>
          </w:r>
          <w:r>
            <w:rPr>
              <w:rFonts w:hint="eastAsia" w:ascii="黑体" w:hAnsi="黑体" w:eastAsia="黑体" w:cs="黑体"/>
              <w:bCs/>
              <w:kern w:val="0"/>
              <w:szCs w:val="32"/>
              <w:lang w:val="en-US" w:eastAsia="zh-CN" w:bidi="ar"/>
            </w:rPr>
            <w:t>十一、国有资本经营预算财政拨款收入支出决算表</w:t>
          </w:r>
          <w:r>
            <w:tab/>
          </w:r>
          <w:r>
            <w:fldChar w:fldCharType="begin"/>
          </w:r>
          <w:r>
            <w:instrText xml:space="preserve"> PAGEREF _Toc109733753 \h </w:instrText>
          </w:r>
          <w:r>
            <w:fldChar w:fldCharType="separate"/>
          </w:r>
          <w:r>
            <w:t>15</w:t>
          </w:r>
          <w:r>
            <w:fldChar w:fldCharType="end"/>
          </w:r>
          <w:r>
            <w:rPr>
              <w:rFonts w:hint="eastAsia" w:ascii="黑体" w:hAnsi="黑体" w:eastAsia="黑体" w:cs="黑体"/>
              <w:szCs w:val="24"/>
            </w:rPr>
            <w:fldChar w:fldCharType="end"/>
          </w:r>
        </w:p>
        <w:p w14:paraId="344D9778">
          <w:pPr>
            <w:pStyle w:val="12"/>
            <w:tabs>
              <w:tab w:val="right" w:leader="dot" w:pos="8315"/>
            </w:tabs>
          </w:pPr>
          <w:r>
            <w:rPr>
              <w:rFonts w:hint="eastAsia" w:ascii="黑体" w:hAnsi="黑体" w:eastAsia="黑体" w:cs="黑体"/>
              <w:szCs w:val="24"/>
            </w:rPr>
            <w:fldChar w:fldCharType="begin"/>
          </w:r>
          <w:r>
            <w:rPr>
              <w:rFonts w:hint="eastAsia" w:ascii="黑体" w:hAnsi="黑体" w:eastAsia="黑体" w:cs="黑体"/>
              <w:szCs w:val="24"/>
            </w:rPr>
            <w:instrText xml:space="preserve"> HYPERLINK \l _Toc1827414358 </w:instrText>
          </w:r>
          <w:r>
            <w:rPr>
              <w:rFonts w:hint="eastAsia" w:ascii="黑体" w:hAnsi="黑体" w:eastAsia="黑体" w:cs="黑体"/>
              <w:szCs w:val="24"/>
            </w:rPr>
            <w:fldChar w:fldCharType="separate"/>
          </w:r>
          <w:r>
            <w:rPr>
              <w:rFonts w:hint="eastAsia" w:ascii="黑体" w:hAnsi="黑体" w:eastAsia="黑体" w:cs="黑体"/>
              <w:bCs/>
              <w:kern w:val="0"/>
              <w:szCs w:val="32"/>
              <w:lang w:val="en-US" w:eastAsia="zh-CN" w:bidi="ar"/>
            </w:rPr>
            <w:t>十二、国有资本经营预算财政拨款支出决算表</w:t>
          </w:r>
          <w:r>
            <w:tab/>
          </w:r>
          <w:r>
            <w:fldChar w:fldCharType="begin"/>
          </w:r>
          <w:r>
            <w:instrText xml:space="preserve"> PAGEREF _Toc1827414358 \h </w:instrText>
          </w:r>
          <w:r>
            <w:fldChar w:fldCharType="separate"/>
          </w:r>
          <w:r>
            <w:t>15</w:t>
          </w:r>
          <w:r>
            <w:fldChar w:fldCharType="end"/>
          </w:r>
          <w:r>
            <w:rPr>
              <w:rFonts w:hint="eastAsia" w:ascii="黑体" w:hAnsi="黑体" w:eastAsia="黑体" w:cs="黑体"/>
              <w:szCs w:val="24"/>
            </w:rPr>
            <w:fldChar w:fldCharType="end"/>
          </w:r>
        </w:p>
        <w:p w14:paraId="775C0CAD">
          <w:pPr>
            <w:pStyle w:val="12"/>
            <w:tabs>
              <w:tab w:val="right" w:leader="dot" w:pos="8315"/>
            </w:tabs>
          </w:pPr>
          <w:r>
            <w:rPr>
              <w:rFonts w:hint="eastAsia" w:ascii="黑体" w:hAnsi="黑体" w:eastAsia="黑体" w:cs="黑体"/>
              <w:szCs w:val="24"/>
            </w:rPr>
            <w:fldChar w:fldCharType="begin"/>
          </w:r>
          <w:r>
            <w:rPr>
              <w:rFonts w:hint="eastAsia" w:ascii="黑体" w:hAnsi="黑体" w:eastAsia="黑体" w:cs="黑体"/>
              <w:szCs w:val="24"/>
            </w:rPr>
            <w:instrText xml:space="preserve"> HYPERLINK \l _Toc1139170017 </w:instrText>
          </w:r>
          <w:r>
            <w:rPr>
              <w:rFonts w:hint="eastAsia" w:ascii="黑体" w:hAnsi="黑体" w:eastAsia="黑体" w:cs="黑体"/>
              <w:szCs w:val="24"/>
            </w:rPr>
            <w:fldChar w:fldCharType="separate"/>
          </w:r>
          <w:r>
            <w:rPr>
              <w:rFonts w:hint="eastAsia" w:ascii="黑体" w:hAnsi="黑体" w:eastAsia="黑体" w:cs="黑体"/>
              <w:bCs/>
              <w:kern w:val="0"/>
              <w:szCs w:val="32"/>
              <w:lang w:val="en-US" w:eastAsia="zh-CN" w:bidi="ar"/>
            </w:rPr>
            <w:t>十三、财政拨款“三公”经费支出决算表</w:t>
          </w:r>
          <w:r>
            <w:tab/>
          </w:r>
          <w:r>
            <w:fldChar w:fldCharType="begin"/>
          </w:r>
          <w:r>
            <w:instrText xml:space="preserve"> PAGEREF _Toc1139170017 \h </w:instrText>
          </w:r>
          <w:r>
            <w:fldChar w:fldCharType="separate"/>
          </w:r>
          <w:r>
            <w:t>15</w:t>
          </w:r>
          <w:r>
            <w:fldChar w:fldCharType="end"/>
          </w:r>
          <w:r>
            <w:rPr>
              <w:rFonts w:hint="eastAsia" w:ascii="黑体" w:hAnsi="黑体" w:eastAsia="黑体" w:cs="黑体"/>
              <w:szCs w:val="24"/>
            </w:rPr>
            <w:fldChar w:fldCharType="end"/>
          </w:r>
        </w:p>
        <w:p w14:paraId="6458C2BF">
          <w:pPr>
            <w:keepNext w:val="0"/>
            <w:keepLines w:val="0"/>
            <w:pageBreakBefore w:val="0"/>
            <w:widowControl w:val="0"/>
            <w:kinsoku/>
            <w:wordWrap/>
            <w:overflowPunct/>
            <w:topLinePunct w:val="0"/>
            <w:bidi w:val="0"/>
            <w:snapToGrid/>
            <w:rPr>
              <w:rFonts w:hint="eastAsia"/>
              <w:lang w:val="en-US" w:eastAsia="zh-CN"/>
            </w:rPr>
            <w:sectPr>
              <w:footerReference r:id="rId3" w:type="default"/>
              <w:pgSz w:w="11915" w:h="16851"/>
              <w:pgMar w:top="1440" w:right="1800" w:bottom="1440" w:left="1800" w:header="851" w:footer="992" w:gutter="0"/>
              <w:pgNumType w:fmt="decimal" w:start="1"/>
              <w:cols w:space="0" w:num="1"/>
              <w:docGrid w:type="lines" w:linePitch="312" w:charSpace="0"/>
            </w:sectPr>
          </w:pPr>
          <w:r>
            <w:rPr>
              <w:rFonts w:hint="eastAsia" w:ascii="黑体" w:hAnsi="黑体" w:eastAsia="黑体" w:cs="黑体"/>
              <w:szCs w:val="24"/>
            </w:rPr>
            <w:fldChar w:fldCharType="end"/>
          </w:r>
        </w:p>
      </w:sdtContent>
    </w:sdt>
    <w:p w14:paraId="6DDD2BC0">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left="0" w:firstLine="880" w:firstLineChars="200"/>
        <w:jc w:val="center"/>
        <w:textAlignment w:val="auto"/>
        <w:rPr>
          <w:rFonts w:hint="eastAsia" w:ascii="黑体" w:hAnsi="黑体" w:eastAsia="黑体" w:cs="黑体"/>
          <w:b w:val="0"/>
          <w:bCs w:val="0"/>
          <w:sz w:val="44"/>
          <w:szCs w:val="44"/>
        </w:rPr>
      </w:pPr>
      <w:bookmarkStart w:id="0" w:name="_Toc1217231893"/>
      <w:r>
        <w:rPr>
          <w:rFonts w:hint="eastAsia" w:ascii="黑体" w:hAnsi="黑体" w:eastAsia="黑体" w:cs="黑体"/>
          <w:b w:val="0"/>
          <w:bCs w:val="0"/>
          <w:sz w:val="44"/>
          <w:szCs w:val="44"/>
          <w:shd w:val="clear" w:fill="FFFFFF"/>
        </w:rPr>
        <w:t>第一部分 单位概况</w:t>
      </w:r>
      <w:bookmarkEnd w:id="0"/>
    </w:p>
    <w:p w14:paraId="3711C337">
      <w:pPr>
        <w:pStyle w:val="21"/>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left="0" w:firstLine="640" w:firstLineChars="200"/>
        <w:jc w:val="left"/>
        <w:textAlignment w:val="auto"/>
        <w:outlineLvl w:val="1"/>
        <w:rPr>
          <w:rFonts w:hint="eastAsia" w:ascii="黑体" w:hAnsi="黑体" w:eastAsia="黑体" w:cs="黑体"/>
          <w:b w:val="0"/>
          <w:bCs w:val="0"/>
          <w:sz w:val="32"/>
          <w:szCs w:val="32"/>
        </w:rPr>
      </w:pPr>
      <w:bookmarkStart w:id="1" w:name="_Toc738927693"/>
      <w:r>
        <w:rPr>
          <w:rFonts w:hint="eastAsia" w:ascii="黑体" w:hAnsi="黑体" w:eastAsia="黑体" w:cs="黑体"/>
          <w:b w:val="0"/>
          <w:bCs w:val="0"/>
          <w:sz w:val="32"/>
          <w:szCs w:val="32"/>
          <w:shd w:val="clear" w:fill="FFFFFF"/>
        </w:rPr>
        <w:t>一、主要职责</w:t>
      </w:r>
      <w:bookmarkEnd w:id="1"/>
      <w:bookmarkStart w:id="2" w:name="_Toc15377198"/>
      <w:bookmarkEnd w:id="2"/>
      <w:bookmarkStart w:id="3" w:name="_Toc27980"/>
      <w:bookmarkEnd w:id="3"/>
      <w:bookmarkStart w:id="4" w:name="_Toc79163603"/>
      <w:bookmarkEnd w:id="4"/>
      <w:bookmarkStart w:id="5" w:name="_Toc6001"/>
      <w:bookmarkEnd w:id="5"/>
      <w:bookmarkStart w:id="6" w:name="_Toc17469"/>
      <w:bookmarkEnd w:id="6"/>
      <w:bookmarkStart w:id="7" w:name="_Toc15378445"/>
      <w:bookmarkEnd w:id="7"/>
      <w:bookmarkStart w:id="8" w:name="_Toc79163853"/>
      <w:bookmarkEnd w:id="8"/>
    </w:p>
    <w:p w14:paraId="6714C672">
      <w:pPr>
        <w:pStyle w:val="13"/>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76" w:lineRule="exact"/>
        <w:ind w:firstLine="640" w:firstLineChars="200"/>
        <w:textAlignment w:val="auto"/>
        <w:outlineLvl w:val="2"/>
        <w:rPr>
          <w:rFonts w:ascii="仿宋_GB2312" w:eastAsia="仿宋_GB2312" w:cs="仿宋_GB2312"/>
          <w:sz w:val="32"/>
          <w:szCs w:val="32"/>
        </w:rPr>
      </w:pPr>
      <w:r>
        <w:rPr>
          <w:rFonts w:ascii="仿宋_GB2312" w:eastAsia="仿宋_GB2312" w:cs="仿宋_GB2312"/>
          <w:sz w:val="32"/>
          <w:szCs w:val="32"/>
        </w:rPr>
        <w:t>1.</w:t>
      </w:r>
      <w:r>
        <w:rPr>
          <w:rFonts w:hint="eastAsia" w:ascii="仿宋_GB2312" w:eastAsia="仿宋_GB2312" w:cs="仿宋_GB2312"/>
          <w:sz w:val="32"/>
          <w:szCs w:val="32"/>
        </w:rPr>
        <w:t>组织实施全县重大科技专项，组织参与国家、省州重大科技专项。统筹关键共性技术、前沿引领技术、现代工程技术、颠覆性技术研发和创新，牵头组织重大技术攻关和科技成果应用示范。</w:t>
      </w:r>
    </w:p>
    <w:p w14:paraId="7523D9A6">
      <w:pPr>
        <w:pStyle w:val="13"/>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76" w:lineRule="exact"/>
        <w:ind w:firstLine="640" w:firstLineChars="200"/>
        <w:textAlignment w:val="auto"/>
        <w:outlineLvl w:val="2"/>
        <w:rPr>
          <w:rFonts w:ascii="仿宋_GB2312" w:eastAsia="仿宋_GB2312" w:cs="仿宋_GB2312"/>
          <w:sz w:val="32"/>
          <w:szCs w:val="32"/>
        </w:rPr>
      </w:pPr>
      <w:r>
        <w:rPr>
          <w:rFonts w:hint="eastAsia" w:ascii="仿宋_GB2312" w:eastAsia="仿宋_GB2312" w:cs="仿宋_GB2312"/>
          <w:sz w:val="32"/>
          <w:szCs w:val="32"/>
        </w:rPr>
        <w:t>2</w:t>
      </w:r>
      <w:r>
        <w:rPr>
          <w:rFonts w:ascii="仿宋_GB2312" w:eastAsia="仿宋_GB2312" w:cs="仿宋_GB2312"/>
          <w:sz w:val="32"/>
          <w:szCs w:val="32"/>
        </w:rPr>
        <w:t>.</w:t>
      </w:r>
      <w:r>
        <w:rPr>
          <w:rFonts w:hint="eastAsia" w:ascii="仿宋_GB2312" w:eastAsia="仿宋_GB2312" w:cs="仿宋_GB2312"/>
          <w:sz w:val="32"/>
          <w:szCs w:val="32"/>
        </w:rPr>
        <w:t>会同有关部门制定科技人才队伍建设规划，建立健全科技人才评价和激励机制，组织实施科技人才计划，推动科技创新人才队伍建设。</w:t>
      </w:r>
    </w:p>
    <w:p w14:paraId="0F9420F0">
      <w:pPr>
        <w:pStyle w:val="13"/>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76" w:lineRule="exact"/>
        <w:ind w:firstLine="640" w:firstLineChars="200"/>
        <w:textAlignment w:val="auto"/>
        <w:outlineLvl w:val="2"/>
        <w:rPr>
          <w:rFonts w:ascii="仿宋_GB2312" w:eastAsia="仿宋_GB2312" w:cs="仿宋_GB2312"/>
          <w:sz w:val="32"/>
          <w:szCs w:val="32"/>
        </w:rPr>
      </w:pPr>
      <w:r>
        <w:rPr>
          <w:rFonts w:hint="eastAsia" w:ascii="仿宋_GB2312" w:eastAsia="仿宋_GB2312" w:cs="仿宋_GB2312"/>
          <w:sz w:val="32"/>
          <w:szCs w:val="32"/>
        </w:rPr>
        <w:t>3</w:t>
      </w:r>
      <w:r>
        <w:rPr>
          <w:rFonts w:ascii="仿宋_GB2312" w:eastAsia="仿宋_GB2312" w:cs="仿宋_GB2312"/>
          <w:sz w:val="32"/>
          <w:szCs w:val="32"/>
        </w:rPr>
        <w:t>.</w:t>
      </w:r>
      <w:r>
        <w:rPr>
          <w:rFonts w:hint="eastAsia" w:ascii="仿宋_GB2312" w:eastAsia="仿宋_GB2312" w:cs="仿宋_GB2312"/>
          <w:sz w:val="32"/>
          <w:szCs w:val="32"/>
        </w:rPr>
        <w:t>统筹研究和组织实施全县“三农”工作的发展战略、中长期规划、重大政策。贯彻执行国家有关种植业、畜牧业（草原牧业）、渔业、农业机械化、农垦等农业领域工作的法律法规、政策以及省、州、县关于“三农”工作方面的决策部署。</w:t>
      </w:r>
    </w:p>
    <w:p w14:paraId="001FD6E6">
      <w:pPr>
        <w:pStyle w:val="13"/>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76" w:lineRule="exact"/>
        <w:ind w:firstLine="640" w:firstLineChars="200"/>
        <w:textAlignment w:val="auto"/>
        <w:outlineLvl w:val="2"/>
        <w:rPr>
          <w:rFonts w:ascii="仿宋_GB2312" w:eastAsia="仿宋_GB2312" w:cs="仿宋_GB2312"/>
          <w:sz w:val="32"/>
          <w:szCs w:val="32"/>
        </w:rPr>
      </w:pPr>
      <w:r>
        <w:rPr>
          <w:rFonts w:hint="eastAsia" w:ascii="仿宋_GB2312" w:eastAsia="仿宋_GB2312" w:cs="仿宋_GB2312"/>
          <w:sz w:val="32"/>
          <w:szCs w:val="32"/>
        </w:rPr>
        <w:t>4</w:t>
      </w:r>
      <w:r>
        <w:rPr>
          <w:rFonts w:ascii="仿宋_GB2312" w:eastAsia="仿宋_GB2312" w:cs="仿宋_GB2312"/>
          <w:sz w:val="32"/>
          <w:szCs w:val="32"/>
        </w:rPr>
        <w:t>.</w:t>
      </w:r>
      <w:r>
        <w:rPr>
          <w:rFonts w:hint="eastAsia" w:ascii="仿宋_GB2312" w:eastAsia="仿宋_GB2312" w:cs="仿宋_GB2312"/>
          <w:sz w:val="32"/>
          <w:szCs w:val="32"/>
        </w:rPr>
        <w:t>统筹实施乡村振兴战略，牵头组织改善全县农村人居环境。统筹推动发展农村社会事业、农村公共服务、农村文化、农村基础设施和乡村治理。指导农业遗产的保护传承和开发利用。指导农村精神文明和优秀农耕文化建设。</w:t>
      </w:r>
    </w:p>
    <w:p w14:paraId="2F2DD197">
      <w:pPr>
        <w:keepNext w:val="0"/>
        <w:keepLines w:val="0"/>
        <w:pageBreakBefore w:val="0"/>
        <w:widowControl w:val="0"/>
        <w:kinsoku/>
        <w:wordWrap/>
        <w:overflowPunct/>
        <w:topLinePunct w:val="0"/>
        <w:autoSpaceDE/>
        <w:autoSpaceDN/>
        <w:bidi w:val="0"/>
        <w:adjustRightInd/>
        <w:snapToGrid/>
        <w:spacing w:afterAutospacing="0" w:line="576" w:lineRule="exact"/>
        <w:ind w:firstLine="640" w:firstLineChars="200"/>
        <w:textAlignment w:val="auto"/>
        <w:outlineLvl w:val="2"/>
        <w:rPr>
          <w:rFonts w:hint="eastAsia" w:ascii="仿宋_GB2312" w:eastAsia="仿宋_GB2312" w:cs="仿宋_GB2312"/>
          <w:sz w:val="32"/>
          <w:szCs w:val="32"/>
        </w:rPr>
      </w:pPr>
      <w:bookmarkStart w:id="9" w:name="_Toc6019"/>
      <w:bookmarkStart w:id="10" w:name="_Toc23906"/>
      <w:bookmarkStart w:id="11" w:name="_Toc25818"/>
      <w:bookmarkStart w:id="12" w:name="_Toc30134"/>
      <w:r>
        <w:rPr>
          <w:rFonts w:hint="eastAsia" w:ascii="仿宋_GB2312" w:eastAsia="仿宋_GB2312" w:cs="仿宋_GB2312"/>
          <w:sz w:val="32"/>
          <w:szCs w:val="32"/>
        </w:rPr>
        <w:t>5</w:t>
      </w:r>
      <w:r>
        <w:rPr>
          <w:rFonts w:ascii="仿宋_GB2312" w:eastAsia="仿宋_GB2312" w:cs="仿宋_GB2312"/>
          <w:sz w:val="32"/>
          <w:szCs w:val="32"/>
        </w:rPr>
        <w:t>.</w:t>
      </w:r>
      <w:r>
        <w:rPr>
          <w:rFonts w:hint="eastAsia" w:ascii="仿宋_GB2312" w:eastAsia="仿宋_GB2312" w:cs="仿宋_GB2312"/>
          <w:sz w:val="32"/>
          <w:szCs w:val="32"/>
        </w:rPr>
        <w:t>深化全县农村经济体制改革和巩固完善农村基本经营制度。负责农民承包地、农村宅基地管理和改革有关工作。负责农村集体产权制度改革，指导农村集体经济组织发展、集体资产和财务管理工作。拟订农业产业化经营的发展规划并组织实施，指导农民合作经济组织、农业社会化服务体系、新型农业经营主体建设与发展。指导、监督减轻农民负担工作。</w:t>
      </w:r>
      <w:bookmarkEnd w:id="9"/>
      <w:bookmarkEnd w:id="10"/>
      <w:bookmarkEnd w:id="11"/>
      <w:bookmarkEnd w:id="12"/>
    </w:p>
    <w:p w14:paraId="08046957">
      <w:pPr>
        <w:keepNext w:val="0"/>
        <w:keepLines w:val="0"/>
        <w:pageBreakBefore w:val="0"/>
        <w:widowControl w:val="0"/>
        <w:kinsoku/>
        <w:wordWrap/>
        <w:overflowPunct/>
        <w:topLinePunct w:val="0"/>
        <w:autoSpaceDE/>
        <w:autoSpaceDN/>
        <w:bidi w:val="0"/>
        <w:adjustRightInd/>
        <w:snapToGrid/>
        <w:spacing w:afterAutospacing="0" w:line="576" w:lineRule="exact"/>
        <w:ind w:firstLine="640" w:firstLineChars="200"/>
        <w:textAlignment w:val="auto"/>
        <w:outlineLvl w:val="2"/>
        <w:rPr>
          <w:rFonts w:hint="eastAsia" w:ascii="仿宋_GB2312" w:eastAsia="仿宋_GB2312" w:cs="仿宋_GB2312"/>
          <w:sz w:val="32"/>
          <w:szCs w:val="32"/>
        </w:rPr>
      </w:pPr>
      <w:bookmarkStart w:id="13" w:name="_Toc11894"/>
      <w:bookmarkStart w:id="14" w:name="_Toc21064"/>
      <w:bookmarkStart w:id="15" w:name="_Toc12359"/>
      <w:r>
        <w:rPr>
          <w:rFonts w:hint="eastAsia" w:ascii="仿宋_GB2312" w:eastAsia="仿宋_GB2312" w:cs="仿宋_GB2312"/>
          <w:sz w:val="32"/>
          <w:szCs w:val="32"/>
        </w:rPr>
        <w:t>6</w:t>
      </w:r>
      <w:r>
        <w:rPr>
          <w:rFonts w:ascii="仿宋_GB2312" w:eastAsia="仿宋_GB2312" w:cs="仿宋_GB2312"/>
          <w:sz w:val="32"/>
          <w:szCs w:val="32"/>
        </w:rPr>
        <w:t>.</w:t>
      </w:r>
      <w:r>
        <w:rPr>
          <w:rFonts w:hint="eastAsia" w:ascii="仿宋_GB2312" w:eastAsia="仿宋_GB2312" w:cs="仿宋_GB2312"/>
          <w:sz w:val="32"/>
          <w:szCs w:val="32"/>
        </w:rPr>
        <w:t>负责全县农产品质量安全监督管理。组织开展农产品质量安全监测、追溯、风险评估。发布有关农产品质量安全状况信息</w:t>
      </w:r>
      <w:r>
        <w:rPr>
          <w:rFonts w:hint="eastAsia" w:ascii="仿宋_GB2312" w:eastAsia="仿宋_GB2312" w:cs="仿宋_GB2312"/>
          <w:sz w:val="32"/>
          <w:szCs w:val="32"/>
          <w:lang w:eastAsia="zh-CN"/>
        </w:rPr>
        <w:t>、</w:t>
      </w:r>
      <w:r>
        <w:rPr>
          <w:rFonts w:hint="eastAsia" w:ascii="仿宋_GB2312" w:eastAsia="仿宋_GB2312" w:cs="仿宋_GB2312"/>
          <w:sz w:val="32"/>
          <w:szCs w:val="32"/>
        </w:rPr>
        <w:t>指导农业检验检测体系建设。依法组织实施符合安全标准的农产品生产基地认定、产品认证、农产品地理标志登记保护和监督管理。</w:t>
      </w:r>
      <w:bookmarkEnd w:id="13"/>
      <w:bookmarkEnd w:id="14"/>
      <w:bookmarkEnd w:id="15"/>
    </w:p>
    <w:p w14:paraId="22957BC1">
      <w:pPr>
        <w:keepNext w:val="0"/>
        <w:keepLines w:val="0"/>
        <w:pageBreakBefore w:val="0"/>
        <w:widowControl w:val="0"/>
        <w:kinsoku/>
        <w:wordWrap/>
        <w:overflowPunct/>
        <w:topLinePunct w:val="0"/>
        <w:autoSpaceDE/>
        <w:autoSpaceDN/>
        <w:bidi w:val="0"/>
        <w:adjustRightInd/>
        <w:snapToGrid/>
        <w:spacing w:afterAutospacing="0" w:line="576" w:lineRule="exact"/>
        <w:ind w:firstLine="640" w:firstLineChars="200"/>
        <w:textAlignment w:val="auto"/>
        <w:outlineLvl w:val="2"/>
        <w:rPr>
          <w:rFonts w:hint="eastAsia" w:ascii="仿宋_GB2312" w:eastAsia="仿宋_GB2312" w:cs="仿宋_GB2312"/>
          <w:sz w:val="32"/>
          <w:szCs w:val="32"/>
        </w:rPr>
      </w:pPr>
      <w:bookmarkStart w:id="16" w:name="_Toc9693"/>
      <w:bookmarkStart w:id="17" w:name="_Toc18861"/>
      <w:bookmarkStart w:id="18" w:name="_Toc11357"/>
      <w:r>
        <w:rPr>
          <w:rFonts w:hint="eastAsia" w:ascii="仿宋_GB2312" w:eastAsia="仿宋_GB2312" w:cs="仿宋_GB2312"/>
          <w:sz w:val="32"/>
          <w:szCs w:val="32"/>
        </w:rPr>
        <w:t>7</w:t>
      </w:r>
      <w:r>
        <w:rPr>
          <w:rFonts w:ascii="仿宋_GB2312" w:eastAsia="仿宋_GB2312" w:cs="仿宋_GB2312"/>
          <w:sz w:val="32"/>
          <w:szCs w:val="32"/>
        </w:rPr>
        <w:t>.</w:t>
      </w:r>
      <w:r>
        <w:rPr>
          <w:rFonts w:hint="eastAsia" w:ascii="仿宋_GB2312" w:eastAsia="仿宋_GB2312" w:cs="仿宋_GB2312"/>
          <w:sz w:val="32"/>
          <w:szCs w:val="32"/>
        </w:rPr>
        <w:t>负责全县有关农业生产资料和农业投入品的监督管理。组织农业生产资料市场体系建设，承担农作物种子（种苗）、食用菌种、饲草良种、种畜禽、水产苗种、农药、兽药、饲料、饲料添加剂等农业生产资料的监督管理职责，牵头负责“瘦肉精”监督管理工作。监督管理兽医医疗器械、肥料。会同有关部门监督实施农业生产资料国家标准。组织兽医医政、兽药药政药检工作，负责执业兽医和畜禽屠宰行业管理。</w:t>
      </w:r>
      <w:bookmarkEnd w:id="16"/>
      <w:bookmarkEnd w:id="17"/>
      <w:bookmarkEnd w:id="18"/>
    </w:p>
    <w:p w14:paraId="7E6FB687">
      <w:pPr>
        <w:keepNext w:val="0"/>
        <w:keepLines w:val="0"/>
        <w:pageBreakBefore w:val="0"/>
        <w:widowControl w:val="0"/>
        <w:kinsoku/>
        <w:wordWrap/>
        <w:overflowPunct/>
        <w:topLinePunct w:val="0"/>
        <w:autoSpaceDE/>
        <w:autoSpaceDN/>
        <w:bidi w:val="0"/>
        <w:adjustRightInd/>
        <w:snapToGrid/>
        <w:spacing w:afterAutospacing="0" w:line="576" w:lineRule="exact"/>
        <w:ind w:firstLine="640" w:firstLineChars="200"/>
        <w:textAlignment w:val="auto"/>
        <w:outlineLvl w:val="2"/>
        <w:rPr>
          <w:rFonts w:hint="eastAsia" w:ascii="仿宋_GB2312" w:eastAsia="仿宋_GB2312" w:cs="仿宋_GB2312"/>
          <w:sz w:val="32"/>
          <w:szCs w:val="32"/>
        </w:rPr>
      </w:pPr>
      <w:bookmarkStart w:id="19" w:name="_Toc18038"/>
      <w:bookmarkStart w:id="20" w:name="_Toc16014"/>
      <w:bookmarkStart w:id="21" w:name="_Toc24760"/>
      <w:r>
        <w:rPr>
          <w:rFonts w:hint="eastAsia" w:ascii="仿宋_GB2312" w:eastAsia="仿宋_GB2312" w:cs="仿宋_GB2312"/>
          <w:sz w:val="32"/>
          <w:szCs w:val="32"/>
        </w:rPr>
        <w:t>8</w:t>
      </w:r>
      <w:r>
        <w:rPr>
          <w:rFonts w:ascii="仿宋_GB2312" w:eastAsia="仿宋_GB2312" w:cs="仿宋_GB2312"/>
          <w:sz w:val="32"/>
          <w:szCs w:val="32"/>
        </w:rPr>
        <w:t>.</w:t>
      </w:r>
      <w:r>
        <w:rPr>
          <w:rFonts w:hint="eastAsia" w:ascii="仿宋_GB2312" w:eastAsia="仿宋_GB2312" w:cs="仿宋_GB2312"/>
          <w:sz w:val="32"/>
          <w:szCs w:val="32"/>
        </w:rPr>
        <w:t>负责全县农业防灾减灾、农作物重大病虫害防治工作。指导动植物防疫检疫体系建设，组织监督管理县内动植物防疫检疫工作，发布疫情并组织扑灭。组织植物检疫性有害生物普查。牵头管理外来农业物种。监测、核查、发布农业灾情，组织种子、种苗、化肥、兽药等农业生产救灾物资的储备和调拨，提出生产救灾资金安排建议，指导紧急救灾和灾后生产恢复。</w:t>
      </w:r>
      <w:bookmarkEnd w:id="19"/>
      <w:bookmarkEnd w:id="20"/>
      <w:bookmarkEnd w:id="21"/>
    </w:p>
    <w:p w14:paraId="0C87909E">
      <w:pPr>
        <w:keepNext w:val="0"/>
        <w:keepLines w:val="0"/>
        <w:pageBreakBefore w:val="0"/>
        <w:widowControl w:val="0"/>
        <w:kinsoku/>
        <w:wordWrap/>
        <w:overflowPunct/>
        <w:topLinePunct w:val="0"/>
        <w:autoSpaceDE/>
        <w:autoSpaceDN/>
        <w:bidi w:val="0"/>
        <w:adjustRightInd/>
        <w:snapToGrid/>
        <w:spacing w:afterAutospacing="0" w:line="576" w:lineRule="exact"/>
        <w:ind w:firstLine="640" w:firstLineChars="200"/>
        <w:textAlignment w:val="auto"/>
        <w:outlineLvl w:val="2"/>
        <w:rPr>
          <w:rFonts w:hint="eastAsia" w:ascii="仿宋_GB2312" w:eastAsia="仿宋_GB2312" w:cs="仿宋_GB2312"/>
          <w:sz w:val="32"/>
          <w:szCs w:val="32"/>
        </w:rPr>
      </w:pPr>
      <w:bookmarkStart w:id="22" w:name="_Toc4303"/>
      <w:bookmarkStart w:id="23" w:name="_Toc1933"/>
      <w:bookmarkStart w:id="24" w:name="_Toc27141"/>
      <w:r>
        <w:rPr>
          <w:rFonts w:hint="eastAsia" w:ascii="仿宋_GB2312" w:eastAsia="仿宋_GB2312" w:cs="仿宋_GB2312"/>
          <w:sz w:val="32"/>
          <w:szCs w:val="32"/>
        </w:rPr>
        <w:t>9</w:t>
      </w:r>
      <w:r>
        <w:rPr>
          <w:rFonts w:ascii="仿宋_GB2312" w:eastAsia="仿宋_GB2312" w:cs="仿宋_GB2312"/>
          <w:sz w:val="32"/>
          <w:szCs w:val="32"/>
        </w:rPr>
        <w:t>.</w:t>
      </w:r>
      <w:r>
        <w:rPr>
          <w:rFonts w:hint="eastAsia" w:ascii="仿宋_GB2312" w:eastAsia="仿宋_GB2312" w:cs="仿宋_GB2312"/>
          <w:sz w:val="32"/>
          <w:szCs w:val="32"/>
        </w:rPr>
        <w:t>负责全县农田建设管理。拟订农田建设发展规划，提出农田建设项目需求建议。负责全县农田建设管理、高标准农田建设和耕地质量管理。编制农业综合开发涉及农田建设项目、农田整治项目、农田水利建设项目的计划，并组织实施和管理。</w:t>
      </w:r>
      <w:bookmarkEnd w:id="22"/>
      <w:bookmarkEnd w:id="23"/>
      <w:bookmarkEnd w:id="24"/>
    </w:p>
    <w:p w14:paraId="0F9FF3C4">
      <w:pPr>
        <w:keepNext w:val="0"/>
        <w:keepLines w:val="0"/>
        <w:pageBreakBefore w:val="0"/>
        <w:widowControl w:val="0"/>
        <w:kinsoku/>
        <w:wordWrap/>
        <w:overflowPunct/>
        <w:topLinePunct w:val="0"/>
        <w:autoSpaceDE/>
        <w:autoSpaceDN/>
        <w:bidi w:val="0"/>
        <w:adjustRightInd/>
        <w:snapToGrid/>
        <w:spacing w:afterAutospacing="0" w:line="576" w:lineRule="exact"/>
        <w:ind w:firstLine="640" w:firstLineChars="200"/>
        <w:textAlignment w:val="auto"/>
        <w:outlineLvl w:val="2"/>
        <w:rPr>
          <w:rFonts w:ascii="仿宋_GB2312" w:eastAsia="仿宋_GB2312" w:cs="仿宋_GB2312"/>
          <w:sz w:val="32"/>
          <w:szCs w:val="32"/>
        </w:rPr>
      </w:pPr>
      <w:bookmarkStart w:id="25" w:name="_Toc14965"/>
      <w:bookmarkStart w:id="26" w:name="_Toc1051"/>
      <w:bookmarkStart w:id="27" w:name="_Toc29378"/>
      <w:r>
        <w:rPr>
          <w:rFonts w:hint="eastAsia" w:ascii="仿宋_GB2312" w:eastAsia="仿宋_GB2312" w:cs="仿宋_GB2312"/>
          <w:sz w:val="32"/>
          <w:szCs w:val="32"/>
        </w:rPr>
        <w:t>10</w:t>
      </w:r>
      <w:r>
        <w:rPr>
          <w:rFonts w:ascii="仿宋_GB2312" w:eastAsia="仿宋_GB2312" w:cs="仿宋_GB2312"/>
          <w:sz w:val="32"/>
          <w:szCs w:val="32"/>
        </w:rPr>
        <w:t>.</w:t>
      </w:r>
      <w:r>
        <w:rPr>
          <w:rFonts w:hint="eastAsia" w:ascii="仿宋_GB2312" w:eastAsia="仿宋_GB2312" w:cs="仿宋_GB2312"/>
          <w:sz w:val="32"/>
          <w:szCs w:val="32"/>
        </w:rPr>
        <w:t>负责职责范围内的安全生产、生态环境保护、审批服务便民化等工作。</w:t>
      </w:r>
      <w:bookmarkEnd w:id="25"/>
      <w:bookmarkEnd w:id="26"/>
      <w:bookmarkEnd w:id="27"/>
    </w:p>
    <w:p w14:paraId="77F7D7CD">
      <w:pPr>
        <w:keepNext w:val="0"/>
        <w:keepLines w:val="0"/>
        <w:pageBreakBefore w:val="0"/>
        <w:widowControl w:val="0"/>
        <w:kinsoku/>
        <w:wordWrap/>
        <w:overflowPunct/>
        <w:topLinePunct w:val="0"/>
        <w:autoSpaceDE/>
        <w:autoSpaceDN/>
        <w:bidi w:val="0"/>
        <w:adjustRightInd/>
        <w:snapToGrid/>
        <w:spacing w:afterAutospacing="0" w:line="576" w:lineRule="exact"/>
        <w:ind w:firstLine="640" w:firstLineChars="200"/>
        <w:textAlignment w:val="auto"/>
        <w:outlineLvl w:val="2"/>
        <w:rPr>
          <w:rFonts w:ascii="仿宋_GB2312" w:eastAsia="仿宋_GB2312" w:cs="仿宋_GB2312"/>
          <w:sz w:val="32"/>
          <w:szCs w:val="32"/>
        </w:rPr>
      </w:pPr>
      <w:bookmarkStart w:id="28" w:name="_Toc30287"/>
      <w:bookmarkStart w:id="29" w:name="_Toc23673"/>
      <w:bookmarkStart w:id="30" w:name="_Toc10528"/>
      <w:r>
        <w:rPr>
          <w:rFonts w:hint="eastAsia" w:ascii="仿宋_GB2312" w:eastAsia="仿宋_GB2312" w:cs="仿宋_GB2312"/>
          <w:sz w:val="32"/>
          <w:szCs w:val="32"/>
        </w:rPr>
        <w:t>11</w:t>
      </w:r>
      <w:r>
        <w:rPr>
          <w:rFonts w:ascii="仿宋_GB2312" w:eastAsia="仿宋_GB2312" w:cs="仿宋_GB2312"/>
          <w:sz w:val="32"/>
          <w:szCs w:val="32"/>
        </w:rPr>
        <w:t>.</w:t>
      </w:r>
      <w:r>
        <w:rPr>
          <w:rFonts w:hint="eastAsia" w:ascii="仿宋_GB2312" w:eastAsia="仿宋_GB2312" w:cs="仿宋_GB2312"/>
          <w:sz w:val="32"/>
          <w:szCs w:val="32"/>
        </w:rPr>
        <w:t>完成县委、县政府交办的其他任务。</w:t>
      </w:r>
      <w:bookmarkEnd w:id="28"/>
      <w:bookmarkEnd w:id="29"/>
      <w:bookmarkEnd w:id="30"/>
    </w:p>
    <w:p w14:paraId="4D236BF5">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left="0" w:firstLine="640" w:firstLineChars="200"/>
        <w:jc w:val="left"/>
        <w:textAlignment w:val="auto"/>
        <w:rPr>
          <w:rFonts w:hint="eastAsia" w:ascii="黑体" w:hAnsi="黑体" w:eastAsia="黑体" w:cs="黑体"/>
          <w:b w:val="0"/>
          <w:bCs w:val="0"/>
          <w:sz w:val="32"/>
          <w:szCs w:val="32"/>
          <w:shd w:val="clear" w:fill="FFFFFF"/>
        </w:rPr>
      </w:pPr>
      <w:bookmarkStart w:id="31" w:name="_Toc46504424"/>
      <w:r>
        <w:rPr>
          <w:rFonts w:hint="eastAsia" w:ascii="黑体" w:hAnsi="黑体" w:eastAsia="黑体" w:cs="黑体"/>
          <w:b w:val="0"/>
          <w:bCs w:val="0"/>
          <w:sz w:val="32"/>
          <w:szCs w:val="32"/>
          <w:shd w:val="clear" w:fill="FFFFFF"/>
        </w:rPr>
        <w:t>二、机构设置</w:t>
      </w:r>
      <w:bookmarkEnd w:id="31"/>
    </w:p>
    <w:p w14:paraId="3EE24D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6" w:lineRule="exact"/>
        <w:ind w:left="0" w:right="0" w:firstLine="640" w:firstLineChars="200"/>
        <w:jc w:val="both"/>
        <w:textAlignment w:val="auto"/>
        <w:rPr>
          <w:rFonts w:hint="eastAsia" w:ascii="仿宋_GB2312" w:hAnsi="Times New Roman" w:eastAsia="仿宋_GB2312" w:cs="仿宋_GB2312"/>
          <w:sz w:val="32"/>
          <w:szCs w:val="32"/>
          <w:lang w:val="en-US" w:eastAsia="zh-CN" w:bidi="ar-SA"/>
        </w:rPr>
      </w:pPr>
      <w:r>
        <w:rPr>
          <w:rFonts w:hint="eastAsia" w:ascii="仿宋_GB2312" w:hAnsi="Times New Roman" w:eastAsia="仿宋_GB2312" w:cs="仿宋_GB2312"/>
          <w:sz w:val="32"/>
          <w:szCs w:val="32"/>
          <w:lang w:val="en-US" w:eastAsia="zh-CN" w:bidi="ar-SA"/>
        </w:rPr>
        <w:t>茂县生产力促进中心下属二级决算单位1个，其中行政单位0个，参照公务员法管理的事业单位0个，其他事业单位1个。</w:t>
      </w:r>
    </w:p>
    <w:p w14:paraId="73756F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6" w:lineRule="exact"/>
        <w:ind w:left="0" w:right="0" w:firstLine="640" w:firstLineChars="200"/>
        <w:jc w:val="both"/>
        <w:textAlignment w:val="auto"/>
        <w:rPr>
          <w:rFonts w:hint="eastAsia" w:ascii="仿宋_GB2312" w:hAnsi="Times New Roman" w:eastAsia="仿宋_GB2312" w:cs="仿宋_GB2312"/>
          <w:sz w:val="32"/>
          <w:szCs w:val="32"/>
          <w:lang w:val="en-US" w:eastAsia="zh-CN" w:bidi="ar-SA"/>
        </w:rPr>
      </w:pPr>
      <w:r>
        <w:rPr>
          <w:rFonts w:hint="eastAsia" w:ascii="仿宋_GB2312" w:hAnsi="Times New Roman" w:eastAsia="仿宋_GB2312" w:cs="仿宋_GB2312"/>
          <w:sz w:val="32"/>
          <w:szCs w:val="32"/>
          <w:lang w:val="en-US" w:eastAsia="zh-CN" w:bidi="ar-SA"/>
        </w:rPr>
        <w:t>纳入茂县生产力促进中心2025年度单位决算编制范围的二级预算单位包括：茂县生产力促进中心。</w:t>
      </w:r>
    </w:p>
    <w:p w14:paraId="0BC1B10E">
      <w:pPr>
        <w:pStyle w:val="13"/>
        <w:keepNext w:val="0"/>
        <w:keepLines w:val="0"/>
        <w:pageBreakBefore w:val="0"/>
        <w:widowControl w:val="0"/>
        <w:suppressLineNumbers w:val="0"/>
        <w:kinsoku/>
        <w:wordWrap/>
        <w:overflowPunct/>
        <w:topLinePunct w:val="0"/>
        <w:bidi w:val="0"/>
        <w:snapToGrid/>
        <w:spacing w:before="0" w:beforeAutospacing="0"/>
        <w:ind w:left="0"/>
        <w:jc w:val="left"/>
        <w:outlineLvl w:val="9"/>
        <w:rPr>
          <w:shd w:val="clear" w:fill="FFFFFF"/>
        </w:rPr>
      </w:pPr>
    </w:p>
    <w:p w14:paraId="5116FE9F">
      <w:pPr>
        <w:pStyle w:val="13"/>
        <w:keepNext w:val="0"/>
        <w:keepLines w:val="0"/>
        <w:pageBreakBefore w:val="0"/>
        <w:widowControl w:val="0"/>
        <w:suppressLineNumbers w:val="0"/>
        <w:kinsoku/>
        <w:wordWrap/>
        <w:overflowPunct/>
        <w:topLinePunct w:val="0"/>
        <w:bidi w:val="0"/>
        <w:snapToGrid/>
        <w:spacing w:before="0" w:beforeAutospacing="0"/>
        <w:ind w:left="0"/>
        <w:jc w:val="left"/>
        <w:outlineLvl w:val="9"/>
        <w:rPr>
          <w:shd w:val="clear" w:fill="FFFFFF"/>
        </w:rPr>
      </w:pPr>
    </w:p>
    <w:p w14:paraId="5B2F8FCA">
      <w:pPr>
        <w:pStyle w:val="13"/>
        <w:keepNext w:val="0"/>
        <w:keepLines w:val="0"/>
        <w:pageBreakBefore w:val="0"/>
        <w:widowControl w:val="0"/>
        <w:suppressLineNumbers w:val="0"/>
        <w:kinsoku/>
        <w:wordWrap/>
        <w:overflowPunct/>
        <w:topLinePunct w:val="0"/>
        <w:bidi w:val="0"/>
        <w:snapToGrid/>
        <w:spacing w:before="0" w:beforeAutospacing="0"/>
        <w:ind w:left="0"/>
        <w:jc w:val="left"/>
        <w:outlineLvl w:val="9"/>
        <w:rPr>
          <w:shd w:val="clear" w:fill="FFFFFF"/>
        </w:rPr>
      </w:pPr>
    </w:p>
    <w:p w14:paraId="407E6034">
      <w:pPr>
        <w:pStyle w:val="13"/>
        <w:keepNext w:val="0"/>
        <w:keepLines w:val="0"/>
        <w:pageBreakBefore w:val="0"/>
        <w:widowControl w:val="0"/>
        <w:suppressLineNumbers w:val="0"/>
        <w:kinsoku/>
        <w:wordWrap/>
        <w:overflowPunct/>
        <w:topLinePunct w:val="0"/>
        <w:bidi w:val="0"/>
        <w:snapToGrid/>
        <w:spacing w:before="0" w:beforeAutospacing="0"/>
        <w:ind w:left="0"/>
        <w:jc w:val="left"/>
        <w:outlineLvl w:val="9"/>
        <w:rPr>
          <w:shd w:val="clear" w:fill="FFFFFF"/>
        </w:rPr>
      </w:pPr>
    </w:p>
    <w:p w14:paraId="6064FB98">
      <w:pPr>
        <w:pStyle w:val="13"/>
        <w:keepNext w:val="0"/>
        <w:keepLines w:val="0"/>
        <w:pageBreakBefore w:val="0"/>
        <w:widowControl w:val="0"/>
        <w:suppressLineNumbers w:val="0"/>
        <w:kinsoku/>
        <w:wordWrap/>
        <w:overflowPunct/>
        <w:topLinePunct w:val="0"/>
        <w:bidi w:val="0"/>
        <w:snapToGrid/>
        <w:spacing w:before="0" w:beforeAutospacing="0"/>
        <w:ind w:left="0"/>
        <w:jc w:val="left"/>
        <w:outlineLvl w:val="9"/>
        <w:rPr>
          <w:shd w:val="clear" w:fill="FFFFFF"/>
        </w:rPr>
      </w:pPr>
    </w:p>
    <w:p w14:paraId="5DAB4D0E">
      <w:pPr>
        <w:pStyle w:val="13"/>
        <w:keepNext w:val="0"/>
        <w:keepLines w:val="0"/>
        <w:pageBreakBefore w:val="0"/>
        <w:widowControl w:val="0"/>
        <w:suppressLineNumbers w:val="0"/>
        <w:kinsoku/>
        <w:wordWrap/>
        <w:overflowPunct/>
        <w:topLinePunct w:val="0"/>
        <w:bidi w:val="0"/>
        <w:snapToGrid/>
        <w:spacing w:before="0" w:beforeAutospacing="0"/>
        <w:ind w:left="0"/>
        <w:jc w:val="left"/>
        <w:outlineLvl w:val="9"/>
        <w:rPr>
          <w:shd w:val="clear" w:fill="FFFFFF"/>
        </w:rPr>
      </w:pPr>
    </w:p>
    <w:p w14:paraId="683A1C2E">
      <w:pPr>
        <w:pStyle w:val="13"/>
        <w:keepNext w:val="0"/>
        <w:keepLines w:val="0"/>
        <w:pageBreakBefore w:val="0"/>
        <w:widowControl w:val="0"/>
        <w:suppressLineNumbers w:val="0"/>
        <w:kinsoku/>
        <w:wordWrap/>
        <w:overflowPunct/>
        <w:topLinePunct w:val="0"/>
        <w:bidi w:val="0"/>
        <w:snapToGrid/>
        <w:spacing w:before="0" w:beforeAutospacing="0"/>
        <w:ind w:left="0"/>
        <w:jc w:val="left"/>
        <w:outlineLvl w:val="9"/>
        <w:rPr>
          <w:shd w:val="clear" w:fill="FFFFFF"/>
        </w:rPr>
      </w:pPr>
    </w:p>
    <w:p w14:paraId="3AC7E834">
      <w:pPr>
        <w:pStyle w:val="13"/>
        <w:keepNext w:val="0"/>
        <w:keepLines w:val="0"/>
        <w:pageBreakBefore w:val="0"/>
        <w:widowControl w:val="0"/>
        <w:suppressLineNumbers w:val="0"/>
        <w:kinsoku/>
        <w:wordWrap/>
        <w:overflowPunct/>
        <w:topLinePunct w:val="0"/>
        <w:bidi w:val="0"/>
        <w:snapToGrid/>
        <w:spacing w:before="0" w:beforeAutospacing="0"/>
        <w:ind w:left="0"/>
        <w:jc w:val="left"/>
        <w:outlineLvl w:val="9"/>
        <w:rPr>
          <w:shd w:val="clear" w:fill="FFFFFF"/>
        </w:rPr>
      </w:pPr>
    </w:p>
    <w:p w14:paraId="35B4E356">
      <w:pPr>
        <w:pStyle w:val="13"/>
        <w:keepNext w:val="0"/>
        <w:keepLines w:val="0"/>
        <w:pageBreakBefore w:val="0"/>
        <w:widowControl w:val="0"/>
        <w:suppressLineNumbers w:val="0"/>
        <w:kinsoku/>
        <w:wordWrap/>
        <w:overflowPunct/>
        <w:topLinePunct w:val="0"/>
        <w:bidi w:val="0"/>
        <w:snapToGrid/>
        <w:spacing w:before="0" w:beforeAutospacing="0"/>
        <w:ind w:left="0"/>
        <w:jc w:val="left"/>
        <w:outlineLvl w:val="9"/>
        <w:rPr>
          <w:shd w:val="clear" w:fill="FFFFFF"/>
        </w:rPr>
      </w:pPr>
    </w:p>
    <w:p w14:paraId="7189AB8B">
      <w:pPr>
        <w:pStyle w:val="13"/>
        <w:keepNext w:val="0"/>
        <w:keepLines w:val="0"/>
        <w:pageBreakBefore w:val="0"/>
        <w:widowControl w:val="0"/>
        <w:suppressLineNumbers w:val="0"/>
        <w:kinsoku/>
        <w:wordWrap/>
        <w:overflowPunct/>
        <w:topLinePunct w:val="0"/>
        <w:bidi w:val="0"/>
        <w:snapToGrid/>
        <w:spacing w:before="0" w:beforeAutospacing="0"/>
        <w:ind w:left="0"/>
        <w:jc w:val="left"/>
        <w:outlineLvl w:val="9"/>
        <w:rPr>
          <w:shd w:val="clear" w:fill="FFFFFF"/>
        </w:rPr>
      </w:pPr>
    </w:p>
    <w:p w14:paraId="01415C90">
      <w:pPr>
        <w:pStyle w:val="13"/>
        <w:keepNext w:val="0"/>
        <w:keepLines w:val="0"/>
        <w:pageBreakBefore w:val="0"/>
        <w:widowControl w:val="0"/>
        <w:suppressLineNumbers w:val="0"/>
        <w:kinsoku/>
        <w:wordWrap/>
        <w:overflowPunct/>
        <w:topLinePunct w:val="0"/>
        <w:bidi w:val="0"/>
        <w:snapToGrid/>
        <w:spacing w:before="0" w:beforeAutospacing="0"/>
        <w:ind w:left="0"/>
        <w:jc w:val="left"/>
        <w:outlineLvl w:val="9"/>
        <w:rPr>
          <w:shd w:val="clear" w:fill="FFFFFF"/>
        </w:rPr>
      </w:pPr>
    </w:p>
    <w:p w14:paraId="5E81A2BD">
      <w:pPr>
        <w:pStyle w:val="13"/>
        <w:keepNext w:val="0"/>
        <w:keepLines w:val="0"/>
        <w:pageBreakBefore w:val="0"/>
        <w:widowControl w:val="0"/>
        <w:suppressLineNumbers w:val="0"/>
        <w:kinsoku/>
        <w:wordWrap/>
        <w:overflowPunct/>
        <w:topLinePunct w:val="0"/>
        <w:bidi w:val="0"/>
        <w:snapToGrid/>
        <w:spacing w:before="0" w:beforeAutospacing="0"/>
        <w:ind w:left="0"/>
        <w:jc w:val="left"/>
        <w:outlineLvl w:val="9"/>
        <w:rPr>
          <w:shd w:val="clear" w:fill="FFFFFF"/>
        </w:rPr>
      </w:pPr>
    </w:p>
    <w:p w14:paraId="4829994A">
      <w:pPr>
        <w:pStyle w:val="13"/>
        <w:keepNext w:val="0"/>
        <w:keepLines w:val="0"/>
        <w:pageBreakBefore w:val="0"/>
        <w:widowControl w:val="0"/>
        <w:suppressLineNumbers w:val="0"/>
        <w:kinsoku/>
        <w:wordWrap/>
        <w:overflowPunct/>
        <w:topLinePunct w:val="0"/>
        <w:bidi w:val="0"/>
        <w:snapToGrid/>
        <w:spacing w:before="0" w:beforeAutospacing="0"/>
        <w:ind w:left="0"/>
        <w:jc w:val="left"/>
        <w:rPr>
          <w:shd w:val="clear" w:fill="FFFFFF"/>
        </w:rPr>
      </w:pPr>
    </w:p>
    <w:p w14:paraId="3A615C30">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jc w:val="center"/>
        <w:textAlignment w:val="auto"/>
        <w:rPr>
          <w:rFonts w:hint="eastAsia" w:ascii="黑体" w:hAnsi="黑体" w:eastAsia="黑体" w:cs="黑体"/>
          <w:b w:val="0"/>
          <w:bCs w:val="0"/>
          <w:sz w:val="44"/>
          <w:szCs w:val="44"/>
          <w:shd w:val="clear" w:fill="FFFFFF"/>
        </w:rPr>
      </w:pPr>
      <w:bookmarkStart w:id="32" w:name="_Toc1794496988"/>
      <w:r>
        <w:rPr>
          <w:rFonts w:hint="eastAsia" w:ascii="黑体" w:hAnsi="黑体" w:eastAsia="黑体" w:cs="黑体"/>
          <w:b w:val="0"/>
          <w:bCs w:val="0"/>
          <w:sz w:val="44"/>
          <w:szCs w:val="44"/>
          <w:shd w:val="clear" w:fill="FFFFFF"/>
        </w:rPr>
        <w:t xml:space="preserve">第二部分 </w:t>
      </w:r>
      <w:r>
        <w:rPr>
          <w:rFonts w:hint="eastAsia" w:ascii="黑体" w:hAnsi="黑体" w:eastAsia="黑体" w:cs="黑体"/>
          <w:b w:val="0"/>
          <w:bCs w:val="0"/>
          <w:sz w:val="44"/>
          <w:szCs w:val="44"/>
          <w:shd w:val="clear" w:fill="FFFFFF"/>
          <w:lang w:eastAsia="zh-CN"/>
        </w:rPr>
        <w:t>2025</w:t>
      </w:r>
      <w:r>
        <w:rPr>
          <w:rFonts w:hint="eastAsia" w:ascii="黑体" w:hAnsi="黑体" w:eastAsia="黑体" w:cs="黑体"/>
          <w:b w:val="0"/>
          <w:bCs w:val="0"/>
          <w:sz w:val="44"/>
          <w:szCs w:val="44"/>
          <w:shd w:val="clear" w:fill="FFFFFF"/>
        </w:rPr>
        <w:t>年度单位决算情况说明</w:t>
      </w:r>
      <w:bookmarkEnd w:id="32"/>
    </w:p>
    <w:p w14:paraId="45CED0A6">
      <w:pPr>
        <w:keepNext w:val="0"/>
        <w:keepLines w:val="0"/>
        <w:pageBreakBefore w:val="0"/>
        <w:widowControl w:val="0"/>
        <w:kinsoku/>
        <w:wordWrap/>
        <w:overflowPunct/>
        <w:topLinePunct w:val="0"/>
        <w:autoSpaceDE/>
        <w:autoSpaceDN/>
        <w:bidi w:val="0"/>
        <w:adjustRightInd/>
        <w:snapToGrid/>
        <w:spacing w:afterAutospacing="0" w:line="576" w:lineRule="exact"/>
        <w:ind w:firstLine="640" w:firstLineChars="200"/>
        <w:textAlignment w:val="auto"/>
        <w:outlineLvl w:val="1"/>
        <w:rPr>
          <w:rFonts w:hint="eastAsia" w:ascii="黑体" w:hAnsi="黑体" w:eastAsia="黑体" w:cs="黑体"/>
          <w:bCs/>
          <w:sz w:val="32"/>
          <w:szCs w:val="32"/>
          <w:lang w:val="en-US" w:eastAsia="zh-CN"/>
        </w:rPr>
      </w:pPr>
      <w:bookmarkStart w:id="33" w:name="_Toc1602897963"/>
      <w:r>
        <w:rPr>
          <w:rFonts w:hint="eastAsia" w:ascii="黑体" w:hAnsi="黑体" w:eastAsia="黑体" w:cs="黑体"/>
          <w:bCs/>
          <w:sz w:val="32"/>
          <w:szCs w:val="32"/>
          <w:lang w:val="en-US" w:eastAsia="zh-CN"/>
        </w:rPr>
        <w:t>一、收入支出决算总体情况说明</w:t>
      </w:r>
      <w:bookmarkEnd w:id="33"/>
    </w:p>
    <w:p w14:paraId="65B7B54C">
      <w:pPr>
        <w:keepNext w:val="0"/>
        <w:keepLines w:val="0"/>
        <w:pageBreakBefore w:val="0"/>
        <w:widowControl w:val="0"/>
        <w:kinsoku/>
        <w:wordWrap/>
        <w:overflowPunct/>
        <w:topLinePunct w:val="0"/>
        <w:autoSpaceDE/>
        <w:autoSpaceDN/>
        <w:bidi w:val="0"/>
        <w:adjustRightInd/>
        <w:snapToGrid/>
        <w:spacing w:afterAutospacing="0" w:line="576" w:lineRule="exact"/>
        <w:ind w:firstLine="640" w:firstLineChars="200"/>
        <w:textAlignment w:val="auto"/>
        <w:outlineLvl w:val="9"/>
        <w:rPr>
          <w:rFonts w:hint="eastAsia" w:ascii="仿宋_GB2312" w:eastAsia="仿宋_GB2312" w:cs="仿宋_GB2312" w:hAnsiTheme="minorEastAsia"/>
          <w:kern w:val="0"/>
          <w:sz w:val="32"/>
          <w:szCs w:val="32"/>
          <w:lang w:val="en-US" w:eastAsia="zh-CN" w:bidi="ar"/>
        </w:rPr>
      </w:pPr>
      <w:r>
        <w:rPr>
          <w:rFonts w:hint="eastAsia" w:ascii="仿宋_GB2312" w:eastAsia="仿宋_GB2312" w:cs="仿宋_GB2312"/>
          <w:bCs/>
          <w:sz w:val="32"/>
          <w:szCs w:val="32"/>
          <w:lang w:val="en-US" w:eastAsia="zh-CN"/>
        </w:rPr>
        <w:t>2025年度收、支总计均为245.71万元。与2024年度相比，收、支总计</w:t>
      </w:r>
      <w:r>
        <w:rPr>
          <w:rFonts w:hint="eastAsia" w:ascii="仿宋_GB2312" w:eastAsia="仿宋_GB2312" w:cs="仿宋_GB2312" w:hAnsiTheme="minorEastAsia"/>
          <w:kern w:val="0"/>
          <w:sz w:val="32"/>
          <w:szCs w:val="32"/>
          <w:lang w:val="en-US" w:eastAsia="zh-CN" w:bidi="ar"/>
        </w:rPr>
        <w:t>各</w:t>
      </w:r>
      <w:r>
        <w:rPr>
          <w:rFonts w:hint="eastAsia" w:ascii="仿宋_GB2312" w:eastAsia="仿宋_GB2312" w:cs="仿宋_GB2312"/>
          <w:kern w:val="0"/>
          <w:sz w:val="32"/>
          <w:szCs w:val="32"/>
          <w:lang w:val="en-US" w:eastAsia="zh-CN" w:bidi="ar"/>
        </w:rPr>
        <w:t>减少109.88</w:t>
      </w:r>
      <w:r>
        <w:rPr>
          <w:rFonts w:hint="eastAsia" w:ascii="仿宋_GB2312" w:eastAsia="仿宋_GB2312" w:cs="仿宋_GB2312" w:hAnsiTheme="minorEastAsia"/>
          <w:kern w:val="0"/>
          <w:sz w:val="32"/>
          <w:szCs w:val="32"/>
          <w:lang w:val="en-US" w:eastAsia="zh-CN" w:bidi="ar"/>
        </w:rPr>
        <w:t>万元，</w:t>
      </w:r>
      <w:r>
        <w:rPr>
          <w:rFonts w:hint="eastAsia" w:ascii="仿宋_GB2312" w:eastAsia="仿宋_GB2312" w:cs="仿宋_GB2312"/>
          <w:kern w:val="0"/>
          <w:sz w:val="32"/>
          <w:szCs w:val="32"/>
          <w:lang w:val="en-US" w:eastAsia="zh-CN" w:bidi="ar"/>
        </w:rPr>
        <w:t>下降30.9</w:t>
      </w:r>
      <w:r>
        <w:rPr>
          <w:rFonts w:hint="eastAsia" w:ascii="仿宋_GB2312" w:eastAsia="仿宋_GB2312" w:cs="仿宋_GB2312" w:hAnsiTheme="minorEastAsia"/>
          <w:kern w:val="0"/>
          <w:sz w:val="32"/>
          <w:szCs w:val="32"/>
          <w:lang w:val="en-US" w:eastAsia="zh-CN" w:bidi="ar"/>
        </w:rPr>
        <w:t>%</w:t>
      </w:r>
      <w:r>
        <w:rPr>
          <w:rFonts w:hint="eastAsia" w:ascii="仿宋_GB2312" w:eastAsia="仿宋_GB2312" w:cs="仿宋_GB2312"/>
          <w:kern w:val="0"/>
          <w:sz w:val="32"/>
          <w:szCs w:val="32"/>
          <w:lang w:val="en-US" w:eastAsia="zh-CN" w:bidi="ar"/>
        </w:rPr>
        <w:t>，</w:t>
      </w:r>
      <w:r>
        <w:rPr>
          <w:rFonts w:hint="eastAsia" w:ascii="仿宋_GB2312" w:eastAsia="仿宋_GB2312" w:cs="仿宋_GB2312" w:hAnsiTheme="minorEastAsia"/>
          <w:kern w:val="0"/>
          <w:sz w:val="32"/>
          <w:szCs w:val="32"/>
          <w:lang w:val="en-US" w:eastAsia="zh-CN" w:bidi="ar"/>
        </w:rPr>
        <w:t>主要变动原因是</w:t>
      </w:r>
      <w:r>
        <w:rPr>
          <w:rFonts w:hint="eastAsia" w:ascii="仿宋_GB2312" w:eastAsia="仿宋_GB2312" w:cs="仿宋_GB2312"/>
          <w:kern w:val="0"/>
          <w:sz w:val="32"/>
          <w:szCs w:val="32"/>
          <w:lang w:val="en-US" w:eastAsia="zh-CN" w:bidi="ar"/>
        </w:rPr>
        <w:t>：</w:t>
      </w:r>
      <w:r>
        <w:rPr>
          <w:rFonts w:hint="eastAsia" w:ascii="仿宋_GB2312" w:eastAsia="仿宋_GB2312" w:cs="仿宋_GB2312" w:hAnsiTheme="minorEastAsia"/>
          <w:kern w:val="0"/>
          <w:sz w:val="32"/>
          <w:szCs w:val="32"/>
          <w:lang w:val="en-US" w:eastAsia="zh-CN" w:bidi="ar"/>
        </w:rPr>
        <w:t>科学技术</w:t>
      </w:r>
      <w:r>
        <w:rPr>
          <w:rFonts w:hint="eastAsia" w:ascii="仿宋_GB2312" w:eastAsia="仿宋_GB2312" w:cs="仿宋_GB2312"/>
          <w:kern w:val="0"/>
          <w:sz w:val="32"/>
          <w:szCs w:val="32"/>
          <w:lang w:val="en-US" w:eastAsia="zh-CN" w:bidi="ar"/>
        </w:rPr>
        <w:t>项目支出减少</w:t>
      </w:r>
      <w:r>
        <w:rPr>
          <w:rFonts w:hint="eastAsia" w:ascii="仿宋_GB2312" w:eastAsia="仿宋_GB2312" w:cs="仿宋_GB2312" w:hAnsiTheme="minorEastAsia"/>
          <w:kern w:val="0"/>
          <w:sz w:val="32"/>
          <w:szCs w:val="32"/>
          <w:lang w:val="en-US" w:eastAsia="zh-CN" w:bidi="ar"/>
        </w:rPr>
        <w:t>。</w:t>
      </w:r>
    </w:p>
    <w:p w14:paraId="395B9F4E">
      <w:pPr>
        <w:pStyle w:val="2"/>
      </w:pPr>
      <w:r>
        <w:drawing>
          <wp:inline distT="0" distB="0" distL="114300" distR="114300">
            <wp:extent cx="5153025" cy="2647315"/>
            <wp:effectExtent l="4445" t="4445" r="5080" b="15240"/>
            <wp:docPr id="1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54807E0F">
      <w:pPr>
        <w:pStyle w:val="3"/>
      </w:pPr>
    </w:p>
    <w:p w14:paraId="5C6E8477">
      <w:pPr>
        <w:keepNext w:val="0"/>
        <w:keepLines w:val="0"/>
        <w:pageBreakBefore w:val="0"/>
        <w:widowControl w:val="0"/>
        <w:kinsoku/>
        <w:wordWrap/>
        <w:overflowPunct/>
        <w:topLinePunct w:val="0"/>
        <w:autoSpaceDE/>
        <w:autoSpaceDN/>
        <w:bidi w:val="0"/>
        <w:adjustRightInd/>
        <w:snapToGrid/>
        <w:spacing w:afterAutospacing="0" w:line="576" w:lineRule="exact"/>
        <w:ind w:firstLine="640" w:firstLineChars="200"/>
        <w:textAlignment w:val="auto"/>
        <w:outlineLvl w:val="1"/>
        <w:rPr>
          <w:rFonts w:hint="eastAsia" w:ascii="黑体" w:hAnsi="黑体" w:eastAsia="黑体" w:cs="黑体"/>
          <w:bCs/>
          <w:sz w:val="32"/>
          <w:szCs w:val="32"/>
          <w:lang w:val="en-US" w:eastAsia="zh-CN"/>
        </w:rPr>
      </w:pPr>
      <w:bookmarkStart w:id="34" w:name="_Toc457472553"/>
      <w:r>
        <w:rPr>
          <w:rFonts w:hint="eastAsia" w:ascii="黑体" w:hAnsi="黑体" w:eastAsia="黑体" w:cs="黑体"/>
          <w:bCs/>
          <w:sz w:val="32"/>
          <w:szCs w:val="32"/>
          <w:lang w:val="en-US" w:eastAsia="zh-CN"/>
        </w:rPr>
        <w:t>二、收入决算情况说明</w:t>
      </w:r>
      <w:bookmarkEnd w:id="34"/>
    </w:p>
    <w:p w14:paraId="5F5F7C4F">
      <w:pPr>
        <w:keepNext w:val="0"/>
        <w:keepLines w:val="0"/>
        <w:pageBreakBefore w:val="0"/>
        <w:widowControl w:val="0"/>
        <w:kinsoku/>
        <w:wordWrap/>
        <w:overflowPunct/>
        <w:topLinePunct w:val="0"/>
        <w:autoSpaceDE/>
        <w:autoSpaceDN/>
        <w:bidi w:val="0"/>
        <w:adjustRightInd/>
        <w:snapToGrid/>
        <w:spacing w:afterAutospacing="0" w:line="576" w:lineRule="exact"/>
        <w:ind w:firstLine="640" w:firstLineChars="200"/>
        <w:textAlignment w:val="auto"/>
        <w:outlineLvl w:val="9"/>
        <w:rPr>
          <w:rFonts w:hint="eastAsia" w:ascii="仿宋_GB2312" w:eastAsia="仿宋_GB2312" w:cs="仿宋_GB2312"/>
          <w:bCs/>
          <w:sz w:val="32"/>
          <w:szCs w:val="32"/>
          <w:lang w:val="en-US" w:eastAsia="zh-CN"/>
        </w:rPr>
      </w:pPr>
      <w:r>
        <w:rPr>
          <w:rFonts w:hint="eastAsia" w:ascii="仿宋_GB2312" w:eastAsia="仿宋_GB2312" w:cs="仿宋_GB2312"/>
          <w:bCs/>
          <w:sz w:val="32"/>
          <w:szCs w:val="32"/>
          <w:lang w:val="en-US" w:eastAsia="zh-CN"/>
        </w:rPr>
        <w:t>2025年度本年收入合计245.71万元，其中：一般公共预算财政</w:t>
      </w:r>
      <w:r>
        <w:rPr>
          <w:rFonts w:hint="eastAsia" w:ascii="仿宋_GB2312" w:eastAsia="仿宋_GB2312" w:cs="仿宋_GB2312" w:hAnsiTheme="minorEastAsia"/>
          <w:kern w:val="0"/>
          <w:sz w:val="32"/>
          <w:szCs w:val="32"/>
          <w:lang w:val="en-US" w:eastAsia="zh-CN" w:bidi="ar"/>
        </w:rPr>
        <w:t>拨款收入</w:t>
      </w:r>
      <w:r>
        <w:rPr>
          <w:rFonts w:hint="eastAsia" w:ascii="仿宋_GB2312" w:eastAsia="仿宋_GB2312" w:cs="仿宋_GB2312"/>
          <w:bCs/>
          <w:sz w:val="32"/>
          <w:szCs w:val="32"/>
          <w:lang w:val="en-US" w:eastAsia="zh-CN"/>
        </w:rPr>
        <w:t>245.71</w:t>
      </w:r>
      <w:r>
        <w:rPr>
          <w:rFonts w:hint="eastAsia" w:ascii="仿宋_GB2312" w:eastAsia="仿宋_GB2312" w:cs="仿宋_GB2312" w:hAnsiTheme="minorEastAsia"/>
          <w:kern w:val="0"/>
          <w:sz w:val="32"/>
          <w:szCs w:val="32"/>
          <w:lang w:val="en-US" w:eastAsia="zh-CN" w:bidi="ar"/>
        </w:rPr>
        <w:t>万元，占100%；</w:t>
      </w:r>
      <w:r>
        <w:rPr>
          <w:rFonts w:hint="eastAsia" w:ascii="仿宋_GB2312" w:eastAsia="仿宋_GB2312" w:cs="仿宋_GB2312"/>
          <w:bCs/>
          <w:sz w:val="32"/>
          <w:szCs w:val="32"/>
          <w:lang w:val="en-US" w:eastAsia="zh-CN"/>
        </w:rPr>
        <w:t>政府性基金预算财政拨款收入0万元，占0%。</w:t>
      </w:r>
    </w:p>
    <w:p w14:paraId="5F8F3838">
      <w:pPr>
        <w:pStyle w:val="17"/>
        <w:keepNext w:val="0"/>
        <w:keepLines w:val="0"/>
        <w:pageBreakBefore w:val="0"/>
        <w:widowControl w:val="0"/>
        <w:kinsoku/>
        <w:wordWrap/>
        <w:overflowPunct/>
        <w:topLinePunct w:val="0"/>
        <w:bidi w:val="0"/>
        <w:snapToGrid/>
        <w:rPr>
          <w:rFonts w:hint="eastAsia"/>
          <w:lang w:val="en-US" w:eastAsia="zh-CN"/>
        </w:rPr>
      </w:pPr>
      <w:r>
        <w:rPr>
          <w:rFonts w:hint="eastAsia"/>
          <w:lang w:val="en-US" w:eastAsia="zh-CN"/>
        </w:rPr>
        <w:t xml:space="preserve"> </w:t>
      </w:r>
      <w:r>
        <w:drawing>
          <wp:inline distT="0" distB="0" distL="114300" distR="114300">
            <wp:extent cx="4893945" cy="2379345"/>
            <wp:effectExtent l="6350" t="6350" r="14605" b="14605"/>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F6C38CB">
      <w:pPr>
        <w:keepNext w:val="0"/>
        <w:keepLines w:val="0"/>
        <w:pageBreakBefore w:val="0"/>
        <w:widowControl w:val="0"/>
        <w:kinsoku/>
        <w:wordWrap/>
        <w:overflowPunct/>
        <w:topLinePunct w:val="0"/>
        <w:autoSpaceDE/>
        <w:autoSpaceDN/>
        <w:bidi w:val="0"/>
        <w:adjustRightInd/>
        <w:snapToGrid/>
        <w:spacing w:afterAutospacing="0" w:line="576" w:lineRule="exact"/>
        <w:ind w:firstLine="640" w:firstLineChars="200"/>
        <w:textAlignment w:val="auto"/>
        <w:outlineLvl w:val="1"/>
        <w:rPr>
          <w:rFonts w:hint="eastAsia" w:ascii="黑体" w:hAnsi="黑体" w:eastAsia="黑体" w:cs="黑体"/>
          <w:bCs/>
          <w:sz w:val="32"/>
          <w:szCs w:val="32"/>
          <w:lang w:val="en-US" w:eastAsia="zh-CN"/>
        </w:rPr>
      </w:pPr>
      <w:bookmarkStart w:id="35" w:name="_Toc1328743921"/>
      <w:r>
        <w:rPr>
          <w:rFonts w:hint="eastAsia" w:ascii="黑体" w:hAnsi="黑体" w:eastAsia="黑体" w:cs="黑体"/>
          <w:bCs/>
          <w:sz w:val="32"/>
          <w:szCs w:val="32"/>
          <w:lang w:val="en-US" w:eastAsia="zh-CN"/>
        </w:rPr>
        <w:t>三、支出决算情况说明</w:t>
      </w:r>
      <w:bookmarkEnd w:id="35"/>
    </w:p>
    <w:p w14:paraId="3B3D7599">
      <w:pPr>
        <w:spacing w:line="600" w:lineRule="exact"/>
        <w:ind w:firstLine="640" w:firstLineChars="200"/>
        <w:outlineLvl w:val="9"/>
        <w:rPr>
          <w:rFonts w:hint="eastAsia" w:ascii="仿宋_GB2312" w:eastAsia="仿宋_GB2312" w:cs="仿宋_GB2312"/>
          <w:bCs/>
          <w:sz w:val="32"/>
          <w:szCs w:val="32"/>
          <w:lang w:val="en-US" w:eastAsia="zh-CN"/>
        </w:rPr>
      </w:pPr>
      <w:r>
        <w:rPr>
          <w:rFonts w:hint="eastAsia" w:ascii="仿宋_GB2312" w:eastAsia="仿宋_GB2312" w:cs="仿宋_GB2312"/>
          <w:bCs/>
          <w:sz w:val="32"/>
          <w:szCs w:val="32"/>
          <w:lang w:val="en-US" w:eastAsia="zh-CN"/>
        </w:rPr>
        <w:t>2025年度本年支出合计245.71万元，其中：基本支出45.03万元，占18.33%；项目支出200.68万元，占81.67%。</w:t>
      </w:r>
      <w:r>
        <w:rPr>
          <w:rFonts w:hint="eastAsia" w:ascii="仿宋_GB2312" w:eastAsia="仿宋_GB2312" w:cs="仿宋_GB2312"/>
          <w:bCs/>
          <w:sz w:val="32"/>
          <w:szCs w:val="32"/>
          <w:lang w:val="en" w:eastAsia="zh-CN"/>
        </w:rPr>
        <w:t>本单位</w:t>
      </w:r>
      <w:r>
        <w:rPr>
          <w:rFonts w:hint="eastAsia" w:ascii="仿宋_GB2312" w:eastAsia="仿宋_GB2312" w:cs="仿宋_GB2312"/>
          <w:bCs/>
          <w:sz w:val="32"/>
          <w:szCs w:val="32"/>
          <w:lang w:val="en-US" w:eastAsia="zh-CN"/>
        </w:rPr>
        <w:t>2025年度无上缴上级支出、经营支出、对附属单位补助支出。</w:t>
      </w:r>
    </w:p>
    <w:p w14:paraId="399CF3B6">
      <w:pPr>
        <w:pStyle w:val="13"/>
        <w:keepNext w:val="0"/>
        <w:keepLines w:val="0"/>
        <w:pageBreakBefore w:val="0"/>
        <w:widowControl w:val="0"/>
        <w:suppressLineNumbers w:val="0"/>
        <w:kinsoku/>
        <w:wordWrap/>
        <w:overflowPunct/>
        <w:topLinePunct w:val="0"/>
        <w:bidi w:val="0"/>
        <w:snapToGrid/>
        <w:spacing w:before="0" w:beforeAutospacing="0"/>
        <w:ind w:left="0" w:firstLine="240" w:firstLineChars="100"/>
        <w:jc w:val="left"/>
      </w:pPr>
      <w:r>
        <w:rPr>
          <w:shd w:val="clear" w:fill="FFFFFF"/>
        </w:rPr>
        <w:t> </w:t>
      </w:r>
      <w:r>
        <w:drawing>
          <wp:inline distT="0" distB="0" distL="114300" distR="114300">
            <wp:extent cx="4634230" cy="2488565"/>
            <wp:effectExtent l="6350" t="6350" r="7620" b="19685"/>
            <wp:docPr id="1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A5D9ED1">
      <w:pPr>
        <w:keepNext w:val="0"/>
        <w:keepLines w:val="0"/>
        <w:pageBreakBefore w:val="0"/>
        <w:widowControl w:val="0"/>
        <w:kinsoku/>
        <w:wordWrap/>
        <w:overflowPunct/>
        <w:topLinePunct w:val="0"/>
        <w:autoSpaceDE/>
        <w:autoSpaceDN/>
        <w:bidi w:val="0"/>
        <w:adjustRightInd/>
        <w:snapToGrid/>
        <w:spacing w:afterAutospacing="0" w:line="576" w:lineRule="exact"/>
        <w:ind w:firstLine="640" w:firstLineChars="200"/>
        <w:textAlignment w:val="auto"/>
        <w:outlineLvl w:val="1"/>
        <w:rPr>
          <w:rFonts w:hint="eastAsia" w:ascii="黑体" w:hAnsi="黑体" w:eastAsia="黑体" w:cs="黑体"/>
          <w:bCs/>
          <w:sz w:val="32"/>
          <w:szCs w:val="32"/>
          <w:lang w:val="en-US" w:eastAsia="zh-CN"/>
        </w:rPr>
      </w:pPr>
      <w:bookmarkStart w:id="36" w:name="_Toc493455389"/>
      <w:r>
        <w:rPr>
          <w:rFonts w:hint="eastAsia" w:ascii="黑体" w:hAnsi="黑体" w:eastAsia="黑体" w:cs="黑体"/>
          <w:bCs/>
          <w:sz w:val="32"/>
          <w:szCs w:val="32"/>
          <w:lang w:val="en-US" w:eastAsia="zh-CN"/>
        </w:rPr>
        <w:t>四、财政拨款收入支出决算总体情况说明</w:t>
      </w:r>
      <w:bookmarkEnd w:id="36"/>
    </w:p>
    <w:p w14:paraId="2AFDDF06">
      <w:pPr>
        <w:keepNext w:val="0"/>
        <w:keepLines w:val="0"/>
        <w:pageBreakBefore w:val="0"/>
        <w:widowControl w:val="0"/>
        <w:kinsoku/>
        <w:wordWrap/>
        <w:overflowPunct/>
        <w:topLinePunct w:val="0"/>
        <w:autoSpaceDE/>
        <w:autoSpaceDN/>
        <w:bidi w:val="0"/>
        <w:adjustRightInd/>
        <w:snapToGrid/>
        <w:spacing w:afterAutospacing="0" w:line="576" w:lineRule="exact"/>
        <w:ind w:firstLine="640" w:firstLineChars="200"/>
        <w:jc w:val="both"/>
        <w:textAlignment w:val="auto"/>
        <w:rPr>
          <w:rFonts w:hint="eastAsia" w:ascii="仿宋_GB2312" w:eastAsia="仿宋_GB2312" w:cs="仿宋_GB2312" w:hAnsiTheme="minorEastAsia"/>
          <w:kern w:val="0"/>
          <w:sz w:val="32"/>
          <w:szCs w:val="32"/>
          <w:lang w:val="en-US" w:eastAsia="zh-CN" w:bidi="ar"/>
        </w:rPr>
      </w:pPr>
      <w:r>
        <w:rPr>
          <w:rFonts w:hint="eastAsia" w:ascii="仿宋_GB2312" w:eastAsia="仿宋_GB2312" w:cs="仿宋_GB2312"/>
          <w:bCs/>
          <w:sz w:val="32"/>
          <w:szCs w:val="32"/>
          <w:lang w:val="en-US" w:eastAsia="zh-CN"/>
        </w:rPr>
        <w:t>2025年度财政拨款收、支总计均为245.71万元。与2024年度相比，收、支总计</w:t>
      </w:r>
      <w:r>
        <w:rPr>
          <w:rFonts w:hint="eastAsia" w:ascii="仿宋_GB2312" w:eastAsia="仿宋_GB2312" w:cs="仿宋_GB2312" w:hAnsiTheme="minorEastAsia"/>
          <w:kern w:val="0"/>
          <w:sz w:val="32"/>
          <w:szCs w:val="32"/>
          <w:lang w:val="en-US" w:eastAsia="zh-CN" w:bidi="ar"/>
        </w:rPr>
        <w:t>各</w:t>
      </w:r>
      <w:r>
        <w:rPr>
          <w:rFonts w:hint="eastAsia" w:ascii="仿宋_GB2312" w:eastAsia="仿宋_GB2312" w:cs="仿宋_GB2312"/>
          <w:kern w:val="0"/>
          <w:sz w:val="32"/>
          <w:szCs w:val="32"/>
          <w:lang w:val="en-US" w:eastAsia="zh-CN" w:bidi="ar"/>
        </w:rPr>
        <w:t>减少109.88</w:t>
      </w:r>
      <w:r>
        <w:rPr>
          <w:rFonts w:hint="eastAsia" w:ascii="仿宋_GB2312" w:eastAsia="仿宋_GB2312" w:cs="仿宋_GB2312" w:hAnsiTheme="minorEastAsia"/>
          <w:kern w:val="0"/>
          <w:sz w:val="32"/>
          <w:szCs w:val="32"/>
          <w:lang w:val="en-US" w:eastAsia="zh-CN" w:bidi="ar"/>
        </w:rPr>
        <w:t>万元，</w:t>
      </w:r>
      <w:r>
        <w:rPr>
          <w:rFonts w:hint="eastAsia" w:ascii="仿宋_GB2312" w:eastAsia="仿宋_GB2312" w:cs="仿宋_GB2312"/>
          <w:kern w:val="0"/>
          <w:sz w:val="32"/>
          <w:szCs w:val="32"/>
          <w:lang w:val="en-US" w:eastAsia="zh-CN" w:bidi="ar"/>
        </w:rPr>
        <w:t>下降30.9</w:t>
      </w:r>
      <w:r>
        <w:rPr>
          <w:rFonts w:hint="eastAsia" w:ascii="仿宋_GB2312" w:eastAsia="仿宋_GB2312" w:cs="仿宋_GB2312" w:hAnsiTheme="minorEastAsia"/>
          <w:kern w:val="0"/>
          <w:sz w:val="32"/>
          <w:szCs w:val="32"/>
          <w:lang w:val="en-US" w:eastAsia="zh-CN" w:bidi="ar"/>
        </w:rPr>
        <w:t>%</w:t>
      </w:r>
      <w:r>
        <w:rPr>
          <w:rFonts w:hint="eastAsia" w:ascii="仿宋_GB2312" w:eastAsia="仿宋_GB2312" w:cs="仿宋_GB2312"/>
          <w:kern w:val="0"/>
          <w:sz w:val="32"/>
          <w:szCs w:val="32"/>
          <w:lang w:val="en-US" w:eastAsia="zh-CN" w:bidi="ar"/>
        </w:rPr>
        <w:t>，</w:t>
      </w:r>
      <w:r>
        <w:rPr>
          <w:rFonts w:hint="eastAsia" w:ascii="仿宋_GB2312" w:eastAsia="仿宋_GB2312" w:cs="仿宋_GB2312" w:hAnsiTheme="minorEastAsia"/>
          <w:kern w:val="0"/>
          <w:sz w:val="32"/>
          <w:szCs w:val="32"/>
          <w:lang w:val="en-US" w:eastAsia="zh-CN" w:bidi="ar"/>
        </w:rPr>
        <w:t>主要变动原因是</w:t>
      </w:r>
      <w:r>
        <w:rPr>
          <w:rFonts w:hint="eastAsia" w:ascii="仿宋_GB2312" w:eastAsia="仿宋_GB2312" w:cs="仿宋_GB2312"/>
          <w:kern w:val="0"/>
          <w:sz w:val="32"/>
          <w:szCs w:val="32"/>
          <w:lang w:val="en-US" w:eastAsia="zh-CN" w:bidi="ar"/>
        </w:rPr>
        <w:t>：</w:t>
      </w:r>
      <w:r>
        <w:rPr>
          <w:rFonts w:hint="eastAsia" w:ascii="仿宋_GB2312" w:eastAsia="仿宋_GB2312" w:cs="仿宋_GB2312" w:hAnsiTheme="minorEastAsia"/>
          <w:kern w:val="0"/>
          <w:sz w:val="32"/>
          <w:szCs w:val="32"/>
          <w:lang w:val="en-US" w:eastAsia="zh-CN" w:bidi="ar"/>
        </w:rPr>
        <w:t>科学技术</w:t>
      </w:r>
      <w:r>
        <w:rPr>
          <w:rFonts w:hint="eastAsia" w:ascii="仿宋_GB2312" w:eastAsia="仿宋_GB2312" w:cs="仿宋_GB2312"/>
          <w:kern w:val="0"/>
          <w:sz w:val="32"/>
          <w:szCs w:val="32"/>
          <w:lang w:val="en-US" w:eastAsia="zh-CN" w:bidi="ar"/>
        </w:rPr>
        <w:t>项目支出减少</w:t>
      </w:r>
      <w:r>
        <w:rPr>
          <w:rFonts w:hint="eastAsia" w:ascii="仿宋_GB2312" w:eastAsia="仿宋_GB2312" w:cs="仿宋_GB2312" w:hAnsiTheme="minorEastAsia"/>
          <w:kern w:val="0"/>
          <w:sz w:val="32"/>
          <w:szCs w:val="32"/>
          <w:lang w:val="en-US" w:eastAsia="zh-CN" w:bidi="ar"/>
        </w:rPr>
        <w:t>。</w:t>
      </w:r>
    </w:p>
    <w:p w14:paraId="0A2C527B">
      <w:pPr>
        <w:pStyle w:val="3"/>
        <w:ind w:left="0" w:leftChars="0" w:firstLine="0" w:firstLineChars="0"/>
        <w:rPr>
          <w:rFonts w:hint="eastAsia" w:ascii="仿宋_GB2312" w:eastAsia="仿宋_GB2312" w:cs="仿宋_GB2312" w:hAnsiTheme="minorEastAsia"/>
          <w:kern w:val="0"/>
          <w:sz w:val="32"/>
          <w:szCs w:val="32"/>
          <w:lang w:val="en-US" w:eastAsia="zh-CN" w:bidi="ar"/>
        </w:rPr>
      </w:pPr>
      <w:r>
        <w:drawing>
          <wp:inline distT="0" distB="0" distL="114300" distR="114300">
            <wp:extent cx="4866005" cy="2517775"/>
            <wp:effectExtent l="4445" t="5080" r="6350" b="10795"/>
            <wp:docPr id="2"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C0453A2">
      <w:pPr>
        <w:pStyle w:val="17"/>
        <w:keepNext w:val="0"/>
        <w:keepLines w:val="0"/>
        <w:pageBreakBefore w:val="0"/>
        <w:widowControl w:val="0"/>
        <w:tabs>
          <w:tab w:val="right" w:pos="8315"/>
        </w:tabs>
        <w:kinsoku/>
        <w:wordWrap/>
        <w:overflowPunct/>
        <w:topLinePunct w:val="0"/>
        <w:autoSpaceDE/>
        <w:autoSpaceDN/>
        <w:bidi w:val="0"/>
        <w:snapToGrid/>
        <w:spacing w:line="576" w:lineRule="exact"/>
        <w:ind w:firstLine="640" w:firstLineChars="200"/>
        <w:outlineLvl w:val="1"/>
        <w:rPr>
          <w:rFonts w:hint="eastAsia" w:ascii="黑体" w:hAnsi="黑体" w:eastAsia="黑体" w:cs="黑体"/>
          <w:bCs/>
          <w:sz w:val="32"/>
          <w:szCs w:val="32"/>
          <w:lang w:val="en-US" w:eastAsia="zh-CN"/>
        </w:rPr>
      </w:pPr>
      <w:bookmarkStart w:id="37" w:name="_Toc460412254"/>
      <w:r>
        <w:rPr>
          <w:rFonts w:hint="eastAsia" w:ascii="黑体" w:hAnsi="黑体" w:eastAsia="黑体" w:cs="黑体"/>
          <w:bCs/>
          <w:sz w:val="32"/>
          <w:szCs w:val="32"/>
          <w:lang w:val="en-US" w:eastAsia="zh-CN"/>
        </w:rPr>
        <w:t>五、一般公共预算财政拨款支出决算情况说明</w:t>
      </w:r>
      <w:bookmarkEnd w:id="37"/>
    </w:p>
    <w:p w14:paraId="4C8B4B05">
      <w:pPr>
        <w:keepNext w:val="0"/>
        <w:keepLines w:val="0"/>
        <w:pageBreakBefore w:val="0"/>
        <w:widowControl w:val="0"/>
        <w:kinsoku/>
        <w:wordWrap/>
        <w:overflowPunct/>
        <w:topLinePunct w:val="0"/>
        <w:autoSpaceDE/>
        <w:autoSpaceDN/>
        <w:bidi w:val="0"/>
        <w:adjustRightInd/>
        <w:snapToGrid/>
        <w:spacing w:afterAutospacing="0" w:line="576" w:lineRule="exact"/>
        <w:ind w:firstLine="643" w:firstLineChars="200"/>
        <w:textAlignment w:val="auto"/>
        <w:rPr>
          <w:rFonts w:hint="eastAsia" w:ascii="Times New Roman" w:hAnsi="Times New Roman" w:eastAsia="楷体_GB2312" w:cs="楷体_GB2312"/>
          <w:b/>
          <w:color w:val="auto"/>
          <w:kern w:val="0"/>
          <w:sz w:val="32"/>
          <w:szCs w:val="32"/>
          <w:highlight w:val="none"/>
          <w:lang w:val="en-US" w:eastAsia="zh-CN" w:bidi="ar"/>
        </w:rPr>
      </w:pPr>
      <w:r>
        <w:rPr>
          <w:rFonts w:hint="eastAsia" w:ascii="Times New Roman" w:hAnsi="Times New Roman" w:eastAsia="楷体_GB2312" w:cs="楷体_GB2312"/>
          <w:b/>
          <w:color w:val="auto"/>
          <w:kern w:val="0"/>
          <w:sz w:val="32"/>
          <w:szCs w:val="32"/>
          <w:highlight w:val="none"/>
          <w:lang w:val="en-US" w:eastAsia="zh-CN" w:bidi="ar"/>
        </w:rPr>
        <w:t>（一）一般公共预算财政拨款支出决算总体情况</w:t>
      </w:r>
    </w:p>
    <w:p w14:paraId="5FB9B963">
      <w:pPr>
        <w:keepNext w:val="0"/>
        <w:keepLines w:val="0"/>
        <w:pageBreakBefore w:val="0"/>
        <w:widowControl w:val="0"/>
        <w:kinsoku/>
        <w:wordWrap/>
        <w:overflowPunct/>
        <w:topLinePunct w:val="0"/>
        <w:autoSpaceDE/>
        <w:autoSpaceDN/>
        <w:bidi w:val="0"/>
        <w:adjustRightInd/>
        <w:snapToGrid/>
        <w:spacing w:afterAutospacing="0" w:line="576" w:lineRule="exact"/>
        <w:ind w:firstLine="640" w:firstLineChars="200"/>
        <w:jc w:val="both"/>
        <w:textAlignment w:val="auto"/>
        <w:rPr>
          <w:rFonts w:hint="eastAsia" w:ascii="仿宋_GB2312" w:eastAsia="仿宋_GB2312" w:cs="仿宋_GB2312" w:hAnsiTheme="minorEastAsia"/>
          <w:kern w:val="0"/>
          <w:sz w:val="32"/>
          <w:szCs w:val="32"/>
          <w:lang w:val="en-US" w:eastAsia="zh-CN" w:bidi="ar"/>
        </w:rPr>
      </w:pPr>
      <w:r>
        <w:rPr>
          <w:rFonts w:hint="eastAsia" w:ascii="仿宋_GB2312" w:eastAsia="仿宋_GB2312" w:cs="仿宋_GB2312"/>
          <w:bCs/>
          <w:sz w:val="32"/>
          <w:szCs w:val="32"/>
          <w:lang w:val="en-US" w:eastAsia="zh-CN"/>
        </w:rPr>
        <w:t>2025年度财政拨款收入、支出总计均为245.71万元。与2024年度相比，收入、支出总计</w:t>
      </w:r>
      <w:r>
        <w:rPr>
          <w:rFonts w:hint="eastAsia" w:ascii="仿宋_GB2312" w:eastAsia="仿宋_GB2312" w:cs="仿宋_GB2312" w:hAnsiTheme="minorEastAsia"/>
          <w:kern w:val="0"/>
          <w:sz w:val="32"/>
          <w:szCs w:val="32"/>
          <w:lang w:val="en-US" w:eastAsia="zh-CN" w:bidi="ar"/>
        </w:rPr>
        <w:t>各</w:t>
      </w:r>
      <w:r>
        <w:rPr>
          <w:rFonts w:hint="eastAsia" w:ascii="仿宋_GB2312" w:eastAsia="仿宋_GB2312" w:cs="仿宋_GB2312"/>
          <w:kern w:val="0"/>
          <w:sz w:val="32"/>
          <w:szCs w:val="32"/>
          <w:lang w:val="en-US" w:eastAsia="zh-CN" w:bidi="ar"/>
        </w:rPr>
        <w:t>减少109.88</w:t>
      </w:r>
      <w:r>
        <w:rPr>
          <w:rFonts w:hint="eastAsia" w:ascii="仿宋_GB2312" w:eastAsia="仿宋_GB2312" w:cs="仿宋_GB2312" w:hAnsiTheme="minorEastAsia"/>
          <w:kern w:val="0"/>
          <w:sz w:val="32"/>
          <w:szCs w:val="32"/>
          <w:lang w:val="en-US" w:eastAsia="zh-CN" w:bidi="ar"/>
        </w:rPr>
        <w:t>万元，</w:t>
      </w:r>
      <w:r>
        <w:rPr>
          <w:rFonts w:hint="eastAsia" w:ascii="仿宋_GB2312" w:eastAsia="仿宋_GB2312" w:cs="仿宋_GB2312"/>
          <w:kern w:val="0"/>
          <w:sz w:val="32"/>
          <w:szCs w:val="32"/>
          <w:lang w:val="en-US" w:eastAsia="zh-CN" w:bidi="ar"/>
        </w:rPr>
        <w:t>下降30.9</w:t>
      </w:r>
      <w:r>
        <w:rPr>
          <w:rFonts w:hint="eastAsia" w:ascii="仿宋_GB2312" w:eastAsia="仿宋_GB2312" w:cs="仿宋_GB2312" w:hAnsiTheme="minorEastAsia"/>
          <w:kern w:val="0"/>
          <w:sz w:val="32"/>
          <w:szCs w:val="32"/>
          <w:lang w:val="en-US" w:eastAsia="zh-CN" w:bidi="ar"/>
        </w:rPr>
        <w:t>%</w:t>
      </w:r>
      <w:r>
        <w:rPr>
          <w:rFonts w:hint="eastAsia" w:ascii="仿宋_GB2312" w:eastAsia="仿宋_GB2312" w:cs="仿宋_GB2312"/>
          <w:kern w:val="0"/>
          <w:sz w:val="32"/>
          <w:szCs w:val="32"/>
          <w:lang w:val="en-US" w:eastAsia="zh-CN" w:bidi="ar"/>
        </w:rPr>
        <w:t>，</w:t>
      </w:r>
      <w:r>
        <w:rPr>
          <w:rFonts w:hint="eastAsia" w:ascii="仿宋_GB2312" w:eastAsia="仿宋_GB2312" w:cs="仿宋_GB2312" w:hAnsiTheme="minorEastAsia"/>
          <w:kern w:val="0"/>
          <w:sz w:val="32"/>
          <w:szCs w:val="32"/>
          <w:lang w:val="en-US" w:eastAsia="zh-CN" w:bidi="ar"/>
        </w:rPr>
        <w:t>主要变动原因是</w:t>
      </w:r>
      <w:r>
        <w:rPr>
          <w:rFonts w:hint="eastAsia" w:ascii="仿宋_GB2312" w:eastAsia="仿宋_GB2312" w:cs="仿宋_GB2312"/>
          <w:kern w:val="0"/>
          <w:sz w:val="32"/>
          <w:szCs w:val="32"/>
          <w:lang w:val="en-US" w:eastAsia="zh-CN" w:bidi="ar"/>
        </w:rPr>
        <w:t>：</w:t>
      </w:r>
      <w:r>
        <w:rPr>
          <w:rFonts w:hint="eastAsia" w:ascii="仿宋_GB2312" w:eastAsia="仿宋_GB2312" w:cs="仿宋_GB2312" w:hAnsiTheme="minorEastAsia"/>
          <w:kern w:val="0"/>
          <w:sz w:val="32"/>
          <w:szCs w:val="32"/>
          <w:lang w:val="en-US" w:eastAsia="zh-CN" w:bidi="ar"/>
        </w:rPr>
        <w:t>科学技术</w:t>
      </w:r>
      <w:r>
        <w:rPr>
          <w:rFonts w:hint="eastAsia" w:ascii="仿宋_GB2312" w:eastAsia="仿宋_GB2312" w:cs="仿宋_GB2312"/>
          <w:kern w:val="0"/>
          <w:sz w:val="32"/>
          <w:szCs w:val="32"/>
          <w:lang w:val="en-US" w:eastAsia="zh-CN" w:bidi="ar"/>
        </w:rPr>
        <w:t>项目支出减少</w:t>
      </w:r>
      <w:r>
        <w:rPr>
          <w:rFonts w:hint="eastAsia" w:ascii="仿宋_GB2312" w:eastAsia="仿宋_GB2312" w:cs="仿宋_GB2312" w:hAnsiTheme="minorEastAsia"/>
          <w:kern w:val="0"/>
          <w:sz w:val="32"/>
          <w:szCs w:val="32"/>
          <w:lang w:val="en-US" w:eastAsia="zh-CN" w:bidi="ar"/>
        </w:rPr>
        <w:t>。</w:t>
      </w:r>
    </w:p>
    <w:p w14:paraId="0F9AD454">
      <w:pPr>
        <w:pStyle w:val="13"/>
        <w:keepNext w:val="0"/>
        <w:keepLines w:val="0"/>
        <w:pageBreakBefore w:val="0"/>
        <w:widowControl w:val="0"/>
        <w:suppressLineNumbers w:val="0"/>
        <w:kinsoku/>
        <w:wordWrap/>
        <w:overflowPunct/>
        <w:topLinePunct w:val="0"/>
        <w:bidi w:val="0"/>
        <w:snapToGrid/>
        <w:spacing w:before="0" w:beforeAutospacing="0"/>
        <w:ind w:left="480" w:leftChars="100" w:hanging="240" w:hangingChars="100"/>
        <w:jc w:val="left"/>
      </w:pPr>
      <w:r>
        <w:drawing>
          <wp:inline distT="0" distB="0" distL="114300" distR="114300">
            <wp:extent cx="4944110" cy="2722880"/>
            <wp:effectExtent l="6350" t="6350" r="21590" b="13970"/>
            <wp:docPr id="16"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9EE1FE5">
      <w:pPr>
        <w:keepNext w:val="0"/>
        <w:keepLines w:val="0"/>
        <w:pageBreakBefore w:val="0"/>
        <w:widowControl w:val="0"/>
        <w:kinsoku/>
        <w:wordWrap/>
        <w:overflowPunct/>
        <w:topLinePunct w:val="0"/>
        <w:autoSpaceDE/>
        <w:autoSpaceDN/>
        <w:bidi w:val="0"/>
        <w:adjustRightInd/>
        <w:snapToGrid/>
        <w:spacing w:afterAutospacing="0" w:line="576" w:lineRule="exact"/>
        <w:ind w:firstLine="643" w:firstLineChars="200"/>
        <w:textAlignment w:val="auto"/>
        <w:rPr>
          <w:rFonts w:hint="eastAsia" w:ascii="Times New Roman" w:hAnsi="Times New Roman" w:eastAsia="楷体_GB2312" w:cs="楷体_GB2312"/>
          <w:b/>
          <w:color w:val="auto"/>
          <w:kern w:val="0"/>
          <w:sz w:val="32"/>
          <w:szCs w:val="32"/>
          <w:highlight w:val="none"/>
          <w:lang w:val="en-US" w:eastAsia="zh-CN" w:bidi="ar"/>
        </w:rPr>
      </w:pPr>
      <w:r>
        <w:rPr>
          <w:rFonts w:hint="eastAsia" w:ascii="Times New Roman" w:hAnsi="Times New Roman" w:eastAsia="楷体_GB2312" w:cs="楷体_GB2312"/>
          <w:b/>
          <w:color w:val="auto"/>
          <w:kern w:val="0"/>
          <w:sz w:val="32"/>
          <w:szCs w:val="32"/>
          <w:highlight w:val="none"/>
          <w:lang w:val="en-US" w:eastAsia="zh-CN" w:bidi="ar"/>
        </w:rPr>
        <w:t>（二）一般公共预算财政拨款支出决算结构情况</w:t>
      </w:r>
    </w:p>
    <w:p w14:paraId="4322880C">
      <w:pPr>
        <w:pStyle w:val="13"/>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line="576" w:lineRule="exact"/>
        <w:ind w:right="0" w:rightChars="0" w:firstLine="640" w:firstLineChars="200"/>
        <w:jc w:val="left"/>
        <w:textAlignment w:val="auto"/>
        <w:rPr>
          <w:rFonts w:hint="eastAsia"/>
          <w:lang w:val="en-US" w:eastAsia="zh-CN"/>
        </w:rPr>
      </w:pPr>
      <w:r>
        <w:rPr>
          <w:rFonts w:hint="eastAsia" w:ascii="仿宋_GB2312" w:eastAsia="仿宋_GB2312" w:cs="仿宋_GB2312"/>
          <w:bCs/>
          <w:sz w:val="32"/>
          <w:szCs w:val="32"/>
          <w:lang w:val="en-US" w:eastAsia="zh-CN"/>
        </w:rPr>
        <w:t>2025</w:t>
      </w:r>
      <w:r>
        <w:rPr>
          <w:rFonts w:hint="eastAsia" w:ascii="仿宋_GB2312" w:eastAsia="仿宋_GB2312" w:cs="仿宋_GB2312" w:hAnsiTheme="minorEastAsia"/>
          <w:kern w:val="0"/>
          <w:sz w:val="32"/>
          <w:szCs w:val="32"/>
          <w:lang w:val="en-US" w:eastAsia="zh-CN" w:bidi="ar"/>
        </w:rPr>
        <w:t>年</w:t>
      </w:r>
      <w:r>
        <w:rPr>
          <w:rFonts w:hint="eastAsia" w:ascii="仿宋_GB2312" w:eastAsia="仿宋_GB2312" w:cs="仿宋_GB2312"/>
          <w:kern w:val="0"/>
          <w:sz w:val="32"/>
          <w:szCs w:val="32"/>
          <w:lang w:val="en-US" w:eastAsia="zh-CN" w:bidi="ar"/>
        </w:rPr>
        <w:t>度</w:t>
      </w:r>
      <w:r>
        <w:rPr>
          <w:rFonts w:hint="eastAsia" w:ascii="仿宋_GB2312" w:eastAsia="仿宋_GB2312" w:cs="仿宋_GB2312" w:hAnsiTheme="minorEastAsia"/>
          <w:kern w:val="0"/>
          <w:sz w:val="32"/>
          <w:szCs w:val="32"/>
          <w:lang w:val="en-US" w:eastAsia="zh-CN" w:bidi="ar"/>
        </w:rPr>
        <w:t>一般公共预算财政拨款支出</w:t>
      </w:r>
      <w:r>
        <w:rPr>
          <w:rFonts w:hint="eastAsia" w:ascii="仿宋_GB2312" w:eastAsia="仿宋_GB2312" w:cs="仿宋_GB2312"/>
          <w:kern w:val="0"/>
          <w:sz w:val="32"/>
          <w:szCs w:val="32"/>
          <w:lang w:val="en-US" w:eastAsia="zh-CN" w:bidi="ar"/>
        </w:rPr>
        <w:t>245.71</w:t>
      </w:r>
      <w:r>
        <w:rPr>
          <w:rFonts w:hint="eastAsia" w:ascii="仿宋_GB2312" w:eastAsia="仿宋_GB2312" w:cs="仿宋_GB2312" w:hAnsiTheme="minorEastAsia"/>
          <w:kern w:val="0"/>
          <w:sz w:val="32"/>
          <w:szCs w:val="32"/>
          <w:lang w:val="en-US" w:eastAsia="zh-CN" w:bidi="ar"/>
        </w:rPr>
        <w:t>万元，主要用于以下方面</w:t>
      </w:r>
      <w:r>
        <w:rPr>
          <w:rFonts w:hint="eastAsia" w:ascii="仿宋_GB2312" w:eastAsia="仿宋_GB2312" w:cs="仿宋_GB2312"/>
          <w:kern w:val="0"/>
          <w:sz w:val="32"/>
          <w:szCs w:val="32"/>
          <w:highlight w:val="none"/>
          <w:lang w:val="en-US" w:eastAsia="zh-CN" w:bidi="ar"/>
        </w:rPr>
        <w:t>：</w:t>
      </w:r>
      <w:r>
        <w:rPr>
          <w:rFonts w:hint="eastAsia" w:ascii="仿宋_GB2312" w:eastAsia="仿宋_GB2312" w:cs="仿宋_GB2312" w:hAnsiTheme="minorEastAsia"/>
          <w:kern w:val="0"/>
          <w:sz w:val="32"/>
          <w:szCs w:val="32"/>
          <w:lang w:val="en-US" w:eastAsia="zh-CN" w:bidi="ar"/>
        </w:rPr>
        <w:t>科学技术（类）支出</w:t>
      </w:r>
      <w:r>
        <w:rPr>
          <w:rFonts w:hint="eastAsia" w:ascii="仿宋_GB2312" w:eastAsia="仿宋_GB2312" w:cs="仿宋_GB2312"/>
          <w:kern w:val="0"/>
          <w:sz w:val="32"/>
          <w:szCs w:val="32"/>
          <w:lang w:val="en-US" w:eastAsia="zh-CN" w:bidi="ar"/>
        </w:rPr>
        <w:t>234.03</w:t>
      </w:r>
      <w:r>
        <w:rPr>
          <w:rFonts w:hint="eastAsia" w:ascii="仿宋_GB2312" w:eastAsia="仿宋_GB2312" w:cs="仿宋_GB2312" w:hAnsiTheme="minorEastAsia"/>
          <w:kern w:val="0"/>
          <w:sz w:val="32"/>
          <w:szCs w:val="32"/>
          <w:lang w:val="en-US" w:eastAsia="zh-CN" w:bidi="ar"/>
        </w:rPr>
        <w:t>万元，占9</w:t>
      </w:r>
      <w:r>
        <w:rPr>
          <w:rFonts w:hint="eastAsia" w:ascii="仿宋_GB2312" w:eastAsia="仿宋_GB2312" w:cs="仿宋_GB2312"/>
          <w:kern w:val="0"/>
          <w:sz w:val="32"/>
          <w:szCs w:val="32"/>
          <w:lang w:val="en-US" w:eastAsia="zh-CN" w:bidi="ar"/>
        </w:rPr>
        <w:t>5.25</w:t>
      </w:r>
      <w:r>
        <w:rPr>
          <w:rFonts w:hint="eastAsia" w:ascii="仿宋_GB2312" w:eastAsia="仿宋_GB2312" w:cs="仿宋_GB2312" w:hAnsiTheme="minorEastAsia"/>
          <w:kern w:val="0"/>
          <w:sz w:val="32"/>
          <w:szCs w:val="32"/>
          <w:lang w:val="en-US" w:eastAsia="zh-CN" w:bidi="ar"/>
        </w:rPr>
        <w:t>%；社会保障和就业（类）支出5.</w:t>
      </w:r>
      <w:r>
        <w:rPr>
          <w:rFonts w:hint="eastAsia" w:ascii="仿宋_GB2312" w:eastAsia="仿宋_GB2312" w:cs="仿宋_GB2312"/>
          <w:kern w:val="0"/>
          <w:sz w:val="32"/>
          <w:szCs w:val="32"/>
          <w:lang w:val="en-US" w:eastAsia="zh-CN" w:bidi="ar"/>
        </w:rPr>
        <w:t>99</w:t>
      </w:r>
      <w:r>
        <w:rPr>
          <w:rFonts w:hint="eastAsia" w:ascii="仿宋_GB2312" w:eastAsia="仿宋_GB2312" w:cs="仿宋_GB2312" w:hAnsiTheme="minorEastAsia"/>
          <w:kern w:val="0"/>
          <w:sz w:val="32"/>
          <w:szCs w:val="32"/>
          <w:lang w:val="en-US" w:eastAsia="zh-CN" w:bidi="ar"/>
        </w:rPr>
        <w:t>万元，占</w:t>
      </w:r>
      <w:r>
        <w:rPr>
          <w:rFonts w:hint="eastAsia" w:ascii="仿宋_GB2312" w:eastAsia="仿宋_GB2312" w:cs="仿宋_GB2312"/>
          <w:kern w:val="0"/>
          <w:sz w:val="32"/>
          <w:szCs w:val="32"/>
          <w:lang w:val="en-US" w:eastAsia="zh-CN" w:bidi="ar"/>
        </w:rPr>
        <w:t>2.44</w:t>
      </w:r>
      <w:r>
        <w:rPr>
          <w:rFonts w:hint="eastAsia" w:ascii="仿宋_GB2312" w:eastAsia="仿宋_GB2312" w:cs="仿宋_GB2312" w:hAnsiTheme="minorEastAsia"/>
          <w:kern w:val="0"/>
          <w:sz w:val="32"/>
          <w:szCs w:val="32"/>
          <w:lang w:val="en-US" w:eastAsia="zh-CN" w:bidi="ar"/>
        </w:rPr>
        <w:t>%；卫生健康</w:t>
      </w:r>
      <w:r>
        <w:rPr>
          <w:rFonts w:hint="eastAsia" w:ascii="仿宋_GB2312" w:eastAsia="仿宋_GB2312" w:cs="仿宋_GB2312"/>
          <w:kern w:val="0"/>
          <w:sz w:val="32"/>
          <w:szCs w:val="32"/>
          <w:lang w:val="en-US" w:eastAsia="zh-CN" w:bidi="ar"/>
        </w:rPr>
        <w:t>（类）</w:t>
      </w:r>
      <w:r>
        <w:rPr>
          <w:rFonts w:hint="eastAsia" w:ascii="仿宋_GB2312" w:eastAsia="仿宋_GB2312" w:cs="仿宋_GB2312" w:hAnsiTheme="minorEastAsia"/>
          <w:kern w:val="0"/>
          <w:sz w:val="32"/>
          <w:szCs w:val="32"/>
          <w:lang w:val="en-US" w:eastAsia="zh-CN" w:bidi="ar"/>
        </w:rPr>
        <w:t>支出2.</w:t>
      </w:r>
      <w:r>
        <w:rPr>
          <w:rFonts w:hint="eastAsia" w:ascii="仿宋_GB2312" w:eastAsia="仿宋_GB2312" w:cs="仿宋_GB2312"/>
          <w:kern w:val="0"/>
          <w:sz w:val="32"/>
          <w:szCs w:val="32"/>
          <w:lang w:val="en-US" w:eastAsia="zh-CN" w:bidi="ar"/>
        </w:rPr>
        <w:t>31</w:t>
      </w:r>
      <w:r>
        <w:rPr>
          <w:rFonts w:hint="eastAsia" w:ascii="仿宋_GB2312" w:eastAsia="仿宋_GB2312" w:cs="仿宋_GB2312" w:hAnsiTheme="minorEastAsia"/>
          <w:kern w:val="0"/>
          <w:sz w:val="32"/>
          <w:szCs w:val="32"/>
          <w:lang w:val="en-US" w:eastAsia="zh-CN" w:bidi="ar"/>
        </w:rPr>
        <w:t>万元，占0.</w:t>
      </w:r>
      <w:r>
        <w:rPr>
          <w:rFonts w:hint="eastAsia" w:ascii="仿宋_GB2312" w:eastAsia="仿宋_GB2312" w:cs="仿宋_GB2312"/>
          <w:kern w:val="0"/>
          <w:sz w:val="32"/>
          <w:szCs w:val="32"/>
          <w:lang w:val="en-US" w:eastAsia="zh-CN" w:bidi="ar"/>
        </w:rPr>
        <w:t>94</w:t>
      </w:r>
      <w:r>
        <w:rPr>
          <w:rFonts w:hint="eastAsia" w:ascii="仿宋_GB2312" w:eastAsia="仿宋_GB2312" w:cs="仿宋_GB2312" w:hAnsiTheme="minorEastAsia"/>
          <w:kern w:val="0"/>
          <w:sz w:val="32"/>
          <w:szCs w:val="32"/>
          <w:lang w:val="en-US" w:eastAsia="zh-CN" w:bidi="ar"/>
        </w:rPr>
        <w:t>%；住房保障</w:t>
      </w:r>
      <w:r>
        <w:rPr>
          <w:rFonts w:hint="eastAsia" w:ascii="仿宋_GB2312" w:eastAsia="仿宋_GB2312" w:cs="仿宋_GB2312"/>
          <w:kern w:val="0"/>
          <w:sz w:val="32"/>
          <w:szCs w:val="32"/>
          <w:lang w:val="en-US" w:eastAsia="zh-CN" w:bidi="ar"/>
        </w:rPr>
        <w:t>（类）</w:t>
      </w:r>
      <w:r>
        <w:rPr>
          <w:rFonts w:hint="eastAsia" w:ascii="仿宋_GB2312" w:eastAsia="仿宋_GB2312" w:cs="仿宋_GB2312" w:hAnsiTheme="minorEastAsia"/>
          <w:kern w:val="0"/>
          <w:sz w:val="32"/>
          <w:szCs w:val="32"/>
          <w:lang w:val="en-US" w:eastAsia="zh-CN" w:bidi="ar"/>
        </w:rPr>
        <w:t>支出</w:t>
      </w:r>
      <w:r>
        <w:rPr>
          <w:rFonts w:hint="eastAsia" w:ascii="仿宋_GB2312" w:eastAsia="仿宋_GB2312" w:cs="仿宋_GB2312"/>
          <w:kern w:val="0"/>
          <w:sz w:val="32"/>
          <w:szCs w:val="32"/>
          <w:lang w:val="en-US" w:eastAsia="zh-CN" w:bidi="ar"/>
        </w:rPr>
        <w:t>3.38</w:t>
      </w:r>
      <w:r>
        <w:rPr>
          <w:rFonts w:hint="eastAsia" w:ascii="仿宋_GB2312" w:eastAsia="仿宋_GB2312" w:cs="仿宋_GB2312" w:hAnsiTheme="minorEastAsia"/>
          <w:kern w:val="0"/>
          <w:sz w:val="32"/>
          <w:szCs w:val="32"/>
          <w:lang w:val="en-US" w:eastAsia="zh-CN" w:bidi="ar"/>
        </w:rPr>
        <w:t>万元，占</w:t>
      </w:r>
      <w:r>
        <w:rPr>
          <w:rFonts w:hint="eastAsia" w:ascii="仿宋_GB2312" w:eastAsia="仿宋_GB2312" w:cs="仿宋_GB2312"/>
          <w:kern w:val="0"/>
          <w:sz w:val="32"/>
          <w:szCs w:val="32"/>
          <w:lang w:val="en-US" w:eastAsia="zh-CN" w:bidi="ar"/>
        </w:rPr>
        <w:t>1.37</w:t>
      </w:r>
      <w:r>
        <w:rPr>
          <w:rFonts w:hint="eastAsia" w:ascii="仿宋_GB2312" w:eastAsia="仿宋_GB2312" w:cs="仿宋_GB2312" w:hAnsiTheme="minorEastAsia"/>
          <w:kern w:val="0"/>
          <w:sz w:val="32"/>
          <w:szCs w:val="32"/>
          <w:lang w:val="en-US" w:eastAsia="zh-CN" w:bidi="ar"/>
        </w:rPr>
        <w:t>%。</w:t>
      </w:r>
    </w:p>
    <w:p w14:paraId="3002C1D1">
      <w:pPr>
        <w:pStyle w:val="13"/>
        <w:keepNext w:val="0"/>
        <w:keepLines w:val="0"/>
        <w:pageBreakBefore w:val="0"/>
        <w:widowControl w:val="0"/>
        <w:suppressLineNumbers w:val="0"/>
        <w:kinsoku/>
        <w:wordWrap/>
        <w:overflowPunct/>
        <w:topLinePunct w:val="0"/>
        <w:bidi w:val="0"/>
        <w:snapToGrid/>
        <w:spacing w:before="0" w:beforeAutospacing="0"/>
        <w:jc w:val="left"/>
      </w:pPr>
      <w:r>
        <w:drawing>
          <wp:inline distT="0" distB="0" distL="114300" distR="114300">
            <wp:extent cx="5307965" cy="2898140"/>
            <wp:effectExtent l="6350" t="6350" r="19685" b="10160"/>
            <wp:docPr id="1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02605DE">
      <w:pPr>
        <w:pStyle w:val="13"/>
        <w:keepNext w:val="0"/>
        <w:keepLines w:val="0"/>
        <w:pageBreakBefore w:val="0"/>
        <w:widowControl w:val="0"/>
        <w:suppressLineNumbers w:val="0"/>
        <w:kinsoku/>
        <w:wordWrap/>
        <w:overflowPunct/>
        <w:topLinePunct w:val="0"/>
        <w:bidi w:val="0"/>
        <w:snapToGrid/>
        <w:spacing w:before="0" w:beforeAutospacing="0" w:afterAutospacing="0" w:line="576" w:lineRule="exact"/>
        <w:ind w:firstLine="643" w:firstLineChars="200"/>
        <w:jc w:val="left"/>
        <w:textAlignment w:val="auto"/>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（三）一般公共预算财政拨款支出决算具体情况</w:t>
      </w:r>
    </w:p>
    <w:p w14:paraId="6A8D1267">
      <w:pPr>
        <w:pStyle w:val="13"/>
        <w:keepNext w:val="0"/>
        <w:keepLines w:val="0"/>
        <w:pageBreakBefore w:val="0"/>
        <w:widowControl w:val="0"/>
        <w:suppressLineNumbers w:val="0"/>
        <w:kinsoku/>
        <w:wordWrap/>
        <w:overflowPunct/>
        <w:topLinePunct w:val="0"/>
        <w:bidi w:val="0"/>
        <w:snapToGrid/>
        <w:spacing w:before="0" w:beforeAutospacing="0" w:afterAutospacing="0" w:line="576" w:lineRule="exact"/>
        <w:ind w:firstLine="640" w:firstLineChars="200"/>
        <w:jc w:val="left"/>
        <w:textAlignment w:val="auto"/>
        <w:rPr>
          <w:rFonts w:hint="eastAsia" w:ascii="仿宋_GB2312" w:eastAsia="仿宋_GB2312" w:cs="仿宋_GB2312" w:hAnsiTheme="minorEastAsia"/>
          <w:bCs/>
          <w:color w:val="000000"/>
          <w:kern w:val="0"/>
          <w:sz w:val="32"/>
          <w:szCs w:val="32"/>
          <w:lang w:val="en-US" w:eastAsia="zh-CN" w:bidi="ar"/>
        </w:rPr>
      </w:pPr>
      <w:r>
        <w:rPr>
          <w:rFonts w:hint="eastAsia" w:ascii="仿宋_GB2312" w:eastAsia="仿宋_GB2312" w:cs="仿宋_GB2312"/>
          <w:bCs/>
          <w:color w:val="000000"/>
          <w:kern w:val="0"/>
          <w:sz w:val="32"/>
          <w:szCs w:val="32"/>
          <w:lang w:val="en-US" w:eastAsia="zh-CN" w:bidi="ar"/>
        </w:rPr>
        <w:t>2025</w:t>
      </w:r>
      <w:r>
        <w:rPr>
          <w:rFonts w:hint="eastAsia" w:ascii="仿宋_GB2312" w:eastAsia="仿宋_GB2312" w:cs="仿宋_GB2312" w:hAnsiTheme="minorEastAsia"/>
          <w:bCs/>
          <w:color w:val="000000"/>
          <w:kern w:val="0"/>
          <w:sz w:val="32"/>
          <w:szCs w:val="32"/>
          <w:lang w:val="en-US" w:eastAsia="zh-CN" w:bidi="ar"/>
        </w:rPr>
        <w:t>年</w:t>
      </w:r>
      <w:r>
        <w:rPr>
          <w:rFonts w:hint="eastAsia" w:ascii="仿宋_GB2312" w:eastAsia="仿宋_GB2312" w:cs="仿宋_GB2312"/>
          <w:bCs/>
          <w:color w:val="000000"/>
          <w:kern w:val="0"/>
          <w:sz w:val="32"/>
          <w:szCs w:val="32"/>
          <w:lang w:val="en-US" w:eastAsia="zh-CN" w:bidi="ar"/>
        </w:rPr>
        <w:t>度</w:t>
      </w:r>
      <w:r>
        <w:rPr>
          <w:rFonts w:hint="eastAsia" w:ascii="仿宋_GB2312" w:eastAsia="仿宋_GB2312" w:cs="仿宋_GB2312" w:hAnsiTheme="minorEastAsia"/>
          <w:bCs/>
          <w:color w:val="000000"/>
          <w:kern w:val="0"/>
          <w:sz w:val="32"/>
          <w:szCs w:val="32"/>
          <w:lang w:val="en-US" w:eastAsia="zh-CN" w:bidi="ar"/>
        </w:rPr>
        <w:t>一般公共预算支出决算数为</w:t>
      </w:r>
      <w:r>
        <w:rPr>
          <w:rFonts w:hint="eastAsia" w:ascii="仿宋_GB2312" w:eastAsia="仿宋_GB2312" w:cs="仿宋_GB2312"/>
          <w:bCs/>
          <w:color w:val="000000"/>
          <w:kern w:val="0"/>
          <w:sz w:val="32"/>
          <w:szCs w:val="32"/>
          <w:lang w:val="en-US" w:eastAsia="zh-CN" w:bidi="ar"/>
        </w:rPr>
        <w:t>245.71万元</w:t>
      </w:r>
      <w:r>
        <w:rPr>
          <w:rFonts w:hint="eastAsia" w:ascii="仿宋_GB2312" w:eastAsia="仿宋_GB2312" w:cs="仿宋_GB2312" w:hAnsiTheme="minorEastAsia"/>
          <w:bCs/>
          <w:color w:val="000000"/>
          <w:kern w:val="0"/>
          <w:sz w:val="32"/>
          <w:szCs w:val="32"/>
          <w:lang w:val="en-US" w:eastAsia="zh-CN" w:bidi="ar"/>
        </w:rPr>
        <w:t>，完成预算100%。其中：</w:t>
      </w:r>
    </w:p>
    <w:p w14:paraId="42B6F1E5">
      <w:pPr>
        <w:pStyle w:val="18"/>
        <w:keepNext w:val="0"/>
        <w:keepLines w:val="0"/>
        <w:pageBreakBefore w:val="0"/>
        <w:widowControl w:val="0"/>
        <w:kinsoku/>
        <w:wordWrap/>
        <w:overflowPunct/>
        <w:topLinePunct w:val="0"/>
        <w:bidi w:val="0"/>
        <w:snapToGrid/>
        <w:spacing w:afterAutospacing="0" w:line="576" w:lineRule="exact"/>
        <w:ind w:left="0" w:firstLine="640" w:firstLineChars="200"/>
        <w:textAlignment w:val="auto"/>
        <w:outlineLvl w:val="9"/>
        <w:rPr>
          <w:rFonts w:hint="eastAsia" w:ascii="仿宋_GB2312" w:eastAsia="仿宋_GB2312"/>
          <w:sz w:val="32"/>
          <w:szCs w:val="32"/>
          <w:lang w:val="en-US" w:eastAsia="zh-CN"/>
        </w:rPr>
      </w:pPr>
      <w:r>
        <w:rPr>
          <w:rFonts w:hint="eastAsia" w:ascii="仿宋_GB2312" w:eastAsia="仿宋_GB2312"/>
          <w:sz w:val="32"/>
          <w:szCs w:val="32"/>
          <w:lang w:val="en-US" w:eastAsia="zh-CN"/>
        </w:rPr>
        <w:t>1.科学技术支出（类）科学技术管理事务（款）其他科学技术管理事务支出（项）支出决算为33.35万元，完成预算100%</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hint="eastAsia" w:ascii="仿宋_GB2312" w:eastAsia="仿宋_GB2312"/>
          <w:sz w:val="32"/>
          <w:szCs w:val="32"/>
          <w:lang w:val="en-US" w:eastAsia="zh-CN"/>
        </w:rPr>
        <w:t>。</w:t>
      </w:r>
    </w:p>
    <w:p w14:paraId="4F6545BA">
      <w:pPr>
        <w:pStyle w:val="18"/>
        <w:keepNext w:val="0"/>
        <w:keepLines w:val="0"/>
        <w:pageBreakBefore w:val="0"/>
        <w:widowControl w:val="0"/>
        <w:kinsoku/>
        <w:wordWrap/>
        <w:overflowPunct/>
        <w:topLinePunct w:val="0"/>
        <w:bidi w:val="0"/>
        <w:snapToGrid/>
        <w:spacing w:line="576" w:lineRule="exact"/>
        <w:ind w:left="0" w:firstLine="640" w:firstLineChars="200"/>
        <w:textAlignment w:val="auto"/>
        <w:outlineLvl w:val="9"/>
        <w:rPr>
          <w:rFonts w:hint="eastAsia" w:ascii="仿宋_GB2312" w:eastAsia="仿宋_GB2312" w:cs="仿宋_GB2312"/>
          <w:bCs/>
          <w:sz w:val="32"/>
          <w:szCs w:val="32"/>
          <w:highlight w:val="none"/>
        </w:rPr>
      </w:pPr>
      <w:r>
        <w:rPr>
          <w:rFonts w:hint="eastAsia" w:ascii="仿宋_GB2312" w:eastAsia="仿宋_GB2312"/>
          <w:sz w:val="32"/>
          <w:szCs w:val="32"/>
          <w:lang w:val="en-US" w:eastAsia="zh-CN"/>
        </w:rPr>
        <w:t>2.科学技术支出（类）其他科学技术支出（款）其他科学技术支出（项）支出决算为200.68万元，完成预算100%</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hint="eastAsia" w:ascii="仿宋_GB2312" w:eastAsia="仿宋_GB2312"/>
          <w:sz w:val="32"/>
          <w:szCs w:val="32"/>
          <w:lang w:val="en-US" w:eastAsia="zh-CN"/>
        </w:rPr>
        <w:t xml:space="preserve">。   </w:t>
      </w:r>
    </w:p>
    <w:p w14:paraId="2FBB227D">
      <w:pPr>
        <w:keepNext w:val="0"/>
        <w:keepLines w:val="0"/>
        <w:pageBreakBefore w:val="0"/>
        <w:widowControl w:val="0"/>
        <w:kinsoku/>
        <w:wordWrap/>
        <w:overflowPunct/>
        <w:topLinePunct w:val="0"/>
        <w:autoSpaceDE/>
        <w:autoSpaceDN/>
        <w:bidi w:val="0"/>
        <w:adjustRightInd/>
        <w:snapToGrid/>
        <w:spacing w:afterAutospacing="0" w:line="576" w:lineRule="exact"/>
        <w:ind w:firstLine="640" w:firstLineChars="200"/>
        <w:textAlignment w:val="auto"/>
        <w:rPr>
          <w:rFonts w:ascii="仿宋_GB2312" w:eastAsia="仿宋_GB2312" w:cs="仿宋_GB2312"/>
          <w:bCs/>
          <w:sz w:val="32"/>
          <w:szCs w:val="32"/>
        </w:rPr>
      </w:pPr>
      <w:r>
        <w:rPr>
          <w:rFonts w:hint="eastAsia" w:ascii="仿宋_GB2312" w:eastAsia="仿宋_GB2312" w:cs="仿宋_GB2312"/>
          <w:bCs/>
          <w:sz w:val="32"/>
          <w:szCs w:val="32"/>
          <w:highlight w:val="none"/>
          <w:lang w:val="en-US" w:eastAsia="zh-CN"/>
        </w:rPr>
        <w:t>3</w:t>
      </w:r>
      <w:r>
        <w:rPr>
          <w:rFonts w:hint="eastAsia" w:ascii="仿宋_GB2312" w:eastAsia="仿宋_GB2312" w:cs="仿宋_GB2312"/>
          <w:bCs/>
          <w:sz w:val="32"/>
          <w:szCs w:val="32"/>
          <w:highlight w:val="none"/>
        </w:rPr>
        <w:t>.社会保障和就业支出（</w:t>
      </w:r>
      <w:r>
        <w:rPr>
          <w:rFonts w:hint="eastAsia" w:ascii="仿宋_GB2312" w:eastAsia="仿宋_GB2312"/>
          <w:sz w:val="32"/>
          <w:szCs w:val="32"/>
          <w:lang w:val="en-US" w:eastAsia="zh-CN"/>
        </w:rPr>
        <w:t>类</w:t>
      </w:r>
      <w:r>
        <w:rPr>
          <w:rFonts w:hint="eastAsia" w:ascii="仿宋_GB2312" w:eastAsia="仿宋_GB2312" w:cs="仿宋_GB2312"/>
          <w:bCs/>
          <w:sz w:val="32"/>
          <w:szCs w:val="32"/>
          <w:highlight w:val="none"/>
        </w:rPr>
        <w:t>）行政事业单位</w:t>
      </w:r>
      <w:r>
        <w:rPr>
          <w:rFonts w:hint="eastAsia" w:ascii="仿宋_GB2312" w:eastAsia="仿宋_GB2312" w:cs="仿宋_GB2312"/>
          <w:bCs/>
          <w:sz w:val="32"/>
          <w:szCs w:val="32"/>
          <w:highlight w:val="none"/>
          <w:lang w:val="en-US" w:eastAsia="zh-CN"/>
        </w:rPr>
        <w:t>养老支出</w:t>
      </w:r>
      <w:r>
        <w:rPr>
          <w:rFonts w:hint="eastAsia" w:ascii="仿宋_GB2312" w:eastAsia="仿宋_GB2312" w:cs="仿宋_GB2312"/>
          <w:bCs/>
          <w:sz w:val="32"/>
          <w:szCs w:val="32"/>
          <w:highlight w:val="none"/>
        </w:rPr>
        <w:t>（</w:t>
      </w:r>
      <w:r>
        <w:rPr>
          <w:rFonts w:hint="eastAsia" w:ascii="仿宋_GB2312" w:eastAsia="仿宋_GB2312"/>
          <w:sz w:val="32"/>
          <w:szCs w:val="32"/>
          <w:lang w:val="en-US" w:eastAsia="zh-CN"/>
        </w:rPr>
        <w:t>款</w:t>
      </w:r>
      <w:r>
        <w:rPr>
          <w:rFonts w:hint="eastAsia" w:ascii="仿宋_GB2312" w:eastAsia="仿宋_GB2312" w:cs="仿宋_GB2312"/>
          <w:bCs/>
          <w:sz w:val="32"/>
          <w:szCs w:val="32"/>
          <w:highlight w:val="none"/>
        </w:rPr>
        <w:t>）</w:t>
      </w:r>
      <w:r>
        <w:rPr>
          <w:rFonts w:hint="eastAsia" w:ascii="仿宋_GB2312" w:eastAsia="仿宋_GB2312" w:cs="仿宋_GB2312"/>
          <w:bCs/>
          <w:sz w:val="32"/>
          <w:szCs w:val="32"/>
        </w:rPr>
        <w:t>机关事业单位基本养老保险缴费支出（</w:t>
      </w:r>
      <w:r>
        <w:rPr>
          <w:rFonts w:hint="eastAsia" w:ascii="仿宋_GB2312" w:eastAsia="仿宋_GB2312"/>
          <w:sz w:val="32"/>
          <w:szCs w:val="32"/>
          <w:lang w:val="en-US" w:eastAsia="zh-CN"/>
        </w:rPr>
        <w:t>项</w:t>
      </w:r>
      <w:r>
        <w:rPr>
          <w:rFonts w:hint="eastAsia" w:ascii="仿宋_GB2312" w:eastAsia="仿宋_GB2312" w:cs="仿宋_GB2312"/>
          <w:bCs/>
          <w:sz w:val="32"/>
          <w:szCs w:val="32"/>
        </w:rPr>
        <w:t>）</w:t>
      </w:r>
      <w:r>
        <w:rPr>
          <w:rFonts w:hint="eastAsia" w:ascii="仿宋_GB2312" w:eastAsia="仿宋_GB2312" w:cs="仿宋_GB2312"/>
          <w:sz w:val="32"/>
          <w:szCs w:val="32"/>
        </w:rPr>
        <w:t>：支出决算为</w:t>
      </w:r>
      <w:r>
        <w:rPr>
          <w:rFonts w:hint="eastAsia" w:ascii="仿宋_GB2312" w:eastAsia="仿宋_GB2312" w:cs="仿宋_GB2312"/>
          <w:sz w:val="32"/>
          <w:szCs w:val="32"/>
          <w:lang w:val="en-US" w:eastAsia="zh-CN"/>
        </w:rPr>
        <w:t>3.99</w:t>
      </w:r>
      <w:r>
        <w:rPr>
          <w:rFonts w:hint="eastAsia" w:ascii="仿宋_GB2312" w:eastAsia="仿宋_GB2312" w:cs="仿宋_GB2312"/>
          <w:sz w:val="32"/>
          <w:szCs w:val="32"/>
        </w:rPr>
        <w:t>万元，完成预算100</w:t>
      </w:r>
      <w:r>
        <w:rPr>
          <w:rFonts w:ascii="仿宋_GB2312" w:eastAsia="仿宋_GB2312" w:cs="仿宋_GB2312"/>
          <w:sz w:val="32"/>
          <w:szCs w:val="32"/>
        </w:rPr>
        <w:t>%</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hint="eastAsia" w:ascii="仿宋_GB2312" w:eastAsia="仿宋_GB2312" w:cs="仿宋_GB2312"/>
          <w:sz w:val="32"/>
          <w:szCs w:val="32"/>
        </w:rPr>
        <w:t>。</w:t>
      </w:r>
    </w:p>
    <w:p w14:paraId="58D98256">
      <w:pPr>
        <w:keepNext w:val="0"/>
        <w:keepLines w:val="0"/>
        <w:pageBreakBefore w:val="0"/>
        <w:widowControl w:val="0"/>
        <w:kinsoku/>
        <w:wordWrap/>
        <w:overflowPunct/>
        <w:topLinePunct w:val="0"/>
        <w:autoSpaceDE/>
        <w:autoSpaceDN/>
        <w:bidi w:val="0"/>
        <w:adjustRightInd/>
        <w:snapToGrid/>
        <w:spacing w:afterAutospacing="0" w:line="576" w:lineRule="exact"/>
        <w:ind w:firstLine="640" w:firstLineChars="200"/>
        <w:textAlignment w:val="auto"/>
        <w:rPr>
          <w:rFonts w:ascii="仿宋_GB2312" w:eastAsia="仿宋_GB2312"/>
          <w:sz w:val="32"/>
          <w:szCs w:val="32"/>
        </w:rPr>
      </w:pPr>
      <w:r>
        <w:rPr>
          <w:rFonts w:hint="eastAsia" w:ascii="仿宋_GB2312" w:eastAsia="仿宋_GB2312" w:cs="仿宋_GB2312"/>
          <w:bCs/>
          <w:sz w:val="32"/>
          <w:szCs w:val="32"/>
          <w:lang w:val="en-US" w:eastAsia="zh-CN"/>
        </w:rPr>
        <w:t>4</w:t>
      </w:r>
      <w:r>
        <w:rPr>
          <w:rFonts w:ascii="仿宋_GB2312" w:eastAsia="仿宋_GB2312" w:cs="仿宋_GB2312"/>
          <w:bCs/>
          <w:sz w:val="32"/>
          <w:szCs w:val="32"/>
        </w:rPr>
        <w:t>.</w:t>
      </w:r>
      <w:r>
        <w:rPr>
          <w:rFonts w:hint="eastAsia" w:ascii="仿宋_GB2312" w:eastAsia="仿宋_GB2312" w:cs="仿宋_GB2312"/>
          <w:bCs/>
          <w:sz w:val="32"/>
          <w:szCs w:val="32"/>
        </w:rPr>
        <w:t>社会保障和就业支出（</w:t>
      </w:r>
      <w:r>
        <w:rPr>
          <w:rFonts w:hint="eastAsia" w:ascii="仿宋_GB2312" w:eastAsia="仿宋_GB2312"/>
          <w:sz w:val="32"/>
          <w:szCs w:val="32"/>
          <w:lang w:val="en-US" w:eastAsia="zh-CN"/>
        </w:rPr>
        <w:t>类</w:t>
      </w:r>
      <w:r>
        <w:rPr>
          <w:rFonts w:hint="eastAsia" w:ascii="仿宋_GB2312" w:eastAsia="仿宋_GB2312" w:cs="仿宋_GB2312"/>
          <w:bCs/>
          <w:sz w:val="32"/>
          <w:szCs w:val="32"/>
        </w:rPr>
        <w:t>）</w:t>
      </w:r>
      <w:r>
        <w:rPr>
          <w:rFonts w:hint="eastAsia" w:ascii="仿宋_GB2312" w:eastAsia="仿宋_GB2312" w:cs="仿宋_GB2312"/>
          <w:bCs/>
          <w:sz w:val="32"/>
          <w:szCs w:val="32"/>
          <w:highlight w:val="none"/>
        </w:rPr>
        <w:t>行政事业单位</w:t>
      </w:r>
      <w:r>
        <w:rPr>
          <w:rFonts w:hint="eastAsia" w:ascii="仿宋_GB2312" w:eastAsia="仿宋_GB2312" w:cs="仿宋_GB2312"/>
          <w:bCs/>
          <w:sz w:val="32"/>
          <w:szCs w:val="32"/>
          <w:highlight w:val="none"/>
          <w:lang w:val="en-US" w:eastAsia="zh-CN"/>
        </w:rPr>
        <w:t>养老支出</w:t>
      </w:r>
      <w:r>
        <w:rPr>
          <w:rFonts w:hint="eastAsia" w:ascii="仿宋_GB2312" w:eastAsia="仿宋_GB2312" w:cs="仿宋_GB2312"/>
          <w:bCs/>
          <w:sz w:val="32"/>
          <w:szCs w:val="32"/>
        </w:rPr>
        <w:t>（</w:t>
      </w:r>
      <w:r>
        <w:rPr>
          <w:rFonts w:hint="eastAsia" w:ascii="仿宋_GB2312" w:eastAsia="仿宋_GB2312"/>
          <w:sz w:val="32"/>
          <w:szCs w:val="32"/>
          <w:lang w:val="en-US" w:eastAsia="zh-CN"/>
        </w:rPr>
        <w:t>款</w:t>
      </w:r>
      <w:r>
        <w:rPr>
          <w:rFonts w:hint="eastAsia" w:ascii="仿宋_GB2312" w:eastAsia="仿宋_GB2312" w:cs="仿宋_GB2312"/>
          <w:bCs/>
          <w:sz w:val="32"/>
          <w:szCs w:val="32"/>
        </w:rPr>
        <w:t>）机关事业单位职业年金缴费支出（</w:t>
      </w:r>
      <w:r>
        <w:rPr>
          <w:rFonts w:hint="eastAsia" w:ascii="仿宋_GB2312" w:eastAsia="仿宋_GB2312"/>
          <w:sz w:val="32"/>
          <w:szCs w:val="32"/>
          <w:lang w:val="en-US" w:eastAsia="zh-CN"/>
        </w:rPr>
        <w:t>项</w:t>
      </w:r>
      <w:r>
        <w:rPr>
          <w:rFonts w:hint="eastAsia" w:ascii="仿宋_GB2312" w:eastAsia="仿宋_GB2312" w:cs="仿宋_GB2312"/>
          <w:bCs/>
          <w:sz w:val="32"/>
          <w:szCs w:val="32"/>
        </w:rPr>
        <w:t>）</w:t>
      </w:r>
      <w:r>
        <w:rPr>
          <w:rFonts w:hint="eastAsia" w:ascii="仿宋_GB2312" w:eastAsia="仿宋_GB2312" w:cs="仿宋_GB2312"/>
          <w:sz w:val="32"/>
          <w:szCs w:val="32"/>
          <w:highlight w:val="none"/>
        </w:rPr>
        <w:t>：</w:t>
      </w:r>
      <w:r>
        <w:rPr>
          <w:rFonts w:hint="eastAsia" w:ascii="仿宋_GB2312" w:eastAsia="仿宋_GB2312" w:cs="仿宋_GB2312"/>
          <w:sz w:val="32"/>
          <w:szCs w:val="32"/>
        </w:rPr>
        <w:t>支出决算为</w:t>
      </w:r>
      <w:r>
        <w:rPr>
          <w:rFonts w:hint="eastAsia" w:ascii="仿宋_GB2312" w:eastAsia="仿宋_GB2312" w:cs="仿宋_GB2312"/>
          <w:sz w:val="32"/>
          <w:szCs w:val="32"/>
          <w:lang w:val="en-US" w:eastAsia="zh-CN"/>
        </w:rPr>
        <w:t>2</w:t>
      </w:r>
      <w:r>
        <w:rPr>
          <w:rFonts w:hint="eastAsia" w:ascii="仿宋_GB2312" w:eastAsia="仿宋_GB2312" w:cs="仿宋_GB2312"/>
          <w:sz w:val="32"/>
          <w:szCs w:val="32"/>
        </w:rPr>
        <w:t>万元，完成预算</w:t>
      </w:r>
      <w:r>
        <w:rPr>
          <w:rFonts w:ascii="仿宋_GB2312" w:eastAsia="仿宋_GB2312" w:cs="仿宋_GB2312"/>
          <w:sz w:val="32"/>
          <w:szCs w:val="32"/>
        </w:rPr>
        <w:t>100%</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hint="eastAsia" w:ascii="仿宋_GB2312" w:eastAsia="仿宋_GB2312" w:cs="仿宋_GB2312"/>
          <w:sz w:val="32"/>
          <w:szCs w:val="32"/>
        </w:rPr>
        <w:t>。</w:t>
      </w:r>
    </w:p>
    <w:p w14:paraId="6F3986C7">
      <w:pPr>
        <w:keepNext w:val="0"/>
        <w:keepLines w:val="0"/>
        <w:pageBreakBefore w:val="0"/>
        <w:widowControl w:val="0"/>
        <w:kinsoku/>
        <w:wordWrap/>
        <w:overflowPunct/>
        <w:topLinePunct w:val="0"/>
        <w:autoSpaceDE/>
        <w:autoSpaceDN/>
        <w:bidi w:val="0"/>
        <w:adjustRightInd/>
        <w:snapToGrid/>
        <w:spacing w:afterAutospacing="0" w:line="576" w:lineRule="exact"/>
        <w:ind w:firstLine="640" w:firstLineChars="200"/>
        <w:textAlignment w:val="auto"/>
        <w:rPr>
          <w:rFonts w:hint="eastAsia" w:ascii="仿宋_GB2312" w:eastAsia="仿宋_GB2312" w:cs="仿宋_GB2312"/>
          <w:sz w:val="32"/>
          <w:szCs w:val="32"/>
        </w:rPr>
      </w:pPr>
      <w:r>
        <w:rPr>
          <w:rFonts w:hint="eastAsia" w:ascii="仿宋_GB2312" w:eastAsia="仿宋_GB2312" w:cs="仿宋_GB2312"/>
          <w:bCs/>
          <w:sz w:val="32"/>
          <w:szCs w:val="32"/>
          <w:lang w:val="en-US" w:eastAsia="zh-CN"/>
        </w:rPr>
        <w:t>5</w:t>
      </w:r>
      <w:r>
        <w:rPr>
          <w:rFonts w:ascii="仿宋_GB2312" w:eastAsia="仿宋_GB2312" w:cs="仿宋_GB2312"/>
          <w:bCs/>
          <w:sz w:val="32"/>
          <w:szCs w:val="32"/>
        </w:rPr>
        <w:t>.</w:t>
      </w:r>
      <w:r>
        <w:rPr>
          <w:rFonts w:hint="eastAsia" w:ascii="仿宋_GB2312" w:eastAsia="仿宋_GB2312" w:cs="仿宋_GB2312"/>
          <w:bCs/>
          <w:sz w:val="32"/>
          <w:szCs w:val="32"/>
        </w:rPr>
        <w:t>卫生健康支出（</w:t>
      </w:r>
      <w:r>
        <w:rPr>
          <w:rFonts w:hint="eastAsia" w:ascii="仿宋_GB2312" w:eastAsia="仿宋_GB2312"/>
          <w:sz w:val="32"/>
          <w:szCs w:val="32"/>
          <w:lang w:val="en-US" w:eastAsia="zh-CN"/>
        </w:rPr>
        <w:t>类</w:t>
      </w:r>
      <w:r>
        <w:rPr>
          <w:rFonts w:hint="eastAsia" w:ascii="仿宋_GB2312" w:eastAsia="仿宋_GB2312" w:cs="仿宋_GB2312"/>
          <w:bCs/>
          <w:sz w:val="32"/>
          <w:szCs w:val="32"/>
        </w:rPr>
        <w:t>）行政事业单位医疗（</w:t>
      </w:r>
      <w:r>
        <w:rPr>
          <w:rFonts w:hint="eastAsia" w:ascii="仿宋_GB2312" w:eastAsia="仿宋_GB2312"/>
          <w:sz w:val="32"/>
          <w:szCs w:val="32"/>
          <w:lang w:val="en-US" w:eastAsia="zh-CN"/>
        </w:rPr>
        <w:t>款</w:t>
      </w:r>
      <w:r>
        <w:rPr>
          <w:rFonts w:hint="eastAsia" w:ascii="仿宋_GB2312" w:eastAsia="仿宋_GB2312" w:cs="仿宋_GB2312"/>
          <w:bCs/>
          <w:sz w:val="32"/>
          <w:szCs w:val="32"/>
        </w:rPr>
        <w:t>）事业单位医疗（</w:t>
      </w:r>
      <w:r>
        <w:rPr>
          <w:rFonts w:hint="eastAsia" w:ascii="仿宋_GB2312" w:eastAsia="仿宋_GB2312"/>
          <w:sz w:val="32"/>
          <w:szCs w:val="32"/>
          <w:lang w:val="en-US" w:eastAsia="zh-CN"/>
        </w:rPr>
        <w:t>项</w:t>
      </w:r>
      <w:r>
        <w:rPr>
          <w:rFonts w:hint="eastAsia" w:ascii="仿宋_GB2312" w:eastAsia="仿宋_GB2312" w:cs="仿宋_GB2312"/>
          <w:bCs/>
          <w:sz w:val="32"/>
          <w:szCs w:val="32"/>
        </w:rPr>
        <w:t>）</w:t>
      </w:r>
      <w:r>
        <w:rPr>
          <w:rFonts w:hint="eastAsia" w:ascii="仿宋_GB2312" w:eastAsia="仿宋_GB2312" w:cs="仿宋_GB2312"/>
          <w:sz w:val="32"/>
          <w:szCs w:val="32"/>
        </w:rPr>
        <w:t>：支出决算为</w:t>
      </w:r>
      <w:r>
        <w:rPr>
          <w:rFonts w:hint="eastAsia" w:ascii="仿宋_GB2312" w:eastAsia="仿宋_GB2312" w:cs="仿宋_GB2312"/>
          <w:sz w:val="32"/>
          <w:szCs w:val="32"/>
          <w:lang w:val="en-US" w:eastAsia="zh-CN"/>
        </w:rPr>
        <w:t>2.31</w:t>
      </w:r>
      <w:r>
        <w:rPr>
          <w:rFonts w:hint="eastAsia" w:ascii="仿宋_GB2312" w:eastAsia="仿宋_GB2312" w:cs="仿宋_GB2312"/>
          <w:sz w:val="32"/>
          <w:szCs w:val="32"/>
        </w:rPr>
        <w:t>万元，完成预算</w:t>
      </w:r>
      <w:r>
        <w:rPr>
          <w:rFonts w:ascii="仿宋_GB2312" w:eastAsia="仿宋_GB2312" w:cs="仿宋_GB2312"/>
          <w:sz w:val="32"/>
          <w:szCs w:val="32"/>
        </w:rPr>
        <w:t>100%</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hint="eastAsia" w:ascii="仿宋_GB2312" w:eastAsia="仿宋_GB2312" w:cs="仿宋_GB2312"/>
          <w:sz w:val="32"/>
          <w:szCs w:val="32"/>
        </w:rPr>
        <w:t>。</w:t>
      </w:r>
    </w:p>
    <w:p w14:paraId="4A71C99E">
      <w:pPr>
        <w:keepNext w:val="0"/>
        <w:keepLines w:val="0"/>
        <w:pageBreakBefore w:val="0"/>
        <w:widowControl w:val="0"/>
        <w:kinsoku/>
        <w:wordWrap/>
        <w:overflowPunct/>
        <w:topLinePunct w:val="0"/>
        <w:autoSpaceDE/>
        <w:autoSpaceDN/>
        <w:bidi w:val="0"/>
        <w:adjustRightInd/>
        <w:snapToGrid/>
        <w:spacing w:afterAutospacing="0" w:line="576" w:lineRule="exact"/>
        <w:ind w:left="0" w:firstLine="640" w:firstLineChars="200"/>
        <w:textAlignment w:val="auto"/>
        <w:rPr>
          <w:rFonts w:hint="eastAsia" w:ascii="仿宋_GB2312" w:eastAsia="仿宋_GB2312" w:cs="仿宋_GB2312"/>
          <w:sz w:val="32"/>
          <w:szCs w:val="32"/>
        </w:rPr>
      </w:pPr>
      <w:r>
        <w:rPr>
          <w:rFonts w:hint="eastAsia" w:ascii="仿宋_GB2312" w:eastAsia="仿宋_GB2312" w:cs="仿宋_GB2312"/>
          <w:bCs/>
          <w:sz w:val="32"/>
          <w:szCs w:val="32"/>
          <w:lang w:val="en-US" w:eastAsia="zh-CN"/>
        </w:rPr>
        <w:t>6</w:t>
      </w:r>
      <w:r>
        <w:rPr>
          <w:rFonts w:hint="eastAsia" w:ascii="仿宋_GB2312" w:eastAsia="仿宋_GB2312" w:cs="仿宋_GB2312"/>
          <w:bCs/>
          <w:sz w:val="32"/>
          <w:szCs w:val="32"/>
        </w:rPr>
        <w:t>.住房保障支出（</w:t>
      </w:r>
      <w:r>
        <w:rPr>
          <w:rFonts w:hint="eastAsia" w:ascii="仿宋_GB2312" w:eastAsia="仿宋_GB2312"/>
          <w:sz w:val="32"/>
          <w:szCs w:val="32"/>
          <w:lang w:val="en-US" w:eastAsia="zh-CN"/>
        </w:rPr>
        <w:t>类</w:t>
      </w:r>
      <w:r>
        <w:rPr>
          <w:rFonts w:hint="eastAsia" w:ascii="仿宋_GB2312" w:eastAsia="仿宋_GB2312" w:cs="仿宋_GB2312"/>
          <w:bCs/>
          <w:sz w:val="32"/>
          <w:szCs w:val="32"/>
        </w:rPr>
        <w:t>）住房改革支出（</w:t>
      </w:r>
      <w:r>
        <w:rPr>
          <w:rFonts w:hint="eastAsia" w:ascii="仿宋_GB2312" w:eastAsia="仿宋_GB2312"/>
          <w:sz w:val="32"/>
          <w:szCs w:val="32"/>
          <w:lang w:val="en-US" w:eastAsia="zh-CN"/>
        </w:rPr>
        <w:t>款</w:t>
      </w:r>
      <w:r>
        <w:rPr>
          <w:rFonts w:hint="eastAsia" w:ascii="仿宋_GB2312" w:eastAsia="仿宋_GB2312" w:cs="仿宋_GB2312"/>
          <w:bCs/>
          <w:sz w:val="32"/>
          <w:szCs w:val="32"/>
        </w:rPr>
        <w:t>）住房公积金（</w:t>
      </w:r>
      <w:r>
        <w:rPr>
          <w:rFonts w:hint="eastAsia" w:ascii="仿宋_GB2312" w:eastAsia="仿宋_GB2312"/>
          <w:sz w:val="32"/>
          <w:szCs w:val="32"/>
          <w:lang w:val="en-US" w:eastAsia="zh-CN"/>
        </w:rPr>
        <w:t>项</w:t>
      </w:r>
      <w:r>
        <w:rPr>
          <w:rFonts w:hint="eastAsia" w:ascii="仿宋_GB2312" w:eastAsia="仿宋_GB2312" w:cs="仿宋_GB2312"/>
          <w:bCs/>
          <w:sz w:val="32"/>
          <w:szCs w:val="32"/>
        </w:rPr>
        <w:t>）</w:t>
      </w:r>
      <w:r>
        <w:rPr>
          <w:rFonts w:hint="eastAsia" w:ascii="仿宋_GB2312" w:eastAsia="仿宋_GB2312" w:cs="仿宋_GB2312"/>
          <w:sz w:val="32"/>
          <w:szCs w:val="32"/>
        </w:rPr>
        <w:t>：支出决算为</w:t>
      </w:r>
      <w:r>
        <w:rPr>
          <w:rFonts w:hint="eastAsia" w:ascii="仿宋_GB2312" w:eastAsia="仿宋_GB2312" w:cs="仿宋_GB2312"/>
          <w:sz w:val="32"/>
          <w:szCs w:val="32"/>
          <w:lang w:val="en-US" w:eastAsia="zh-CN"/>
        </w:rPr>
        <w:t>3.38</w:t>
      </w:r>
      <w:r>
        <w:rPr>
          <w:rFonts w:hint="eastAsia" w:ascii="仿宋_GB2312" w:eastAsia="仿宋_GB2312" w:cs="仿宋_GB2312"/>
          <w:sz w:val="32"/>
          <w:szCs w:val="32"/>
        </w:rPr>
        <w:t>万元，完成预算</w:t>
      </w:r>
      <w:r>
        <w:rPr>
          <w:rFonts w:ascii="仿宋_GB2312" w:eastAsia="仿宋_GB2312" w:cs="仿宋_GB2312"/>
          <w:sz w:val="32"/>
          <w:szCs w:val="32"/>
        </w:rPr>
        <w:t>100%</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hint="eastAsia" w:ascii="仿宋_GB2312" w:eastAsia="仿宋_GB2312" w:cs="仿宋_GB2312"/>
          <w:sz w:val="32"/>
          <w:szCs w:val="32"/>
        </w:rPr>
        <w:t>。</w:t>
      </w:r>
    </w:p>
    <w:p w14:paraId="3096B7E5">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left="0" w:firstLine="640" w:firstLineChars="200"/>
        <w:jc w:val="left"/>
        <w:textAlignment w:val="auto"/>
        <w:outlineLvl w:val="1"/>
      </w:pPr>
      <w:bookmarkStart w:id="38" w:name="_Toc141830902"/>
      <w:r>
        <w:rPr>
          <w:rFonts w:hint="eastAsia" w:ascii="黑体" w:hAnsi="黑体" w:eastAsia="黑体" w:cs="黑体"/>
          <w:sz w:val="32"/>
          <w:szCs w:val="32"/>
          <w:shd w:val="clear" w:fill="FFFFFF"/>
        </w:rPr>
        <w:t>六、一般公共预算财政拨款基本支出决算情况说明  </w:t>
      </w:r>
      <w:r>
        <w:rPr>
          <w:shd w:val="clear" w:fill="FFFFFF"/>
        </w:rPr>
        <w:t> </w:t>
      </w:r>
      <w:bookmarkEnd w:id="38"/>
    </w:p>
    <w:p w14:paraId="2655F9A6">
      <w:pPr>
        <w:keepNext w:val="0"/>
        <w:keepLines w:val="0"/>
        <w:pageBreakBefore w:val="0"/>
        <w:widowControl w:val="0"/>
        <w:kinsoku/>
        <w:wordWrap/>
        <w:overflowPunct/>
        <w:topLinePunct w:val="0"/>
        <w:autoSpaceDE/>
        <w:autoSpaceDN/>
        <w:bidi w:val="0"/>
        <w:adjustRightInd/>
        <w:snapToGrid/>
        <w:spacing w:afterAutospacing="0" w:line="576" w:lineRule="exact"/>
        <w:ind w:left="0" w:firstLine="640" w:firstLineChars="200"/>
        <w:textAlignment w:val="auto"/>
        <w:rPr>
          <w:rFonts w:hint="eastAsia" w:ascii="仿宋_GB2312" w:eastAsia="仿宋_GB2312" w:cs="仿宋_GB2312"/>
          <w:bCs/>
          <w:sz w:val="32"/>
          <w:szCs w:val="32"/>
          <w:lang w:val="en-US" w:eastAsia="zh-CN"/>
        </w:rPr>
      </w:pPr>
      <w:r>
        <w:rPr>
          <w:rFonts w:hint="eastAsia" w:ascii="仿宋_GB2312" w:eastAsia="仿宋_GB2312" w:cs="仿宋_GB2312"/>
          <w:bCs/>
          <w:sz w:val="32"/>
          <w:szCs w:val="32"/>
          <w:lang w:val="en-US" w:eastAsia="zh-CN"/>
        </w:rPr>
        <w:t>2025年度一般公共预算财政拨款基本支出45.03万元，其中：</w:t>
      </w:r>
    </w:p>
    <w:p w14:paraId="5962538C">
      <w:pPr>
        <w:keepNext w:val="0"/>
        <w:keepLines w:val="0"/>
        <w:pageBreakBefore w:val="0"/>
        <w:widowControl w:val="0"/>
        <w:kinsoku/>
        <w:wordWrap/>
        <w:overflowPunct/>
        <w:topLinePunct w:val="0"/>
        <w:autoSpaceDE/>
        <w:autoSpaceDN/>
        <w:bidi w:val="0"/>
        <w:adjustRightInd/>
        <w:snapToGrid/>
        <w:spacing w:afterAutospacing="0" w:line="576" w:lineRule="exact"/>
        <w:ind w:left="0" w:firstLine="640" w:firstLineChars="200"/>
        <w:textAlignment w:val="auto"/>
        <w:rPr>
          <w:rFonts w:hint="eastAsia" w:ascii="仿宋_GB2312" w:eastAsia="仿宋_GB2312" w:cs="仿宋_GB2312"/>
          <w:bCs/>
          <w:sz w:val="32"/>
          <w:szCs w:val="32"/>
          <w:lang w:val="en-US" w:eastAsia="zh-CN"/>
        </w:rPr>
      </w:pPr>
      <w:r>
        <w:rPr>
          <w:rFonts w:hint="eastAsia" w:ascii="仿宋_GB2312" w:eastAsia="仿宋_GB2312" w:cs="仿宋_GB2312"/>
          <w:bCs/>
          <w:sz w:val="32"/>
          <w:szCs w:val="32"/>
          <w:lang w:val="en-US" w:eastAsia="zh-CN"/>
        </w:rPr>
        <w:t>人员经费42.37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48EA2421">
      <w:pPr>
        <w:keepNext w:val="0"/>
        <w:keepLines w:val="0"/>
        <w:pageBreakBefore w:val="0"/>
        <w:widowControl w:val="0"/>
        <w:kinsoku/>
        <w:wordWrap/>
        <w:overflowPunct/>
        <w:topLinePunct w:val="0"/>
        <w:autoSpaceDE/>
        <w:autoSpaceDN/>
        <w:bidi w:val="0"/>
        <w:adjustRightInd/>
        <w:snapToGrid/>
        <w:spacing w:afterAutospacing="0" w:line="576" w:lineRule="exact"/>
        <w:ind w:left="0" w:firstLine="640" w:firstLineChars="200"/>
        <w:textAlignment w:val="auto"/>
        <w:rPr>
          <w:rFonts w:hint="eastAsia" w:ascii="仿宋_GB2312" w:eastAsia="仿宋_GB2312" w:cs="仿宋_GB2312"/>
          <w:bCs/>
          <w:sz w:val="32"/>
          <w:szCs w:val="32"/>
          <w:lang w:val="en-US" w:eastAsia="zh-CN"/>
        </w:rPr>
      </w:pPr>
      <w:r>
        <w:rPr>
          <w:rFonts w:hint="eastAsia" w:ascii="仿宋_GB2312" w:eastAsia="仿宋_GB2312" w:cs="仿宋_GB2312"/>
          <w:bCs/>
          <w:sz w:val="32"/>
          <w:szCs w:val="32"/>
          <w:lang w:val="en-US" w:eastAsia="zh-CN"/>
        </w:rPr>
        <w:t>公用经费2.66万元，主要包括：办公费、印刷费、咨询费、手续费、水费、电费、邮电费、取暖费、物业管理费、差旅费、因公出国（境）费用、维修（护）费、租赁费、会议费、培训费、公务接待费、劳务费、委托业务费、工会经费、福利费、残保金、公务用车运行维护费、其他交通费、税金及附加费用、其他商品和服务支出、办公设备购置、专用设备购置、信息网络及软件购置更新、其他资本性支出等。</w:t>
      </w:r>
    </w:p>
    <w:p w14:paraId="79A8496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黑体" w:hAnsi="Calibri" w:eastAsia="黑体" w:cs="Times New Roman"/>
          <w:color w:val="000000"/>
          <w:kern w:val="2"/>
          <w:sz w:val="32"/>
          <w:szCs w:val="32"/>
          <w:lang w:val="en-US" w:eastAsia="zh-CN" w:bidi="ar-SA"/>
        </w:rPr>
      </w:pPr>
      <w:bookmarkStart w:id="39" w:name="_Toc29783"/>
      <w:bookmarkStart w:id="40" w:name="_Toc28247"/>
      <w:bookmarkStart w:id="41" w:name="_Toc15171"/>
      <w:bookmarkStart w:id="42" w:name="_Toc9553"/>
      <w:bookmarkStart w:id="43" w:name="_Toc1306027105"/>
      <w:r>
        <w:rPr>
          <w:rFonts w:hint="eastAsia" w:ascii="黑体" w:hAnsi="Calibri" w:eastAsia="黑体" w:cs="Times New Roman"/>
          <w:color w:val="000000"/>
          <w:kern w:val="2"/>
          <w:sz w:val="32"/>
          <w:szCs w:val="32"/>
          <w:lang w:val="en-US" w:eastAsia="zh-CN" w:bidi="ar-SA"/>
        </w:rPr>
        <w:t>七、</w:t>
      </w:r>
      <w:bookmarkEnd w:id="39"/>
      <w:bookmarkEnd w:id="40"/>
      <w:r>
        <w:rPr>
          <w:rFonts w:hint="eastAsia" w:ascii="黑体" w:hAnsi="Calibri" w:eastAsia="黑体" w:cs="Times New Roman"/>
          <w:color w:val="000000"/>
          <w:kern w:val="2"/>
          <w:sz w:val="32"/>
          <w:szCs w:val="32"/>
          <w:lang w:val="en-US" w:eastAsia="zh-CN" w:bidi="ar-SA"/>
        </w:rPr>
        <w:t>财政拨款“三公”经费支出决算情况说明</w:t>
      </w:r>
      <w:bookmarkEnd w:id="41"/>
      <w:bookmarkEnd w:id="42"/>
      <w:bookmarkEnd w:id="43"/>
    </w:p>
    <w:p w14:paraId="770208A7">
      <w:pPr>
        <w:spacing w:line="600" w:lineRule="exact"/>
        <w:ind w:firstLine="643" w:firstLineChars="200"/>
        <w:outlineLvl w:val="2"/>
        <w:rPr>
          <w:rFonts w:hint="eastAsia" w:ascii="Times New Roman" w:hAnsi="Times New Roman" w:eastAsia="楷体_GB2312" w:cs="楷体_GB2312"/>
          <w:b/>
          <w:color w:val="auto"/>
          <w:sz w:val="32"/>
          <w:szCs w:val="32"/>
          <w:highlight w:val="none"/>
          <w:lang w:val="en-US" w:eastAsia="zh-CN"/>
        </w:rPr>
      </w:pPr>
      <w:bookmarkStart w:id="44" w:name="_Toc15377216"/>
      <w:r>
        <w:rPr>
          <w:rFonts w:hint="eastAsia" w:ascii="Times New Roman" w:hAnsi="Times New Roman" w:eastAsia="楷体_GB2312" w:cs="楷体_GB2312"/>
          <w:b/>
          <w:color w:val="auto"/>
          <w:sz w:val="32"/>
          <w:szCs w:val="32"/>
          <w:highlight w:val="none"/>
          <w:lang w:val="en-US" w:eastAsia="zh-CN"/>
        </w:rPr>
        <w:t>（一）财政拨款“三公”经费支出决算总体情况说明</w:t>
      </w:r>
      <w:bookmarkEnd w:id="44"/>
    </w:p>
    <w:p w14:paraId="25929F01">
      <w:pPr>
        <w:keepNext w:val="0"/>
        <w:keepLines w:val="0"/>
        <w:pageBreakBefore w:val="0"/>
        <w:widowControl w:val="0"/>
        <w:suppressLineNumbers w:val="0"/>
        <w:kinsoku/>
        <w:wordWrap/>
        <w:overflowPunct/>
        <w:topLinePunct w:val="0"/>
        <w:autoSpaceDE/>
        <w:autoSpaceDN/>
        <w:bidi w:val="0"/>
        <w:adjustRightInd/>
        <w:snapToGrid/>
        <w:spacing w:afterAutospacing="0" w:line="576" w:lineRule="exact"/>
        <w:ind w:left="0" w:firstLine="640" w:firstLineChars="200"/>
        <w:textAlignment w:val="auto"/>
        <w:rPr>
          <w:rFonts w:hint="eastAsia" w:ascii="仿宋_GB2312" w:eastAsia="仿宋_GB2312" w:cs="仿宋_GB2312"/>
          <w:bCs/>
          <w:sz w:val="32"/>
          <w:szCs w:val="32"/>
          <w:lang w:val="en-US" w:eastAsia="zh-CN"/>
        </w:rPr>
      </w:pPr>
      <w:r>
        <w:rPr>
          <w:rFonts w:hint="eastAsia" w:ascii="仿宋_GB2312" w:eastAsia="仿宋_GB2312" w:cs="仿宋_GB2312"/>
          <w:bCs/>
          <w:sz w:val="32"/>
          <w:szCs w:val="32"/>
          <w:highlight w:val="none"/>
          <w:lang w:val="en-US" w:eastAsia="zh-CN"/>
        </w:rPr>
        <w:t>2025年度财政拨款“三公”经费</w:t>
      </w:r>
      <w:r>
        <w:rPr>
          <w:rFonts w:hint="eastAsia" w:ascii="仿宋_GB2312" w:eastAsia="仿宋_GB2312" w:cs="仿宋_GB2312"/>
          <w:bCs/>
          <w:sz w:val="32"/>
          <w:szCs w:val="32"/>
          <w:lang w:val="en-US" w:eastAsia="zh-CN"/>
        </w:rPr>
        <w:t>支出决算为0万元，完成预算100%，与2024</w:t>
      </w:r>
      <w:r>
        <w:rPr>
          <w:rFonts w:hint="eastAsia" w:ascii="仿宋_GB2312" w:eastAsia="仿宋_GB2312" w:cs="仿宋_GB2312"/>
          <w:bCs/>
          <w:kern w:val="2"/>
          <w:sz w:val="32"/>
          <w:szCs w:val="32"/>
          <w:lang w:val="en-US" w:eastAsia="zh-CN" w:bidi="ar-SA"/>
        </w:rPr>
        <w:t>年度相比减少0.03万元，下降100%</w:t>
      </w:r>
      <w:r>
        <w:rPr>
          <w:rFonts w:hint="eastAsia" w:ascii="仿宋_GB2312" w:eastAsia="仿宋_GB2312" w:cs="仿宋_GB2312"/>
          <w:bCs/>
          <w:sz w:val="32"/>
          <w:szCs w:val="32"/>
          <w:lang w:val="en-US" w:eastAsia="zh-CN"/>
        </w:rPr>
        <w:t>。主要变动原因是：</w:t>
      </w:r>
      <w:r>
        <w:rPr>
          <w:rFonts w:hint="eastAsia" w:ascii="仿宋_GB2312" w:eastAsia="仿宋_GB2312" w:cs="仿宋_GB2312"/>
          <w:kern w:val="0"/>
          <w:sz w:val="32"/>
          <w:szCs w:val="32"/>
          <w:lang w:val="en-US" w:eastAsia="zh-CN" w:bidi="ar"/>
        </w:rPr>
        <w:t>接待人数和次数减少，相应的经费减少</w:t>
      </w:r>
      <w:r>
        <w:rPr>
          <w:rFonts w:ascii="仿宋" w:hAnsi="Times New Roman" w:eastAsia="仿宋" w:cs="Times New Roman"/>
          <w:color w:val="000000"/>
          <w:sz w:val="32"/>
          <w:szCs w:val="32"/>
        </w:rPr>
        <w:t>。</w:t>
      </w:r>
    </w:p>
    <w:p w14:paraId="3C970E6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5"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5"/>
    </w:p>
    <w:p w14:paraId="7BA5D51A">
      <w:pPr>
        <w:keepNext w:val="0"/>
        <w:keepLines w:val="0"/>
        <w:pageBreakBefore w:val="0"/>
        <w:widowControl w:val="0"/>
        <w:kinsoku/>
        <w:wordWrap/>
        <w:overflowPunct/>
        <w:topLinePunct w:val="0"/>
        <w:autoSpaceDE/>
        <w:autoSpaceDN/>
        <w:bidi w:val="0"/>
        <w:adjustRightInd/>
        <w:snapToGrid/>
        <w:spacing w:afterAutospacing="0" w:line="576" w:lineRule="exact"/>
        <w:ind w:left="0" w:firstLine="640" w:firstLineChars="200"/>
        <w:jc w:val="both"/>
        <w:textAlignment w:val="auto"/>
        <w:rPr>
          <w:rFonts w:hint="eastAsia" w:ascii="仿宋_GB2312" w:eastAsia="仿宋_GB2312" w:cs="仿宋_GB2312"/>
          <w:bCs/>
          <w:sz w:val="32"/>
          <w:szCs w:val="32"/>
          <w:lang w:val="en-US" w:eastAsia="zh-CN"/>
        </w:rPr>
      </w:pPr>
      <w:r>
        <w:rPr>
          <w:rFonts w:hint="eastAsia" w:ascii="仿宋_GB2312" w:eastAsia="仿宋_GB2312" w:cs="仿宋_GB2312"/>
          <w:bCs/>
          <w:sz w:val="32"/>
          <w:szCs w:val="32"/>
          <w:highlight w:val="none"/>
          <w:lang w:val="en-US" w:eastAsia="zh-CN"/>
        </w:rPr>
        <w:t>2025年度财政拨款“三公”经费支出</w:t>
      </w:r>
      <w:r>
        <w:rPr>
          <w:rFonts w:hint="eastAsia" w:ascii="仿宋_GB2312" w:eastAsia="仿宋_GB2312" w:cs="仿宋_GB2312"/>
          <w:bCs/>
          <w:sz w:val="32"/>
          <w:szCs w:val="32"/>
          <w:lang w:val="en-US" w:eastAsia="zh-CN"/>
        </w:rPr>
        <w:t>决算中，因公出国（境）费支出决算0万</w:t>
      </w:r>
      <w:r>
        <w:rPr>
          <w:rFonts w:hint="eastAsia" w:ascii="仿宋_GB2312" w:eastAsia="仿宋_GB2312" w:cs="仿宋_GB2312"/>
          <w:bCs/>
          <w:sz w:val="32"/>
          <w:szCs w:val="32"/>
          <w:highlight w:val="none"/>
          <w:lang w:val="en-US" w:eastAsia="zh-CN"/>
        </w:rPr>
        <w:t>元，占</w:t>
      </w:r>
      <w:r>
        <w:rPr>
          <w:rFonts w:hint="eastAsia" w:ascii="仿宋_GB2312" w:eastAsia="仿宋_GB2312" w:cs="仿宋_GB2312"/>
          <w:bCs/>
          <w:kern w:val="2"/>
          <w:sz w:val="32"/>
          <w:szCs w:val="32"/>
          <w:highlight w:val="none"/>
          <w:lang w:val="en-US" w:eastAsia="zh-CN" w:bidi="ar-SA"/>
        </w:rPr>
        <w:t>0%;</w:t>
      </w:r>
      <w:r>
        <w:rPr>
          <w:rFonts w:ascii="仿宋_GB2312" w:eastAsia="仿宋_GB2312" w:cs="仿宋_GB2312"/>
          <w:bCs/>
          <w:kern w:val="0"/>
          <w:sz w:val="32"/>
          <w:szCs w:val="32"/>
          <w:highlight w:val="none"/>
          <w:lang w:val="en-US" w:eastAsia="zh-CN"/>
        </w:rPr>
        <w:t>公务用车购置</w:t>
      </w:r>
      <w:r>
        <w:rPr>
          <w:rFonts w:hint="eastAsia" w:ascii="仿宋_GB2312" w:eastAsia="仿宋_GB2312" w:cs="仿宋_GB2312"/>
          <w:bCs/>
          <w:kern w:val="0"/>
          <w:sz w:val="32"/>
          <w:szCs w:val="32"/>
          <w:highlight w:val="none"/>
          <w:lang w:val="en-US" w:eastAsia="zh-CN"/>
        </w:rPr>
        <w:t>及</w:t>
      </w:r>
      <w:r>
        <w:rPr>
          <w:rFonts w:ascii="仿宋_GB2312" w:eastAsia="仿宋_GB2312" w:cs="仿宋_GB2312"/>
          <w:bCs/>
          <w:kern w:val="0"/>
          <w:sz w:val="32"/>
          <w:szCs w:val="32"/>
          <w:highlight w:val="none"/>
          <w:lang w:val="en-US" w:eastAsia="zh-CN"/>
        </w:rPr>
        <w:t>运行维护费支出决算</w:t>
      </w:r>
      <w:r>
        <w:rPr>
          <w:rFonts w:hint="eastAsia" w:ascii="仿宋_GB2312" w:eastAsia="仿宋_GB2312" w:cs="仿宋_GB2312"/>
          <w:bCs/>
          <w:kern w:val="0"/>
          <w:sz w:val="32"/>
          <w:szCs w:val="32"/>
          <w:highlight w:val="none"/>
          <w:lang w:val="en-US" w:eastAsia="zh-CN"/>
        </w:rPr>
        <w:t>0</w:t>
      </w:r>
      <w:r>
        <w:rPr>
          <w:rFonts w:ascii="仿宋_GB2312" w:eastAsia="仿宋_GB2312" w:cs="仿宋_GB2312"/>
          <w:bCs/>
          <w:kern w:val="0"/>
          <w:sz w:val="32"/>
          <w:szCs w:val="32"/>
          <w:highlight w:val="none"/>
          <w:lang w:val="en-US" w:eastAsia="zh-CN"/>
        </w:rPr>
        <w:t>万元，</w:t>
      </w:r>
      <w:r>
        <w:rPr>
          <w:rFonts w:hint="eastAsia" w:ascii="仿宋_GB2312" w:eastAsia="仿宋_GB2312" w:cs="仿宋_GB2312"/>
          <w:bCs/>
          <w:sz w:val="32"/>
          <w:szCs w:val="32"/>
          <w:highlight w:val="none"/>
          <w:lang w:val="en-US" w:eastAsia="zh-CN"/>
        </w:rPr>
        <w:t>占</w:t>
      </w:r>
      <w:r>
        <w:rPr>
          <w:rFonts w:hint="eastAsia" w:ascii="仿宋_GB2312" w:eastAsia="仿宋_GB2312" w:cs="仿宋_GB2312"/>
          <w:bCs/>
          <w:kern w:val="2"/>
          <w:sz w:val="32"/>
          <w:szCs w:val="32"/>
          <w:highlight w:val="none"/>
          <w:lang w:val="en-US" w:eastAsia="zh-CN" w:bidi="ar-SA"/>
        </w:rPr>
        <w:t>0%;</w:t>
      </w:r>
      <w:r>
        <w:rPr>
          <w:rFonts w:hint="eastAsia" w:ascii="仿宋_GB2312" w:eastAsia="仿宋_GB2312" w:cs="仿宋_GB2312"/>
          <w:bCs/>
          <w:sz w:val="32"/>
          <w:szCs w:val="32"/>
          <w:highlight w:val="none"/>
          <w:lang w:val="en-US" w:eastAsia="zh-CN"/>
        </w:rPr>
        <w:t>公</w:t>
      </w:r>
      <w:r>
        <w:rPr>
          <w:rFonts w:hint="eastAsia" w:ascii="仿宋_GB2312" w:eastAsia="仿宋_GB2312" w:cs="仿宋_GB2312"/>
          <w:bCs/>
          <w:sz w:val="32"/>
          <w:szCs w:val="32"/>
          <w:lang w:val="en-US" w:eastAsia="zh-CN"/>
        </w:rPr>
        <w:t>务接待费支出决算0</w:t>
      </w:r>
      <w:r>
        <w:rPr>
          <w:rFonts w:hint="eastAsia" w:ascii="仿宋_GB2312" w:eastAsia="仿宋_GB2312" w:cs="仿宋_GB2312"/>
          <w:bCs/>
          <w:kern w:val="2"/>
          <w:sz w:val="32"/>
          <w:szCs w:val="32"/>
          <w:lang w:val="en-US" w:eastAsia="zh-CN" w:bidi="ar-SA"/>
        </w:rPr>
        <w:t>万元，</w:t>
      </w:r>
      <w:r>
        <w:rPr>
          <w:rFonts w:hint="eastAsia" w:ascii="仿宋_GB2312" w:eastAsia="仿宋_GB2312" w:cs="仿宋_GB2312"/>
          <w:bCs/>
          <w:sz w:val="32"/>
          <w:szCs w:val="32"/>
          <w:lang w:val="en-US" w:eastAsia="zh-CN"/>
        </w:rPr>
        <w:t>占</w:t>
      </w:r>
      <w:r>
        <w:rPr>
          <w:rFonts w:hint="eastAsia" w:ascii="仿宋_GB2312" w:eastAsia="仿宋_GB2312" w:cs="仿宋_GB2312"/>
          <w:bCs/>
          <w:kern w:val="2"/>
          <w:sz w:val="32"/>
          <w:szCs w:val="32"/>
          <w:lang w:val="en-US" w:eastAsia="zh-CN" w:bidi="ar-SA"/>
        </w:rPr>
        <w:t>0%。</w:t>
      </w:r>
      <w:r>
        <w:rPr>
          <w:rFonts w:hint="eastAsia" w:ascii="仿宋_GB2312" w:eastAsia="仿宋_GB2312" w:cs="仿宋_GB2312"/>
          <w:bCs/>
          <w:sz w:val="32"/>
          <w:szCs w:val="32"/>
          <w:lang w:val="en-US" w:eastAsia="zh-CN"/>
        </w:rPr>
        <w:t>具体情况如下：</w:t>
      </w:r>
    </w:p>
    <w:p w14:paraId="04D508ED">
      <w:pPr>
        <w:pStyle w:val="13"/>
        <w:keepNext w:val="0"/>
        <w:keepLines w:val="0"/>
        <w:pageBreakBefore w:val="0"/>
        <w:widowControl w:val="0"/>
        <w:suppressLineNumbers w:val="0"/>
        <w:kinsoku/>
        <w:wordWrap/>
        <w:overflowPunct/>
        <w:topLinePunct w:val="0"/>
        <w:bidi w:val="0"/>
        <w:snapToGrid/>
        <w:spacing w:before="0" w:beforeAutospacing="0"/>
        <w:ind w:left="0"/>
        <w:jc w:val="left"/>
      </w:pPr>
      <w:r>
        <w:rPr>
          <w:rFonts w:hint="eastAsia"/>
          <w:lang w:val="en-US" w:eastAsia="zh-CN"/>
        </w:rPr>
        <w:t xml:space="preserve">    </w:t>
      </w:r>
      <w:r>
        <w:drawing>
          <wp:inline distT="0" distB="0" distL="114300" distR="114300">
            <wp:extent cx="4787900" cy="2698750"/>
            <wp:effectExtent l="6350" t="6350" r="6350" b="19050"/>
            <wp:docPr id="7"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368914C">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仿宋_GB2312" w:eastAsia="仿宋_GB2312" w:cs="仿宋_GB2312"/>
          <w:bCs/>
          <w:sz w:val="32"/>
          <w:szCs w:val="32"/>
          <w:lang w:val="en-US" w:eastAsia="zh-CN"/>
        </w:rPr>
      </w:pPr>
      <w:r>
        <w:rPr>
          <w:rFonts w:hint="eastAsia" w:ascii="仿宋_GB2312" w:eastAsia="仿宋_GB2312" w:cs="仿宋_GB2312"/>
          <w:bCs/>
          <w:sz w:val="32"/>
          <w:szCs w:val="32"/>
          <w:lang w:val="en-US" w:eastAsia="zh-CN"/>
        </w:rPr>
        <w:t>1.因公出国（境）经费支出</w:t>
      </w:r>
      <w:r>
        <w:rPr>
          <w:rFonts w:hint="eastAsia" w:ascii="仿宋_GB2312" w:eastAsia="仿宋_GB2312" w:cs="仿宋_GB2312"/>
          <w:bCs/>
          <w:kern w:val="2"/>
          <w:sz w:val="32"/>
          <w:szCs w:val="32"/>
          <w:lang w:val="en-US" w:eastAsia="zh-CN" w:bidi="ar-SA"/>
        </w:rPr>
        <w:t>0万元</w:t>
      </w:r>
      <w:r>
        <w:rPr>
          <w:rFonts w:hint="eastAsia" w:ascii="仿宋_GB2312" w:hAnsi="宋体" w:eastAsia="仿宋_GB2312" w:cs="仿宋_GB2312"/>
          <w:bCs/>
          <w:kern w:val="0"/>
          <w:sz w:val="32"/>
          <w:szCs w:val="32"/>
          <w:lang w:val="en-US" w:eastAsia="zh-CN" w:bidi="ar"/>
        </w:rPr>
        <w:t>。</w:t>
      </w:r>
    </w:p>
    <w:p w14:paraId="01675F05">
      <w:pPr>
        <w:keepNext w:val="0"/>
        <w:keepLines w:val="0"/>
        <w:pageBreakBefore w:val="0"/>
        <w:widowControl w:val="0"/>
        <w:suppressLineNumbers w:val="0"/>
        <w:kinsoku/>
        <w:wordWrap/>
        <w:overflowPunct/>
        <w:topLinePunct w:val="0"/>
        <w:autoSpaceDE/>
        <w:autoSpaceDN/>
        <w:bidi w:val="0"/>
        <w:adjustRightInd/>
        <w:snapToGrid/>
        <w:spacing w:line="576" w:lineRule="exact"/>
        <w:ind w:left="0" w:firstLine="640" w:firstLineChars="200"/>
        <w:jc w:val="both"/>
        <w:textAlignment w:val="auto"/>
        <w:rPr>
          <w:rFonts w:hint="eastAsia" w:ascii="仿宋_GB2312" w:eastAsia="仿宋_GB2312" w:cs="仿宋_GB2312"/>
          <w:bCs/>
          <w:sz w:val="32"/>
          <w:szCs w:val="32"/>
          <w:lang w:val="en-US" w:eastAsia="zh-CN"/>
        </w:rPr>
      </w:pPr>
      <w:r>
        <w:rPr>
          <w:rFonts w:hint="eastAsia" w:ascii="仿宋_GB2312" w:eastAsia="仿宋_GB2312" w:cs="仿宋_GB2312"/>
          <w:bCs/>
          <w:sz w:val="32"/>
          <w:szCs w:val="32"/>
          <w:lang w:val="en-US" w:eastAsia="zh-CN"/>
        </w:rPr>
        <w:t>2.公务用车购置及运行维护费支</w:t>
      </w:r>
      <w:r>
        <w:rPr>
          <w:rFonts w:hint="eastAsia" w:ascii="仿宋_GB2312" w:eastAsia="仿宋_GB2312" w:cs="仿宋_GB2312"/>
          <w:bCs/>
          <w:sz w:val="32"/>
          <w:szCs w:val="32"/>
          <w:highlight w:val="none"/>
          <w:lang w:val="en-US" w:eastAsia="zh-CN"/>
        </w:rPr>
        <w:t>出0万元</w:t>
      </w:r>
      <w:r>
        <w:rPr>
          <w:rFonts w:hint="eastAsia" w:ascii="仿宋_GB2312" w:eastAsia="仿宋_GB2312" w:cs="仿宋_GB2312"/>
          <w:color w:val="000000"/>
          <w:kern w:val="0"/>
          <w:sz w:val="32"/>
          <w:szCs w:val="32"/>
          <w:highlight w:val="none"/>
          <w:lang w:eastAsia="zh-CN"/>
        </w:rPr>
        <w:t>。</w:t>
      </w:r>
    </w:p>
    <w:p w14:paraId="028192F1">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eastAsia="仿宋_GB2312" w:cs="仿宋_GB2312"/>
          <w:bCs/>
          <w:sz w:val="32"/>
          <w:szCs w:val="32"/>
          <w:lang w:val="en-US" w:eastAsia="zh-CN"/>
        </w:rPr>
      </w:pPr>
      <w:r>
        <w:rPr>
          <w:rFonts w:hint="eastAsia" w:ascii="仿宋_GB2312" w:eastAsia="仿宋_GB2312" w:cs="仿宋_GB2312"/>
          <w:bCs/>
          <w:sz w:val="32"/>
          <w:szCs w:val="32"/>
          <w:lang w:val="en-US" w:eastAsia="zh-CN"/>
        </w:rPr>
        <w:t>截至2025年12月31日，单位共有公务用车0辆，其中：轿车0辆、越野车0辆、载客汽车0辆。</w:t>
      </w:r>
    </w:p>
    <w:p w14:paraId="0E439D7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s="仿宋_GB2312"/>
          <w:bCs/>
          <w:sz w:val="32"/>
          <w:szCs w:val="32"/>
          <w:lang w:val="en-US" w:eastAsia="zh-CN"/>
        </w:rPr>
        <w:t>公务用车运行维护费支出0万元</w:t>
      </w:r>
      <w:r>
        <w:rPr>
          <w:rFonts w:hint="eastAsia" w:ascii="Times New Roman" w:hAnsi="Times New Roman" w:eastAsia="仿宋_GB2312" w:cs="仿宋_GB2312"/>
          <w:color w:val="auto"/>
          <w:kern w:val="2"/>
          <w:sz w:val="32"/>
          <w:szCs w:val="32"/>
          <w:highlight w:val="none"/>
          <w:lang w:val="en-US" w:eastAsia="zh-CN" w:bidi="ar-SA"/>
        </w:rPr>
        <w:t>。</w:t>
      </w:r>
    </w:p>
    <w:p w14:paraId="6156D0C6">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bCs/>
          <w:sz w:val="32"/>
          <w:szCs w:val="32"/>
          <w:lang w:val="en-US" w:eastAsia="zh-CN"/>
        </w:rPr>
      </w:pPr>
      <w:r>
        <w:rPr>
          <w:rFonts w:hint="eastAsia" w:ascii="仿宋_GB2312" w:eastAsia="仿宋_GB2312" w:cs="仿宋_GB2312"/>
          <w:bCs/>
          <w:sz w:val="32"/>
          <w:szCs w:val="32"/>
          <w:lang w:val="en-US" w:eastAsia="zh-CN"/>
        </w:rPr>
        <w:t>3.公务接待费支出0万元，完成预算100%。</w:t>
      </w:r>
      <w:r>
        <w:rPr>
          <w:rFonts w:hint="eastAsia" w:ascii="仿宋_GB2312" w:eastAsia="仿宋_GB2312" w:cs="仿宋_GB2312"/>
          <w:bCs/>
          <w:kern w:val="2"/>
          <w:sz w:val="32"/>
          <w:szCs w:val="32"/>
          <w:lang w:val="en-US" w:eastAsia="zh-CN" w:bidi="ar-SA"/>
        </w:rPr>
        <w:t>与2024年度相比减少0.03万元，下降100%。</w:t>
      </w:r>
      <w:r>
        <w:rPr>
          <w:rFonts w:hint="eastAsia" w:ascii="仿宋_GB2312" w:eastAsia="仿宋_GB2312" w:cs="仿宋_GB2312" w:hAnsiTheme="minorEastAsia"/>
          <w:kern w:val="0"/>
          <w:sz w:val="32"/>
          <w:szCs w:val="32"/>
          <w:lang w:val="en-US" w:eastAsia="zh-CN" w:bidi="ar"/>
        </w:rPr>
        <w:t>主要变动原因是</w:t>
      </w:r>
      <w:r>
        <w:rPr>
          <w:rFonts w:hint="eastAsia" w:ascii="仿宋_GB2312" w:eastAsia="仿宋_GB2312" w:cs="仿宋_GB2312"/>
          <w:kern w:val="0"/>
          <w:sz w:val="32"/>
          <w:szCs w:val="32"/>
          <w:lang w:val="en-US" w:eastAsia="zh-CN" w:bidi="ar"/>
        </w:rPr>
        <w:t>：接待人数和次数都减少，相应的经费也减少</w:t>
      </w:r>
      <w:r>
        <w:rPr>
          <w:rFonts w:ascii="仿宋" w:hAnsi="Times New Roman" w:eastAsia="仿宋" w:cs="Times New Roman"/>
          <w:color w:val="000000"/>
          <w:sz w:val="32"/>
          <w:szCs w:val="32"/>
        </w:rPr>
        <w:t>。</w:t>
      </w:r>
      <w:r>
        <w:rPr>
          <w:rFonts w:hint="eastAsia" w:ascii="仿宋_GB2312" w:eastAsia="仿宋_GB2312" w:cs="仿宋_GB2312"/>
          <w:bCs/>
          <w:sz w:val="32"/>
          <w:szCs w:val="32"/>
          <w:lang w:val="en-US" w:eastAsia="zh-CN"/>
        </w:rPr>
        <w:t>其中：</w:t>
      </w:r>
    </w:p>
    <w:p w14:paraId="3F834FE3">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bCs/>
          <w:sz w:val="32"/>
          <w:szCs w:val="32"/>
          <w:highlight w:val="none"/>
          <w:lang w:val="en-US" w:eastAsia="zh-CN"/>
        </w:rPr>
      </w:pPr>
      <w:r>
        <w:rPr>
          <w:rFonts w:hint="eastAsia" w:ascii="仿宋_GB2312" w:eastAsia="仿宋_GB2312" w:cs="仿宋_GB2312"/>
          <w:bCs/>
          <w:sz w:val="32"/>
          <w:szCs w:val="32"/>
          <w:lang w:val="en-US" w:eastAsia="zh-CN"/>
        </w:rPr>
        <w:t>国内公务接待支出0万元</w:t>
      </w:r>
      <w:r>
        <w:rPr>
          <w:rFonts w:hint="eastAsia" w:ascii="仿宋_GB2312" w:eastAsia="仿宋_GB2312" w:cs="仿宋_GB2312"/>
          <w:bCs/>
          <w:sz w:val="32"/>
          <w:szCs w:val="32"/>
          <w:highlight w:val="none"/>
          <w:lang w:val="en-US" w:eastAsia="zh-CN"/>
        </w:rPr>
        <w:t>。</w:t>
      </w:r>
    </w:p>
    <w:p w14:paraId="4BA1321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p>
    <w:p w14:paraId="02503E4D">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left="0" w:firstLine="640" w:firstLineChars="200"/>
        <w:jc w:val="left"/>
        <w:textAlignment w:val="auto"/>
        <w:outlineLvl w:val="1"/>
        <w:rPr>
          <w:rFonts w:hint="eastAsia" w:ascii="黑体" w:hAnsi="黑体" w:eastAsia="黑体" w:cs="黑体"/>
          <w:sz w:val="32"/>
          <w:szCs w:val="32"/>
          <w:shd w:val="clear" w:fill="FFFFFF"/>
        </w:rPr>
      </w:pPr>
      <w:bookmarkStart w:id="46" w:name="_Toc151849343"/>
      <w:r>
        <w:rPr>
          <w:rFonts w:hint="eastAsia" w:ascii="黑体" w:hAnsi="黑体" w:eastAsia="黑体" w:cs="黑体"/>
          <w:sz w:val="32"/>
          <w:szCs w:val="32"/>
          <w:shd w:val="clear" w:fill="FFFFFF"/>
        </w:rPr>
        <w:t>八、政府性基金预算支出决算情况说明</w:t>
      </w:r>
      <w:bookmarkEnd w:id="46"/>
    </w:p>
    <w:p w14:paraId="6A1D8979">
      <w:pPr>
        <w:keepNext w:val="0"/>
        <w:keepLines w:val="0"/>
        <w:pageBreakBefore w:val="0"/>
        <w:widowControl w:val="0"/>
        <w:kinsoku/>
        <w:wordWrap/>
        <w:overflowPunct/>
        <w:topLinePunct w:val="0"/>
        <w:autoSpaceDE/>
        <w:autoSpaceDN/>
        <w:bidi w:val="0"/>
        <w:adjustRightInd/>
        <w:snapToGrid/>
        <w:spacing w:afterAutospacing="0" w:line="576" w:lineRule="exact"/>
        <w:ind w:firstLine="640" w:firstLineChars="200"/>
        <w:textAlignment w:val="auto"/>
      </w:pPr>
      <w:r>
        <w:rPr>
          <w:rFonts w:hint="eastAsia" w:ascii="仿宋_GB2312" w:eastAsia="仿宋_GB2312" w:cs="仿宋_GB2312"/>
          <w:bCs/>
          <w:sz w:val="32"/>
          <w:szCs w:val="32"/>
          <w:lang w:val="en-US" w:eastAsia="zh-CN"/>
        </w:rPr>
        <w:t>2025年度政府性基金预算财政拨款支出0万元。</w:t>
      </w:r>
    </w:p>
    <w:p w14:paraId="0C16B6D2">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left="0" w:firstLine="640" w:firstLineChars="200"/>
        <w:jc w:val="left"/>
        <w:textAlignment w:val="auto"/>
        <w:outlineLvl w:val="1"/>
        <w:rPr>
          <w:rFonts w:hint="eastAsia" w:ascii="黑体" w:hAnsi="黑体" w:eastAsia="黑体" w:cs="黑体"/>
          <w:sz w:val="32"/>
          <w:szCs w:val="32"/>
          <w:shd w:val="clear" w:fill="FFFFFF"/>
        </w:rPr>
      </w:pPr>
      <w:bookmarkStart w:id="47" w:name="_Toc1153165510"/>
      <w:r>
        <w:rPr>
          <w:rFonts w:hint="eastAsia" w:ascii="黑体" w:hAnsi="黑体" w:eastAsia="黑体" w:cs="黑体"/>
          <w:sz w:val="32"/>
          <w:szCs w:val="32"/>
          <w:shd w:val="clear" w:fill="FFFFFF"/>
        </w:rPr>
        <w:t>九、国有资本经营预算支出决算情况说明</w:t>
      </w:r>
      <w:bookmarkEnd w:id="47"/>
    </w:p>
    <w:p w14:paraId="133A9B8F">
      <w:pPr>
        <w:keepNext w:val="0"/>
        <w:keepLines w:val="0"/>
        <w:pageBreakBefore w:val="0"/>
        <w:widowControl w:val="0"/>
        <w:kinsoku/>
        <w:wordWrap/>
        <w:overflowPunct/>
        <w:topLinePunct w:val="0"/>
        <w:autoSpaceDE/>
        <w:autoSpaceDN/>
        <w:bidi w:val="0"/>
        <w:adjustRightInd/>
        <w:snapToGrid/>
        <w:spacing w:afterAutospacing="0" w:line="576" w:lineRule="exact"/>
        <w:ind w:firstLine="640" w:firstLineChars="200"/>
        <w:textAlignment w:val="auto"/>
        <w:rPr>
          <w:rFonts w:hint="eastAsia" w:ascii="仿宋_GB2312" w:eastAsia="仿宋_GB2312" w:cs="仿宋_GB2312"/>
          <w:bCs/>
          <w:sz w:val="32"/>
          <w:szCs w:val="32"/>
          <w:lang w:val="en-US" w:eastAsia="zh-CN"/>
        </w:rPr>
      </w:pPr>
      <w:r>
        <w:rPr>
          <w:rFonts w:hint="eastAsia" w:ascii="仿宋_GB2312" w:eastAsia="仿宋_GB2312" w:cs="仿宋_GB2312"/>
          <w:bCs/>
          <w:sz w:val="32"/>
          <w:szCs w:val="32"/>
          <w:lang w:val="en-US" w:eastAsia="zh-CN"/>
        </w:rPr>
        <w:t>2025年度国有资本经营预算财政拨款支出0万元。 </w:t>
      </w:r>
    </w:p>
    <w:p w14:paraId="6972FE77">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left="0" w:firstLine="640" w:firstLineChars="200"/>
        <w:jc w:val="left"/>
        <w:textAlignment w:val="auto"/>
        <w:outlineLvl w:val="1"/>
        <w:rPr>
          <w:rFonts w:hint="eastAsia" w:ascii="黑体" w:hAnsi="黑体" w:eastAsia="黑体" w:cs="黑体"/>
          <w:sz w:val="32"/>
          <w:szCs w:val="32"/>
          <w:shd w:val="clear" w:fill="FFFFFF"/>
        </w:rPr>
      </w:pPr>
      <w:bookmarkStart w:id="48" w:name="_Toc633426180"/>
      <w:r>
        <w:rPr>
          <w:rFonts w:hint="eastAsia" w:ascii="黑体" w:hAnsi="黑体" w:eastAsia="黑体" w:cs="黑体"/>
          <w:sz w:val="32"/>
          <w:szCs w:val="32"/>
          <w:shd w:val="clear" w:fill="FFFFFF"/>
        </w:rPr>
        <w:t>十、其他重要事项的情况说明</w:t>
      </w:r>
      <w:bookmarkEnd w:id="48"/>
    </w:p>
    <w:p w14:paraId="5F6E4D50">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firstLine="640" w:firstLineChars="200"/>
        <w:jc w:val="left"/>
        <w:textAlignment w:val="auto"/>
        <w:outlineLvl w:val="9"/>
        <w:rPr>
          <w:rFonts w:hint="eastAsia" w:ascii="黑体" w:hAnsi="黑体" w:eastAsia="黑体" w:cs="黑体"/>
          <w:sz w:val="32"/>
          <w:szCs w:val="32"/>
          <w:shd w:val="clear" w:fill="FFFFFF"/>
          <w:lang w:val="en-US" w:eastAsia="zh-CN"/>
        </w:rPr>
      </w:pPr>
      <w:r>
        <w:rPr>
          <w:rFonts w:hint="eastAsia" w:ascii="黑体" w:hAnsi="黑体" w:eastAsia="黑体" w:cs="黑体"/>
          <w:sz w:val="32"/>
          <w:szCs w:val="32"/>
          <w:shd w:val="clear" w:fill="FFFFFF"/>
          <w:lang w:val="en-US" w:eastAsia="zh-CN"/>
        </w:rPr>
        <w:t>（一）机关运行经费支出情况</w:t>
      </w:r>
    </w:p>
    <w:p w14:paraId="3EFA60B3">
      <w:pPr>
        <w:spacing w:line="600" w:lineRule="exact"/>
        <w:ind w:firstLine="640" w:firstLineChars="200"/>
      </w:pPr>
      <w:r>
        <w:rPr>
          <w:rFonts w:hint="eastAsia" w:ascii="仿宋_GB2312" w:eastAsia="仿宋_GB2312" w:cs="仿宋_GB2312"/>
          <w:bCs/>
          <w:sz w:val="32"/>
          <w:szCs w:val="32"/>
          <w:lang w:val="en-US" w:eastAsia="zh-CN"/>
        </w:rPr>
        <w:t>2025年度茂县生产力促进中心机关运行经费支出0万元</w:t>
      </w:r>
      <w:r>
        <w:rPr>
          <w:rFonts w:hint="eastAsia" w:ascii="仿宋_GB2312" w:hAnsi="宋体" w:eastAsia="仿宋_GB2312" w:cs="仿宋_GB2312"/>
          <w:bCs/>
          <w:kern w:val="0"/>
          <w:sz w:val="32"/>
          <w:szCs w:val="32"/>
          <w:lang w:val="en-US" w:eastAsia="zh-CN" w:bidi="ar"/>
        </w:rPr>
        <w:t>。</w:t>
      </w:r>
    </w:p>
    <w:p w14:paraId="285E96C7">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firstLine="640" w:firstLineChars="200"/>
        <w:jc w:val="left"/>
        <w:textAlignment w:val="auto"/>
        <w:outlineLvl w:val="9"/>
        <w:rPr>
          <w:rFonts w:hint="eastAsia" w:ascii="黑体" w:hAnsi="黑体" w:eastAsia="黑体" w:cs="黑体"/>
          <w:sz w:val="32"/>
          <w:szCs w:val="32"/>
          <w:shd w:val="clear" w:fill="FFFFFF"/>
          <w:lang w:val="en-US" w:eastAsia="zh-CN"/>
        </w:rPr>
      </w:pPr>
      <w:r>
        <w:rPr>
          <w:rFonts w:hint="eastAsia" w:ascii="黑体" w:hAnsi="黑体" w:eastAsia="黑体" w:cs="黑体"/>
          <w:sz w:val="32"/>
          <w:szCs w:val="32"/>
          <w:shd w:val="clear" w:fill="FFFFFF"/>
          <w:lang w:val="en-US" w:eastAsia="zh-CN"/>
        </w:rPr>
        <w:t>（二）政府采购支出情况</w:t>
      </w:r>
    </w:p>
    <w:p w14:paraId="7D2C40B9">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left="0" w:firstLine="640" w:firstLineChars="200"/>
        <w:jc w:val="left"/>
        <w:textAlignment w:val="auto"/>
        <w:rPr>
          <w:rFonts w:hint="eastAsia" w:ascii="仿宋_GB2312" w:eastAsia="仿宋_GB2312" w:cs="仿宋_GB2312" w:hAnsiTheme="minorEastAsia"/>
          <w:bCs/>
          <w:kern w:val="0"/>
          <w:sz w:val="32"/>
          <w:szCs w:val="32"/>
          <w:lang w:val="en-US" w:eastAsia="zh-CN" w:bidi="ar"/>
        </w:rPr>
      </w:pPr>
      <w:r>
        <w:rPr>
          <w:rFonts w:hint="eastAsia" w:ascii="仿宋_GB2312" w:eastAsia="仿宋_GB2312" w:cs="仿宋_GB2312"/>
          <w:bCs/>
          <w:kern w:val="0"/>
          <w:sz w:val="32"/>
          <w:szCs w:val="32"/>
          <w:lang w:val="en-US" w:eastAsia="zh-CN" w:bidi="ar"/>
        </w:rPr>
        <w:t>2025</w:t>
      </w:r>
      <w:r>
        <w:rPr>
          <w:rFonts w:hint="eastAsia" w:ascii="仿宋_GB2312" w:eastAsia="仿宋_GB2312" w:cs="仿宋_GB2312" w:hAnsiTheme="minorEastAsia"/>
          <w:bCs/>
          <w:kern w:val="0"/>
          <w:sz w:val="32"/>
          <w:szCs w:val="32"/>
          <w:lang w:val="en-US" w:eastAsia="zh-CN" w:bidi="ar"/>
        </w:rPr>
        <w:t>年</w:t>
      </w:r>
      <w:r>
        <w:rPr>
          <w:rFonts w:hint="eastAsia" w:ascii="仿宋_GB2312" w:eastAsia="仿宋_GB2312" w:cs="仿宋_GB2312"/>
          <w:bCs/>
          <w:kern w:val="0"/>
          <w:sz w:val="32"/>
          <w:szCs w:val="32"/>
          <w:lang w:val="en-US" w:eastAsia="zh-CN" w:bidi="ar"/>
        </w:rPr>
        <w:t>度</w:t>
      </w:r>
      <w:r>
        <w:rPr>
          <w:rFonts w:hint="eastAsia" w:ascii="仿宋_GB2312" w:eastAsia="仿宋_GB2312" w:cs="仿宋_GB2312" w:hAnsiTheme="minorEastAsia"/>
          <w:bCs/>
          <w:kern w:val="0"/>
          <w:sz w:val="32"/>
          <w:szCs w:val="32"/>
          <w:lang w:val="en-US" w:eastAsia="zh-CN" w:bidi="ar"/>
        </w:rPr>
        <w:t>茂县生产力促进中心政府采购支出总额</w:t>
      </w:r>
      <w:r>
        <w:rPr>
          <w:rFonts w:hint="eastAsia" w:ascii="仿宋_GB2312" w:eastAsia="仿宋_GB2312" w:cs="仿宋_GB2312"/>
          <w:bCs/>
          <w:kern w:val="0"/>
          <w:sz w:val="32"/>
          <w:szCs w:val="32"/>
          <w:lang w:val="en-US" w:eastAsia="zh-CN" w:bidi="ar"/>
        </w:rPr>
        <w:t>0</w:t>
      </w:r>
      <w:r>
        <w:rPr>
          <w:rFonts w:hint="eastAsia" w:ascii="仿宋_GB2312" w:eastAsia="仿宋_GB2312" w:cs="仿宋_GB2312" w:hAnsiTheme="minorEastAsia"/>
          <w:bCs/>
          <w:kern w:val="0"/>
          <w:sz w:val="32"/>
          <w:szCs w:val="32"/>
          <w:lang w:val="en-US" w:eastAsia="zh-CN" w:bidi="ar"/>
        </w:rPr>
        <w:t>万元，其中：政府采购货物支出</w:t>
      </w:r>
      <w:r>
        <w:rPr>
          <w:rFonts w:hint="eastAsia" w:ascii="仿宋_GB2312" w:eastAsia="仿宋_GB2312" w:cs="仿宋_GB2312"/>
          <w:bCs/>
          <w:kern w:val="0"/>
          <w:sz w:val="32"/>
          <w:szCs w:val="32"/>
          <w:lang w:val="en-US" w:eastAsia="zh-CN" w:bidi="ar"/>
        </w:rPr>
        <w:t>0</w:t>
      </w:r>
      <w:r>
        <w:rPr>
          <w:rFonts w:hint="eastAsia" w:ascii="仿宋_GB2312" w:eastAsia="仿宋_GB2312" w:cs="仿宋_GB2312" w:hAnsiTheme="minorEastAsia"/>
          <w:bCs/>
          <w:kern w:val="0"/>
          <w:sz w:val="32"/>
          <w:szCs w:val="32"/>
          <w:lang w:val="en-US" w:eastAsia="zh-CN" w:bidi="ar"/>
        </w:rPr>
        <w:t>万元、政府采购工程支出</w:t>
      </w:r>
      <w:r>
        <w:rPr>
          <w:rFonts w:hint="eastAsia" w:ascii="仿宋_GB2312" w:eastAsia="仿宋_GB2312" w:cs="仿宋_GB2312"/>
          <w:bCs/>
          <w:kern w:val="0"/>
          <w:sz w:val="32"/>
          <w:szCs w:val="32"/>
          <w:lang w:val="en-US" w:eastAsia="zh-CN" w:bidi="ar"/>
        </w:rPr>
        <w:t>0</w:t>
      </w:r>
      <w:r>
        <w:rPr>
          <w:rFonts w:hint="eastAsia" w:ascii="仿宋_GB2312" w:eastAsia="仿宋_GB2312" w:cs="仿宋_GB2312" w:hAnsiTheme="minorEastAsia"/>
          <w:bCs/>
          <w:kern w:val="0"/>
          <w:sz w:val="32"/>
          <w:szCs w:val="32"/>
          <w:lang w:val="en-US" w:eastAsia="zh-CN" w:bidi="ar"/>
        </w:rPr>
        <w:t>万元、政府采购服务支出</w:t>
      </w:r>
      <w:r>
        <w:rPr>
          <w:rFonts w:hint="eastAsia" w:ascii="仿宋_GB2312" w:eastAsia="仿宋_GB2312" w:cs="仿宋_GB2312"/>
          <w:bCs/>
          <w:kern w:val="0"/>
          <w:sz w:val="32"/>
          <w:szCs w:val="32"/>
          <w:lang w:val="en-US" w:eastAsia="zh-CN" w:bidi="ar"/>
        </w:rPr>
        <w:t>0</w:t>
      </w:r>
      <w:r>
        <w:rPr>
          <w:rFonts w:hint="eastAsia" w:ascii="仿宋_GB2312" w:eastAsia="仿宋_GB2312" w:cs="仿宋_GB2312" w:hAnsiTheme="minorEastAsia"/>
          <w:bCs/>
          <w:kern w:val="0"/>
          <w:sz w:val="32"/>
          <w:szCs w:val="32"/>
          <w:lang w:val="en-US" w:eastAsia="zh-CN" w:bidi="ar"/>
        </w:rPr>
        <w:t>万元。授予中小企业合同金额</w:t>
      </w:r>
      <w:r>
        <w:rPr>
          <w:rFonts w:hint="eastAsia" w:ascii="仿宋_GB2312" w:eastAsia="仿宋_GB2312" w:cs="仿宋_GB2312"/>
          <w:bCs/>
          <w:kern w:val="0"/>
          <w:sz w:val="32"/>
          <w:szCs w:val="32"/>
          <w:lang w:val="en-US" w:eastAsia="zh-CN" w:bidi="ar"/>
        </w:rPr>
        <w:t>0</w:t>
      </w:r>
      <w:r>
        <w:rPr>
          <w:rFonts w:hint="eastAsia" w:ascii="仿宋_GB2312" w:eastAsia="仿宋_GB2312" w:cs="仿宋_GB2312" w:hAnsiTheme="minorEastAsia"/>
          <w:bCs/>
          <w:kern w:val="0"/>
          <w:sz w:val="32"/>
          <w:szCs w:val="32"/>
          <w:lang w:val="en-US" w:eastAsia="zh-CN" w:bidi="ar"/>
        </w:rPr>
        <w:t>万元，占政府采购支出总额的</w:t>
      </w:r>
      <w:r>
        <w:rPr>
          <w:rFonts w:hint="eastAsia" w:ascii="仿宋_GB2312" w:eastAsia="仿宋_GB2312" w:cs="仿宋_GB2312"/>
          <w:bCs/>
          <w:kern w:val="0"/>
          <w:sz w:val="32"/>
          <w:szCs w:val="32"/>
          <w:lang w:val="en-US" w:eastAsia="zh-CN" w:bidi="ar"/>
        </w:rPr>
        <w:t>0</w:t>
      </w:r>
      <w:r>
        <w:rPr>
          <w:rFonts w:hint="eastAsia" w:ascii="仿宋_GB2312" w:eastAsia="仿宋_GB2312" w:cs="仿宋_GB2312" w:hAnsiTheme="minorEastAsia"/>
          <w:bCs/>
          <w:kern w:val="0"/>
          <w:sz w:val="32"/>
          <w:szCs w:val="32"/>
          <w:lang w:val="en-US" w:eastAsia="zh-CN" w:bidi="ar"/>
        </w:rPr>
        <w:t>%，授予小微企业合同金额</w:t>
      </w:r>
      <w:r>
        <w:rPr>
          <w:rFonts w:hint="eastAsia" w:ascii="仿宋_GB2312" w:eastAsia="仿宋_GB2312" w:cs="仿宋_GB2312"/>
          <w:bCs/>
          <w:kern w:val="0"/>
          <w:sz w:val="32"/>
          <w:szCs w:val="32"/>
          <w:lang w:val="en-US" w:eastAsia="zh-CN" w:bidi="ar"/>
        </w:rPr>
        <w:t>0</w:t>
      </w:r>
      <w:r>
        <w:rPr>
          <w:rFonts w:hint="eastAsia" w:ascii="仿宋_GB2312" w:eastAsia="仿宋_GB2312" w:cs="仿宋_GB2312" w:hAnsiTheme="minorEastAsia"/>
          <w:bCs/>
          <w:kern w:val="0"/>
          <w:sz w:val="32"/>
          <w:szCs w:val="32"/>
          <w:lang w:val="en-US" w:eastAsia="zh-CN" w:bidi="ar"/>
        </w:rPr>
        <w:t>万元，占政府采购支出总额的</w:t>
      </w:r>
      <w:r>
        <w:rPr>
          <w:rFonts w:hint="eastAsia" w:ascii="仿宋_GB2312" w:eastAsia="仿宋_GB2312" w:cs="仿宋_GB2312"/>
          <w:bCs/>
          <w:kern w:val="0"/>
          <w:sz w:val="32"/>
          <w:szCs w:val="32"/>
          <w:lang w:val="en-US" w:eastAsia="zh-CN" w:bidi="ar"/>
        </w:rPr>
        <w:t>0</w:t>
      </w:r>
      <w:r>
        <w:rPr>
          <w:rFonts w:hint="eastAsia" w:ascii="仿宋_GB2312" w:eastAsia="仿宋_GB2312" w:cs="仿宋_GB2312" w:hAnsiTheme="minorEastAsia"/>
          <w:bCs/>
          <w:kern w:val="0"/>
          <w:sz w:val="32"/>
          <w:szCs w:val="32"/>
          <w:lang w:val="en-US" w:eastAsia="zh-CN" w:bidi="ar"/>
        </w:rPr>
        <w:t>%。</w:t>
      </w:r>
    </w:p>
    <w:p w14:paraId="369FE970">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firstLine="640" w:firstLineChars="200"/>
        <w:jc w:val="left"/>
        <w:textAlignment w:val="auto"/>
        <w:outlineLvl w:val="9"/>
        <w:rPr>
          <w:rFonts w:hint="eastAsia" w:ascii="黑体" w:hAnsi="黑体" w:eastAsia="黑体" w:cs="黑体"/>
          <w:sz w:val="32"/>
          <w:szCs w:val="32"/>
          <w:shd w:val="clear" w:fill="FFFFFF"/>
          <w:lang w:val="en-US" w:eastAsia="zh-CN"/>
        </w:rPr>
      </w:pPr>
      <w:r>
        <w:rPr>
          <w:rFonts w:hint="eastAsia" w:ascii="黑体" w:hAnsi="黑体" w:eastAsia="黑体" w:cs="黑体"/>
          <w:sz w:val="32"/>
          <w:szCs w:val="32"/>
          <w:shd w:val="clear" w:fill="FFFFFF"/>
          <w:lang w:val="en-US" w:eastAsia="zh-CN"/>
        </w:rPr>
        <w:t>（三）国有资产占有使用情况</w:t>
      </w:r>
    </w:p>
    <w:p w14:paraId="76FF341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hAnsiTheme="minorEastAsia"/>
          <w:bCs/>
          <w:kern w:val="0"/>
          <w:sz w:val="32"/>
          <w:szCs w:val="32"/>
          <w:lang w:val="en-US" w:eastAsia="zh-CN" w:bidi="ar"/>
        </w:rPr>
      </w:pPr>
      <w:r>
        <w:rPr>
          <w:rFonts w:hint="eastAsia" w:ascii="仿宋_GB2312" w:eastAsia="仿宋_GB2312" w:cs="仿宋_GB2312" w:hAnsiTheme="minorEastAsia"/>
          <w:bCs/>
          <w:kern w:val="0"/>
          <w:sz w:val="32"/>
          <w:szCs w:val="32"/>
          <w:lang w:val="en-US" w:eastAsia="zh-CN" w:bidi="ar"/>
        </w:rPr>
        <w:t>截至</w:t>
      </w:r>
      <w:r>
        <w:rPr>
          <w:rFonts w:hint="eastAsia" w:ascii="仿宋_GB2312" w:eastAsia="仿宋_GB2312" w:cs="仿宋_GB2312"/>
          <w:bCs/>
          <w:kern w:val="0"/>
          <w:sz w:val="32"/>
          <w:szCs w:val="32"/>
          <w:lang w:val="en-US" w:eastAsia="zh-CN" w:bidi="ar"/>
        </w:rPr>
        <w:t>2025</w:t>
      </w:r>
      <w:r>
        <w:rPr>
          <w:rFonts w:hint="eastAsia" w:ascii="仿宋_GB2312" w:eastAsia="仿宋_GB2312" w:cs="仿宋_GB2312" w:hAnsiTheme="minorEastAsia"/>
          <w:bCs/>
          <w:kern w:val="0"/>
          <w:sz w:val="32"/>
          <w:szCs w:val="32"/>
          <w:lang w:val="en-US" w:eastAsia="zh-CN" w:bidi="ar"/>
        </w:rPr>
        <w:t>年12月31日，茂县生产力促进中心共有车辆0辆。</w:t>
      </w:r>
    </w:p>
    <w:p w14:paraId="074FFE35">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firstLine="640" w:firstLineChars="200"/>
        <w:jc w:val="left"/>
        <w:textAlignment w:val="auto"/>
        <w:outlineLvl w:val="9"/>
        <w:rPr>
          <w:rFonts w:hint="eastAsia" w:ascii="黑体" w:hAnsi="黑体" w:eastAsia="黑体" w:cs="黑体"/>
          <w:sz w:val="32"/>
          <w:szCs w:val="32"/>
          <w:shd w:val="clear" w:fill="FFFFFF"/>
          <w:lang w:val="en-US" w:eastAsia="zh-CN"/>
        </w:rPr>
      </w:pPr>
      <w:r>
        <w:rPr>
          <w:rFonts w:hint="eastAsia" w:ascii="黑体" w:hAnsi="黑体" w:eastAsia="黑体" w:cs="黑体"/>
          <w:sz w:val="32"/>
          <w:szCs w:val="32"/>
          <w:shd w:val="clear" w:fill="FFFFFF"/>
          <w:lang w:val="en-US" w:eastAsia="zh-CN"/>
        </w:rPr>
        <w:t>（四）预算绩效管理情况</w:t>
      </w:r>
    </w:p>
    <w:p w14:paraId="38FFB85B">
      <w:pPr>
        <w:keepNext w:val="0"/>
        <w:keepLines w:val="0"/>
        <w:pageBreakBefore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eastAsia="zh-CN"/>
        </w:rPr>
        <w:t>根据预算绩效管理要求，本单位在</w:t>
      </w:r>
      <w:r>
        <w:rPr>
          <w:rFonts w:hint="eastAsia" w:ascii="仿宋_GB2312" w:hAnsi="Times New Roman" w:eastAsia="仿宋_GB2312" w:cs="Times New Roman"/>
          <w:color w:val="auto"/>
          <w:sz w:val="32"/>
          <w:szCs w:val="32"/>
          <w:highlight w:val="none"/>
          <w:lang w:val="en-US" w:eastAsia="zh-CN"/>
        </w:rPr>
        <w:t>2025年度</w:t>
      </w:r>
      <w:r>
        <w:rPr>
          <w:rFonts w:hint="eastAsia" w:ascii="仿宋_GB2312" w:hAnsi="Times New Roman" w:eastAsia="仿宋_GB2312" w:cs="Times New Roman"/>
          <w:color w:val="auto"/>
          <w:sz w:val="32"/>
          <w:szCs w:val="32"/>
          <w:highlight w:val="none"/>
          <w:lang w:eastAsia="zh-CN"/>
        </w:rPr>
        <w:t>组织对</w:t>
      </w:r>
      <w:r>
        <w:rPr>
          <w:rFonts w:hint="eastAsia" w:ascii="仿宋_GB2312" w:hAnsi="Times New Roman" w:eastAsia="仿宋_GB2312" w:cs="Times New Roman"/>
          <w:color w:val="auto"/>
          <w:sz w:val="32"/>
          <w:szCs w:val="32"/>
          <w:highlight w:val="none"/>
          <w:lang w:val="en-US" w:eastAsia="zh-CN"/>
        </w:rPr>
        <w:t>2024年阿坝州应用技术研究与开发项目茂县企业项目</w:t>
      </w:r>
      <w:r>
        <w:rPr>
          <w:rFonts w:hint="eastAsia" w:ascii="仿宋_GB2312" w:hAnsi="Times New Roman" w:eastAsia="仿宋_GB2312" w:cs="Times New Roman"/>
          <w:color w:val="auto"/>
          <w:sz w:val="32"/>
          <w:szCs w:val="32"/>
          <w:highlight w:val="none"/>
          <w:lang w:eastAsia="zh-CN"/>
        </w:rPr>
        <w:t>开展了预算事前绩效评估，预算执行过程中，对</w:t>
      </w:r>
      <w:r>
        <w:rPr>
          <w:rFonts w:hint="eastAsia" w:ascii="仿宋_GB2312" w:hAnsi="Times New Roman" w:eastAsia="仿宋_GB2312" w:cs="Times New Roman"/>
          <w:color w:val="auto"/>
          <w:sz w:val="32"/>
          <w:szCs w:val="32"/>
          <w:highlight w:val="none"/>
          <w:lang w:val="en-US" w:eastAsia="zh-CN"/>
        </w:rPr>
        <w:t>2024年阿坝州应用技术研究与开发项目茂县企业项目开展绩效自评，支出绩效自评表详见第四部分附件。</w:t>
      </w:r>
    </w:p>
    <w:p w14:paraId="23616253">
      <w:pPr>
        <w:pStyle w:val="2"/>
        <w:rPr>
          <w:rFonts w:hint="eastAsia" w:ascii="仿宋_GB2312" w:hAnsi="Times New Roman" w:eastAsia="仿宋_GB2312" w:cs="Times New Roman"/>
          <w:color w:val="auto"/>
          <w:sz w:val="32"/>
          <w:szCs w:val="32"/>
          <w:highlight w:val="none"/>
          <w:lang w:val="en-US" w:eastAsia="zh-CN"/>
        </w:rPr>
      </w:pPr>
    </w:p>
    <w:p w14:paraId="353BBCB1">
      <w:pPr>
        <w:pStyle w:val="2"/>
        <w:rPr>
          <w:rFonts w:hint="eastAsia"/>
          <w:lang w:val="en-US" w:eastAsia="zh-CN"/>
        </w:rPr>
      </w:pPr>
      <w:bookmarkStart w:id="69" w:name="_GoBack"/>
      <w:bookmarkEnd w:id="69"/>
    </w:p>
    <w:p w14:paraId="31EC9C81">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jc w:val="center"/>
        <w:textAlignment w:val="auto"/>
        <w:rPr>
          <w:rFonts w:hint="eastAsia" w:ascii="黑体" w:hAnsi="黑体" w:eastAsia="黑体" w:cs="黑体"/>
          <w:b w:val="0"/>
          <w:bCs w:val="0"/>
          <w:sz w:val="44"/>
          <w:szCs w:val="44"/>
          <w:shd w:val="clear" w:fill="FFFFFF"/>
          <w:lang w:val="en-US" w:eastAsia="zh-CN"/>
        </w:rPr>
      </w:pPr>
      <w:bookmarkStart w:id="49" w:name="_Toc1103032562"/>
      <w:r>
        <w:rPr>
          <w:rFonts w:hint="eastAsia" w:ascii="黑体" w:hAnsi="黑体" w:eastAsia="黑体" w:cs="黑体"/>
          <w:b w:val="0"/>
          <w:bCs w:val="0"/>
          <w:sz w:val="44"/>
          <w:szCs w:val="44"/>
          <w:shd w:val="clear" w:fill="FFFFFF"/>
          <w:lang w:val="en-US" w:eastAsia="zh-CN"/>
        </w:rPr>
        <w:t>第三部分 名词解释</w:t>
      </w:r>
      <w:bookmarkEnd w:id="49"/>
    </w:p>
    <w:p w14:paraId="264E3F6C">
      <w:pPr>
        <w:pStyle w:val="18"/>
        <w:keepNext w:val="0"/>
        <w:keepLines w:val="0"/>
        <w:pageBreakBefore w:val="0"/>
        <w:widowControl w:val="0"/>
        <w:kinsoku/>
        <w:wordWrap/>
        <w:overflowPunct/>
        <w:topLinePunct w:val="0"/>
        <w:bidi w:val="0"/>
        <w:snapToGrid/>
        <w:spacing w:afterAutospacing="0" w:line="576" w:lineRule="exact"/>
        <w:ind w:firstLine="640" w:firstLineChars="200"/>
        <w:textAlignment w:val="auto"/>
        <w:outlineLvl w:val="9"/>
        <w:rPr>
          <w:rFonts w:ascii="仿宋_GB2312" w:eastAsia="仿宋_GB2312"/>
          <w:sz w:val="32"/>
          <w:szCs w:val="32"/>
        </w:rPr>
      </w:pPr>
      <w:r>
        <w:rPr>
          <w:rFonts w:ascii="仿宋_GB2312" w:eastAsia="仿宋_GB2312"/>
          <w:sz w:val="32"/>
          <w:szCs w:val="32"/>
        </w:rPr>
        <w:t>1.财政拨款收入：指单位从同级财政部门取得的财政预算资金。</w:t>
      </w:r>
    </w:p>
    <w:p w14:paraId="2F5DC9DD">
      <w:pPr>
        <w:pStyle w:val="18"/>
        <w:keepNext w:val="0"/>
        <w:keepLines w:val="0"/>
        <w:pageBreakBefore w:val="0"/>
        <w:widowControl w:val="0"/>
        <w:kinsoku/>
        <w:wordWrap/>
        <w:overflowPunct/>
        <w:topLinePunct w:val="0"/>
        <w:bidi w:val="0"/>
        <w:snapToGrid/>
        <w:spacing w:afterAutospacing="0" w:line="576" w:lineRule="exact"/>
        <w:ind w:firstLine="640" w:firstLineChars="200"/>
        <w:textAlignment w:val="auto"/>
        <w:outlineLvl w:val="9"/>
        <w:rPr>
          <w:rFonts w:ascii="仿宋_GB2312" w:eastAsia="仿宋_GB2312"/>
          <w:sz w:val="32"/>
          <w:szCs w:val="32"/>
        </w:rPr>
      </w:pPr>
      <w:r>
        <w:rPr>
          <w:rFonts w:ascii="仿宋_GB2312" w:eastAsia="仿宋_GB2312"/>
          <w:sz w:val="32"/>
          <w:szCs w:val="32"/>
        </w:rPr>
        <w:t>2.事业收入：指事业单位开展专业业务活动及辅助活动取得的收入。</w:t>
      </w:r>
    </w:p>
    <w:p w14:paraId="4222FD26">
      <w:pPr>
        <w:pStyle w:val="18"/>
        <w:keepNext w:val="0"/>
        <w:keepLines w:val="0"/>
        <w:pageBreakBefore w:val="0"/>
        <w:widowControl w:val="0"/>
        <w:kinsoku/>
        <w:wordWrap/>
        <w:overflowPunct/>
        <w:topLinePunct w:val="0"/>
        <w:bidi w:val="0"/>
        <w:snapToGrid/>
        <w:spacing w:afterAutospacing="0" w:line="576" w:lineRule="exact"/>
        <w:ind w:firstLine="640" w:firstLineChars="200"/>
        <w:textAlignment w:val="auto"/>
        <w:outlineLvl w:val="9"/>
        <w:rPr>
          <w:rFonts w:hint="eastAsia" w:ascii="仿宋_GB2312" w:eastAsia="仿宋_GB2312"/>
          <w:sz w:val="32"/>
          <w:szCs w:val="32"/>
          <w:lang w:eastAsia="zh-CN"/>
        </w:rPr>
      </w:pPr>
      <w:r>
        <w:rPr>
          <w:rFonts w:ascii="仿宋_GB2312" w:eastAsia="仿宋_GB2312"/>
          <w:sz w:val="32"/>
          <w:szCs w:val="32"/>
        </w:rPr>
        <w:t>3.经营收入：指事业单位在专业业务活动及其辅助活动之外开展非独立核算经营活动取得的收入</w:t>
      </w:r>
      <w:r>
        <w:rPr>
          <w:rFonts w:hint="eastAsia" w:ascii="仿宋_GB2312" w:eastAsia="仿宋_GB2312"/>
          <w:sz w:val="32"/>
          <w:szCs w:val="32"/>
          <w:lang w:eastAsia="zh-CN"/>
        </w:rPr>
        <w:t>。</w:t>
      </w:r>
    </w:p>
    <w:p w14:paraId="24D564A6">
      <w:pPr>
        <w:pStyle w:val="18"/>
        <w:keepNext w:val="0"/>
        <w:keepLines w:val="0"/>
        <w:pageBreakBefore w:val="0"/>
        <w:widowControl w:val="0"/>
        <w:kinsoku/>
        <w:wordWrap/>
        <w:overflowPunct/>
        <w:topLinePunct w:val="0"/>
        <w:bidi w:val="0"/>
        <w:snapToGrid/>
        <w:spacing w:afterAutospacing="0" w:line="576" w:lineRule="exact"/>
        <w:ind w:firstLine="640" w:firstLineChars="200"/>
        <w:textAlignment w:val="auto"/>
        <w:outlineLvl w:val="9"/>
        <w:rPr>
          <w:rFonts w:ascii="仿宋_GB2312" w:eastAsia="仿宋_GB2312"/>
          <w:sz w:val="32"/>
          <w:szCs w:val="32"/>
        </w:rPr>
      </w:pPr>
      <w:r>
        <w:rPr>
          <w:rFonts w:ascii="仿宋_GB2312" w:eastAsia="仿宋_GB2312"/>
          <w:sz w:val="32"/>
          <w:szCs w:val="32"/>
        </w:rPr>
        <w:t>4.其他收入：指单位取得的除上述收入以外的各项收入。</w:t>
      </w:r>
    </w:p>
    <w:p w14:paraId="6515261F">
      <w:pPr>
        <w:keepNext w:val="0"/>
        <w:keepLines w:val="0"/>
        <w:pageBreakBefore w:val="0"/>
        <w:widowControl w:val="0"/>
        <w:kinsoku/>
        <w:wordWrap/>
        <w:overflowPunct/>
        <w:topLinePunct w:val="0"/>
        <w:bidi w:val="0"/>
        <w:snapToGrid/>
        <w:spacing w:afterAutospacing="0" w:line="576" w:lineRule="exact"/>
        <w:ind w:firstLine="640" w:firstLineChars="200"/>
        <w:textAlignment w:val="auto"/>
        <w:outlineLvl w:val="9"/>
        <w:rPr>
          <w:rFonts w:ascii="仿宋_GB2312" w:eastAsia="仿宋_GB2312"/>
          <w:sz w:val="32"/>
          <w:szCs w:val="32"/>
          <w:highlight w:val="none"/>
        </w:rPr>
      </w:pPr>
      <w:r>
        <w:rPr>
          <w:rFonts w:hint="eastAsia" w:ascii="仿宋_GB2312" w:eastAsia="仿宋_GB2312" w:cs="仿宋_GB2312"/>
          <w:sz w:val="32"/>
          <w:szCs w:val="32"/>
          <w:highlight w:val="none"/>
          <w:lang w:val="en-US" w:eastAsia="zh-CN"/>
        </w:rPr>
        <w:t>5.</w:t>
      </w:r>
      <w:r>
        <w:rPr>
          <w:rFonts w:hint="eastAsia" w:ascii="仿宋_GB2312" w:eastAsia="仿宋_GB2312" w:cs="仿宋_GB2312"/>
          <w:bCs/>
          <w:sz w:val="32"/>
          <w:szCs w:val="32"/>
          <w:highlight w:val="none"/>
        </w:rPr>
        <w:t>科学技术支出（</w:t>
      </w:r>
      <w:r>
        <w:rPr>
          <w:rFonts w:hint="eastAsia" w:ascii="仿宋_GB2312" w:eastAsia="仿宋_GB2312" w:cs="仿宋_GB2312"/>
          <w:bCs/>
          <w:sz w:val="32"/>
          <w:szCs w:val="32"/>
          <w:highlight w:val="none"/>
          <w:lang w:val="en-US" w:eastAsia="zh-CN"/>
        </w:rPr>
        <w:t>类</w:t>
      </w:r>
      <w:r>
        <w:rPr>
          <w:rFonts w:hint="eastAsia" w:ascii="仿宋_GB2312" w:eastAsia="仿宋_GB2312" w:cs="仿宋_GB2312"/>
          <w:bCs/>
          <w:sz w:val="32"/>
          <w:szCs w:val="32"/>
          <w:highlight w:val="none"/>
        </w:rPr>
        <w:t>）科学技术管理事物（</w:t>
      </w:r>
      <w:r>
        <w:rPr>
          <w:rFonts w:hint="eastAsia" w:ascii="仿宋_GB2312" w:eastAsia="仿宋_GB2312" w:cs="仿宋_GB2312"/>
          <w:sz w:val="32"/>
          <w:szCs w:val="32"/>
          <w:highlight w:val="none"/>
          <w:lang w:val="en-US" w:eastAsia="zh-CN"/>
        </w:rPr>
        <w:t>款</w:t>
      </w:r>
      <w:r>
        <w:rPr>
          <w:rFonts w:hint="eastAsia" w:ascii="仿宋_GB2312" w:eastAsia="仿宋_GB2312" w:cs="仿宋_GB2312"/>
          <w:bCs/>
          <w:sz w:val="32"/>
          <w:szCs w:val="32"/>
          <w:highlight w:val="none"/>
        </w:rPr>
        <w:t>）其他科学技术管理事物支出（</w:t>
      </w:r>
      <w:r>
        <w:rPr>
          <w:rFonts w:hint="eastAsia" w:ascii="仿宋_GB2312" w:eastAsia="仿宋_GB2312" w:cs="仿宋_GB2312"/>
          <w:bCs/>
          <w:sz w:val="32"/>
          <w:szCs w:val="32"/>
          <w:highlight w:val="none"/>
          <w:lang w:val="en-US" w:eastAsia="zh-CN"/>
        </w:rPr>
        <w:t>项</w:t>
      </w:r>
      <w:r>
        <w:rPr>
          <w:rFonts w:hint="eastAsia" w:ascii="仿宋_GB2312" w:eastAsia="仿宋_GB2312" w:cs="仿宋_GB2312"/>
          <w:bCs/>
          <w:sz w:val="32"/>
          <w:szCs w:val="32"/>
          <w:highlight w:val="none"/>
        </w:rPr>
        <w:t>）：指反应其他用于科学技术管理事物方面的支出</w:t>
      </w:r>
      <w:r>
        <w:rPr>
          <w:rFonts w:hint="eastAsia" w:ascii="仿宋_GB2312" w:eastAsia="仿宋_GB2312" w:cs="仿宋_GB2312"/>
          <w:sz w:val="32"/>
          <w:szCs w:val="32"/>
          <w:highlight w:val="none"/>
        </w:rPr>
        <w:t>。</w:t>
      </w:r>
    </w:p>
    <w:p w14:paraId="61E7997E">
      <w:pPr>
        <w:keepNext w:val="0"/>
        <w:keepLines w:val="0"/>
        <w:pageBreakBefore w:val="0"/>
        <w:widowControl w:val="0"/>
        <w:kinsoku/>
        <w:wordWrap/>
        <w:overflowPunct/>
        <w:topLinePunct w:val="0"/>
        <w:bidi w:val="0"/>
        <w:snapToGrid/>
        <w:spacing w:afterAutospacing="0" w:line="576" w:lineRule="exact"/>
        <w:ind w:firstLine="640" w:firstLineChars="200"/>
        <w:textAlignment w:val="auto"/>
        <w:outlineLvl w:val="9"/>
        <w:rPr>
          <w:rFonts w:ascii="仿宋_GB2312" w:eastAsia="仿宋_GB2312"/>
          <w:sz w:val="32"/>
          <w:szCs w:val="32"/>
        </w:rPr>
      </w:pPr>
      <w:r>
        <w:rPr>
          <w:rFonts w:hint="eastAsia" w:ascii="仿宋_GB2312" w:eastAsia="仿宋_GB2312" w:cs="仿宋_GB2312"/>
          <w:bCs/>
          <w:sz w:val="32"/>
          <w:szCs w:val="32"/>
          <w:lang w:val="en-US" w:eastAsia="zh-CN"/>
        </w:rPr>
        <w:t>6.</w:t>
      </w:r>
      <w:r>
        <w:rPr>
          <w:rFonts w:hint="eastAsia" w:ascii="仿宋_GB2312" w:eastAsia="仿宋_GB2312" w:cs="仿宋_GB2312"/>
          <w:bCs/>
          <w:sz w:val="32"/>
          <w:szCs w:val="32"/>
        </w:rPr>
        <w:t>科学技术支出（</w:t>
      </w:r>
      <w:r>
        <w:rPr>
          <w:rFonts w:hint="eastAsia" w:ascii="仿宋_GB2312" w:eastAsia="仿宋_GB2312" w:cs="仿宋_GB2312"/>
          <w:bCs/>
          <w:sz w:val="32"/>
          <w:szCs w:val="32"/>
          <w:lang w:val="en-US" w:eastAsia="zh-CN"/>
        </w:rPr>
        <w:t>类</w:t>
      </w:r>
      <w:r>
        <w:rPr>
          <w:rFonts w:hint="eastAsia" w:ascii="仿宋_GB2312" w:eastAsia="仿宋_GB2312" w:cs="仿宋_GB2312"/>
          <w:bCs/>
          <w:sz w:val="32"/>
          <w:szCs w:val="32"/>
        </w:rPr>
        <w:t>）技术研究与开发（</w:t>
      </w:r>
      <w:r>
        <w:rPr>
          <w:rFonts w:hint="eastAsia" w:ascii="仿宋_GB2312" w:eastAsia="仿宋_GB2312" w:cs="仿宋_GB2312"/>
          <w:sz w:val="32"/>
          <w:szCs w:val="32"/>
          <w:lang w:val="en-US" w:eastAsia="zh-CN"/>
        </w:rPr>
        <w:t>款</w:t>
      </w:r>
      <w:r>
        <w:rPr>
          <w:rFonts w:hint="eastAsia" w:ascii="仿宋_GB2312" w:eastAsia="仿宋_GB2312" w:cs="仿宋_GB2312"/>
          <w:bCs/>
          <w:sz w:val="32"/>
          <w:szCs w:val="32"/>
        </w:rPr>
        <w:t>）科技成果转化与扩散（</w:t>
      </w:r>
      <w:r>
        <w:rPr>
          <w:rFonts w:hint="eastAsia" w:ascii="仿宋_GB2312" w:eastAsia="仿宋_GB2312" w:cs="仿宋_GB2312"/>
          <w:bCs/>
          <w:sz w:val="32"/>
          <w:szCs w:val="32"/>
          <w:lang w:val="en-US" w:eastAsia="zh-CN"/>
        </w:rPr>
        <w:t>项</w:t>
      </w:r>
      <w:r>
        <w:rPr>
          <w:rFonts w:hint="eastAsia" w:ascii="仿宋_GB2312" w:eastAsia="仿宋_GB2312" w:cs="仿宋_GB2312"/>
          <w:bCs/>
          <w:sz w:val="32"/>
          <w:szCs w:val="32"/>
        </w:rPr>
        <w:t>）：指反映促进科技成果转化为实现生产力的应用、推广和引导性支出，以及基本建设支出中用于支持企业科技自主创新的支出</w:t>
      </w:r>
      <w:r>
        <w:rPr>
          <w:rFonts w:hint="eastAsia" w:ascii="仿宋_GB2312" w:eastAsia="仿宋_GB2312" w:cs="仿宋_GB2312"/>
          <w:sz w:val="32"/>
          <w:szCs w:val="32"/>
        </w:rPr>
        <w:t>。</w:t>
      </w:r>
    </w:p>
    <w:p w14:paraId="5A842B3D">
      <w:pPr>
        <w:keepNext w:val="0"/>
        <w:keepLines w:val="0"/>
        <w:pageBreakBefore w:val="0"/>
        <w:widowControl w:val="0"/>
        <w:kinsoku/>
        <w:wordWrap/>
        <w:overflowPunct/>
        <w:topLinePunct w:val="0"/>
        <w:bidi w:val="0"/>
        <w:snapToGrid/>
        <w:spacing w:afterAutospacing="0" w:line="576" w:lineRule="exact"/>
        <w:ind w:firstLine="640" w:firstLineChars="200"/>
        <w:textAlignment w:val="auto"/>
        <w:outlineLvl w:val="9"/>
        <w:rPr>
          <w:rFonts w:ascii="仿宋_GB2312" w:eastAsia="仿宋_GB2312"/>
          <w:sz w:val="32"/>
          <w:szCs w:val="32"/>
        </w:rPr>
      </w:pPr>
      <w:r>
        <w:rPr>
          <w:rFonts w:hint="eastAsia" w:ascii="仿宋_GB2312" w:eastAsia="仿宋_GB2312" w:cs="仿宋_GB2312"/>
          <w:sz w:val="32"/>
          <w:szCs w:val="32"/>
          <w:lang w:val="en-US" w:eastAsia="zh-CN"/>
        </w:rPr>
        <w:t>7.</w:t>
      </w:r>
      <w:r>
        <w:rPr>
          <w:rFonts w:hint="eastAsia" w:ascii="仿宋_GB2312" w:eastAsia="仿宋_GB2312" w:cs="仿宋_GB2312"/>
          <w:sz w:val="32"/>
          <w:szCs w:val="32"/>
        </w:rPr>
        <w:t>社会保障和就业支出（</w:t>
      </w:r>
      <w:r>
        <w:rPr>
          <w:rFonts w:hint="eastAsia" w:ascii="仿宋_GB2312" w:eastAsia="仿宋_GB2312" w:cs="仿宋_GB2312"/>
          <w:bCs/>
          <w:sz w:val="32"/>
          <w:szCs w:val="32"/>
          <w:lang w:val="en-US" w:eastAsia="zh-CN"/>
        </w:rPr>
        <w:t>类</w:t>
      </w:r>
      <w:r>
        <w:rPr>
          <w:rFonts w:hint="eastAsia" w:ascii="仿宋_GB2312" w:eastAsia="仿宋_GB2312" w:cs="仿宋_GB2312"/>
          <w:sz w:val="32"/>
          <w:szCs w:val="32"/>
        </w:rPr>
        <w:t>）行政事业单位退休（</w:t>
      </w:r>
      <w:r>
        <w:rPr>
          <w:rFonts w:hint="eastAsia" w:ascii="仿宋_GB2312" w:eastAsia="仿宋_GB2312" w:cs="仿宋_GB2312"/>
          <w:sz w:val="32"/>
          <w:szCs w:val="32"/>
          <w:lang w:val="en-US" w:eastAsia="zh-CN"/>
        </w:rPr>
        <w:t>款</w:t>
      </w:r>
      <w:r>
        <w:rPr>
          <w:rFonts w:hint="eastAsia" w:ascii="仿宋_GB2312" w:eastAsia="仿宋_GB2312" w:cs="仿宋_GB2312"/>
          <w:sz w:val="32"/>
          <w:szCs w:val="32"/>
        </w:rPr>
        <w:t>）机关事业单位基本养老保险缴费支出（</w:t>
      </w:r>
      <w:r>
        <w:rPr>
          <w:rFonts w:hint="eastAsia" w:ascii="仿宋_GB2312" w:eastAsia="仿宋_GB2312" w:cs="仿宋_GB2312"/>
          <w:bCs/>
          <w:sz w:val="32"/>
          <w:szCs w:val="32"/>
          <w:lang w:val="en-US" w:eastAsia="zh-CN"/>
        </w:rPr>
        <w:t>项</w:t>
      </w:r>
      <w:r>
        <w:rPr>
          <w:rFonts w:hint="eastAsia" w:ascii="仿宋_GB2312" w:eastAsia="仿宋_GB2312" w:cs="仿宋_GB2312"/>
          <w:sz w:val="32"/>
          <w:szCs w:val="32"/>
        </w:rPr>
        <w:t>）：指反映机关事业单位实施养老保险制度由单位缴纳的基本养老保险支出。</w:t>
      </w:r>
    </w:p>
    <w:p w14:paraId="42501CB6">
      <w:pPr>
        <w:pStyle w:val="18"/>
        <w:keepNext w:val="0"/>
        <w:keepLines w:val="0"/>
        <w:pageBreakBefore w:val="0"/>
        <w:widowControl w:val="0"/>
        <w:kinsoku/>
        <w:wordWrap/>
        <w:overflowPunct/>
        <w:topLinePunct w:val="0"/>
        <w:bidi w:val="0"/>
        <w:snapToGrid/>
        <w:spacing w:afterAutospacing="0" w:line="576"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lang w:val="en-US" w:eastAsia="zh-CN"/>
        </w:rPr>
        <w:t>8.</w:t>
      </w:r>
      <w:r>
        <w:rPr>
          <w:rFonts w:hint="eastAsia" w:ascii="仿宋_GB2312" w:eastAsia="仿宋_GB2312"/>
          <w:sz w:val="32"/>
          <w:szCs w:val="32"/>
        </w:rPr>
        <w:t>社会保障和就业支出（</w:t>
      </w:r>
      <w:r>
        <w:rPr>
          <w:rFonts w:hint="eastAsia" w:ascii="仿宋_GB2312" w:eastAsia="仿宋_GB2312" w:cs="仿宋_GB2312"/>
          <w:bCs/>
          <w:sz w:val="32"/>
          <w:szCs w:val="32"/>
          <w:lang w:val="en-US" w:eastAsia="zh-CN"/>
        </w:rPr>
        <w:t>类</w:t>
      </w:r>
      <w:r>
        <w:rPr>
          <w:rFonts w:hint="eastAsia" w:ascii="仿宋_GB2312" w:eastAsia="仿宋_GB2312"/>
          <w:sz w:val="32"/>
          <w:szCs w:val="32"/>
        </w:rPr>
        <w:t>）行政事业单位退休（</w:t>
      </w:r>
      <w:r>
        <w:rPr>
          <w:rFonts w:hint="eastAsia" w:ascii="仿宋_GB2312" w:eastAsia="仿宋_GB2312" w:cs="仿宋_GB2312"/>
          <w:sz w:val="32"/>
          <w:szCs w:val="32"/>
          <w:lang w:val="en-US" w:eastAsia="zh-CN"/>
        </w:rPr>
        <w:t>款</w:t>
      </w:r>
      <w:r>
        <w:rPr>
          <w:rFonts w:hint="eastAsia" w:ascii="仿宋_GB2312" w:eastAsia="仿宋_GB2312"/>
          <w:sz w:val="32"/>
          <w:szCs w:val="32"/>
        </w:rPr>
        <w:t>）机关事业单位职业年金缴费支出（</w:t>
      </w:r>
      <w:r>
        <w:rPr>
          <w:rFonts w:hint="eastAsia" w:ascii="仿宋_GB2312" w:eastAsia="仿宋_GB2312" w:cs="仿宋_GB2312"/>
          <w:bCs/>
          <w:sz w:val="32"/>
          <w:szCs w:val="32"/>
          <w:lang w:val="en-US" w:eastAsia="zh-CN"/>
        </w:rPr>
        <w:t>项</w:t>
      </w:r>
      <w:r>
        <w:rPr>
          <w:rFonts w:hint="eastAsia" w:ascii="仿宋_GB2312" w:eastAsia="仿宋_GB2312"/>
          <w:sz w:val="32"/>
          <w:szCs w:val="32"/>
        </w:rPr>
        <w:t>）：指反映机关事业单位实施养老保险制度由单位实际缴纳的职业年金支出。</w:t>
      </w:r>
    </w:p>
    <w:p w14:paraId="7D837432">
      <w:pPr>
        <w:pStyle w:val="18"/>
        <w:keepNext w:val="0"/>
        <w:keepLines w:val="0"/>
        <w:pageBreakBefore w:val="0"/>
        <w:widowControl w:val="0"/>
        <w:kinsoku/>
        <w:wordWrap/>
        <w:overflowPunct/>
        <w:topLinePunct w:val="0"/>
        <w:bidi w:val="0"/>
        <w:snapToGrid/>
        <w:spacing w:afterAutospacing="0" w:line="576"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lang w:val="en-US" w:eastAsia="zh-CN"/>
        </w:rPr>
        <w:t>9.</w:t>
      </w:r>
      <w:r>
        <w:rPr>
          <w:rFonts w:hint="eastAsia" w:ascii="仿宋_GB2312" w:eastAsia="仿宋_GB2312"/>
          <w:sz w:val="32"/>
          <w:szCs w:val="32"/>
        </w:rPr>
        <w:t>卫生健康支出（</w:t>
      </w:r>
      <w:r>
        <w:rPr>
          <w:rFonts w:hint="eastAsia" w:ascii="仿宋_GB2312" w:eastAsia="仿宋_GB2312" w:cs="仿宋_GB2312"/>
          <w:bCs/>
          <w:sz w:val="32"/>
          <w:szCs w:val="32"/>
          <w:lang w:val="en-US" w:eastAsia="zh-CN"/>
        </w:rPr>
        <w:t>类</w:t>
      </w:r>
      <w:r>
        <w:rPr>
          <w:rFonts w:hint="eastAsia" w:ascii="仿宋_GB2312" w:eastAsia="仿宋_GB2312"/>
          <w:sz w:val="32"/>
          <w:szCs w:val="32"/>
        </w:rPr>
        <w:t>）行政事业单位医疗（</w:t>
      </w:r>
      <w:r>
        <w:rPr>
          <w:rFonts w:hint="eastAsia" w:ascii="仿宋_GB2312" w:eastAsia="仿宋_GB2312" w:cs="仿宋_GB2312"/>
          <w:sz w:val="32"/>
          <w:szCs w:val="32"/>
          <w:lang w:val="en-US" w:eastAsia="zh-CN"/>
        </w:rPr>
        <w:t>款</w:t>
      </w:r>
      <w:r>
        <w:rPr>
          <w:rFonts w:hint="eastAsia" w:ascii="仿宋_GB2312" w:eastAsia="仿宋_GB2312"/>
          <w:sz w:val="32"/>
          <w:szCs w:val="32"/>
        </w:rPr>
        <w:t>）事业单位医疗（</w:t>
      </w:r>
      <w:r>
        <w:rPr>
          <w:rFonts w:hint="eastAsia" w:ascii="仿宋_GB2312" w:eastAsia="仿宋_GB2312" w:cs="仿宋_GB2312"/>
          <w:bCs/>
          <w:sz w:val="32"/>
          <w:szCs w:val="32"/>
          <w:lang w:val="en-US" w:eastAsia="zh-CN"/>
        </w:rPr>
        <w:t>项</w:t>
      </w:r>
      <w:r>
        <w:rPr>
          <w:rFonts w:hint="eastAsia" w:ascii="仿宋_GB2312" w:eastAsia="仿宋_GB2312"/>
          <w:sz w:val="32"/>
          <w:szCs w:val="32"/>
        </w:rPr>
        <w:t>）：指事业单位用于缴纳单位基本医疗保险支出。</w:t>
      </w:r>
    </w:p>
    <w:p w14:paraId="7560039E">
      <w:pPr>
        <w:pStyle w:val="18"/>
        <w:keepNext w:val="0"/>
        <w:keepLines w:val="0"/>
        <w:pageBreakBefore w:val="0"/>
        <w:widowControl w:val="0"/>
        <w:kinsoku/>
        <w:wordWrap/>
        <w:overflowPunct/>
        <w:topLinePunct w:val="0"/>
        <w:bidi w:val="0"/>
        <w:snapToGrid/>
        <w:spacing w:afterAutospacing="0" w:line="576"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lang w:val="en-US" w:eastAsia="zh-CN"/>
        </w:rPr>
        <w:t>10.</w:t>
      </w:r>
      <w:r>
        <w:rPr>
          <w:rFonts w:hint="eastAsia" w:ascii="仿宋_GB2312" w:eastAsia="仿宋_GB2312"/>
          <w:sz w:val="32"/>
          <w:szCs w:val="32"/>
        </w:rPr>
        <w:t>住房</w:t>
      </w:r>
      <w:r>
        <w:rPr>
          <w:rFonts w:hint="eastAsia" w:ascii="仿宋_GB2312" w:eastAsia="仿宋_GB2312" w:cs="仿宋_GB2312"/>
          <w:sz w:val="32"/>
          <w:szCs w:val="32"/>
        </w:rPr>
        <w:t>保障支出（</w:t>
      </w:r>
      <w:r>
        <w:rPr>
          <w:rFonts w:hint="eastAsia" w:ascii="仿宋_GB2312" w:eastAsia="仿宋_GB2312" w:cs="仿宋_GB2312"/>
          <w:bCs/>
          <w:sz w:val="32"/>
          <w:szCs w:val="32"/>
          <w:lang w:val="en-US" w:eastAsia="zh-CN"/>
        </w:rPr>
        <w:t>类</w:t>
      </w:r>
      <w:r>
        <w:rPr>
          <w:rFonts w:hint="eastAsia" w:ascii="仿宋_GB2312" w:eastAsia="仿宋_GB2312" w:cs="仿宋_GB2312"/>
          <w:sz w:val="32"/>
          <w:szCs w:val="32"/>
        </w:rPr>
        <w:t>）住房改革支出（</w:t>
      </w:r>
      <w:r>
        <w:rPr>
          <w:rFonts w:hint="eastAsia" w:ascii="仿宋_GB2312" w:eastAsia="仿宋_GB2312" w:cs="仿宋_GB2312"/>
          <w:sz w:val="32"/>
          <w:szCs w:val="32"/>
          <w:lang w:val="en-US" w:eastAsia="zh-CN"/>
        </w:rPr>
        <w:t>款</w:t>
      </w:r>
      <w:r>
        <w:rPr>
          <w:rFonts w:hint="eastAsia" w:ascii="仿宋_GB2312" w:eastAsia="仿宋_GB2312" w:cs="仿宋_GB2312"/>
          <w:sz w:val="32"/>
          <w:szCs w:val="32"/>
        </w:rPr>
        <w:t>）住房公积金（</w:t>
      </w:r>
      <w:r>
        <w:rPr>
          <w:rFonts w:hint="eastAsia" w:ascii="仿宋_GB2312" w:eastAsia="仿宋_GB2312" w:cs="仿宋_GB2312"/>
          <w:bCs/>
          <w:sz w:val="32"/>
          <w:szCs w:val="32"/>
          <w:lang w:val="en-US" w:eastAsia="zh-CN"/>
        </w:rPr>
        <w:t>项</w:t>
      </w:r>
      <w:r>
        <w:rPr>
          <w:rFonts w:hint="eastAsia" w:ascii="仿宋_GB2312" w:eastAsia="仿宋_GB2312" w:cs="仿宋_GB2312"/>
          <w:sz w:val="32"/>
          <w:szCs w:val="32"/>
        </w:rPr>
        <w:t>）：指反映行政事业单位按人力资源和社会保障部、财政部规定的基本工资和津贴补贴以及规定比例为职工缴纳的住房公积金。</w:t>
      </w:r>
    </w:p>
    <w:p w14:paraId="2DEA940D">
      <w:pPr>
        <w:keepNext w:val="0"/>
        <w:keepLines w:val="0"/>
        <w:pageBreakBefore w:val="0"/>
        <w:widowControl w:val="0"/>
        <w:kinsoku/>
        <w:wordWrap/>
        <w:overflowPunct/>
        <w:topLinePunct w:val="0"/>
        <w:bidi w:val="0"/>
        <w:snapToGrid/>
        <w:spacing w:afterAutospacing="0" w:line="576" w:lineRule="exact"/>
        <w:ind w:firstLine="640" w:firstLineChars="200"/>
        <w:textAlignment w:val="auto"/>
        <w:outlineLvl w:val="9"/>
        <w:rPr>
          <w:rFonts w:ascii="仿宋_GB2312" w:eastAsia="仿宋_GB2312"/>
          <w:sz w:val="32"/>
          <w:szCs w:val="32"/>
        </w:rPr>
      </w:pPr>
      <w:r>
        <w:rPr>
          <w:rFonts w:hint="eastAsia" w:ascii="仿宋_GB2312" w:eastAsia="仿宋_GB2312" w:cs="仿宋_GB2312"/>
          <w:sz w:val="32"/>
          <w:szCs w:val="32"/>
          <w:lang w:val="en-US" w:eastAsia="zh-CN"/>
        </w:rPr>
        <w:t>11.</w:t>
      </w:r>
      <w:r>
        <w:rPr>
          <w:rFonts w:hint="eastAsia" w:ascii="仿宋_GB2312" w:eastAsia="仿宋_GB2312" w:cs="仿宋_GB2312"/>
          <w:sz w:val="32"/>
          <w:szCs w:val="32"/>
        </w:rPr>
        <w:t>基本支出：指为保障机构正常运转、完成日常工作任务而发生的人员支出和公用支出。</w:t>
      </w:r>
    </w:p>
    <w:p w14:paraId="27B3FF07">
      <w:pPr>
        <w:keepNext w:val="0"/>
        <w:keepLines w:val="0"/>
        <w:pageBreakBefore w:val="0"/>
        <w:widowControl w:val="0"/>
        <w:kinsoku/>
        <w:wordWrap/>
        <w:overflowPunct/>
        <w:topLinePunct w:val="0"/>
        <w:bidi w:val="0"/>
        <w:snapToGrid/>
        <w:spacing w:afterAutospacing="0" w:line="576" w:lineRule="exact"/>
        <w:ind w:firstLine="640" w:firstLineChars="200"/>
        <w:textAlignment w:val="auto"/>
        <w:outlineLvl w:val="9"/>
        <w:rPr>
          <w:rFonts w:ascii="仿宋_GB2312" w:eastAsia="仿宋_GB2312"/>
          <w:sz w:val="32"/>
          <w:szCs w:val="32"/>
        </w:rPr>
      </w:pPr>
      <w:r>
        <w:rPr>
          <w:rFonts w:hint="eastAsia" w:ascii="仿宋_GB2312" w:eastAsia="仿宋_GB2312" w:cs="仿宋_GB2312"/>
          <w:sz w:val="32"/>
          <w:szCs w:val="32"/>
          <w:lang w:val="en-US" w:eastAsia="zh-CN"/>
        </w:rPr>
        <w:t>12.</w:t>
      </w:r>
      <w:r>
        <w:rPr>
          <w:rFonts w:hint="eastAsia" w:ascii="仿宋_GB2312" w:eastAsia="仿宋_GB2312" w:cs="仿宋_GB2312"/>
          <w:sz w:val="32"/>
          <w:szCs w:val="32"/>
        </w:rPr>
        <w:t>项目支出：指在基本支出之外为完成特定行政任务和事业发展目标所发生的支出。</w:t>
      </w:r>
    </w:p>
    <w:p w14:paraId="4D2C4340">
      <w:pPr>
        <w:pStyle w:val="18"/>
        <w:keepNext w:val="0"/>
        <w:keepLines w:val="0"/>
        <w:pageBreakBefore w:val="0"/>
        <w:widowControl w:val="0"/>
        <w:kinsoku/>
        <w:wordWrap/>
        <w:overflowPunct/>
        <w:topLinePunct w:val="0"/>
        <w:bidi w:val="0"/>
        <w:snapToGrid/>
        <w:spacing w:afterAutospacing="0" w:line="576" w:lineRule="exact"/>
        <w:ind w:firstLine="640" w:firstLineChars="200"/>
        <w:textAlignment w:val="auto"/>
        <w:outlineLvl w:val="9"/>
        <w:rPr>
          <w:rFonts w:ascii="仿宋_GB2312" w:eastAsia="仿宋_GB2312" w:cs="Times New Roman"/>
          <w:color w:val="auto"/>
          <w:sz w:val="32"/>
          <w:szCs w:val="32"/>
        </w:rPr>
      </w:pPr>
      <w:r>
        <w:rPr>
          <w:rFonts w:hint="eastAsia" w:ascii="仿宋_GB2312" w:eastAsia="仿宋_GB2312" w:cs="仿宋_GB2312"/>
          <w:color w:val="auto"/>
          <w:sz w:val="32"/>
          <w:szCs w:val="32"/>
          <w:lang w:val="en-US" w:eastAsia="zh-CN"/>
        </w:rPr>
        <w:t>13.</w:t>
      </w:r>
      <w:r>
        <w:rPr>
          <w:rFonts w:hint="eastAsia" w:ascii="仿宋_GB2312" w:eastAsia="仿宋_GB2312" w:cs="仿宋_GB2312"/>
          <w:color w:val="auto"/>
          <w:sz w:val="32"/>
          <w:szCs w:val="32"/>
        </w:rPr>
        <w:t>“三公”经费：指</w:t>
      </w:r>
      <w:r>
        <w:rPr>
          <w:rFonts w:hint="eastAsia" w:ascii="仿宋_GB2312" w:eastAsia="仿宋_GB2312" w:cs="仿宋_GB2312"/>
          <w:color w:val="auto"/>
          <w:sz w:val="32"/>
          <w:szCs w:val="32"/>
          <w:lang w:val="en-US" w:eastAsia="zh-CN"/>
        </w:rPr>
        <w:t>单位</w:t>
      </w:r>
      <w:r>
        <w:rPr>
          <w:rFonts w:hint="eastAsia" w:ascii="仿宋_GB2312" w:eastAsia="仿宋_GB2312" w:cs="仿宋_GB2312"/>
          <w:color w:val="auto"/>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49FD072">
      <w:pPr>
        <w:pStyle w:val="18"/>
        <w:keepNext w:val="0"/>
        <w:keepLines w:val="0"/>
        <w:pageBreakBefore w:val="0"/>
        <w:widowControl w:val="0"/>
        <w:kinsoku/>
        <w:wordWrap/>
        <w:overflowPunct/>
        <w:topLinePunct w:val="0"/>
        <w:bidi w:val="0"/>
        <w:snapToGrid/>
        <w:spacing w:afterAutospacing="0" w:line="576" w:lineRule="exact"/>
        <w:ind w:firstLine="640" w:firstLineChars="200"/>
        <w:textAlignment w:val="auto"/>
        <w:outlineLvl w:val="9"/>
        <w:rPr>
          <w:rFonts w:hint="eastAsia" w:ascii="黑体" w:hAnsi="Times New Roman" w:eastAsia="黑体" w:cs="Times New Roman"/>
          <w:color w:val="000000"/>
          <w:kern w:val="2"/>
          <w:sz w:val="44"/>
          <w:szCs w:val="44"/>
          <w:lang w:val="en-US" w:eastAsia="zh-CN" w:bidi="ar-SA"/>
        </w:rPr>
      </w:pPr>
      <w:r>
        <w:rPr>
          <w:rFonts w:hint="eastAsia" w:ascii="仿宋_GB2312" w:eastAsia="仿宋_GB2312" w:cs="仿宋_GB2312"/>
          <w:color w:val="auto"/>
          <w:sz w:val="32"/>
          <w:szCs w:val="32"/>
          <w:lang w:val="en-US" w:eastAsia="zh-CN"/>
        </w:rPr>
        <w:t>14.</w:t>
      </w:r>
      <w:r>
        <w:rPr>
          <w:rFonts w:hint="eastAsia" w:ascii="仿宋_GB2312" w:eastAsia="仿宋_GB2312" w:cs="仿宋_GB2312"/>
          <w:color w:val="auto"/>
          <w:sz w:val="32"/>
          <w:szCs w:val="32"/>
        </w:rPr>
        <w:t>机关运行经费：为保障行政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bookmarkStart w:id="50" w:name="_Toc30535"/>
      <w:bookmarkStart w:id="51" w:name="_Toc32176"/>
      <w:bookmarkStart w:id="52" w:name="_Toc15359"/>
      <w:bookmarkStart w:id="53" w:name="_Toc27081"/>
    </w:p>
    <w:p w14:paraId="10996AD1">
      <w:pPr>
        <w:pStyle w:val="13"/>
        <w:keepNext w:val="0"/>
        <w:keepLines w:val="0"/>
        <w:pageBreakBefore w:val="0"/>
        <w:widowControl w:val="0"/>
        <w:suppressLineNumbers w:val="0"/>
        <w:kinsoku/>
        <w:wordWrap/>
        <w:overflowPunct/>
        <w:topLinePunct w:val="0"/>
        <w:bidi w:val="0"/>
        <w:snapToGrid/>
        <w:spacing w:before="0" w:beforeAutospacing="0" w:afterAutospacing="0" w:line="576" w:lineRule="exact"/>
        <w:ind w:left="0" w:firstLine="883" w:firstLineChars="200"/>
        <w:jc w:val="center"/>
        <w:textAlignment w:val="auto"/>
        <w:outlineLvl w:val="0"/>
        <w:rPr>
          <w:rStyle w:val="16"/>
          <w:rFonts w:hint="eastAsia" w:ascii="黑体" w:hAnsi="黑体" w:eastAsia="黑体" w:cs="黑体"/>
          <w:sz w:val="44"/>
          <w:szCs w:val="44"/>
          <w:shd w:val="clear" w:fill="FFFFFF"/>
          <w:lang w:val="en-US" w:eastAsia="zh-CN"/>
        </w:rPr>
      </w:pPr>
    </w:p>
    <w:p w14:paraId="049D1D15">
      <w:pPr>
        <w:pStyle w:val="13"/>
        <w:keepNext w:val="0"/>
        <w:keepLines w:val="0"/>
        <w:pageBreakBefore w:val="0"/>
        <w:widowControl w:val="0"/>
        <w:suppressLineNumbers w:val="0"/>
        <w:kinsoku/>
        <w:wordWrap/>
        <w:overflowPunct/>
        <w:topLinePunct w:val="0"/>
        <w:bidi w:val="0"/>
        <w:snapToGrid/>
        <w:spacing w:before="0" w:beforeAutospacing="0" w:afterAutospacing="0" w:line="576" w:lineRule="exact"/>
        <w:ind w:left="0" w:firstLine="883" w:firstLineChars="200"/>
        <w:jc w:val="center"/>
        <w:textAlignment w:val="auto"/>
        <w:outlineLvl w:val="0"/>
        <w:rPr>
          <w:rStyle w:val="16"/>
          <w:rFonts w:hint="eastAsia" w:ascii="黑体" w:hAnsi="黑体" w:eastAsia="黑体" w:cs="黑体"/>
          <w:sz w:val="44"/>
          <w:szCs w:val="44"/>
          <w:shd w:val="clear" w:fill="FFFFFF"/>
          <w:lang w:val="en-US" w:eastAsia="zh-CN"/>
        </w:rPr>
      </w:pPr>
    </w:p>
    <w:p w14:paraId="48F14B9F">
      <w:pPr>
        <w:pStyle w:val="13"/>
        <w:keepNext w:val="0"/>
        <w:keepLines w:val="0"/>
        <w:pageBreakBefore w:val="0"/>
        <w:widowControl w:val="0"/>
        <w:suppressLineNumbers w:val="0"/>
        <w:kinsoku/>
        <w:wordWrap/>
        <w:overflowPunct/>
        <w:topLinePunct w:val="0"/>
        <w:bidi w:val="0"/>
        <w:snapToGrid/>
        <w:spacing w:before="0" w:beforeAutospacing="0" w:afterAutospacing="0" w:line="576" w:lineRule="exact"/>
        <w:ind w:left="0" w:firstLine="883" w:firstLineChars="200"/>
        <w:jc w:val="center"/>
        <w:textAlignment w:val="auto"/>
        <w:outlineLvl w:val="0"/>
        <w:rPr>
          <w:rStyle w:val="16"/>
          <w:rFonts w:hint="eastAsia" w:ascii="黑体" w:hAnsi="黑体" w:eastAsia="黑体" w:cs="黑体"/>
          <w:sz w:val="44"/>
          <w:szCs w:val="44"/>
          <w:shd w:val="clear" w:fill="FFFFFF"/>
          <w:lang w:val="en-US" w:eastAsia="zh-CN"/>
        </w:rPr>
      </w:pPr>
    </w:p>
    <w:p w14:paraId="5E1ADA6F">
      <w:pPr>
        <w:pStyle w:val="13"/>
        <w:keepNext w:val="0"/>
        <w:keepLines w:val="0"/>
        <w:pageBreakBefore w:val="0"/>
        <w:widowControl w:val="0"/>
        <w:suppressLineNumbers w:val="0"/>
        <w:kinsoku/>
        <w:wordWrap/>
        <w:overflowPunct/>
        <w:topLinePunct w:val="0"/>
        <w:bidi w:val="0"/>
        <w:snapToGrid/>
        <w:spacing w:before="0" w:beforeAutospacing="0" w:afterAutospacing="0" w:line="576" w:lineRule="exact"/>
        <w:ind w:left="0" w:firstLine="883" w:firstLineChars="200"/>
        <w:jc w:val="center"/>
        <w:textAlignment w:val="auto"/>
        <w:outlineLvl w:val="0"/>
        <w:rPr>
          <w:rStyle w:val="16"/>
          <w:rFonts w:hint="eastAsia" w:ascii="黑体" w:hAnsi="黑体" w:eastAsia="黑体" w:cs="黑体"/>
          <w:sz w:val="44"/>
          <w:szCs w:val="44"/>
          <w:shd w:val="clear" w:fill="FFFFFF"/>
          <w:lang w:val="en-US" w:eastAsia="zh-CN"/>
        </w:rPr>
      </w:pPr>
    </w:p>
    <w:p w14:paraId="72D244AF">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jc w:val="center"/>
        <w:textAlignment w:val="auto"/>
        <w:rPr>
          <w:rFonts w:hint="eastAsia" w:ascii="黑体" w:hAnsi="黑体" w:eastAsia="黑体" w:cs="黑体"/>
          <w:b w:val="0"/>
          <w:bCs w:val="0"/>
          <w:sz w:val="44"/>
          <w:szCs w:val="44"/>
          <w:shd w:val="clear" w:fill="FFFFFF"/>
          <w:lang w:val="en-US" w:eastAsia="zh-CN"/>
        </w:rPr>
      </w:pPr>
      <w:bookmarkStart w:id="54" w:name="_Toc1722866379"/>
      <w:r>
        <w:rPr>
          <w:rFonts w:hint="eastAsia" w:ascii="黑体" w:hAnsi="黑体" w:eastAsia="黑体" w:cs="黑体"/>
          <w:b w:val="0"/>
          <w:bCs w:val="0"/>
          <w:sz w:val="44"/>
          <w:szCs w:val="44"/>
          <w:shd w:val="clear" w:fill="FFFFFF"/>
          <w:lang w:val="en-US" w:eastAsia="zh-CN"/>
        </w:rPr>
        <w:t>第四部分 附件</w:t>
      </w:r>
      <w:bookmarkEnd w:id="50"/>
      <w:bookmarkEnd w:id="51"/>
      <w:bookmarkEnd w:id="52"/>
      <w:bookmarkEnd w:id="53"/>
      <w:bookmarkEnd w:id="54"/>
    </w:p>
    <w:tbl>
      <w:tblPr>
        <w:tblStyle w:val="14"/>
        <w:tblW w:w="95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
      <w:tblGrid>
        <w:gridCol w:w="812"/>
        <w:gridCol w:w="239"/>
        <w:gridCol w:w="706"/>
        <w:gridCol w:w="847"/>
        <w:gridCol w:w="671"/>
        <w:gridCol w:w="1844"/>
        <w:gridCol w:w="755"/>
        <w:gridCol w:w="154"/>
        <w:gridCol w:w="487"/>
        <w:gridCol w:w="600"/>
        <w:gridCol w:w="600"/>
        <w:gridCol w:w="543"/>
        <w:gridCol w:w="559"/>
        <w:gridCol w:w="768"/>
      </w:tblGrid>
      <w:tr w14:paraId="060C5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3" w:hRule="atLeast"/>
          <w:jc w:val="center"/>
        </w:trPr>
        <w:tc>
          <w:tcPr>
            <w:tcW w:w="9585" w:type="dxa"/>
            <w:gridSpan w:val="1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4B506E">
            <w:pPr>
              <w:keepNext w:val="0"/>
              <w:keepLines w:val="0"/>
              <w:pageBreakBefore w:val="0"/>
              <w:widowControl w:val="0"/>
              <w:numPr>
                <w:ilvl w:val="0"/>
                <w:numId w:val="0"/>
              </w:numPr>
              <w:kinsoku/>
              <w:wordWrap/>
              <w:overflowPunct/>
              <w:topLinePunct w:val="0"/>
              <w:autoSpaceDE/>
              <w:autoSpaceDN/>
              <w:bidi w:val="0"/>
              <w:snapToGrid w:val="0"/>
              <w:spacing w:before="0" w:beforeAutospacing="0" w:after="0" w:afterAutospacing="0" w:line="560" w:lineRule="exact"/>
              <w:ind w:right="0" w:rightChars="0"/>
              <w:jc w:val="center"/>
              <w:rPr>
                <w:rFonts w:ascii="黑体" w:hAnsi="宋体" w:eastAsia="黑体" w:cs="黑体"/>
                <w:b/>
                <w:bCs/>
                <w:i w:val="0"/>
                <w:iCs w:val="0"/>
                <w:color w:val="000000"/>
                <w:sz w:val="30"/>
                <w:szCs w:val="30"/>
                <w:u w:val="none"/>
              </w:rPr>
            </w:pPr>
            <w:r>
              <w:rPr>
                <w:rFonts w:hint="eastAsia" w:ascii="Times New Roman" w:hAnsi="Times New Roman" w:eastAsia="仿宋_GB2312" w:cs="Times New Roman"/>
                <w:b/>
                <w:bCs/>
                <w:color w:val="000000"/>
                <w:kern w:val="0"/>
                <w:sz w:val="28"/>
                <w:szCs w:val="28"/>
                <w:shd w:val="clear" w:color="auto" w:fill="FFFFFF"/>
                <w:lang w:val="en-US" w:eastAsia="zh-CN"/>
              </w:rPr>
              <w:t>2024年阿坝州应用技术研究与开发项目茂县企业项目支出绩效自评表</w:t>
            </w:r>
          </w:p>
        </w:tc>
      </w:tr>
      <w:tr w14:paraId="531B4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13" w:hRule="atLeast"/>
          <w:jc w:val="center"/>
        </w:trPr>
        <w:tc>
          <w:tcPr>
            <w:tcW w:w="1757"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DB140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828" w:type="dxa"/>
            <w:gridSpan w:val="11"/>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EE3DF8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2024年阿坝州应用技术研究与开发项目茂县企业项目</w:t>
            </w:r>
          </w:p>
        </w:tc>
      </w:tr>
      <w:tr w14:paraId="61C78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57"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9FF21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17"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6F2FB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茂县科学技术和农业畜牧局</w:t>
            </w:r>
          </w:p>
        </w:tc>
        <w:tc>
          <w:tcPr>
            <w:tcW w:w="1241" w:type="dxa"/>
            <w:gridSpan w:val="3"/>
            <w:tcBorders>
              <w:top w:val="nil"/>
              <w:left w:val="nil"/>
              <w:bottom w:val="nil"/>
              <w:right w:val="nil"/>
            </w:tcBorders>
            <w:shd w:val="clear" w:color="auto" w:fill="FFFFFF" w:themeFill="background1"/>
            <w:vAlign w:val="center"/>
          </w:tcPr>
          <w:p w14:paraId="763C1BC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黑体" w:hAnsi="黑体" w:eastAsia="黑体" w:cs="黑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2470"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E44DE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茂县科学技术和农业畜牧局</w:t>
            </w:r>
          </w:p>
        </w:tc>
      </w:tr>
      <w:tr w14:paraId="4D4A0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41"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8AD91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4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B7161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项目年度目标完成情况</w:t>
            </w:r>
          </w:p>
        </w:tc>
        <w:tc>
          <w:tcPr>
            <w:tcW w:w="4117"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298EF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1" w:type="dxa"/>
            <w:gridSpan w:val="7"/>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2234C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黑体" w:hAnsi="黑体" w:eastAsia="黑体" w:cs="黑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14:paraId="71436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0894EF">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F97ADE">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4117"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8DB9C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实施茂县高半山区林下中药材种植模式研究与示范推广、茂县山地无融合无支架（架材）青砧1号苹果优新品种砧穗组合矮化密植栽培及育种试验示范、绞股蓝林下生态栽培技术集成及其茶产品开发研究、优质生态唐古特大黄林下种植关键技术示范推广、基于关节镜诊疗技术对民族地区膝关节疼痛患者的临床疗效研究、阿坝州茂县土门道地药材黄连种植技术的研究与集成示范和基于物联网技术的民族地区医疗废物转运智能信息化管理系统研究与</w:t>
            </w:r>
            <w:r>
              <w:rPr>
                <w:rFonts w:hint="eastAsia" w:asciiTheme="minorEastAsia" w:hAnsiTheme="minorEastAsia" w:eastAsiaTheme="minorEastAsia" w:cstheme="minorEastAsia"/>
                <w:b w:val="0"/>
                <w:bCs w:val="0"/>
                <w:i w:val="0"/>
                <w:iCs w:val="0"/>
                <w:color w:val="000000"/>
                <w:kern w:val="0"/>
                <w:sz w:val="18"/>
                <w:szCs w:val="18"/>
                <w:highlight w:val="none"/>
                <w:u w:val="none"/>
                <w:lang w:val="en-US" w:eastAsia="zh-CN" w:bidi="ar"/>
              </w:rPr>
              <w:t>应用</w:t>
            </w:r>
            <w:r>
              <w:rPr>
                <w:rFonts w:hint="eastAsia" w:cstheme="minorEastAsia"/>
                <w:b w:val="0"/>
                <w:bCs w:val="0"/>
                <w:i w:val="0"/>
                <w:iCs w:val="0"/>
                <w:color w:val="000000"/>
                <w:kern w:val="0"/>
                <w:sz w:val="18"/>
                <w:szCs w:val="18"/>
                <w:highlight w:val="none"/>
                <w:u w:val="none"/>
                <w:lang w:val="en-US" w:eastAsia="zh-CN" w:bidi="ar"/>
              </w:rPr>
              <w:t>等</w:t>
            </w:r>
            <w:r>
              <w:rPr>
                <w:rFonts w:hint="eastAsia" w:asciiTheme="minorEastAsia" w:hAnsiTheme="minorEastAsia" w:eastAsiaTheme="minorEastAsia" w:cstheme="minorEastAsia"/>
                <w:b w:val="0"/>
                <w:bCs w:val="0"/>
                <w:i w:val="0"/>
                <w:iCs w:val="0"/>
                <w:color w:val="000000"/>
                <w:kern w:val="0"/>
                <w:sz w:val="18"/>
                <w:szCs w:val="18"/>
                <w:highlight w:val="none"/>
                <w:u w:val="none"/>
                <w:lang w:val="en-US" w:eastAsia="zh-CN" w:bidi="ar"/>
              </w:rPr>
              <w:t>7</w:t>
            </w: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个阿坝州应用技术研究与开发资金项目，通过项目的科技创新，示范引领，不断提高行业发展的积极性，激发茂县科技创新动力，实现茂县经济高质量发展。</w:t>
            </w:r>
          </w:p>
        </w:tc>
        <w:tc>
          <w:tcPr>
            <w:tcW w:w="3711" w:type="dxa"/>
            <w:gridSpan w:val="7"/>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B0933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实施茂县高半山区林下中药材种植模式研究与示范推广、茂县山地无融合无支架（架材）青砧1号苹果优新品种砧穗组合矮化密植栽培及育种试验示范、绞股蓝林下生态栽培技术集成及其茶产品开发研究、优质生态唐古特大黄林下种植关键技术示范推广、基于关节镜诊疗技术对民族地区膝关节疼痛患者的临床疗效研究、阿坝州茂县土门道地药材黄连种植技术的研究与集成示范和基于物联网技术的民族地区医疗废物转运智能信息化管理系统研究与</w:t>
            </w:r>
            <w:r>
              <w:rPr>
                <w:rFonts w:hint="eastAsia" w:asciiTheme="minorEastAsia" w:hAnsiTheme="minorEastAsia" w:eastAsiaTheme="minorEastAsia" w:cstheme="minorEastAsia"/>
                <w:b w:val="0"/>
                <w:bCs w:val="0"/>
                <w:i w:val="0"/>
                <w:iCs w:val="0"/>
                <w:color w:val="000000"/>
                <w:kern w:val="0"/>
                <w:sz w:val="18"/>
                <w:szCs w:val="18"/>
                <w:highlight w:val="none"/>
                <w:u w:val="none"/>
                <w:lang w:val="en-US" w:eastAsia="zh-CN" w:bidi="ar"/>
              </w:rPr>
              <w:t>应用</w:t>
            </w:r>
            <w:r>
              <w:rPr>
                <w:rFonts w:hint="eastAsia" w:cstheme="minorEastAsia"/>
                <w:b w:val="0"/>
                <w:bCs w:val="0"/>
                <w:i w:val="0"/>
                <w:iCs w:val="0"/>
                <w:color w:val="000000"/>
                <w:kern w:val="0"/>
                <w:sz w:val="18"/>
                <w:szCs w:val="18"/>
                <w:highlight w:val="none"/>
                <w:u w:val="none"/>
                <w:lang w:val="en-US" w:eastAsia="zh-CN" w:bidi="ar"/>
              </w:rPr>
              <w:t>等</w:t>
            </w:r>
            <w:r>
              <w:rPr>
                <w:rFonts w:hint="eastAsia" w:asciiTheme="minorEastAsia" w:hAnsiTheme="minorEastAsia" w:eastAsiaTheme="minorEastAsia" w:cstheme="minorEastAsia"/>
                <w:b w:val="0"/>
                <w:bCs w:val="0"/>
                <w:i w:val="0"/>
                <w:iCs w:val="0"/>
                <w:color w:val="000000"/>
                <w:kern w:val="0"/>
                <w:sz w:val="18"/>
                <w:szCs w:val="18"/>
                <w:highlight w:val="none"/>
                <w:u w:val="none"/>
                <w:lang w:val="en-US" w:eastAsia="zh-CN" w:bidi="ar"/>
              </w:rPr>
              <w:t>7</w:t>
            </w: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个阿坝州应用技术研究与开发资金项目，通过项目的科技创新，示范引领，不断提高行业发展的积极性，激发茂县科技创新动力，实现茂县经济高质量发展。</w:t>
            </w:r>
          </w:p>
        </w:tc>
      </w:tr>
      <w:tr w14:paraId="3E229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5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AC588F">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E5856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项目实施内容及过程概述</w:t>
            </w:r>
          </w:p>
        </w:tc>
        <w:tc>
          <w:tcPr>
            <w:tcW w:w="7828" w:type="dxa"/>
            <w:gridSpan w:val="11"/>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BCCCE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zh-CN" w:eastAsia="zh-CN" w:bidi="ar"/>
              </w:rPr>
              <w:t>项目由企业自主申报，县科农局推荐，阿坝州科学技术局组织专家进行盲评，最终确定立项项目，并下达项目资金，由县科农局按照要求对项目承担单位进行核查并下拨前补助资金，后期加强项目监管，确保按照任务书相关约定完成项目建设</w:t>
            </w:r>
            <w:r>
              <w:rPr>
                <w:rFonts w:hint="eastAsia" w:ascii="宋体" w:hAnsi="宋体" w:eastAsia="宋体" w:cs="宋体"/>
                <w:i w:val="0"/>
                <w:iCs w:val="0"/>
                <w:color w:val="000000"/>
                <w:kern w:val="0"/>
                <w:sz w:val="18"/>
                <w:szCs w:val="18"/>
                <w:u w:val="none"/>
                <w:lang w:val="en-US" w:eastAsia="zh-CN" w:bidi="ar"/>
              </w:rPr>
              <w:t>。</w:t>
            </w:r>
          </w:p>
        </w:tc>
      </w:tr>
      <w:tr w14:paraId="369DD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21911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9B7F2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731A7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4DBFE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09"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8483C5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87"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B2795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w:t>
            </w:r>
          </w:p>
          <w:p w14:paraId="2CB910B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行率</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B3879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10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DAA7F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2782D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D14F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0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F34046">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950C9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B5262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0</w:t>
            </w: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248A4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165</w:t>
            </w:r>
          </w:p>
        </w:tc>
        <w:tc>
          <w:tcPr>
            <w:tcW w:w="909"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AA3F7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165</w:t>
            </w:r>
          </w:p>
        </w:tc>
        <w:tc>
          <w:tcPr>
            <w:tcW w:w="1087"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B9F2E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ED8DB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10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6DDB0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68"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E5F55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黑体" w:hAnsi="黑体" w:eastAsia="黑体" w:cs="黑体"/>
                <w:i w:val="0"/>
                <w:iCs w:val="0"/>
                <w:color w:val="000000"/>
                <w:sz w:val="18"/>
                <w:szCs w:val="18"/>
                <w:u w:val="none"/>
              </w:rPr>
            </w:pPr>
          </w:p>
        </w:tc>
      </w:tr>
      <w:tr w14:paraId="7BD4E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4EAC6B">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E9E33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6482F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0</w:t>
            </w: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4FDD1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165</w:t>
            </w:r>
          </w:p>
        </w:tc>
        <w:tc>
          <w:tcPr>
            <w:tcW w:w="909"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8385A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165</w:t>
            </w:r>
          </w:p>
        </w:tc>
        <w:tc>
          <w:tcPr>
            <w:tcW w:w="1087"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2AEBA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441EB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0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612B7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68"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EF5B73">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黑体" w:hAnsi="黑体" w:eastAsia="黑体" w:cs="黑体"/>
                <w:i w:val="0"/>
                <w:iCs w:val="0"/>
                <w:color w:val="000000"/>
                <w:sz w:val="18"/>
                <w:szCs w:val="18"/>
                <w:u w:val="none"/>
              </w:rPr>
            </w:pPr>
          </w:p>
        </w:tc>
      </w:tr>
      <w:tr w14:paraId="5B269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32D874">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93FA6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4F354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B4DFE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909"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51D56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087"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D8B164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F0715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0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AC3DB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68"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9FA303">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黑体" w:hAnsi="黑体" w:eastAsia="黑体" w:cs="黑体"/>
                <w:i w:val="0"/>
                <w:iCs w:val="0"/>
                <w:color w:val="000000"/>
                <w:sz w:val="18"/>
                <w:szCs w:val="18"/>
                <w:u w:val="none"/>
              </w:rPr>
            </w:pPr>
          </w:p>
        </w:tc>
      </w:tr>
      <w:tr w14:paraId="531F1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2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86D27B">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77623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9A860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923A1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909"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68D4E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087"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FD941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2B990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0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1707D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68"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43AD02">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黑体" w:hAnsi="黑体" w:eastAsia="黑体" w:cs="黑体"/>
                <w:i w:val="0"/>
                <w:iCs w:val="0"/>
                <w:color w:val="000000"/>
                <w:sz w:val="18"/>
                <w:szCs w:val="18"/>
                <w:u w:val="none"/>
              </w:rPr>
            </w:pPr>
          </w:p>
        </w:tc>
      </w:tr>
      <w:tr w14:paraId="26227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91"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A21B1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A4828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50D79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52EB5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7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79F77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0E1F6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B2918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DB75C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4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C6F02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834CA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6E1C7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0133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4"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2E9384">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restart"/>
            <w:tcBorders>
              <w:top w:val="single" w:color="000000" w:sz="4" w:space="0"/>
              <w:left w:val="single" w:color="000000" w:sz="4" w:space="0"/>
              <w:right w:val="single" w:color="000000" w:sz="4" w:space="0"/>
            </w:tcBorders>
            <w:shd w:val="clear" w:color="auto" w:fill="FFFFFF" w:themeFill="background1"/>
            <w:vAlign w:val="center"/>
          </w:tcPr>
          <w:p w14:paraId="2BC27FA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47"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48449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1A5DBE">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宋体" w:hAnsi="宋体" w:eastAsia="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实施茂县高半山区林下中药材种植模式研究与示范推广</w:t>
            </w:r>
          </w:p>
        </w:tc>
        <w:tc>
          <w:tcPr>
            <w:tcW w:w="7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B462B2">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w:t>
            </w:r>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450689C">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hAnsi="宋体" w:cs="宋体"/>
                <w:i w:val="0"/>
                <w:iCs w:val="0"/>
                <w:color w:val="000000"/>
                <w:kern w:val="0"/>
                <w:sz w:val="18"/>
                <w:szCs w:val="18"/>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BDDE56">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2C1241D">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微软雅黑" w:hAnsi="微软雅黑" w:eastAsia="微软雅黑" w:cs="微软雅黑"/>
                <w:i w:val="0"/>
                <w:iCs w:val="0"/>
                <w:color w:val="000000"/>
                <w:sz w:val="16"/>
                <w:szCs w:val="16"/>
                <w:u w:val="none"/>
              </w:rPr>
            </w:pPr>
            <w:r>
              <w:rPr>
                <w:rFonts w:hint="eastAsia" w:hAnsi="宋体" w:cs="宋体"/>
                <w:i w:val="0"/>
                <w:iCs w:val="0"/>
                <w:color w:val="000000"/>
                <w:kern w:val="0"/>
                <w:sz w:val="18"/>
                <w:szCs w:val="18"/>
                <w:u w:val="none"/>
                <w:lang w:val="en-US" w:eastAsia="zh-CN" w:bidi="ar"/>
              </w:rPr>
              <w:t>1</w:t>
            </w:r>
          </w:p>
        </w:tc>
        <w:tc>
          <w:tcPr>
            <w:tcW w:w="54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328F07">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r>
              <w:rPr>
                <w:rFonts w:hint="eastAsia" w:hAnsi="宋体" w:cs="宋体"/>
                <w:i w:val="0"/>
                <w:iCs w:val="0"/>
                <w:color w:val="000000"/>
                <w:kern w:val="0"/>
                <w:sz w:val="18"/>
                <w:szCs w:val="18"/>
                <w:u w:val="none"/>
                <w:lang w:val="en-US" w:eastAsia="zh-CN" w:bidi="ar"/>
              </w:rPr>
              <w:t>0</w:t>
            </w:r>
          </w:p>
        </w:tc>
        <w:tc>
          <w:tcPr>
            <w:tcW w:w="5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666503">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r>
              <w:rPr>
                <w:rFonts w:hint="eastAsia" w:hAnsi="宋体" w:cs="宋体"/>
                <w:i w:val="0"/>
                <w:iCs w:val="0"/>
                <w:color w:val="000000"/>
                <w:kern w:val="0"/>
                <w:sz w:val="18"/>
                <w:szCs w:val="18"/>
                <w:u w:val="none"/>
                <w:lang w:val="en-US" w:eastAsia="zh-CN" w:bidi="ar"/>
              </w:rPr>
              <w:t>0</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409EFC">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微软雅黑" w:hAnsi="微软雅黑" w:eastAsia="微软雅黑" w:cs="微软雅黑"/>
                <w:i/>
                <w:iCs/>
                <w:color w:val="000000"/>
                <w:sz w:val="16"/>
                <w:szCs w:val="16"/>
                <w:u w:val="none"/>
              </w:rPr>
            </w:pPr>
          </w:p>
        </w:tc>
      </w:tr>
      <w:tr w14:paraId="6C752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D19131">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50F16B6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p>
        </w:tc>
        <w:tc>
          <w:tcPr>
            <w:tcW w:w="847" w:type="dxa"/>
            <w:vMerge w:val="continue"/>
            <w:tcBorders>
              <w:left w:val="single" w:color="000000" w:sz="4" w:space="0"/>
              <w:right w:val="single" w:color="000000" w:sz="4" w:space="0"/>
            </w:tcBorders>
            <w:shd w:val="clear" w:color="auto" w:fill="FFFFFF" w:themeFill="background1"/>
            <w:vAlign w:val="center"/>
          </w:tcPr>
          <w:p w14:paraId="1091836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B6A8AF">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宋体" w:hAnsi="宋体" w:eastAsia="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实施茂县山地无融合无支架（架材）青砧1号苹果优新品种砧穗组合矮化密植栽培及育种试验示范</w:t>
            </w:r>
          </w:p>
        </w:tc>
        <w:tc>
          <w:tcPr>
            <w:tcW w:w="7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F2F184">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w:t>
            </w:r>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CC7540C">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hAnsi="宋体" w:cs="宋体"/>
                <w:i w:val="0"/>
                <w:iCs w:val="0"/>
                <w:color w:val="000000"/>
                <w:kern w:val="0"/>
                <w:sz w:val="18"/>
                <w:szCs w:val="18"/>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5419FE">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464694">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default" w:ascii="微软雅黑" w:hAnsi="微软雅黑" w:eastAsia="微软雅黑" w:cs="微软雅黑"/>
                <w:i w:val="0"/>
                <w:iCs w:val="0"/>
                <w:color w:val="000000"/>
                <w:kern w:val="0"/>
                <w:sz w:val="16"/>
                <w:szCs w:val="16"/>
                <w:u w:val="none"/>
                <w:lang w:val="en-US" w:eastAsia="zh-CN" w:bidi="ar"/>
              </w:rPr>
            </w:pPr>
            <w:r>
              <w:rPr>
                <w:rFonts w:hint="eastAsia" w:hAnsi="宋体" w:cs="宋体"/>
                <w:i w:val="0"/>
                <w:iCs w:val="0"/>
                <w:color w:val="000000"/>
                <w:kern w:val="0"/>
                <w:sz w:val="18"/>
                <w:szCs w:val="18"/>
                <w:u w:val="none"/>
                <w:lang w:val="en-US" w:eastAsia="zh-CN" w:bidi="ar"/>
              </w:rPr>
              <w:t>1</w:t>
            </w:r>
          </w:p>
        </w:tc>
        <w:tc>
          <w:tcPr>
            <w:tcW w:w="54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878BF3">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r>
              <w:rPr>
                <w:rFonts w:hint="eastAsia" w:hAnsi="宋体" w:cs="宋体"/>
                <w:i w:val="0"/>
                <w:iCs w:val="0"/>
                <w:color w:val="000000"/>
                <w:kern w:val="0"/>
                <w:sz w:val="18"/>
                <w:szCs w:val="18"/>
                <w:u w:val="none"/>
                <w:lang w:val="en-US" w:eastAsia="zh-CN" w:bidi="ar"/>
              </w:rPr>
              <w:t>0</w:t>
            </w:r>
          </w:p>
        </w:tc>
        <w:tc>
          <w:tcPr>
            <w:tcW w:w="5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37A11F1">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r>
              <w:rPr>
                <w:rFonts w:hint="eastAsia" w:hAnsi="宋体" w:cs="宋体"/>
                <w:i w:val="0"/>
                <w:iCs w:val="0"/>
                <w:color w:val="000000"/>
                <w:kern w:val="0"/>
                <w:sz w:val="18"/>
                <w:szCs w:val="18"/>
                <w:u w:val="none"/>
                <w:lang w:val="en-US" w:eastAsia="zh-CN" w:bidi="ar"/>
              </w:rPr>
              <w:t>0</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4DBAF3">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微软雅黑" w:hAnsi="微软雅黑" w:eastAsia="微软雅黑" w:cs="微软雅黑"/>
                <w:i/>
                <w:iCs/>
                <w:color w:val="000000"/>
                <w:sz w:val="16"/>
                <w:szCs w:val="16"/>
                <w:u w:val="none"/>
              </w:rPr>
            </w:pPr>
          </w:p>
        </w:tc>
      </w:tr>
      <w:tr w14:paraId="5B25F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DBDBFB6">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57A125E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p>
        </w:tc>
        <w:tc>
          <w:tcPr>
            <w:tcW w:w="847" w:type="dxa"/>
            <w:vMerge w:val="continue"/>
            <w:tcBorders>
              <w:left w:val="single" w:color="000000" w:sz="4" w:space="0"/>
              <w:right w:val="single" w:color="000000" w:sz="4" w:space="0"/>
            </w:tcBorders>
            <w:shd w:val="clear" w:color="auto" w:fill="FFFFFF" w:themeFill="background1"/>
            <w:vAlign w:val="center"/>
          </w:tcPr>
          <w:p w14:paraId="12A0A41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17CF60">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宋体" w:hAnsi="宋体" w:eastAsia="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实施绞股蓝林下生态栽培技术集成及其茶产品开发研究</w:t>
            </w:r>
          </w:p>
        </w:tc>
        <w:tc>
          <w:tcPr>
            <w:tcW w:w="7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24D86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宋体" w:hAnsi="宋体" w:eastAsia="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w:t>
            </w:r>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82F9D7">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hAnsi="宋体" w:cs="宋体"/>
                <w:i w:val="0"/>
                <w:iCs w:val="0"/>
                <w:color w:val="000000"/>
                <w:kern w:val="0"/>
                <w:sz w:val="18"/>
                <w:szCs w:val="18"/>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EEC871">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B11C37">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default" w:ascii="微软雅黑" w:hAnsi="微软雅黑" w:eastAsia="微软雅黑" w:cs="微软雅黑"/>
                <w:i w:val="0"/>
                <w:iCs w:val="0"/>
                <w:color w:val="000000"/>
                <w:kern w:val="0"/>
                <w:sz w:val="16"/>
                <w:szCs w:val="16"/>
                <w:u w:val="none"/>
                <w:lang w:val="en-US" w:eastAsia="zh-CN" w:bidi="ar"/>
              </w:rPr>
            </w:pPr>
            <w:r>
              <w:rPr>
                <w:rFonts w:hint="eastAsia" w:hAnsi="宋体" w:cs="宋体"/>
                <w:i w:val="0"/>
                <w:iCs w:val="0"/>
                <w:color w:val="000000"/>
                <w:kern w:val="0"/>
                <w:sz w:val="18"/>
                <w:szCs w:val="18"/>
                <w:u w:val="none"/>
                <w:lang w:val="en-US" w:eastAsia="zh-CN" w:bidi="ar"/>
              </w:rPr>
              <w:t>1</w:t>
            </w:r>
          </w:p>
        </w:tc>
        <w:tc>
          <w:tcPr>
            <w:tcW w:w="54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9A0F65">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r>
              <w:rPr>
                <w:rFonts w:hint="eastAsia" w:hAnsi="宋体" w:cs="宋体"/>
                <w:i w:val="0"/>
                <w:iCs w:val="0"/>
                <w:color w:val="000000"/>
                <w:kern w:val="0"/>
                <w:sz w:val="18"/>
                <w:szCs w:val="18"/>
                <w:u w:val="none"/>
                <w:lang w:val="en-US" w:eastAsia="zh-CN" w:bidi="ar"/>
              </w:rPr>
              <w:t>0</w:t>
            </w:r>
          </w:p>
        </w:tc>
        <w:tc>
          <w:tcPr>
            <w:tcW w:w="5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F23520">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r>
              <w:rPr>
                <w:rFonts w:hint="eastAsia" w:hAnsi="宋体" w:cs="宋体"/>
                <w:i w:val="0"/>
                <w:iCs w:val="0"/>
                <w:color w:val="000000"/>
                <w:kern w:val="0"/>
                <w:sz w:val="18"/>
                <w:szCs w:val="18"/>
                <w:u w:val="none"/>
                <w:lang w:val="en-US" w:eastAsia="zh-CN" w:bidi="ar"/>
              </w:rPr>
              <w:t>0</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BA59F8E">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微软雅黑" w:hAnsi="微软雅黑" w:eastAsia="微软雅黑" w:cs="微软雅黑"/>
                <w:i/>
                <w:iCs/>
                <w:color w:val="000000"/>
                <w:sz w:val="16"/>
                <w:szCs w:val="16"/>
                <w:u w:val="none"/>
              </w:rPr>
            </w:pPr>
          </w:p>
        </w:tc>
      </w:tr>
      <w:tr w14:paraId="22B88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01C13E">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3DCC15A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p>
        </w:tc>
        <w:tc>
          <w:tcPr>
            <w:tcW w:w="847" w:type="dxa"/>
            <w:vMerge w:val="continue"/>
            <w:tcBorders>
              <w:left w:val="single" w:color="000000" w:sz="4" w:space="0"/>
              <w:right w:val="single" w:color="000000" w:sz="4" w:space="0"/>
            </w:tcBorders>
            <w:shd w:val="clear" w:color="auto" w:fill="FFFFFF" w:themeFill="background1"/>
            <w:vAlign w:val="center"/>
          </w:tcPr>
          <w:p w14:paraId="74DE7CE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52A582">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宋体" w:hAnsi="宋体" w:eastAsia="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实施优质生态唐古特大黄林下种植关键技术示范推广</w:t>
            </w:r>
          </w:p>
        </w:tc>
        <w:tc>
          <w:tcPr>
            <w:tcW w:w="7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E01051">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hAnsi="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w:t>
            </w:r>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2D34C88">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hAnsi="宋体" w:cs="宋体"/>
                <w:i w:val="0"/>
                <w:iCs w:val="0"/>
                <w:color w:val="000000"/>
                <w:kern w:val="0"/>
                <w:sz w:val="18"/>
                <w:szCs w:val="18"/>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F28829">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2FAF63">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微软雅黑" w:hAnsi="微软雅黑" w:eastAsia="微软雅黑" w:cs="微软雅黑"/>
                <w:i w:val="0"/>
                <w:iCs w:val="0"/>
                <w:color w:val="000000"/>
                <w:kern w:val="0"/>
                <w:sz w:val="16"/>
                <w:szCs w:val="16"/>
                <w:u w:val="none"/>
                <w:lang w:val="en-US" w:eastAsia="zh-CN" w:bidi="ar"/>
              </w:rPr>
            </w:pPr>
            <w:r>
              <w:rPr>
                <w:rFonts w:hint="eastAsia" w:hAnsi="宋体" w:cs="宋体"/>
                <w:i w:val="0"/>
                <w:iCs w:val="0"/>
                <w:color w:val="000000"/>
                <w:kern w:val="0"/>
                <w:sz w:val="18"/>
                <w:szCs w:val="18"/>
                <w:u w:val="none"/>
                <w:lang w:val="en-US" w:eastAsia="zh-CN" w:bidi="ar"/>
              </w:rPr>
              <w:t>1</w:t>
            </w:r>
          </w:p>
        </w:tc>
        <w:tc>
          <w:tcPr>
            <w:tcW w:w="54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166906">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r>
              <w:rPr>
                <w:rFonts w:hint="eastAsia" w:hAnsi="宋体" w:cs="宋体"/>
                <w:i w:val="0"/>
                <w:iCs w:val="0"/>
                <w:color w:val="000000"/>
                <w:kern w:val="0"/>
                <w:sz w:val="18"/>
                <w:szCs w:val="18"/>
                <w:u w:val="none"/>
                <w:lang w:val="en-US" w:eastAsia="zh-CN" w:bidi="ar"/>
              </w:rPr>
              <w:t>0</w:t>
            </w:r>
          </w:p>
        </w:tc>
        <w:tc>
          <w:tcPr>
            <w:tcW w:w="5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4983E3">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r>
              <w:rPr>
                <w:rFonts w:hint="eastAsia" w:hAnsi="宋体" w:cs="宋体"/>
                <w:i w:val="0"/>
                <w:iCs w:val="0"/>
                <w:color w:val="000000"/>
                <w:kern w:val="0"/>
                <w:sz w:val="18"/>
                <w:szCs w:val="18"/>
                <w:u w:val="none"/>
                <w:lang w:val="en-US" w:eastAsia="zh-CN" w:bidi="ar"/>
              </w:rPr>
              <w:t>0</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AF48B4">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微软雅黑" w:hAnsi="微软雅黑" w:eastAsia="微软雅黑" w:cs="微软雅黑"/>
                <w:i/>
                <w:iCs/>
                <w:color w:val="000000"/>
                <w:sz w:val="16"/>
                <w:szCs w:val="16"/>
                <w:u w:val="none"/>
              </w:rPr>
            </w:pPr>
          </w:p>
        </w:tc>
      </w:tr>
      <w:tr w14:paraId="02DA6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3006ED">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4836E9C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p>
        </w:tc>
        <w:tc>
          <w:tcPr>
            <w:tcW w:w="847" w:type="dxa"/>
            <w:vMerge w:val="continue"/>
            <w:tcBorders>
              <w:left w:val="single" w:color="000000" w:sz="4" w:space="0"/>
              <w:right w:val="single" w:color="000000" w:sz="4" w:space="0"/>
            </w:tcBorders>
            <w:shd w:val="clear" w:color="auto" w:fill="FFFFFF" w:themeFill="background1"/>
            <w:vAlign w:val="center"/>
          </w:tcPr>
          <w:p w14:paraId="40160EE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610A61">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宋体" w:hAnsi="宋体" w:eastAsia="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实施基于关节镜诊疗技术对民族地区膝关节疼痛患者的临床疗效研究</w:t>
            </w:r>
          </w:p>
        </w:tc>
        <w:tc>
          <w:tcPr>
            <w:tcW w:w="7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265C48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hAnsi="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w:t>
            </w:r>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2F694D">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hAnsi="宋体" w:cs="宋体"/>
                <w:i w:val="0"/>
                <w:iCs w:val="0"/>
                <w:color w:val="000000"/>
                <w:kern w:val="0"/>
                <w:sz w:val="18"/>
                <w:szCs w:val="18"/>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2E2897">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8B63FF">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微软雅黑" w:hAnsi="微软雅黑" w:eastAsia="微软雅黑" w:cs="微软雅黑"/>
                <w:i w:val="0"/>
                <w:iCs w:val="0"/>
                <w:color w:val="000000"/>
                <w:kern w:val="0"/>
                <w:sz w:val="16"/>
                <w:szCs w:val="16"/>
                <w:u w:val="none"/>
                <w:lang w:val="en-US" w:eastAsia="zh-CN" w:bidi="ar"/>
              </w:rPr>
            </w:pPr>
            <w:r>
              <w:rPr>
                <w:rFonts w:hint="eastAsia" w:hAnsi="宋体" w:cs="宋体"/>
                <w:i w:val="0"/>
                <w:iCs w:val="0"/>
                <w:color w:val="000000"/>
                <w:kern w:val="0"/>
                <w:sz w:val="18"/>
                <w:szCs w:val="18"/>
                <w:u w:val="none"/>
                <w:lang w:val="en-US" w:eastAsia="zh-CN" w:bidi="ar"/>
              </w:rPr>
              <w:t>1</w:t>
            </w:r>
          </w:p>
        </w:tc>
        <w:tc>
          <w:tcPr>
            <w:tcW w:w="54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D1C8F0">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r>
              <w:rPr>
                <w:rFonts w:hint="eastAsia" w:hAnsi="宋体" w:cs="宋体"/>
                <w:i w:val="0"/>
                <w:iCs w:val="0"/>
                <w:color w:val="000000"/>
                <w:kern w:val="0"/>
                <w:sz w:val="18"/>
                <w:szCs w:val="18"/>
                <w:u w:val="none"/>
                <w:lang w:val="en-US" w:eastAsia="zh-CN" w:bidi="ar"/>
              </w:rPr>
              <w:t>0</w:t>
            </w:r>
          </w:p>
        </w:tc>
        <w:tc>
          <w:tcPr>
            <w:tcW w:w="5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D05D94E">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r>
              <w:rPr>
                <w:rFonts w:hint="eastAsia" w:hAnsi="宋体" w:cs="宋体"/>
                <w:i w:val="0"/>
                <w:iCs w:val="0"/>
                <w:color w:val="000000"/>
                <w:kern w:val="0"/>
                <w:sz w:val="18"/>
                <w:szCs w:val="18"/>
                <w:u w:val="none"/>
                <w:lang w:val="en-US" w:eastAsia="zh-CN" w:bidi="ar"/>
              </w:rPr>
              <w:t>0</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135772">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微软雅黑" w:hAnsi="微软雅黑" w:eastAsia="微软雅黑" w:cs="微软雅黑"/>
                <w:i/>
                <w:iCs/>
                <w:color w:val="000000"/>
                <w:sz w:val="16"/>
                <w:szCs w:val="16"/>
                <w:u w:val="none"/>
              </w:rPr>
            </w:pPr>
          </w:p>
        </w:tc>
      </w:tr>
      <w:tr w14:paraId="633CD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77D3D1">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074592F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p>
        </w:tc>
        <w:tc>
          <w:tcPr>
            <w:tcW w:w="847" w:type="dxa"/>
            <w:vMerge w:val="continue"/>
            <w:tcBorders>
              <w:left w:val="single" w:color="000000" w:sz="4" w:space="0"/>
              <w:right w:val="single" w:color="000000" w:sz="4" w:space="0"/>
            </w:tcBorders>
            <w:shd w:val="clear" w:color="auto" w:fill="FFFFFF" w:themeFill="background1"/>
            <w:vAlign w:val="center"/>
          </w:tcPr>
          <w:p w14:paraId="648F719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CE70617">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宋体" w:hAnsi="宋体" w:eastAsia="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实施阿坝州茂县土门道地药材黄连种植技术的研究与集成示范</w:t>
            </w:r>
          </w:p>
        </w:tc>
        <w:tc>
          <w:tcPr>
            <w:tcW w:w="7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5AD27E">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hAnsi="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w:t>
            </w:r>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9E4BC8">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hAnsi="宋体" w:cs="宋体"/>
                <w:i w:val="0"/>
                <w:iCs w:val="0"/>
                <w:color w:val="000000"/>
                <w:kern w:val="0"/>
                <w:sz w:val="18"/>
                <w:szCs w:val="18"/>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FEC313">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5C8D49">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微软雅黑" w:hAnsi="微软雅黑" w:eastAsia="微软雅黑" w:cs="微软雅黑"/>
                <w:i w:val="0"/>
                <w:iCs w:val="0"/>
                <w:color w:val="000000"/>
                <w:kern w:val="0"/>
                <w:sz w:val="16"/>
                <w:szCs w:val="16"/>
                <w:u w:val="none"/>
                <w:lang w:val="en-US" w:eastAsia="zh-CN" w:bidi="ar"/>
              </w:rPr>
            </w:pPr>
            <w:r>
              <w:rPr>
                <w:rFonts w:hint="eastAsia" w:hAnsi="宋体" w:cs="宋体"/>
                <w:i w:val="0"/>
                <w:iCs w:val="0"/>
                <w:color w:val="000000"/>
                <w:kern w:val="0"/>
                <w:sz w:val="18"/>
                <w:szCs w:val="18"/>
                <w:u w:val="none"/>
                <w:lang w:val="en-US" w:eastAsia="zh-CN" w:bidi="ar"/>
              </w:rPr>
              <w:t>1</w:t>
            </w:r>
          </w:p>
        </w:tc>
        <w:tc>
          <w:tcPr>
            <w:tcW w:w="54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50DF22">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r>
              <w:rPr>
                <w:rFonts w:hint="eastAsia" w:hAnsi="宋体" w:cs="宋体"/>
                <w:i w:val="0"/>
                <w:iCs w:val="0"/>
                <w:color w:val="000000"/>
                <w:kern w:val="0"/>
                <w:sz w:val="18"/>
                <w:szCs w:val="18"/>
                <w:u w:val="none"/>
                <w:lang w:val="en-US" w:eastAsia="zh-CN" w:bidi="ar"/>
              </w:rPr>
              <w:t>0</w:t>
            </w:r>
          </w:p>
        </w:tc>
        <w:tc>
          <w:tcPr>
            <w:tcW w:w="5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91D8D8">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r>
              <w:rPr>
                <w:rFonts w:hint="eastAsia" w:hAnsi="宋体" w:cs="宋体"/>
                <w:i w:val="0"/>
                <w:iCs w:val="0"/>
                <w:color w:val="000000"/>
                <w:kern w:val="0"/>
                <w:sz w:val="18"/>
                <w:szCs w:val="18"/>
                <w:u w:val="none"/>
                <w:lang w:val="en-US" w:eastAsia="zh-CN" w:bidi="ar"/>
              </w:rPr>
              <w:t>0</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A37880">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微软雅黑" w:hAnsi="微软雅黑" w:eastAsia="微软雅黑" w:cs="微软雅黑"/>
                <w:i/>
                <w:iCs/>
                <w:color w:val="000000"/>
                <w:sz w:val="16"/>
                <w:szCs w:val="16"/>
                <w:u w:val="none"/>
              </w:rPr>
            </w:pPr>
          </w:p>
        </w:tc>
      </w:tr>
      <w:tr w14:paraId="18C52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893A98">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3A8F6BEA">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847"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F8E324">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ADBC1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宋体" w:hAnsi="宋体" w:eastAsia="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实施基于物联网技术的民族地区医疗废物转运智能信息化管理系统研究与应用</w:t>
            </w:r>
          </w:p>
        </w:tc>
        <w:tc>
          <w:tcPr>
            <w:tcW w:w="7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5688B5">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w:t>
            </w:r>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BA082F">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hAnsi="宋体" w:cs="宋体"/>
                <w:i w:val="0"/>
                <w:iCs w:val="0"/>
                <w:color w:val="000000"/>
                <w:kern w:val="0"/>
                <w:sz w:val="18"/>
                <w:szCs w:val="18"/>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885B14">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BCF115">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1</w:t>
            </w:r>
          </w:p>
        </w:tc>
        <w:tc>
          <w:tcPr>
            <w:tcW w:w="54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C3DDEA">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r>
              <w:rPr>
                <w:rFonts w:hint="eastAsia" w:hAnsi="宋体" w:cs="宋体"/>
                <w:i w:val="0"/>
                <w:iCs w:val="0"/>
                <w:color w:val="000000"/>
                <w:kern w:val="0"/>
                <w:sz w:val="18"/>
                <w:szCs w:val="18"/>
                <w:u w:val="none"/>
                <w:lang w:val="en-US" w:eastAsia="zh-CN" w:bidi="ar"/>
              </w:rPr>
              <w:t>0</w:t>
            </w:r>
          </w:p>
        </w:tc>
        <w:tc>
          <w:tcPr>
            <w:tcW w:w="5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17BF34">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r>
              <w:rPr>
                <w:rFonts w:hint="eastAsia" w:hAnsi="宋体" w:cs="宋体"/>
                <w:i w:val="0"/>
                <w:iCs w:val="0"/>
                <w:color w:val="000000"/>
                <w:kern w:val="0"/>
                <w:sz w:val="18"/>
                <w:szCs w:val="18"/>
                <w:u w:val="none"/>
                <w:lang w:val="en-US" w:eastAsia="zh-CN" w:bidi="ar"/>
              </w:rPr>
              <w:t>0</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ABF30E">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01013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52"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8D865B">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restart"/>
            <w:tcBorders>
              <w:top w:val="single" w:color="000000" w:sz="4" w:space="0"/>
              <w:left w:val="single" w:color="000000" w:sz="4" w:space="0"/>
              <w:right w:val="single" w:color="000000" w:sz="4" w:space="0"/>
            </w:tcBorders>
            <w:shd w:val="clear" w:color="auto" w:fill="FFFFFF" w:themeFill="background1"/>
            <w:vAlign w:val="center"/>
          </w:tcPr>
          <w:p w14:paraId="29DC40A8">
            <w:pPr>
              <w:keepNext w:val="0"/>
              <w:keepLines w:val="0"/>
              <w:pageBreakBefore w:val="0"/>
              <w:widowControl w:val="0"/>
              <w:kinsoku/>
              <w:wordWrap/>
              <w:overflowPunct/>
              <w:topLinePunct w:val="0"/>
              <w:autoSpaceDE/>
              <w:autoSpaceDN/>
              <w:bidi w:val="0"/>
              <w:adjustRightInd/>
              <w:snapToGrid/>
              <w:spacing w:line="240" w:lineRule="atLeast"/>
              <w:jc w:val="both"/>
              <w:rPr>
                <w:rFonts w:hint="default" w:ascii="宋体" w:hAnsi="宋体" w:eastAsia="宋体" w:cs="宋体"/>
                <w:i w:val="0"/>
                <w:iCs w:val="0"/>
                <w:color w:val="000000"/>
                <w:sz w:val="18"/>
                <w:szCs w:val="18"/>
                <w:u w:val="none"/>
                <w:lang w:val="en-US" w:eastAsia="zh-CN"/>
              </w:rPr>
            </w:pPr>
            <w:r>
              <w:rPr>
                <w:rFonts w:hint="eastAsia" w:hAnsi="宋体" w:cs="宋体"/>
                <w:i w:val="0"/>
                <w:iCs w:val="0"/>
                <w:color w:val="000000"/>
                <w:sz w:val="18"/>
                <w:szCs w:val="18"/>
                <w:u w:val="none"/>
                <w:lang w:val="en-US" w:eastAsia="zh-CN"/>
              </w:rPr>
              <w:t>效益指标</w:t>
            </w:r>
          </w:p>
        </w:tc>
        <w:tc>
          <w:tcPr>
            <w:tcW w:w="8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28E823">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right="0" w:right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社会效益</w:t>
            </w:r>
          </w:p>
          <w:p w14:paraId="62BC4921">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指标</w:t>
            </w: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4EDE6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通过项目的科技创新，示范引领，不断提高行业发展的积极性，激发茂县科技创新动力。</w:t>
            </w:r>
          </w:p>
        </w:tc>
        <w:tc>
          <w:tcPr>
            <w:tcW w:w="7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550887">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定性</w:t>
            </w:r>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4E9FD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良好</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78649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其他</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FC3870">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宋体" w:hAnsi="宋体" w:eastAsia="宋体" w:cs="宋体"/>
                <w:i w:val="0"/>
                <w:iCs w:val="0"/>
                <w:color w:val="000000"/>
                <w:sz w:val="18"/>
                <w:szCs w:val="18"/>
                <w:u w:val="none"/>
                <w:lang w:eastAsia="zh-CN"/>
              </w:rPr>
            </w:pPr>
            <w:r>
              <w:rPr>
                <w:rFonts w:hint="eastAsia" w:hAnsi="宋体" w:cs="宋体"/>
                <w:i w:val="0"/>
                <w:iCs w:val="0"/>
                <w:color w:val="000000"/>
                <w:sz w:val="18"/>
                <w:szCs w:val="18"/>
                <w:u w:val="none"/>
                <w:lang w:eastAsia="zh-CN"/>
              </w:rPr>
              <w:t>良好</w:t>
            </w:r>
          </w:p>
        </w:tc>
        <w:tc>
          <w:tcPr>
            <w:tcW w:w="54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4AA620">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5</w:t>
            </w:r>
          </w:p>
        </w:tc>
        <w:tc>
          <w:tcPr>
            <w:tcW w:w="5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BCC33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5</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7F5DF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宋体" w:hAnsi="宋体" w:eastAsia="宋体" w:cs="宋体"/>
                <w:i w:val="0"/>
                <w:iCs w:val="0"/>
                <w:color w:val="000000"/>
                <w:sz w:val="18"/>
                <w:szCs w:val="18"/>
                <w:u w:val="none"/>
              </w:rPr>
            </w:pPr>
          </w:p>
        </w:tc>
      </w:tr>
      <w:tr w14:paraId="4E6A2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2"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477776">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7D41B0F1">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8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0F354E">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right="0" w:right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经济效益</w:t>
            </w:r>
          </w:p>
          <w:p w14:paraId="599DA714">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指标</w:t>
            </w: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8EC8D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通过示范辐射带动周边群众发展产业生产，实现增产增收</w:t>
            </w:r>
          </w:p>
        </w:tc>
        <w:tc>
          <w:tcPr>
            <w:tcW w:w="7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4FA37F">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定性</w:t>
            </w:r>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49D094">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良好</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B4ED7F">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其他</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91E16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良好</w:t>
            </w:r>
          </w:p>
        </w:tc>
        <w:tc>
          <w:tcPr>
            <w:tcW w:w="54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8045D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5</w:t>
            </w:r>
          </w:p>
        </w:tc>
        <w:tc>
          <w:tcPr>
            <w:tcW w:w="5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D520D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5</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13B9A8">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宋体" w:hAnsi="宋体" w:eastAsia="宋体" w:cs="宋体"/>
                <w:i w:val="0"/>
                <w:iCs w:val="0"/>
                <w:color w:val="000000"/>
                <w:sz w:val="18"/>
                <w:szCs w:val="18"/>
                <w:u w:val="none"/>
              </w:rPr>
            </w:pPr>
          </w:p>
        </w:tc>
      </w:tr>
      <w:tr w14:paraId="0FE41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4"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BEA6B6">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left w:val="single" w:color="000000" w:sz="4" w:space="0"/>
              <w:bottom w:val="single" w:color="000000" w:sz="4" w:space="0"/>
              <w:right w:val="single" w:color="000000" w:sz="4" w:space="0"/>
            </w:tcBorders>
            <w:shd w:val="clear" w:color="auto" w:fill="FFFFFF" w:themeFill="background1"/>
            <w:vAlign w:val="center"/>
          </w:tcPr>
          <w:p w14:paraId="48701B4D">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成本指标</w:t>
            </w:r>
          </w:p>
        </w:tc>
        <w:tc>
          <w:tcPr>
            <w:tcW w:w="1518"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F0F2D7">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经济成本指标</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487B6D">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宋体" w:hAnsi="宋体" w:eastAsia="宋体" w:cs="宋体"/>
                <w:i w:val="0"/>
                <w:iCs w:val="0"/>
                <w:color w:val="000000"/>
                <w:sz w:val="18"/>
                <w:szCs w:val="18"/>
                <w:u w:val="none"/>
                <w:lang w:val="en-US"/>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下达资金</w:t>
            </w:r>
          </w:p>
        </w:tc>
        <w:tc>
          <w:tcPr>
            <w:tcW w:w="7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BE0767">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w:t>
            </w:r>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0280BF">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165</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9D6064">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万元</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B0ACDE">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宋体" w:hAnsi="宋体" w:eastAsia="宋体" w:cs="宋体"/>
                <w:i w:val="0"/>
                <w:iCs w:val="0"/>
                <w:color w:val="000000"/>
                <w:sz w:val="18"/>
                <w:szCs w:val="18"/>
                <w:u w:val="none"/>
                <w:lang w:val="en-US"/>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165</w:t>
            </w:r>
          </w:p>
        </w:tc>
        <w:tc>
          <w:tcPr>
            <w:tcW w:w="54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9951FF">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宋体" w:hAnsi="宋体" w:eastAsia="宋体" w:cs="宋体"/>
                <w:i w:val="0"/>
                <w:iCs w:val="0"/>
                <w:color w:val="000000"/>
                <w:sz w:val="18"/>
                <w:szCs w:val="18"/>
                <w:u w:val="none"/>
                <w:lang w:val="en-US" w:eastAsia="zh-CN"/>
              </w:rPr>
            </w:pPr>
            <w:r>
              <w:rPr>
                <w:rFonts w:hint="eastAsia" w:hAnsi="宋体" w:cs="宋体"/>
                <w:i w:val="0"/>
                <w:iCs w:val="0"/>
                <w:color w:val="000000"/>
                <w:sz w:val="18"/>
                <w:szCs w:val="18"/>
                <w:u w:val="none"/>
                <w:lang w:val="en-US" w:eastAsia="zh-CN"/>
              </w:rPr>
              <w:t>10</w:t>
            </w:r>
          </w:p>
        </w:tc>
        <w:tc>
          <w:tcPr>
            <w:tcW w:w="5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22217A">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宋体" w:hAnsi="宋体" w:eastAsia="宋体" w:cs="宋体"/>
                <w:i w:val="0"/>
                <w:iCs w:val="0"/>
                <w:color w:val="000000"/>
                <w:sz w:val="18"/>
                <w:szCs w:val="18"/>
                <w:u w:val="none"/>
                <w:lang w:val="en-US" w:eastAsia="zh-CN"/>
              </w:rPr>
            </w:pPr>
            <w:r>
              <w:rPr>
                <w:rFonts w:hint="eastAsia" w:hAnsi="宋体" w:cs="宋体"/>
                <w:i w:val="0"/>
                <w:iCs w:val="0"/>
                <w:color w:val="000000"/>
                <w:sz w:val="18"/>
                <w:szCs w:val="18"/>
                <w:u w:val="none"/>
                <w:lang w:val="en-US" w:eastAsia="zh-CN"/>
              </w:rPr>
              <w:t>10</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287561">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宋体" w:hAnsi="宋体" w:eastAsia="宋体" w:cs="宋体"/>
                <w:i w:val="0"/>
                <w:iCs w:val="0"/>
                <w:color w:val="000000"/>
                <w:sz w:val="18"/>
                <w:szCs w:val="18"/>
                <w:u w:val="none"/>
              </w:rPr>
            </w:pPr>
          </w:p>
        </w:tc>
      </w:tr>
      <w:tr w14:paraId="10112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79E597">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D9AAB7">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right="0" w:right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满意度</w:t>
            </w:r>
          </w:p>
          <w:p w14:paraId="082414D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指标</w:t>
            </w:r>
          </w:p>
        </w:tc>
        <w:tc>
          <w:tcPr>
            <w:tcW w:w="1518"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8845CA">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right="0" w:right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服务对象</w:t>
            </w:r>
          </w:p>
          <w:p w14:paraId="62F04927">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满意度指标</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C46BC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受益区域农户对项目实施的满意度</w:t>
            </w:r>
          </w:p>
        </w:tc>
        <w:tc>
          <w:tcPr>
            <w:tcW w:w="7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25A9F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w:t>
            </w:r>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AC743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宋体" w:hAnsi="宋体" w:eastAsia="宋体" w:cs="宋体"/>
                <w:i w:val="0"/>
                <w:iCs w:val="0"/>
                <w:color w:val="000000"/>
                <w:sz w:val="18"/>
                <w:szCs w:val="18"/>
                <w:u w:val="none"/>
                <w:lang w:val="en-US"/>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98</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C246BD">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F9D28D">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宋体" w:hAnsi="宋体" w:eastAsia="宋体" w:cs="宋体"/>
                <w:i w:val="0"/>
                <w:iCs w:val="0"/>
                <w:color w:val="000000"/>
                <w:sz w:val="18"/>
                <w:szCs w:val="18"/>
                <w:u w:val="none"/>
                <w:lang w:val="en-US"/>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98</w:t>
            </w:r>
          </w:p>
        </w:tc>
        <w:tc>
          <w:tcPr>
            <w:tcW w:w="54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AA82D9">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宋体" w:hAnsi="宋体" w:eastAsia="宋体" w:cs="宋体"/>
                <w:i w:val="0"/>
                <w:iCs w:val="0"/>
                <w:color w:val="000000"/>
                <w:sz w:val="18"/>
                <w:szCs w:val="18"/>
                <w:u w:val="none"/>
                <w:lang w:val="en-US" w:eastAsia="zh-CN"/>
              </w:rPr>
            </w:pPr>
            <w:r>
              <w:rPr>
                <w:rFonts w:hint="eastAsia" w:hAnsi="宋体" w:cs="宋体"/>
                <w:i w:val="0"/>
                <w:iCs w:val="0"/>
                <w:color w:val="000000"/>
                <w:sz w:val="18"/>
                <w:szCs w:val="18"/>
                <w:u w:val="none"/>
                <w:lang w:val="en-US" w:eastAsia="zh-CN"/>
              </w:rPr>
              <w:t>10</w:t>
            </w:r>
          </w:p>
        </w:tc>
        <w:tc>
          <w:tcPr>
            <w:tcW w:w="5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E39861">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宋体" w:hAnsi="宋体" w:eastAsia="宋体" w:cs="宋体"/>
                <w:i w:val="0"/>
                <w:iCs w:val="0"/>
                <w:color w:val="000000"/>
                <w:sz w:val="18"/>
                <w:szCs w:val="18"/>
                <w:u w:val="none"/>
                <w:lang w:val="en-US" w:eastAsia="zh-CN"/>
              </w:rPr>
            </w:pPr>
            <w:r>
              <w:rPr>
                <w:rFonts w:hint="eastAsia" w:hAnsi="宋体" w:cs="宋体"/>
                <w:i w:val="0"/>
                <w:iCs w:val="0"/>
                <w:color w:val="000000"/>
                <w:sz w:val="18"/>
                <w:szCs w:val="18"/>
                <w:u w:val="none"/>
                <w:lang w:val="en-US" w:eastAsia="zh-CN"/>
              </w:rPr>
              <w:t>10</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EBBF5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宋体" w:hAnsi="宋体" w:eastAsia="宋体" w:cs="宋体"/>
                <w:i w:val="0"/>
                <w:iCs w:val="0"/>
                <w:color w:val="000000"/>
                <w:sz w:val="18"/>
                <w:szCs w:val="18"/>
                <w:u w:val="none"/>
              </w:rPr>
            </w:pPr>
          </w:p>
        </w:tc>
      </w:tr>
      <w:tr w14:paraId="2CE5E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52" w:hRule="atLeast"/>
          <w:jc w:val="center"/>
        </w:trPr>
        <w:tc>
          <w:tcPr>
            <w:tcW w:w="7115" w:type="dxa"/>
            <w:gridSpan w:val="10"/>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A67F7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0397D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p>
        </w:tc>
        <w:tc>
          <w:tcPr>
            <w:tcW w:w="54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AB8BC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100</w:t>
            </w:r>
          </w:p>
        </w:tc>
        <w:tc>
          <w:tcPr>
            <w:tcW w:w="5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EE6958">
            <w:pPr>
              <w:keepNext w:val="0"/>
              <w:keepLines w:val="0"/>
              <w:pageBreakBefore w:val="0"/>
              <w:widowControl w:val="0"/>
              <w:kinsoku/>
              <w:wordWrap/>
              <w:overflowPunct/>
              <w:topLinePunct w:val="0"/>
              <w:autoSpaceDE/>
              <w:autoSpaceDN/>
              <w:bidi w:val="0"/>
              <w:adjustRightInd/>
              <w:snapToGrid/>
              <w:spacing w:line="240" w:lineRule="atLeast"/>
              <w:jc w:val="both"/>
              <w:rPr>
                <w:rFonts w:hint="default" w:ascii="宋体" w:hAnsi="宋体" w:eastAsia="宋体" w:cs="宋体"/>
                <w:i w:val="0"/>
                <w:iCs w:val="0"/>
                <w:color w:val="000000"/>
                <w:sz w:val="18"/>
                <w:szCs w:val="18"/>
                <w:u w:val="none"/>
                <w:lang w:val="en-US" w:eastAsia="zh-CN"/>
              </w:rPr>
            </w:pPr>
            <w:r>
              <w:rPr>
                <w:rFonts w:hint="eastAsia" w:hAnsi="宋体" w:cs="宋体"/>
                <w:i w:val="0"/>
                <w:iCs w:val="0"/>
                <w:color w:val="000000"/>
                <w:sz w:val="18"/>
                <w:szCs w:val="18"/>
                <w:u w:val="none"/>
                <w:lang w:val="en-US" w:eastAsia="zh-CN"/>
              </w:rPr>
              <w:t>100</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DAAF96">
            <w:pPr>
              <w:keepNext w:val="0"/>
              <w:keepLines w:val="0"/>
              <w:pageBreakBefore w:val="0"/>
              <w:widowControl w:val="0"/>
              <w:kinsoku/>
              <w:wordWrap/>
              <w:overflowPunct/>
              <w:topLinePunct w:val="0"/>
              <w:autoSpaceDE/>
              <w:autoSpaceDN/>
              <w:bidi w:val="0"/>
              <w:adjustRightInd/>
              <w:snapToGrid/>
              <w:spacing w:line="240" w:lineRule="atLeast"/>
              <w:jc w:val="both"/>
              <w:rPr>
                <w:rFonts w:hint="eastAsia" w:hAnsi="宋体" w:cs="宋体"/>
                <w:i w:val="0"/>
                <w:iCs w:val="0"/>
                <w:color w:val="000000"/>
                <w:sz w:val="18"/>
                <w:szCs w:val="18"/>
                <w:u w:val="none"/>
                <w:lang w:val="en-US" w:eastAsia="zh-CN"/>
              </w:rPr>
            </w:pPr>
          </w:p>
        </w:tc>
      </w:tr>
      <w:tr w14:paraId="4DE32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06" w:hRule="atLeast"/>
          <w:jc w:val="center"/>
        </w:trPr>
        <w:tc>
          <w:tcPr>
            <w:tcW w:w="10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74E37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534" w:type="dxa"/>
            <w:gridSpan w:val="1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B0FB8C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微软雅黑" w:hAnsi="微软雅黑" w:eastAsia="微软雅黑" w:cs="微软雅黑"/>
                <w:i w:val="0"/>
                <w:iCs w:val="0"/>
                <w:color w:val="000000"/>
                <w:sz w:val="16"/>
                <w:szCs w:val="16"/>
                <w:u w:val="none"/>
              </w:rPr>
            </w:pPr>
            <w:r>
              <w:rPr>
                <w:rFonts w:hint="eastAsia" w:ascii="宋体" w:hAnsi="宋体" w:eastAsia="宋体" w:cs="宋体"/>
                <w:i w:val="0"/>
                <w:iCs w:val="0"/>
                <w:color w:val="000000"/>
                <w:kern w:val="0"/>
                <w:sz w:val="18"/>
                <w:szCs w:val="18"/>
                <w:u w:val="none"/>
                <w:lang w:val="en-US" w:eastAsia="zh-CN" w:bidi="ar"/>
              </w:rPr>
              <w:t>该项目自评总得分</w:t>
            </w:r>
            <w:r>
              <w:rPr>
                <w:rFonts w:hint="eastAsia" w:hAnsi="宋体" w:cs="宋体"/>
                <w:i w:val="0"/>
                <w:iCs w:val="0"/>
                <w:color w:val="000000"/>
                <w:kern w:val="0"/>
                <w:sz w:val="18"/>
                <w:szCs w:val="18"/>
                <w:u w:val="none"/>
                <w:lang w:val="en-US" w:eastAsia="zh-CN" w:bidi="ar"/>
              </w:rPr>
              <w:t>100</w:t>
            </w:r>
            <w:r>
              <w:rPr>
                <w:rFonts w:hint="eastAsia" w:ascii="宋体" w:hAnsi="宋体" w:eastAsia="宋体" w:cs="宋体"/>
                <w:i w:val="0"/>
                <w:iCs w:val="0"/>
                <w:color w:val="000000"/>
                <w:kern w:val="0"/>
                <w:sz w:val="18"/>
                <w:szCs w:val="18"/>
                <w:u w:val="none"/>
                <w:lang w:val="en-US" w:eastAsia="zh-CN" w:bidi="ar"/>
              </w:rPr>
              <w:t>分，</w:t>
            </w:r>
            <w:r>
              <w:rPr>
                <w:rFonts w:hint="eastAsia" w:hAnsi="宋体" w:cs="宋体"/>
                <w:i w:val="0"/>
                <w:iCs w:val="0"/>
                <w:color w:val="000000"/>
                <w:kern w:val="0"/>
                <w:sz w:val="18"/>
                <w:szCs w:val="18"/>
                <w:u w:val="none"/>
                <w:lang w:val="en-US" w:eastAsia="zh-CN" w:bidi="ar"/>
              </w:rPr>
              <w:t>企业</w:t>
            </w: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实施茂县高半山区林下中药材种植模式研究与示范推广、茂县山地无融合无支架（架材）青砧1号苹果优新品种砧穗组合矮化密植栽培及育种试验示范、绞股蓝林下生态栽培技术集成及其茶产品开发研究、优质生态唐古特大黄林下种植关键技术示范推广、基于关节镜诊疗技术对民族地区膝关节疼痛患者的临床疗效研究、阿坝州茂县土门道</w:t>
            </w:r>
            <w:r>
              <w:rPr>
                <w:rFonts w:hint="eastAsia" w:asciiTheme="minorEastAsia" w:hAnsiTheme="minorEastAsia" w:eastAsiaTheme="minorEastAsia" w:cstheme="minorEastAsia"/>
                <w:b w:val="0"/>
                <w:bCs w:val="0"/>
                <w:i w:val="0"/>
                <w:iCs w:val="0"/>
                <w:color w:val="000000"/>
                <w:kern w:val="0"/>
                <w:sz w:val="18"/>
                <w:szCs w:val="18"/>
                <w:highlight w:val="none"/>
                <w:u w:val="none"/>
                <w:lang w:val="en-US" w:eastAsia="zh-CN" w:bidi="ar"/>
              </w:rPr>
              <w:t>地药材黄连种植技术的研究与集成示范和基于物联网技术的民族地区医疗废物转运智能信息化管理系统研究与应用</w:t>
            </w:r>
            <w:r>
              <w:rPr>
                <w:rFonts w:hint="eastAsia" w:cstheme="minorEastAsia"/>
                <w:b w:val="0"/>
                <w:bCs w:val="0"/>
                <w:i w:val="0"/>
                <w:iCs w:val="0"/>
                <w:color w:val="000000"/>
                <w:kern w:val="0"/>
                <w:sz w:val="18"/>
                <w:szCs w:val="18"/>
                <w:highlight w:val="none"/>
                <w:u w:val="none"/>
                <w:lang w:val="en-US" w:eastAsia="zh-CN" w:bidi="ar"/>
              </w:rPr>
              <w:t>等</w:t>
            </w:r>
            <w:r>
              <w:rPr>
                <w:rFonts w:hint="eastAsia" w:asciiTheme="minorEastAsia" w:hAnsiTheme="minorEastAsia" w:eastAsiaTheme="minorEastAsia" w:cstheme="minorEastAsia"/>
                <w:b w:val="0"/>
                <w:bCs w:val="0"/>
                <w:i w:val="0"/>
                <w:iCs w:val="0"/>
                <w:color w:val="000000"/>
                <w:kern w:val="0"/>
                <w:sz w:val="18"/>
                <w:szCs w:val="18"/>
                <w:highlight w:val="none"/>
                <w:u w:val="none"/>
                <w:lang w:val="en-US" w:eastAsia="zh-CN" w:bidi="ar"/>
              </w:rPr>
              <w:t>7个阿坝州应用技术研究与开发资金项目，通过项目的科技创新，示范引领，不断提高行业发展的积极性，激发茂县科技创</w:t>
            </w: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新动力，实现茂县经济高质量发展</w:t>
            </w:r>
          </w:p>
        </w:tc>
      </w:tr>
      <w:tr w14:paraId="27841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11" w:hRule="atLeast"/>
          <w:jc w:val="center"/>
        </w:trPr>
        <w:tc>
          <w:tcPr>
            <w:tcW w:w="10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E462E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534" w:type="dxa"/>
            <w:gridSpan w:val="1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BEA3715">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微软雅黑" w:hAnsi="微软雅黑" w:eastAsia="微软雅黑" w:cs="微软雅黑"/>
                <w:i w:val="0"/>
                <w:iCs w:val="0"/>
                <w:color w:val="000000"/>
                <w:sz w:val="16"/>
                <w:szCs w:val="16"/>
                <w:u w:val="none"/>
              </w:rPr>
            </w:pPr>
            <w:r>
              <w:rPr>
                <w:rFonts w:hint="eastAsia" w:ascii="宋体" w:hAnsi="宋体" w:eastAsia="宋体" w:cs="宋体"/>
                <w:i w:val="0"/>
                <w:iCs w:val="0"/>
                <w:color w:val="000000"/>
                <w:kern w:val="0"/>
                <w:position w:val="0"/>
                <w:sz w:val="18"/>
                <w:szCs w:val="18"/>
                <w:u w:val="none"/>
                <w:lang w:val="en-US" w:eastAsia="zh-CN" w:bidi="ar"/>
              </w:rPr>
              <w:t>无。</w:t>
            </w:r>
          </w:p>
        </w:tc>
      </w:tr>
      <w:tr w14:paraId="551CE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10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2DDE2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改进措施</w:t>
            </w:r>
          </w:p>
        </w:tc>
        <w:tc>
          <w:tcPr>
            <w:tcW w:w="8534" w:type="dxa"/>
            <w:gridSpan w:val="1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632C19">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微软雅黑" w:hAnsi="微软雅黑" w:eastAsia="微软雅黑" w:cs="微软雅黑"/>
                <w:i w:val="0"/>
                <w:iCs w:val="0"/>
                <w:color w:val="000000"/>
                <w:sz w:val="16"/>
                <w:szCs w:val="16"/>
                <w:u w:val="none"/>
              </w:rPr>
            </w:pPr>
            <w:r>
              <w:rPr>
                <w:rFonts w:hint="eastAsia" w:ascii="宋体" w:hAnsi="宋体" w:eastAsia="宋体" w:cs="宋体"/>
                <w:i w:val="0"/>
                <w:iCs w:val="0"/>
                <w:color w:val="000000"/>
                <w:kern w:val="0"/>
                <w:position w:val="0"/>
                <w:sz w:val="18"/>
                <w:szCs w:val="18"/>
                <w:u w:val="none"/>
                <w:lang w:val="en-US" w:eastAsia="zh-CN" w:bidi="ar"/>
              </w:rPr>
              <w:t>无。</w:t>
            </w:r>
          </w:p>
        </w:tc>
      </w:tr>
    </w:tbl>
    <w:p w14:paraId="090A032B">
      <w:pPr>
        <w:pStyle w:val="13"/>
        <w:keepNext w:val="0"/>
        <w:keepLines w:val="0"/>
        <w:pageBreakBefore w:val="0"/>
        <w:widowControl w:val="0"/>
        <w:suppressLineNumbers w:val="0"/>
        <w:kinsoku/>
        <w:wordWrap/>
        <w:overflowPunct/>
        <w:topLinePunct w:val="0"/>
        <w:bidi w:val="0"/>
        <w:snapToGrid/>
        <w:spacing w:before="0" w:beforeAutospacing="0"/>
        <w:ind w:left="0"/>
        <w:jc w:val="left"/>
        <w:rPr>
          <w:shd w:val="clear" w:fill="FFFFFF"/>
        </w:rPr>
      </w:pPr>
    </w:p>
    <w:p w14:paraId="200C2291">
      <w:pPr>
        <w:pStyle w:val="13"/>
        <w:keepNext w:val="0"/>
        <w:keepLines w:val="0"/>
        <w:pageBreakBefore w:val="0"/>
        <w:widowControl w:val="0"/>
        <w:suppressLineNumbers w:val="0"/>
        <w:kinsoku/>
        <w:wordWrap/>
        <w:overflowPunct/>
        <w:topLinePunct w:val="0"/>
        <w:bidi w:val="0"/>
        <w:snapToGrid/>
        <w:spacing w:before="0" w:beforeAutospacing="0"/>
        <w:ind w:left="0"/>
        <w:jc w:val="left"/>
        <w:rPr>
          <w:shd w:val="clear" w:fill="FFFFFF"/>
        </w:rPr>
      </w:pPr>
    </w:p>
    <w:p w14:paraId="22A33FC3">
      <w:pPr>
        <w:pStyle w:val="13"/>
        <w:keepNext w:val="0"/>
        <w:keepLines w:val="0"/>
        <w:pageBreakBefore w:val="0"/>
        <w:widowControl w:val="0"/>
        <w:suppressLineNumbers w:val="0"/>
        <w:kinsoku/>
        <w:wordWrap/>
        <w:overflowPunct/>
        <w:topLinePunct w:val="0"/>
        <w:bidi w:val="0"/>
        <w:snapToGrid/>
        <w:spacing w:before="0" w:beforeAutospacing="0"/>
        <w:ind w:left="0"/>
        <w:jc w:val="left"/>
        <w:rPr>
          <w:shd w:val="clear" w:fill="FFFFFF"/>
        </w:rPr>
      </w:pPr>
    </w:p>
    <w:p w14:paraId="4C04A761">
      <w:pPr>
        <w:pStyle w:val="13"/>
        <w:keepNext w:val="0"/>
        <w:keepLines w:val="0"/>
        <w:pageBreakBefore w:val="0"/>
        <w:widowControl w:val="0"/>
        <w:suppressLineNumbers w:val="0"/>
        <w:kinsoku/>
        <w:wordWrap/>
        <w:overflowPunct/>
        <w:topLinePunct w:val="0"/>
        <w:bidi w:val="0"/>
        <w:snapToGrid/>
        <w:spacing w:before="0" w:beforeAutospacing="0"/>
        <w:ind w:left="0"/>
        <w:jc w:val="left"/>
        <w:rPr>
          <w:shd w:val="clear" w:fill="FFFFFF"/>
        </w:rPr>
      </w:pPr>
    </w:p>
    <w:p w14:paraId="6780DB11">
      <w:pPr>
        <w:pStyle w:val="13"/>
        <w:keepNext w:val="0"/>
        <w:keepLines w:val="0"/>
        <w:pageBreakBefore w:val="0"/>
        <w:widowControl w:val="0"/>
        <w:suppressLineNumbers w:val="0"/>
        <w:kinsoku/>
        <w:wordWrap/>
        <w:overflowPunct/>
        <w:topLinePunct w:val="0"/>
        <w:bidi w:val="0"/>
        <w:snapToGrid/>
        <w:spacing w:before="0" w:beforeAutospacing="0"/>
        <w:ind w:left="0"/>
        <w:jc w:val="left"/>
        <w:rPr>
          <w:shd w:val="clear" w:fill="FFFFFF"/>
        </w:rPr>
      </w:pPr>
    </w:p>
    <w:p w14:paraId="7C9217C2">
      <w:pPr>
        <w:pStyle w:val="13"/>
        <w:keepNext w:val="0"/>
        <w:keepLines w:val="0"/>
        <w:pageBreakBefore w:val="0"/>
        <w:widowControl w:val="0"/>
        <w:suppressLineNumbers w:val="0"/>
        <w:kinsoku/>
        <w:wordWrap/>
        <w:overflowPunct/>
        <w:topLinePunct w:val="0"/>
        <w:bidi w:val="0"/>
        <w:snapToGrid/>
        <w:spacing w:before="0" w:beforeAutospacing="0"/>
        <w:ind w:left="0"/>
        <w:jc w:val="left"/>
        <w:rPr>
          <w:shd w:val="clear" w:fill="FFFFFF"/>
        </w:rPr>
      </w:pPr>
    </w:p>
    <w:p w14:paraId="01E66716">
      <w:pPr>
        <w:pStyle w:val="13"/>
        <w:keepNext w:val="0"/>
        <w:keepLines w:val="0"/>
        <w:pageBreakBefore w:val="0"/>
        <w:widowControl w:val="0"/>
        <w:suppressLineNumbers w:val="0"/>
        <w:kinsoku/>
        <w:wordWrap/>
        <w:overflowPunct/>
        <w:topLinePunct w:val="0"/>
        <w:bidi w:val="0"/>
        <w:snapToGrid/>
        <w:spacing w:before="0" w:beforeAutospacing="0"/>
        <w:ind w:left="0"/>
        <w:jc w:val="left"/>
        <w:rPr>
          <w:shd w:val="clear" w:fill="FFFFFF"/>
        </w:rPr>
      </w:pPr>
    </w:p>
    <w:p w14:paraId="65926B3D">
      <w:pPr>
        <w:pStyle w:val="13"/>
        <w:keepNext w:val="0"/>
        <w:keepLines w:val="0"/>
        <w:pageBreakBefore w:val="0"/>
        <w:widowControl w:val="0"/>
        <w:suppressLineNumbers w:val="0"/>
        <w:kinsoku/>
        <w:wordWrap/>
        <w:overflowPunct/>
        <w:topLinePunct w:val="0"/>
        <w:bidi w:val="0"/>
        <w:snapToGrid/>
        <w:spacing w:before="0" w:beforeAutospacing="0"/>
        <w:ind w:left="0"/>
        <w:jc w:val="left"/>
        <w:rPr>
          <w:shd w:val="clear" w:fill="FFFFFF"/>
        </w:rPr>
      </w:pPr>
    </w:p>
    <w:p w14:paraId="596EC6CD">
      <w:pPr>
        <w:pStyle w:val="13"/>
        <w:keepNext w:val="0"/>
        <w:keepLines w:val="0"/>
        <w:pageBreakBefore w:val="0"/>
        <w:widowControl w:val="0"/>
        <w:suppressLineNumbers w:val="0"/>
        <w:kinsoku/>
        <w:wordWrap/>
        <w:overflowPunct/>
        <w:topLinePunct w:val="0"/>
        <w:bidi w:val="0"/>
        <w:snapToGrid/>
        <w:spacing w:before="0" w:beforeAutospacing="0"/>
        <w:ind w:left="0"/>
        <w:jc w:val="left"/>
        <w:rPr>
          <w:shd w:val="clear" w:fill="FFFFFF"/>
        </w:rPr>
      </w:pPr>
    </w:p>
    <w:p w14:paraId="324B040A">
      <w:pPr>
        <w:pStyle w:val="5"/>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Autospacing="0" w:line="576" w:lineRule="exact"/>
        <w:jc w:val="center"/>
        <w:textAlignment w:val="auto"/>
        <w:rPr>
          <w:rFonts w:hint="eastAsia" w:ascii="黑体" w:hAnsi="黑体" w:eastAsia="黑体" w:cs="黑体"/>
          <w:b w:val="0"/>
          <w:bCs w:val="0"/>
          <w:sz w:val="44"/>
          <w:szCs w:val="44"/>
          <w:shd w:val="clear" w:fill="FFFFFF"/>
          <w:lang w:val="en-US" w:eastAsia="zh-CN"/>
        </w:rPr>
      </w:pPr>
      <w:bookmarkStart w:id="55" w:name="_Toc1344633447"/>
      <w:r>
        <w:rPr>
          <w:rFonts w:hint="eastAsia" w:ascii="黑体" w:hAnsi="黑体" w:eastAsia="黑体" w:cs="黑体"/>
          <w:b w:val="0"/>
          <w:bCs w:val="0"/>
          <w:sz w:val="44"/>
          <w:szCs w:val="44"/>
          <w:shd w:val="clear" w:fill="FFFFFF"/>
          <w:lang w:val="en-US" w:eastAsia="zh-CN"/>
        </w:rPr>
        <w:t>附表</w:t>
      </w:r>
      <w:bookmarkEnd w:id="55"/>
    </w:p>
    <w:p w14:paraId="1B1E0A87">
      <w:pPr>
        <w:numPr>
          <w:ilvl w:val="0"/>
          <w:numId w:val="0"/>
        </w:numPr>
        <w:rPr>
          <w:rFonts w:hint="eastAsia"/>
          <w:lang w:val="en-US" w:eastAsia="zh-CN"/>
        </w:rPr>
      </w:pPr>
    </w:p>
    <w:p w14:paraId="3FB5DD90">
      <w:pPr>
        <w:pStyle w:val="13"/>
        <w:keepNext w:val="0"/>
        <w:keepLines w:val="0"/>
        <w:pageBreakBefore w:val="0"/>
        <w:widowControl w:val="0"/>
        <w:suppressLineNumbers w:val="0"/>
        <w:kinsoku/>
        <w:wordWrap/>
        <w:overflowPunct/>
        <w:topLinePunct w:val="0"/>
        <w:bidi w:val="0"/>
        <w:snapToGrid/>
        <w:spacing w:before="0" w:beforeAutospacing="0"/>
        <w:ind w:left="0" w:firstLine="640" w:firstLineChars="200"/>
        <w:jc w:val="left"/>
        <w:outlineLvl w:val="1"/>
        <w:rPr>
          <w:rFonts w:hint="eastAsia" w:ascii="仿宋_GB2312" w:eastAsia="仿宋_GB2312" w:cs="仿宋_GB2312" w:hAnsiTheme="minorEastAsia"/>
          <w:bCs/>
          <w:kern w:val="0"/>
          <w:sz w:val="32"/>
          <w:szCs w:val="32"/>
          <w:lang w:val="en-US" w:eastAsia="zh-CN" w:bidi="ar"/>
        </w:rPr>
      </w:pPr>
      <w:bookmarkStart w:id="56" w:name="_Toc1771763676"/>
      <w:r>
        <w:rPr>
          <w:rFonts w:hint="eastAsia" w:ascii="黑体" w:hAnsi="黑体" w:eastAsia="黑体" w:cs="黑体"/>
          <w:bCs/>
          <w:kern w:val="0"/>
          <w:sz w:val="32"/>
          <w:szCs w:val="32"/>
          <w:lang w:val="en-US" w:eastAsia="zh-CN" w:bidi="ar"/>
        </w:rPr>
        <w:t>一、收入支出决算总表</w:t>
      </w:r>
      <w:bookmarkEnd w:id="56"/>
    </w:p>
    <w:p w14:paraId="38A4EA1A">
      <w:pPr>
        <w:pStyle w:val="13"/>
        <w:keepNext w:val="0"/>
        <w:keepLines w:val="0"/>
        <w:pageBreakBefore w:val="0"/>
        <w:widowControl w:val="0"/>
        <w:suppressLineNumbers w:val="0"/>
        <w:kinsoku/>
        <w:wordWrap/>
        <w:overflowPunct/>
        <w:topLinePunct w:val="0"/>
        <w:bidi w:val="0"/>
        <w:snapToGrid/>
        <w:spacing w:before="0" w:beforeAutospacing="0"/>
        <w:ind w:left="0" w:firstLine="640" w:firstLineChars="200"/>
        <w:jc w:val="left"/>
        <w:outlineLvl w:val="1"/>
        <w:rPr>
          <w:rFonts w:hint="eastAsia" w:ascii="黑体" w:hAnsi="黑体" w:eastAsia="黑体" w:cs="黑体"/>
          <w:bCs/>
          <w:kern w:val="0"/>
          <w:sz w:val="32"/>
          <w:szCs w:val="32"/>
          <w:lang w:val="en-US" w:eastAsia="zh-CN" w:bidi="ar"/>
        </w:rPr>
      </w:pPr>
      <w:bookmarkStart w:id="57" w:name="_Toc1631651573"/>
      <w:r>
        <w:rPr>
          <w:rFonts w:hint="eastAsia" w:ascii="黑体" w:hAnsi="黑体" w:eastAsia="黑体" w:cs="黑体"/>
          <w:bCs/>
          <w:kern w:val="0"/>
          <w:sz w:val="32"/>
          <w:szCs w:val="32"/>
          <w:lang w:val="en-US" w:eastAsia="zh-CN" w:bidi="ar"/>
        </w:rPr>
        <w:t>二、收入决算表</w:t>
      </w:r>
      <w:bookmarkEnd w:id="57"/>
    </w:p>
    <w:p w14:paraId="1067E9E0">
      <w:pPr>
        <w:pStyle w:val="13"/>
        <w:keepNext w:val="0"/>
        <w:keepLines w:val="0"/>
        <w:pageBreakBefore w:val="0"/>
        <w:widowControl w:val="0"/>
        <w:suppressLineNumbers w:val="0"/>
        <w:kinsoku/>
        <w:wordWrap/>
        <w:overflowPunct/>
        <w:topLinePunct w:val="0"/>
        <w:bidi w:val="0"/>
        <w:snapToGrid/>
        <w:spacing w:before="0" w:beforeAutospacing="0"/>
        <w:ind w:left="0" w:firstLine="640" w:firstLineChars="200"/>
        <w:jc w:val="left"/>
        <w:outlineLvl w:val="1"/>
        <w:rPr>
          <w:rFonts w:hint="eastAsia" w:ascii="黑体" w:hAnsi="黑体" w:eastAsia="黑体" w:cs="黑体"/>
          <w:bCs/>
          <w:kern w:val="0"/>
          <w:sz w:val="32"/>
          <w:szCs w:val="32"/>
          <w:lang w:val="en-US" w:eastAsia="zh-CN" w:bidi="ar"/>
        </w:rPr>
      </w:pPr>
      <w:bookmarkStart w:id="58" w:name="_Toc1468361692"/>
      <w:r>
        <w:rPr>
          <w:rFonts w:hint="eastAsia" w:ascii="黑体" w:hAnsi="黑体" w:eastAsia="黑体" w:cs="黑体"/>
          <w:bCs/>
          <w:kern w:val="0"/>
          <w:sz w:val="32"/>
          <w:szCs w:val="32"/>
          <w:lang w:val="en-US" w:eastAsia="zh-CN" w:bidi="ar"/>
        </w:rPr>
        <w:t>三、支出决算表</w:t>
      </w:r>
      <w:bookmarkEnd w:id="58"/>
    </w:p>
    <w:p w14:paraId="51C9E8B0">
      <w:pPr>
        <w:pStyle w:val="13"/>
        <w:keepNext w:val="0"/>
        <w:keepLines w:val="0"/>
        <w:pageBreakBefore w:val="0"/>
        <w:widowControl w:val="0"/>
        <w:suppressLineNumbers w:val="0"/>
        <w:kinsoku/>
        <w:wordWrap/>
        <w:overflowPunct/>
        <w:topLinePunct w:val="0"/>
        <w:bidi w:val="0"/>
        <w:snapToGrid/>
        <w:spacing w:before="0" w:beforeAutospacing="0"/>
        <w:ind w:left="0" w:firstLine="640" w:firstLineChars="200"/>
        <w:jc w:val="left"/>
        <w:outlineLvl w:val="1"/>
        <w:rPr>
          <w:rFonts w:hint="eastAsia" w:ascii="黑体" w:hAnsi="黑体" w:eastAsia="黑体" w:cs="黑体"/>
          <w:bCs/>
          <w:kern w:val="0"/>
          <w:sz w:val="32"/>
          <w:szCs w:val="32"/>
          <w:lang w:val="en-US" w:eastAsia="zh-CN" w:bidi="ar"/>
        </w:rPr>
      </w:pPr>
      <w:bookmarkStart w:id="59" w:name="_Toc917806926"/>
      <w:r>
        <w:rPr>
          <w:rFonts w:hint="eastAsia" w:ascii="黑体" w:hAnsi="黑体" w:eastAsia="黑体" w:cs="黑体"/>
          <w:bCs/>
          <w:kern w:val="0"/>
          <w:sz w:val="32"/>
          <w:szCs w:val="32"/>
          <w:lang w:val="en-US" w:eastAsia="zh-CN" w:bidi="ar"/>
        </w:rPr>
        <w:t>四、财政拨款收入支出决算总表</w:t>
      </w:r>
      <w:bookmarkEnd w:id="59"/>
    </w:p>
    <w:p w14:paraId="5F26891C">
      <w:pPr>
        <w:pStyle w:val="13"/>
        <w:keepNext w:val="0"/>
        <w:keepLines w:val="0"/>
        <w:pageBreakBefore w:val="0"/>
        <w:widowControl w:val="0"/>
        <w:suppressLineNumbers w:val="0"/>
        <w:kinsoku/>
        <w:wordWrap/>
        <w:overflowPunct/>
        <w:topLinePunct w:val="0"/>
        <w:bidi w:val="0"/>
        <w:snapToGrid/>
        <w:spacing w:before="0" w:beforeAutospacing="0"/>
        <w:ind w:left="0" w:firstLine="640" w:firstLineChars="200"/>
        <w:jc w:val="left"/>
        <w:outlineLvl w:val="1"/>
        <w:rPr>
          <w:rFonts w:hint="eastAsia" w:ascii="黑体" w:hAnsi="黑体" w:eastAsia="黑体" w:cs="黑体"/>
          <w:bCs/>
          <w:kern w:val="0"/>
          <w:sz w:val="32"/>
          <w:szCs w:val="32"/>
          <w:lang w:val="en-US" w:eastAsia="zh-CN" w:bidi="ar"/>
        </w:rPr>
      </w:pPr>
      <w:bookmarkStart w:id="60" w:name="_Toc673552542"/>
      <w:r>
        <w:rPr>
          <w:rFonts w:hint="eastAsia" w:ascii="黑体" w:hAnsi="黑体" w:eastAsia="黑体" w:cs="黑体"/>
          <w:bCs/>
          <w:kern w:val="0"/>
          <w:sz w:val="32"/>
          <w:szCs w:val="32"/>
          <w:lang w:val="en-US" w:eastAsia="zh-CN" w:bidi="ar"/>
        </w:rPr>
        <w:t>五、财政拨款支出决算明细表</w:t>
      </w:r>
      <w:bookmarkEnd w:id="60"/>
    </w:p>
    <w:p w14:paraId="4CB1D958">
      <w:pPr>
        <w:pStyle w:val="13"/>
        <w:keepNext w:val="0"/>
        <w:keepLines w:val="0"/>
        <w:pageBreakBefore w:val="0"/>
        <w:widowControl w:val="0"/>
        <w:suppressLineNumbers w:val="0"/>
        <w:kinsoku/>
        <w:wordWrap/>
        <w:overflowPunct/>
        <w:topLinePunct w:val="0"/>
        <w:bidi w:val="0"/>
        <w:snapToGrid/>
        <w:spacing w:before="0" w:beforeAutospacing="0"/>
        <w:ind w:left="0" w:firstLine="640" w:firstLineChars="200"/>
        <w:jc w:val="left"/>
        <w:outlineLvl w:val="1"/>
        <w:rPr>
          <w:rFonts w:hint="eastAsia" w:ascii="黑体" w:hAnsi="黑体" w:eastAsia="黑体" w:cs="黑体"/>
          <w:bCs/>
          <w:kern w:val="0"/>
          <w:sz w:val="32"/>
          <w:szCs w:val="32"/>
          <w:lang w:val="en-US" w:eastAsia="zh-CN" w:bidi="ar"/>
        </w:rPr>
      </w:pPr>
      <w:bookmarkStart w:id="61" w:name="_Toc977696760"/>
      <w:r>
        <w:rPr>
          <w:rFonts w:hint="eastAsia" w:ascii="黑体" w:hAnsi="黑体" w:eastAsia="黑体" w:cs="黑体"/>
          <w:bCs/>
          <w:kern w:val="0"/>
          <w:sz w:val="32"/>
          <w:szCs w:val="32"/>
          <w:lang w:val="en-US" w:eastAsia="zh-CN" w:bidi="ar"/>
        </w:rPr>
        <w:t>六、一般公共预算财政拨款支出决算表</w:t>
      </w:r>
      <w:bookmarkEnd w:id="61"/>
    </w:p>
    <w:p w14:paraId="012FCD09">
      <w:pPr>
        <w:pStyle w:val="13"/>
        <w:keepNext w:val="0"/>
        <w:keepLines w:val="0"/>
        <w:pageBreakBefore w:val="0"/>
        <w:widowControl w:val="0"/>
        <w:suppressLineNumbers w:val="0"/>
        <w:kinsoku/>
        <w:wordWrap/>
        <w:overflowPunct/>
        <w:topLinePunct w:val="0"/>
        <w:bidi w:val="0"/>
        <w:snapToGrid/>
        <w:spacing w:before="0" w:beforeAutospacing="0"/>
        <w:ind w:left="0" w:firstLine="640" w:firstLineChars="200"/>
        <w:jc w:val="left"/>
        <w:outlineLvl w:val="1"/>
        <w:rPr>
          <w:rFonts w:hint="eastAsia" w:ascii="黑体" w:hAnsi="黑体" w:eastAsia="黑体" w:cs="黑体"/>
          <w:bCs/>
          <w:kern w:val="0"/>
          <w:sz w:val="32"/>
          <w:szCs w:val="32"/>
          <w:lang w:val="en-US" w:eastAsia="zh-CN" w:bidi="ar"/>
        </w:rPr>
      </w:pPr>
      <w:bookmarkStart w:id="62" w:name="_Toc1385101442"/>
      <w:r>
        <w:rPr>
          <w:rFonts w:hint="eastAsia" w:ascii="黑体" w:hAnsi="黑体" w:eastAsia="黑体" w:cs="黑体"/>
          <w:bCs/>
          <w:kern w:val="0"/>
          <w:sz w:val="32"/>
          <w:szCs w:val="32"/>
          <w:lang w:val="en-US" w:eastAsia="zh-CN" w:bidi="ar"/>
        </w:rPr>
        <w:t>七、一般公共预算财政拨款支出决算明细表</w:t>
      </w:r>
      <w:bookmarkEnd w:id="62"/>
    </w:p>
    <w:p w14:paraId="01C8A274">
      <w:pPr>
        <w:pStyle w:val="13"/>
        <w:keepNext w:val="0"/>
        <w:keepLines w:val="0"/>
        <w:pageBreakBefore w:val="0"/>
        <w:widowControl w:val="0"/>
        <w:suppressLineNumbers w:val="0"/>
        <w:kinsoku/>
        <w:wordWrap/>
        <w:overflowPunct/>
        <w:topLinePunct w:val="0"/>
        <w:bidi w:val="0"/>
        <w:snapToGrid/>
        <w:spacing w:before="0" w:beforeAutospacing="0"/>
        <w:ind w:left="0" w:firstLine="640" w:firstLineChars="200"/>
        <w:jc w:val="left"/>
        <w:outlineLvl w:val="1"/>
        <w:rPr>
          <w:rFonts w:hint="eastAsia" w:ascii="黑体" w:hAnsi="黑体" w:eastAsia="黑体" w:cs="黑体"/>
          <w:bCs/>
          <w:kern w:val="0"/>
          <w:sz w:val="32"/>
          <w:szCs w:val="32"/>
          <w:lang w:val="en-US" w:eastAsia="zh-CN" w:bidi="ar"/>
        </w:rPr>
      </w:pPr>
      <w:bookmarkStart w:id="63" w:name="_Toc1191084842"/>
      <w:r>
        <w:rPr>
          <w:rFonts w:hint="eastAsia" w:ascii="黑体" w:hAnsi="黑体" w:eastAsia="黑体" w:cs="黑体"/>
          <w:bCs/>
          <w:kern w:val="0"/>
          <w:sz w:val="32"/>
          <w:szCs w:val="32"/>
          <w:lang w:val="en-US" w:eastAsia="zh-CN" w:bidi="ar"/>
        </w:rPr>
        <w:t>八、一般公共预算财政拨款基本支出决算表</w:t>
      </w:r>
      <w:bookmarkEnd w:id="63"/>
    </w:p>
    <w:p w14:paraId="1C05088C">
      <w:pPr>
        <w:pStyle w:val="13"/>
        <w:keepNext w:val="0"/>
        <w:keepLines w:val="0"/>
        <w:pageBreakBefore w:val="0"/>
        <w:widowControl w:val="0"/>
        <w:suppressLineNumbers w:val="0"/>
        <w:kinsoku/>
        <w:wordWrap/>
        <w:overflowPunct/>
        <w:topLinePunct w:val="0"/>
        <w:bidi w:val="0"/>
        <w:snapToGrid/>
        <w:spacing w:before="0" w:beforeAutospacing="0"/>
        <w:ind w:left="0" w:firstLine="640" w:firstLineChars="200"/>
        <w:jc w:val="left"/>
        <w:outlineLvl w:val="1"/>
        <w:rPr>
          <w:rFonts w:hint="eastAsia" w:ascii="黑体" w:hAnsi="黑体" w:eastAsia="黑体" w:cs="黑体"/>
          <w:bCs/>
          <w:kern w:val="0"/>
          <w:sz w:val="32"/>
          <w:szCs w:val="32"/>
          <w:lang w:val="en-US" w:eastAsia="zh-CN" w:bidi="ar"/>
        </w:rPr>
      </w:pPr>
      <w:bookmarkStart w:id="64" w:name="_Toc741383512"/>
      <w:r>
        <w:rPr>
          <w:rFonts w:hint="eastAsia" w:ascii="黑体" w:hAnsi="黑体" w:eastAsia="黑体" w:cs="黑体"/>
          <w:bCs/>
          <w:kern w:val="0"/>
          <w:sz w:val="32"/>
          <w:szCs w:val="32"/>
          <w:lang w:val="en-US" w:eastAsia="zh-CN" w:bidi="ar"/>
        </w:rPr>
        <w:t>九、一般公共预算财政拨款项目支出决算表</w:t>
      </w:r>
      <w:bookmarkEnd w:id="64"/>
    </w:p>
    <w:p w14:paraId="5537084E">
      <w:pPr>
        <w:pStyle w:val="13"/>
        <w:keepNext w:val="0"/>
        <w:keepLines w:val="0"/>
        <w:pageBreakBefore w:val="0"/>
        <w:widowControl w:val="0"/>
        <w:suppressLineNumbers w:val="0"/>
        <w:kinsoku/>
        <w:wordWrap/>
        <w:overflowPunct/>
        <w:topLinePunct w:val="0"/>
        <w:bidi w:val="0"/>
        <w:snapToGrid/>
        <w:spacing w:before="0" w:beforeAutospacing="0"/>
        <w:ind w:left="0" w:firstLine="640" w:firstLineChars="200"/>
        <w:jc w:val="left"/>
        <w:outlineLvl w:val="1"/>
        <w:rPr>
          <w:rFonts w:hint="eastAsia" w:ascii="黑体" w:hAnsi="黑体" w:eastAsia="黑体" w:cs="黑体"/>
          <w:bCs/>
          <w:kern w:val="0"/>
          <w:sz w:val="32"/>
          <w:szCs w:val="32"/>
          <w:lang w:val="en-US" w:eastAsia="zh-CN" w:bidi="ar"/>
        </w:rPr>
      </w:pPr>
      <w:bookmarkStart w:id="65" w:name="_Toc272389604"/>
      <w:r>
        <w:rPr>
          <w:rFonts w:hint="eastAsia" w:ascii="黑体" w:hAnsi="黑体" w:eastAsia="黑体" w:cs="黑体"/>
          <w:bCs/>
          <w:kern w:val="0"/>
          <w:sz w:val="32"/>
          <w:szCs w:val="32"/>
          <w:lang w:val="en-US" w:eastAsia="zh-CN" w:bidi="ar"/>
        </w:rPr>
        <w:t>十、政府性基金预算财政拨款收入支出决算表</w:t>
      </w:r>
      <w:bookmarkEnd w:id="65"/>
    </w:p>
    <w:p w14:paraId="49C69BBF">
      <w:pPr>
        <w:pStyle w:val="13"/>
        <w:keepNext w:val="0"/>
        <w:keepLines w:val="0"/>
        <w:pageBreakBefore w:val="0"/>
        <w:widowControl w:val="0"/>
        <w:suppressLineNumbers w:val="0"/>
        <w:kinsoku/>
        <w:wordWrap/>
        <w:overflowPunct/>
        <w:topLinePunct w:val="0"/>
        <w:bidi w:val="0"/>
        <w:snapToGrid/>
        <w:spacing w:before="0" w:beforeAutospacing="0"/>
        <w:ind w:left="0" w:firstLine="640" w:firstLineChars="200"/>
        <w:jc w:val="left"/>
        <w:outlineLvl w:val="1"/>
        <w:rPr>
          <w:rFonts w:hint="eastAsia" w:ascii="黑体" w:hAnsi="黑体" w:eastAsia="黑体" w:cs="黑体"/>
          <w:bCs/>
          <w:kern w:val="0"/>
          <w:sz w:val="32"/>
          <w:szCs w:val="32"/>
          <w:lang w:val="en-US" w:eastAsia="zh-CN" w:bidi="ar"/>
        </w:rPr>
      </w:pPr>
      <w:bookmarkStart w:id="66" w:name="_Toc109733753"/>
      <w:r>
        <w:rPr>
          <w:rFonts w:hint="eastAsia" w:ascii="黑体" w:hAnsi="黑体" w:eastAsia="黑体" w:cs="黑体"/>
          <w:bCs/>
          <w:kern w:val="0"/>
          <w:sz w:val="32"/>
          <w:szCs w:val="32"/>
          <w:lang w:val="en-US" w:eastAsia="zh-CN" w:bidi="ar"/>
        </w:rPr>
        <w:t>十一、国有资本经营预算财政拨款收入支出决算表</w:t>
      </w:r>
      <w:bookmarkEnd w:id="66"/>
    </w:p>
    <w:p w14:paraId="3F4517DD">
      <w:pPr>
        <w:pStyle w:val="13"/>
        <w:keepNext w:val="0"/>
        <w:keepLines w:val="0"/>
        <w:pageBreakBefore w:val="0"/>
        <w:widowControl w:val="0"/>
        <w:suppressLineNumbers w:val="0"/>
        <w:kinsoku/>
        <w:wordWrap/>
        <w:overflowPunct/>
        <w:topLinePunct w:val="0"/>
        <w:bidi w:val="0"/>
        <w:snapToGrid/>
        <w:spacing w:before="0" w:beforeAutospacing="0"/>
        <w:ind w:left="0" w:firstLine="640" w:firstLineChars="200"/>
        <w:jc w:val="left"/>
        <w:outlineLvl w:val="1"/>
        <w:rPr>
          <w:rFonts w:hint="eastAsia" w:ascii="黑体" w:hAnsi="黑体" w:eastAsia="黑体" w:cs="黑体"/>
          <w:bCs/>
          <w:kern w:val="0"/>
          <w:sz w:val="32"/>
          <w:szCs w:val="32"/>
          <w:lang w:val="en-US" w:eastAsia="zh-CN" w:bidi="ar"/>
        </w:rPr>
      </w:pPr>
      <w:bookmarkStart w:id="67" w:name="_Toc1827414358"/>
      <w:r>
        <w:rPr>
          <w:rFonts w:hint="eastAsia" w:ascii="黑体" w:hAnsi="黑体" w:eastAsia="黑体" w:cs="黑体"/>
          <w:bCs/>
          <w:kern w:val="0"/>
          <w:sz w:val="32"/>
          <w:szCs w:val="32"/>
          <w:lang w:val="en-US" w:eastAsia="zh-CN" w:bidi="ar"/>
        </w:rPr>
        <w:t>十二、国有资本经营预算财政拨款支出决算表</w:t>
      </w:r>
      <w:bookmarkEnd w:id="67"/>
    </w:p>
    <w:p w14:paraId="43DF8123">
      <w:pPr>
        <w:pStyle w:val="13"/>
        <w:keepNext w:val="0"/>
        <w:keepLines w:val="0"/>
        <w:pageBreakBefore w:val="0"/>
        <w:widowControl w:val="0"/>
        <w:suppressLineNumbers w:val="0"/>
        <w:kinsoku/>
        <w:wordWrap/>
        <w:overflowPunct/>
        <w:topLinePunct w:val="0"/>
        <w:bidi w:val="0"/>
        <w:snapToGrid/>
        <w:spacing w:before="0" w:beforeAutospacing="0"/>
        <w:ind w:left="0" w:firstLine="640" w:firstLineChars="200"/>
        <w:jc w:val="left"/>
        <w:outlineLvl w:val="1"/>
        <w:rPr>
          <w:rFonts w:hint="eastAsia" w:ascii="黑体" w:hAnsi="黑体" w:eastAsia="黑体" w:cs="黑体"/>
          <w:bCs/>
          <w:kern w:val="0"/>
          <w:sz w:val="32"/>
          <w:szCs w:val="32"/>
          <w:lang w:val="en-US" w:eastAsia="zh-CN" w:bidi="ar"/>
        </w:rPr>
      </w:pPr>
      <w:bookmarkStart w:id="68" w:name="_Toc1139170017"/>
      <w:r>
        <w:rPr>
          <w:rFonts w:hint="eastAsia" w:ascii="黑体" w:hAnsi="黑体" w:eastAsia="黑体" w:cs="黑体"/>
          <w:bCs/>
          <w:kern w:val="0"/>
          <w:sz w:val="32"/>
          <w:szCs w:val="32"/>
          <w:lang w:val="en-US" w:eastAsia="zh-CN" w:bidi="ar"/>
        </w:rPr>
        <w:t>十三、财政拨款“三公”经费支出决算表</w:t>
      </w:r>
      <w:bookmarkEnd w:id="68"/>
    </w:p>
    <w:p w14:paraId="5850655A">
      <w:pPr>
        <w:pStyle w:val="13"/>
        <w:keepNext w:val="0"/>
        <w:keepLines w:val="0"/>
        <w:pageBreakBefore w:val="0"/>
        <w:widowControl w:val="0"/>
        <w:suppressLineNumbers w:val="0"/>
        <w:kinsoku/>
        <w:wordWrap/>
        <w:overflowPunct/>
        <w:topLinePunct w:val="0"/>
        <w:bidi w:val="0"/>
        <w:snapToGrid/>
        <w:spacing w:before="0" w:beforeAutospacing="0"/>
        <w:ind w:left="0" w:firstLine="640" w:firstLineChars="200"/>
        <w:jc w:val="left"/>
        <w:outlineLvl w:val="1"/>
        <w:rPr>
          <w:rFonts w:hint="eastAsia" w:ascii="仿宋_GB2312" w:eastAsia="仿宋_GB2312" w:cs="仿宋_GB2312" w:hAnsiTheme="minorEastAsia"/>
          <w:bCs/>
          <w:kern w:val="0"/>
          <w:sz w:val="32"/>
          <w:szCs w:val="32"/>
          <w:lang w:val="en-US" w:eastAsia="zh-CN" w:bidi="ar"/>
        </w:rPr>
      </w:pPr>
    </w:p>
    <w:sectPr>
      <w:footerReference r:id="rId4" w:type="default"/>
      <w:pgSz w:w="11915" w:h="16851"/>
      <w:pgMar w:top="1440" w:right="1800" w:bottom="1440" w:left="1800" w:header="851" w:footer="992" w:gutter="0"/>
      <w:pgNumType w:fmt="decimal" w:start="1"/>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altName w:val="黑体"/>
    <w:panose1 w:val="020B0503020204020204"/>
    <w:charset w:val="86"/>
    <w:family w:val="auto"/>
    <w:pitch w:val="default"/>
    <w:sig w:usb0="00000000" w:usb1="0000000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等线">
    <w:altName w:val="方正公文黑体"/>
    <w:panose1 w:val="00000000000000000000"/>
    <w:charset w:val="00"/>
    <w:family w:val="auto"/>
    <w:pitch w:val="default"/>
    <w:sig w:usb0="00000000" w:usb1="00000000" w:usb2="00000000" w:usb3="00000000" w:csb0="00000000" w:csb1="00000000"/>
  </w:font>
  <w:font w:name="方正公文黑体">
    <w:panose1 w:val="02000500000000000000"/>
    <w:charset w:val="86"/>
    <w:family w:val="auto"/>
    <w:pitch w:val="default"/>
    <w:sig w:usb0="A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46CB3">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35CF0B">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E35CF0B">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7A64A">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DCDF4F">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5DCDF4F">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D26C41"/>
    <w:multiLevelType w:val="singleLevel"/>
    <w:tmpl w:val="D3D26C41"/>
    <w:lvl w:ilvl="0" w:tentative="0">
      <w:start w:val="5"/>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RmYzVhMTg2MDdjYTY1YTYzNDNlM2I0M2ZkYWYyNGYifQ=="/>
  </w:docVars>
  <w:rsids>
    <w:rsidRoot w:val="00000000"/>
    <w:rsid w:val="000E3FC3"/>
    <w:rsid w:val="001C66E0"/>
    <w:rsid w:val="004C0647"/>
    <w:rsid w:val="00643BE3"/>
    <w:rsid w:val="0093663E"/>
    <w:rsid w:val="009656ED"/>
    <w:rsid w:val="00A3295D"/>
    <w:rsid w:val="00C12DE3"/>
    <w:rsid w:val="00D074CA"/>
    <w:rsid w:val="00D5063D"/>
    <w:rsid w:val="00E23B02"/>
    <w:rsid w:val="00F44F67"/>
    <w:rsid w:val="011473B7"/>
    <w:rsid w:val="01697EF3"/>
    <w:rsid w:val="016A6FD7"/>
    <w:rsid w:val="016C71F3"/>
    <w:rsid w:val="017442FA"/>
    <w:rsid w:val="01791910"/>
    <w:rsid w:val="01996F51"/>
    <w:rsid w:val="019D55FE"/>
    <w:rsid w:val="01D803E5"/>
    <w:rsid w:val="02111B48"/>
    <w:rsid w:val="02493090"/>
    <w:rsid w:val="02597C2A"/>
    <w:rsid w:val="025A704C"/>
    <w:rsid w:val="027B56B6"/>
    <w:rsid w:val="029A1B3E"/>
    <w:rsid w:val="02C83E19"/>
    <w:rsid w:val="032A4C70"/>
    <w:rsid w:val="03B7227C"/>
    <w:rsid w:val="04131BA8"/>
    <w:rsid w:val="041A2115"/>
    <w:rsid w:val="041C009B"/>
    <w:rsid w:val="041F3E95"/>
    <w:rsid w:val="04221DEB"/>
    <w:rsid w:val="0426776A"/>
    <w:rsid w:val="043B10FF"/>
    <w:rsid w:val="043C33BD"/>
    <w:rsid w:val="045A2F50"/>
    <w:rsid w:val="04D52D0E"/>
    <w:rsid w:val="04DC4C3F"/>
    <w:rsid w:val="04F12CB8"/>
    <w:rsid w:val="04F27696"/>
    <w:rsid w:val="0507548A"/>
    <w:rsid w:val="050B287F"/>
    <w:rsid w:val="051756C8"/>
    <w:rsid w:val="051A51B8"/>
    <w:rsid w:val="05445D91"/>
    <w:rsid w:val="05504736"/>
    <w:rsid w:val="056529FE"/>
    <w:rsid w:val="058B39C0"/>
    <w:rsid w:val="058C1C12"/>
    <w:rsid w:val="05C25634"/>
    <w:rsid w:val="05C70E9C"/>
    <w:rsid w:val="05CA273A"/>
    <w:rsid w:val="05FC6AF8"/>
    <w:rsid w:val="05FD7F35"/>
    <w:rsid w:val="05FE23E4"/>
    <w:rsid w:val="060774EA"/>
    <w:rsid w:val="060A6FDB"/>
    <w:rsid w:val="060C2D53"/>
    <w:rsid w:val="063D305A"/>
    <w:rsid w:val="066A1827"/>
    <w:rsid w:val="0674398C"/>
    <w:rsid w:val="06952D48"/>
    <w:rsid w:val="06AE5BB8"/>
    <w:rsid w:val="06B84C89"/>
    <w:rsid w:val="06C07BB2"/>
    <w:rsid w:val="06ED4906"/>
    <w:rsid w:val="06ED55FA"/>
    <w:rsid w:val="075B5D40"/>
    <w:rsid w:val="07660241"/>
    <w:rsid w:val="07837045"/>
    <w:rsid w:val="07862691"/>
    <w:rsid w:val="07B92A66"/>
    <w:rsid w:val="07BF63BC"/>
    <w:rsid w:val="07E51AAD"/>
    <w:rsid w:val="08236132"/>
    <w:rsid w:val="0845254C"/>
    <w:rsid w:val="084E7652"/>
    <w:rsid w:val="08563BA2"/>
    <w:rsid w:val="085670DA"/>
    <w:rsid w:val="085D7A7B"/>
    <w:rsid w:val="086230FE"/>
    <w:rsid w:val="08713E6E"/>
    <w:rsid w:val="08732C15"/>
    <w:rsid w:val="08CD3B04"/>
    <w:rsid w:val="09061CDB"/>
    <w:rsid w:val="09265893"/>
    <w:rsid w:val="09371E95"/>
    <w:rsid w:val="093920B1"/>
    <w:rsid w:val="094D2F7D"/>
    <w:rsid w:val="096E162E"/>
    <w:rsid w:val="09886B94"/>
    <w:rsid w:val="09A03EDE"/>
    <w:rsid w:val="09AD03A9"/>
    <w:rsid w:val="09B039F5"/>
    <w:rsid w:val="09C6146A"/>
    <w:rsid w:val="09CF47C3"/>
    <w:rsid w:val="09F63AFE"/>
    <w:rsid w:val="0A060E4D"/>
    <w:rsid w:val="0A3B7763"/>
    <w:rsid w:val="0A6539E9"/>
    <w:rsid w:val="0A764C3F"/>
    <w:rsid w:val="0A777FEB"/>
    <w:rsid w:val="0A7C5DC6"/>
    <w:rsid w:val="0A92134D"/>
    <w:rsid w:val="0AEA1189"/>
    <w:rsid w:val="0AED28C7"/>
    <w:rsid w:val="0AF84CA6"/>
    <w:rsid w:val="0B0614D4"/>
    <w:rsid w:val="0B2823DD"/>
    <w:rsid w:val="0B5E77AB"/>
    <w:rsid w:val="0B696658"/>
    <w:rsid w:val="0B780B82"/>
    <w:rsid w:val="0B815649"/>
    <w:rsid w:val="0B9D61FB"/>
    <w:rsid w:val="0BA92DF2"/>
    <w:rsid w:val="0BC83278"/>
    <w:rsid w:val="0BD47E6F"/>
    <w:rsid w:val="0C0E0744"/>
    <w:rsid w:val="0C160487"/>
    <w:rsid w:val="0C396D85"/>
    <w:rsid w:val="0C6236CC"/>
    <w:rsid w:val="0C6C00A7"/>
    <w:rsid w:val="0C915D60"/>
    <w:rsid w:val="0CA77331"/>
    <w:rsid w:val="0CC6517C"/>
    <w:rsid w:val="0CC71781"/>
    <w:rsid w:val="0CCA2C70"/>
    <w:rsid w:val="0CD8398F"/>
    <w:rsid w:val="0CE818D5"/>
    <w:rsid w:val="0D0E325A"/>
    <w:rsid w:val="0D1223A6"/>
    <w:rsid w:val="0D3037CB"/>
    <w:rsid w:val="0D6150F6"/>
    <w:rsid w:val="0D815DD4"/>
    <w:rsid w:val="0D98311E"/>
    <w:rsid w:val="0DB25F8E"/>
    <w:rsid w:val="0DF26CD2"/>
    <w:rsid w:val="0DF50570"/>
    <w:rsid w:val="0E107158"/>
    <w:rsid w:val="0E1578B7"/>
    <w:rsid w:val="0E611762"/>
    <w:rsid w:val="0E627199"/>
    <w:rsid w:val="0E6D45AA"/>
    <w:rsid w:val="0E731F57"/>
    <w:rsid w:val="0E986DE4"/>
    <w:rsid w:val="0EA87391"/>
    <w:rsid w:val="0EAE0E4B"/>
    <w:rsid w:val="0EB67D00"/>
    <w:rsid w:val="0EC059E2"/>
    <w:rsid w:val="0F00541F"/>
    <w:rsid w:val="0F112EC6"/>
    <w:rsid w:val="0F2E3D3A"/>
    <w:rsid w:val="0F4B669A"/>
    <w:rsid w:val="0F4F5A5E"/>
    <w:rsid w:val="0F7B4AA5"/>
    <w:rsid w:val="0F7D25CB"/>
    <w:rsid w:val="0F8732BE"/>
    <w:rsid w:val="0F8751F8"/>
    <w:rsid w:val="0F8C0A60"/>
    <w:rsid w:val="0F98145F"/>
    <w:rsid w:val="0FA364D6"/>
    <w:rsid w:val="0FBC7598"/>
    <w:rsid w:val="0FC14BAE"/>
    <w:rsid w:val="0FD16FD1"/>
    <w:rsid w:val="0FF22FB9"/>
    <w:rsid w:val="10060D14"/>
    <w:rsid w:val="101747CE"/>
    <w:rsid w:val="101B66DC"/>
    <w:rsid w:val="106A1193"/>
    <w:rsid w:val="106A2B50"/>
    <w:rsid w:val="106B4B1A"/>
    <w:rsid w:val="10741E80"/>
    <w:rsid w:val="10973B61"/>
    <w:rsid w:val="10A32505"/>
    <w:rsid w:val="10AB1F4F"/>
    <w:rsid w:val="10B62239"/>
    <w:rsid w:val="110034B4"/>
    <w:rsid w:val="11356CD5"/>
    <w:rsid w:val="113B273E"/>
    <w:rsid w:val="1142587A"/>
    <w:rsid w:val="11511F61"/>
    <w:rsid w:val="11625F1D"/>
    <w:rsid w:val="116E041E"/>
    <w:rsid w:val="11763776"/>
    <w:rsid w:val="11AB78C4"/>
    <w:rsid w:val="11AE4CBE"/>
    <w:rsid w:val="11B72303"/>
    <w:rsid w:val="11CC3396"/>
    <w:rsid w:val="11E608FC"/>
    <w:rsid w:val="11FB0A3C"/>
    <w:rsid w:val="123478B9"/>
    <w:rsid w:val="12381717"/>
    <w:rsid w:val="125F05CE"/>
    <w:rsid w:val="12661F47"/>
    <w:rsid w:val="126E269F"/>
    <w:rsid w:val="129A3494"/>
    <w:rsid w:val="12B40B75"/>
    <w:rsid w:val="12B620EE"/>
    <w:rsid w:val="12C54E79"/>
    <w:rsid w:val="12CC7AF2"/>
    <w:rsid w:val="12D1335A"/>
    <w:rsid w:val="12E017EF"/>
    <w:rsid w:val="12F47048"/>
    <w:rsid w:val="12F9640D"/>
    <w:rsid w:val="134A310C"/>
    <w:rsid w:val="134D2543"/>
    <w:rsid w:val="13511DA5"/>
    <w:rsid w:val="135D2E40"/>
    <w:rsid w:val="13893C35"/>
    <w:rsid w:val="139E3205"/>
    <w:rsid w:val="13CF716E"/>
    <w:rsid w:val="13EB3F23"/>
    <w:rsid w:val="141D2158"/>
    <w:rsid w:val="14221993"/>
    <w:rsid w:val="14292D22"/>
    <w:rsid w:val="144A3E16"/>
    <w:rsid w:val="146D2C0E"/>
    <w:rsid w:val="14755F67"/>
    <w:rsid w:val="148C19C8"/>
    <w:rsid w:val="14972381"/>
    <w:rsid w:val="149C0824"/>
    <w:rsid w:val="14D02DA7"/>
    <w:rsid w:val="14F52C04"/>
    <w:rsid w:val="1506616A"/>
    <w:rsid w:val="151267AE"/>
    <w:rsid w:val="152F4368"/>
    <w:rsid w:val="155913E5"/>
    <w:rsid w:val="15712BD2"/>
    <w:rsid w:val="15932B49"/>
    <w:rsid w:val="159352D7"/>
    <w:rsid w:val="159863B1"/>
    <w:rsid w:val="162747E0"/>
    <w:rsid w:val="166D339A"/>
    <w:rsid w:val="169C6340"/>
    <w:rsid w:val="16B72867"/>
    <w:rsid w:val="16C023F4"/>
    <w:rsid w:val="16CD7683"/>
    <w:rsid w:val="16F2389F"/>
    <w:rsid w:val="1740460A"/>
    <w:rsid w:val="174A5489"/>
    <w:rsid w:val="177445F0"/>
    <w:rsid w:val="17942BA8"/>
    <w:rsid w:val="17BD5C5B"/>
    <w:rsid w:val="17E07B9B"/>
    <w:rsid w:val="17F81389"/>
    <w:rsid w:val="1876554C"/>
    <w:rsid w:val="18C338B0"/>
    <w:rsid w:val="19151AC7"/>
    <w:rsid w:val="191C4C03"/>
    <w:rsid w:val="19314B52"/>
    <w:rsid w:val="19605416"/>
    <w:rsid w:val="196A3BC0"/>
    <w:rsid w:val="19741EF7"/>
    <w:rsid w:val="19744DC9"/>
    <w:rsid w:val="19A516F5"/>
    <w:rsid w:val="19D1186E"/>
    <w:rsid w:val="19F8741E"/>
    <w:rsid w:val="1A116732"/>
    <w:rsid w:val="1A255D39"/>
    <w:rsid w:val="1A2A270E"/>
    <w:rsid w:val="1A367F46"/>
    <w:rsid w:val="1A5F56EF"/>
    <w:rsid w:val="1A670100"/>
    <w:rsid w:val="1A78055F"/>
    <w:rsid w:val="1A7E1772"/>
    <w:rsid w:val="1A845156"/>
    <w:rsid w:val="1AAC6EC3"/>
    <w:rsid w:val="1AB77C18"/>
    <w:rsid w:val="1B1839D5"/>
    <w:rsid w:val="1B26620D"/>
    <w:rsid w:val="1B283D33"/>
    <w:rsid w:val="1B2B3823"/>
    <w:rsid w:val="1B8D003A"/>
    <w:rsid w:val="1BA86F89"/>
    <w:rsid w:val="1BC25F36"/>
    <w:rsid w:val="1BD712B5"/>
    <w:rsid w:val="1BF400B9"/>
    <w:rsid w:val="1C033E58"/>
    <w:rsid w:val="1C33298F"/>
    <w:rsid w:val="1C454471"/>
    <w:rsid w:val="1CA53161"/>
    <w:rsid w:val="1CAE0268"/>
    <w:rsid w:val="1CC655B2"/>
    <w:rsid w:val="1CD203FA"/>
    <w:rsid w:val="1D0205B4"/>
    <w:rsid w:val="1D3E783E"/>
    <w:rsid w:val="1D4110DC"/>
    <w:rsid w:val="1D5A219E"/>
    <w:rsid w:val="1D5B4E82"/>
    <w:rsid w:val="1D6C348C"/>
    <w:rsid w:val="1D8316F5"/>
    <w:rsid w:val="1D8A4831"/>
    <w:rsid w:val="1DA022A7"/>
    <w:rsid w:val="1DEF5616"/>
    <w:rsid w:val="1DFE5BCB"/>
    <w:rsid w:val="1E0C16EA"/>
    <w:rsid w:val="1E222CBC"/>
    <w:rsid w:val="1E6432D4"/>
    <w:rsid w:val="1E643755"/>
    <w:rsid w:val="1E7D7EF2"/>
    <w:rsid w:val="1EAE09F3"/>
    <w:rsid w:val="1EB15448"/>
    <w:rsid w:val="1EC10726"/>
    <w:rsid w:val="1EC636BB"/>
    <w:rsid w:val="1ED61CF8"/>
    <w:rsid w:val="1F024CF0"/>
    <w:rsid w:val="1F0B246D"/>
    <w:rsid w:val="1F0B7BF4"/>
    <w:rsid w:val="1F29007A"/>
    <w:rsid w:val="1F5350F7"/>
    <w:rsid w:val="1F9A753D"/>
    <w:rsid w:val="1FA871F0"/>
    <w:rsid w:val="1FC63B1B"/>
    <w:rsid w:val="1FCB1B9B"/>
    <w:rsid w:val="1FD01A12"/>
    <w:rsid w:val="1FEC297E"/>
    <w:rsid w:val="1FF271AD"/>
    <w:rsid w:val="20036B1D"/>
    <w:rsid w:val="20140D2A"/>
    <w:rsid w:val="20200378"/>
    <w:rsid w:val="203A3726"/>
    <w:rsid w:val="20474C5B"/>
    <w:rsid w:val="204C2272"/>
    <w:rsid w:val="20A35C0A"/>
    <w:rsid w:val="20B6486E"/>
    <w:rsid w:val="20EF0E4F"/>
    <w:rsid w:val="20F97CD4"/>
    <w:rsid w:val="20FB5A46"/>
    <w:rsid w:val="20FD356C"/>
    <w:rsid w:val="21093CBF"/>
    <w:rsid w:val="21160490"/>
    <w:rsid w:val="212E5E1B"/>
    <w:rsid w:val="21494A03"/>
    <w:rsid w:val="215F3F86"/>
    <w:rsid w:val="216058A9"/>
    <w:rsid w:val="21741939"/>
    <w:rsid w:val="21846654"/>
    <w:rsid w:val="219A6B87"/>
    <w:rsid w:val="21A34113"/>
    <w:rsid w:val="21B77BBF"/>
    <w:rsid w:val="21C61187"/>
    <w:rsid w:val="21CE4120"/>
    <w:rsid w:val="21D36BA1"/>
    <w:rsid w:val="21F12252"/>
    <w:rsid w:val="220821C8"/>
    <w:rsid w:val="220D5A31"/>
    <w:rsid w:val="22123047"/>
    <w:rsid w:val="22364F87"/>
    <w:rsid w:val="22552F34"/>
    <w:rsid w:val="227635D6"/>
    <w:rsid w:val="228F4698"/>
    <w:rsid w:val="229053B3"/>
    <w:rsid w:val="22934188"/>
    <w:rsid w:val="22936CD5"/>
    <w:rsid w:val="22A939AB"/>
    <w:rsid w:val="22DD18A7"/>
    <w:rsid w:val="22DD1EAF"/>
    <w:rsid w:val="22EC57A0"/>
    <w:rsid w:val="22F37464"/>
    <w:rsid w:val="231F2A4D"/>
    <w:rsid w:val="2338762A"/>
    <w:rsid w:val="234C4337"/>
    <w:rsid w:val="234F0E18"/>
    <w:rsid w:val="23645B24"/>
    <w:rsid w:val="23AD1279"/>
    <w:rsid w:val="23BA3996"/>
    <w:rsid w:val="23D3294A"/>
    <w:rsid w:val="23F21382"/>
    <w:rsid w:val="23FE7D27"/>
    <w:rsid w:val="24157070"/>
    <w:rsid w:val="242332EA"/>
    <w:rsid w:val="242B219E"/>
    <w:rsid w:val="245C4A4D"/>
    <w:rsid w:val="246833F2"/>
    <w:rsid w:val="246A0F18"/>
    <w:rsid w:val="24751D94"/>
    <w:rsid w:val="24844702"/>
    <w:rsid w:val="24BE2B90"/>
    <w:rsid w:val="24CF6C55"/>
    <w:rsid w:val="24D131D2"/>
    <w:rsid w:val="24EB1469"/>
    <w:rsid w:val="24EC5DD1"/>
    <w:rsid w:val="24F1163A"/>
    <w:rsid w:val="250626FC"/>
    <w:rsid w:val="252A169B"/>
    <w:rsid w:val="255B2F57"/>
    <w:rsid w:val="259B3353"/>
    <w:rsid w:val="25A2609B"/>
    <w:rsid w:val="25A93CC2"/>
    <w:rsid w:val="25DF6D25"/>
    <w:rsid w:val="25F52A64"/>
    <w:rsid w:val="26274F05"/>
    <w:rsid w:val="262D48F3"/>
    <w:rsid w:val="26386B8E"/>
    <w:rsid w:val="263F7ABD"/>
    <w:rsid w:val="264439EB"/>
    <w:rsid w:val="265E0957"/>
    <w:rsid w:val="26761B00"/>
    <w:rsid w:val="26864004"/>
    <w:rsid w:val="26D0702D"/>
    <w:rsid w:val="26E50D2A"/>
    <w:rsid w:val="26EC030B"/>
    <w:rsid w:val="27303294"/>
    <w:rsid w:val="273677D8"/>
    <w:rsid w:val="27561C28"/>
    <w:rsid w:val="275D2FB6"/>
    <w:rsid w:val="277B343D"/>
    <w:rsid w:val="27826579"/>
    <w:rsid w:val="27A24E6D"/>
    <w:rsid w:val="27A75FE0"/>
    <w:rsid w:val="27B30E28"/>
    <w:rsid w:val="27B34984"/>
    <w:rsid w:val="27C7792A"/>
    <w:rsid w:val="27CB43C4"/>
    <w:rsid w:val="27D8263D"/>
    <w:rsid w:val="281318C7"/>
    <w:rsid w:val="281871C4"/>
    <w:rsid w:val="282B09BF"/>
    <w:rsid w:val="28A4420D"/>
    <w:rsid w:val="28A95D87"/>
    <w:rsid w:val="291A423D"/>
    <w:rsid w:val="29387837"/>
    <w:rsid w:val="29604D54"/>
    <w:rsid w:val="29BB38E9"/>
    <w:rsid w:val="29D426D9"/>
    <w:rsid w:val="2A0247E4"/>
    <w:rsid w:val="2A2D5D2F"/>
    <w:rsid w:val="2A585CB7"/>
    <w:rsid w:val="2A587A65"/>
    <w:rsid w:val="2A66610E"/>
    <w:rsid w:val="2A72760F"/>
    <w:rsid w:val="2A7E571E"/>
    <w:rsid w:val="2A9D6249"/>
    <w:rsid w:val="2AC375D4"/>
    <w:rsid w:val="2AD66F5C"/>
    <w:rsid w:val="2B02634F"/>
    <w:rsid w:val="2B193698"/>
    <w:rsid w:val="2B34402E"/>
    <w:rsid w:val="2B634913"/>
    <w:rsid w:val="2B6761B2"/>
    <w:rsid w:val="2B822FEC"/>
    <w:rsid w:val="2BA230AE"/>
    <w:rsid w:val="2BD61589"/>
    <w:rsid w:val="2BE912BD"/>
    <w:rsid w:val="2BF043F9"/>
    <w:rsid w:val="2BFA0DD4"/>
    <w:rsid w:val="2C0B2FE1"/>
    <w:rsid w:val="2C1874AC"/>
    <w:rsid w:val="2C210A56"/>
    <w:rsid w:val="2C302A48"/>
    <w:rsid w:val="2C434A7B"/>
    <w:rsid w:val="2C45036F"/>
    <w:rsid w:val="2C526E62"/>
    <w:rsid w:val="2C6D3C9C"/>
    <w:rsid w:val="2C7E5D9F"/>
    <w:rsid w:val="2C951E96"/>
    <w:rsid w:val="2CAB6572"/>
    <w:rsid w:val="2CE30E7A"/>
    <w:rsid w:val="2D145EC5"/>
    <w:rsid w:val="2D204721"/>
    <w:rsid w:val="2D214A86"/>
    <w:rsid w:val="2D241915"/>
    <w:rsid w:val="2D300825"/>
    <w:rsid w:val="2D5662C8"/>
    <w:rsid w:val="2D92328E"/>
    <w:rsid w:val="2D947006"/>
    <w:rsid w:val="2DA60AE7"/>
    <w:rsid w:val="2DD83397"/>
    <w:rsid w:val="2E1168A9"/>
    <w:rsid w:val="2E516CA5"/>
    <w:rsid w:val="2E7B3D22"/>
    <w:rsid w:val="2E84707B"/>
    <w:rsid w:val="2E9276CB"/>
    <w:rsid w:val="2EAC037F"/>
    <w:rsid w:val="2EEB70FA"/>
    <w:rsid w:val="2F045B74"/>
    <w:rsid w:val="2F1C3757"/>
    <w:rsid w:val="2F1F6DA3"/>
    <w:rsid w:val="2F3C1CF4"/>
    <w:rsid w:val="2F464330"/>
    <w:rsid w:val="2F6243A8"/>
    <w:rsid w:val="2F6A44C2"/>
    <w:rsid w:val="2F6F6AEE"/>
    <w:rsid w:val="2F736386"/>
    <w:rsid w:val="2F9652B7"/>
    <w:rsid w:val="2F997048"/>
    <w:rsid w:val="2F9B467C"/>
    <w:rsid w:val="2FB614B6"/>
    <w:rsid w:val="2FE50B81"/>
    <w:rsid w:val="2FEE50F3"/>
    <w:rsid w:val="300D4E4E"/>
    <w:rsid w:val="30427AA5"/>
    <w:rsid w:val="304A7E50"/>
    <w:rsid w:val="304C3BC8"/>
    <w:rsid w:val="304F5466"/>
    <w:rsid w:val="30A47560"/>
    <w:rsid w:val="30A532D8"/>
    <w:rsid w:val="30B4631B"/>
    <w:rsid w:val="30DA11D4"/>
    <w:rsid w:val="30E43E01"/>
    <w:rsid w:val="310B75DF"/>
    <w:rsid w:val="31141606"/>
    <w:rsid w:val="311C1228"/>
    <w:rsid w:val="311F308B"/>
    <w:rsid w:val="3130556C"/>
    <w:rsid w:val="31350B00"/>
    <w:rsid w:val="31496CF2"/>
    <w:rsid w:val="317C04DD"/>
    <w:rsid w:val="3186135C"/>
    <w:rsid w:val="319677F1"/>
    <w:rsid w:val="31975317"/>
    <w:rsid w:val="31AC1DEB"/>
    <w:rsid w:val="31C81974"/>
    <w:rsid w:val="31CB1496"/>
    <w:rsid w:val="31D245A1"/>
    <w:rsid w:val="3206115E"/>
    <w:rsid w:val="32537490"/>
    <w:rsid w:val="326D7CE5"/>
    <w:rsid w:val="328F70CD"/>
    <w:rsid w:val="32D974CB"/>
    <w:rsid w:val="3300608A"/>
    <w:rsid w:val="330E64E9"/>
    <w:rsid w:val="331325B6"/>
    <w:rsid w:val="33544914"/>
    <w:rsid w:val="338B4A07"/>
    <w:rsid w:val="339064C2"/>
    <w:rsid w:val="33A9402A"/>
    <w:rsid w:val="33C9508B"/>
    <w:rsid w:val="33F23C50"/>
    <w:rsid w:val="341529F1"/>
    <w:rsid w:val="342033A2"/>
    <w:rsid w:val="34452E08"/>
    <w:rsid w:val="346516FC"/>
    <w:rsid w:val="34767465"/>
    <w:rsid w:val="349205E1"/>
    <w:rsid w:val="349C5A8D"/>
    <w:rsid w:val="34A73AC3"/>
    <w:rsid w:val="34AC2E87"/>
    <w:rsid w:val="34AE30A3"/>
    <w:rsid w:val="34CC7F97"/>
    <w:rsid w:val="34D47DBD"/>
    <w:rsid w:val="34E268A9"/>
    <w:rsid w:val="35111533"/>
    <w:rsid w:val="35270760"/>
    <w:rsid w:val="353C06AF"/>
    <w:rsid w:val="354C1378"/>
    <w:rsid w:val="3550415A"/>
    <w:rsid w:val="356953CF"/>
    <w:rsid w:val="357C3E36"/>
    <w:rsid w:val="359B1233"/>
    <w:rsid w:val="359D0A22"/>
    <w:rsid w:val="35A52FD0"/>
    <w:rsid w:val="35A95AF1"/>
    <w:rsid w:val="35BB2509"/>
    <w:rsid w:val="35C63A56"/>
    <w:rsid w:val="35C74E92"/>
    <w:rsid w:val="35F9034E"/>
    <w:rsid w:val="36091B79"/>
    <w:rsid w:val="363F4AE3"/>
    <w:rsid w:val="36527A5E"/>
    <w:rsid w:val="36617CA1"/>
    <w:rsid w:val="3680281D"/>
    <w:rsid w:val="36843713"/>
    <w:rsid w:val="36B00F37"/>
    <w:rsid w:val="36D3294D"/>
    <w:rsid w:val="36DA0180"/>
    <w:rsid w:val="36E724CA"/>
    <w:rsid w:val="37046FAB"/>
    <w:rsid w:val="372E2279"/>
    <w:rsid w:val="372E5DD5"/>
    <w:rsid w:val="3744384B"/>
    <w:rsid w:val="37465815"/>
    <w:rsid w:val="375F0685"/>
    <w:rsid w:val="376B0DD8"/>
    <w:rsid w:val="376D0FF4"/>
    <w:rsid w:val="378E2D18"/>
    <w:rsid w:val="37A75B88"/>
    <w:rsid w:val="37B24C58"/>
    <w:rsid w:val="37E34E12"/>
    <w:rsid w:val="37E42938"/>
    <w:rsid w:val="37E666B0"/>
    <w:rsid w:val="38025653"/>
    <w:rsid w:val="385B0E4C"/>
    <w:rsid w:val="38722F2C"/>
    <w:rsid w:val="38BF587F"/>
    <w:rsid w:val="38C56C0D"/>
    <w:rsid w:val="38D1110E"/>
    <w:rsid w:val="38E70932"/>
    <w:rsid w:val="38EA3FBB"/>
    <w:rsid w:val="38EF5293"/>
    <w:rsid w:val="39162FC5"/>
    <w:rsid w:val="39253208"/>
    <w:rsid w:val="396C0E37"/>
    <w:rsid w:val="397C551E"/>
    <w:rsid w:val="39A16D33"/>
    <w:rsid w:val="39A6259B"/>
    <w:rsid w:val="39FC21BB"/>
    <w:rsid w:val="3A0D43C8"/>
    <w:rsid w:val="3A10210A"/>
    <w:rsid w:val="3A192D6D"/>
    <w:rsid w:val="3A1A0893"/>
    <w:rsid w:val="3A281202"/>
    <w:rsid w:val="3A483652"/>
    <w:rsid w:val="3A554207"/>
    <w:rsid w:val="3A7E7074"/>
    <w:rsid w:val="3A8F302F"/>
    <w:rsid w:val="3A95056C"/>
    <w:rsid w:val="3ABA0A5E"/>
    <w:rsid w:val="3AD9074E"/>
    <w:rsid w:val="3AED5FC7"/>
    <w:rsid w:val="3AF45588"/>
    <w:rsid w:val="3B0276ED"/>
    <w:rsid w:val="3B273268"/>
    <w:rsid w:val="3B452812"/>
    <w:rsid w:val="3B4D689A"/>
    <w:rsid w:val="3B702E61"/>
    <w:rsid w:val="3B7269BC"/>
    <w:rsid w:val="3B7C7A57"/>
    <w:rsid w:val="3B7D37CF"/>
    <w:rsid w:val="3BDC04F6"/>
    <w:rsid w:val="3BEE61FC"/>
    <w:rsid w:val="3C512748"/>
    <w:rsid w:val="3C5A3D40"/>
    <w:rsid w:val="3C736CF7"/>
    <w:rsid w:val="3CC66907"/>
    <w:rsid w:val="3CDB255C"/>
    <w:rsid w:val="3CDC7C6A"/>
    <w:rsid w:val="3CE60F00"/>
    <w:rsid w:val="3CED04E1"/>
    <w:rsid w:val="3CF47AC1"/>
    <w:rsid w:val="3D0A4004"/>
    <w:rsid w:val="3D121CF5"/>
    <w:rsid w:val="3D4A2BD7"/>
    <w:rsid w:val="3D6267D9"/>
    <w:rsid w:val="3D78424E"/>
    <w:rsid w:val="3D7B3D3F"/>
    <w:rsid w:val="3D9D3CB5"/>
    <w:rsid w:val="3DA02290"/>
    <w:rsid w:val="3DD27898"/>
    <w:rsid w:val="3DD35B7F"/>
    <w:rsid w:val="3E1D1F0C"/>
    <w:rsid w:val="3E255BBB"/>
    <w:rsid w:val="3E2E7003"/>
    <w:rsid w:val="3E726EF0"/>
    <w:rsid w:val="3E7C1B1C"/>
    <w:rsid w:val="3E846C23"/>
    <w:rsid w:val="3E86299B"/>
    <w:rsid w:val="3E9B1F29"/>
    <w:rsid w:val="3EA846BF"/>
    <w:rsid w:val="3EC3774B"/>
    <w:rsid w:val="3EC84E33"/>
    <w:rsid w:val="3ECB4852"/>
    <w:rsid w:val="3ED100BA"/>
    <w:rsid w:val="3EDE6333"/>
    <w:rsid w:val="3EFA5E8E"/>
    <w:rsid w:val="3F0A7128"/>
    <w:rsid w:val="3F204B9E"/>
    <w:rsid w:val="3F2521B4"/>
    <w:rsid w:val="3F2B709E"/>
    <w:rsid w:val="3F2E23A1"/>
    <w:rsid w:val="3F544847"/>
    <w:rsid w:val="3F580DF2"/>
    <w:rsid w:val="3F8A2017"/>
    <w:rsid w:val="3FA56E51"/>
    <w:rsid w:val="3FC4377B"/>
    <w:rsid w:val="3FD201AC"/>
    <w:rsid w:val="3FD85478"/>
    <w:rsid w:val="3FE47979"/>
    <w:rsid w:val="3FE77469"/>
    <w:rsid w:val="4014414F"/>
    <w:rsid w:val="401F6C03"/>
    <w:rsid w:val="40376E40"/>
    <w:rsid w:val="403A3A3D"/>
    <w:rsid w:val="403D52DB"/>
    <w:rsid w:val="406B49A5"/>
    <w:rsid w:val="40A71C96"/>
    <w:rsid w:val="40F00A05"/>
    <w:rsid w:val="40FC5C65"/>
    <w:rsid w:val="41173118"/>
    <w:rsid w:val="412A1D04"/>
    <w:rsid w:val="41306BEE"/>
    <w:rsid w:val="41362456"/>
    <w:rsid w:val="414C12B2"/>
    <w:rsid w:val="417E5BAB"/>
    <w:rsid w:val="418634F5"/>
    <w:rsid w:val="419D0727"/>
    <w:rsid w:val="419E4B66"/>
    <w:rsid w:val="41B94E35"/>
    <w:rsid w:val="41E2613A"/>
    <w:rsid w:val="41EE4ADF"/>
    <w:rsid w:val="4214206C"/>
    <w:rsid w:val="422A188F"/>
    <w:rsid w:val="422D11A7"/>
    <w:rsid w:val="423D67C9"/>
    <w:rsid w:val="42426BD9"/>
    <w:rsid w:val="429D02B3"/>
    <w:rsid w:val="429E3BBF"/>
    <w:rsid w:val="42BF647C"/>
    <w:rsid w:val="42D068DB"/>
    <w:rsid w:val="42FC322C"/>
    <w:rsid w:val="43065E58"/>
    <w:rsid w:val="431C1EF6"/>
    <w:rsid w:val="432A3CA1"/>
    <w:rsid w:val="434370AD"/>
    <w:rsid w:val="43544E16"/>
    <w:rsid w:val="43641046"/>
    <w:rsid w:val="438356FB"/>
    <w:rsid w:val="43AF311A"/>
    <w:rsid w:val="43B835F7"/>
    <w:rsid w:val="43BB4117"/>
    <w:rsid w:val="4427252A"/>
    <w:rsid w:val="44466E54"/>
    <w:rsid w:val="44531571"/>
    <w:rsid w:val="445A6A7C"/>
    <w:rsid w:val="445D5F4C"/>
    <w:rsid w:val="44823C05"/>
    <w:rsid w:val="4484797D"/>
    <w:rsid w:val="44860928"/>
    <w:rsid w:val="44867251"/>
    <w:rsid w:val="44CC4023"/>
    <w:rsid w:val="44E438BF"/>
    <w:rsid w:val="44E4666D"/>
    <w:rsid w:val="44E64DC3"/>
    <w:rsid w:val="44F20D8A"/>
    <w:rsid w:val="45084F7E"/>
    <w:rsid w:val="451A1D65"/>
    <w:rsid w:val="451F76A5"/>
    <w:rsid w:val="453144F2"/>
    <w:rsid w:val="45633A36"/>
    <w:rsid w:val="45642533"/>
    <w:rsid w:val="45AA51C1"/>
    <w:rsid w:val="45B178BA"/>
    <w:rsid w:val="45B55914"/>
    <w:rsid w:val="45B778DE"/>
    <w:rsid w:val="45BD49BC"/>
    <w:rsid w:val="45D43FEC"/>
    <w:rsid w:val="45D65580"/>
    <w:rsid w:val="45ED3AC8"/>
    <w:rsid w:val="460074D7"/>
    <w:rsid w:val="46184820"/>
    <w:rsid w:val="46226C7C"/>
    <w:rsid w:val="465869CB"/>
    <w:rsid w:val="468477C0"/>
    <w:rsid w:val="469B16CF"/>
    <w:rsid w:val="469B3172"/>
    <w:rsid w:val="469C1DF3"/>
    <w:rsid w:val="471548BC"/>
    <w:rsid w:val="47694C08"/>
    <w:rsid w:val="476D46F8"/>
    <w:rsid w:val="478E78A7"/>
    <w:rsid w:val="47B21FD0"/>
    <w:rsid w:val="47B916EB"/>
    <w:rsid w:val="47C120B3"/>
    <w:rsid w:val="47D429C9"/>
    <w:rsid w:val="48036E0A"/>
    <w:rsid w:val="486C132D"/>
    <w:rsid w:val="48865E52"/>
    <w:rsid w:val="48933844"/>
    <w:rsid w:val="489B5852"/>
    <w:rsid w:val="48AF2AEE"/>
    <w:rsid w:val="48C12F4D"/>
    <w:rsid w:val="48CB0D15"/>
    <w:rsid w:val="48CC544E"/>
    <w:rsid w:val="48F23572"/>
    <w:rsid w:val="491C4628"/>
    <w:rsid w:val="493319DD"/>
    <w:rsid w:val="4953791E"/>
    <w:rsid w:val="49777AB0"/>
    <w:rsid w:val="497C6E74"/>
    <w:rsid w:val="49A83627"/>
    <w:rsid w:val="49C32CF5"/>
    <w:rsid w:val="49C83E68"/>
    <w:rsid w:val="49CB6222"/>
    <w:rsid w:val="49CC7CB0"/>
    <w:rsid w:val="49DA5488"/>
    <w:rsid w:val="49E62540"/>
    <w:rsid w:val="4A111669"/>
    <w:rsid w:val="4A1C3426"/>
    <w:rsid w:val="4A2B6D8C"/>
    <w:rsid w:val="4A2C2648"/>
    <w:rsid w:val="4A6F2535"/>
    <w:rsid w:val="4A934476"/>
    <w:rsid w:val="4A9563B7"/>
    <w:rsid w:val="4AA91EEB"/>
    <w:rsid w:val="4AAC5537"/>
    <w:rsid w:val="4AB8212E"/>
    <w:rsid w:val="4ABD54C4"/>
    <w:rsid w:val="4AD403F5"/>
    <w:rsid w:val="4AD54A8E"/>
    <w:rsid w:val="4AE50A49"/>
    <w:rsid w:val="4B13081A"/>
    <w:rsid w:val="4B35552D"/>
    <w:rsid w:val="4B3E33A3"/>
    <w:rsid w:val="4B5005B9"/>
    <w:rsid w:val="4B5B7B05"/>
    <w:rsid w:val="4B865D88"/>
    <w:rsid w:val="4BA9144B"/>
    <w:rsid w:val="4BB36C16"/>
    <w:rsid w:val="4BDF1B1E"/>
    <w:rsid w:val="4BFF5431"/>
    <w:rsid w:val="4C1954BB"/>
    <w:rsid w:val="4C2630C7"/>
    <w:rsid w:val="4C2D4456"/>
    <w:rsid w:val="4C417F01"/>
    <w:rsid w:val="4C6965EB"/>
    <w:rsid w:val="4C8D6FAC"/>
    <w:rsid w:val="4CFD207A"/>
    <w:rsid w:val="4CFD343D"/>
    <w:rsid w:val="4D3161C8"/>
    <w:rsid w:val="4D3D2DBF"/>
    <w:rsid w:val="4D5679DC"/>
    <w:rsid w:val="4D97427D"/>
    <w:rsid w:val="4DAB5F7A"/>
    <w:rsid w:val="4DCA0138"/>
    <w:rsid w:val="4DD52FF7"/>
    <w:rsid w:val="4DE65204"/>
    <w:rsid w:val="4DFE60AA"/>
    <w:rsid w:val="4E277CA8"/>
    <w:rsid w:val="4E30647F"/>
    <w:rsid w:val="4E3221F7"/>
    <w:rsid w:val="4E332581"/>
    <w:rsid w:val="4E5C595C"/>
    <w:rsid w:val="4E617544"/>
    <w:rsid w:val="4E796078"/>
    <w:rsid w:val="4E797E26"/>
    <w:rsid w:val="4EB51953"/>
    <w:rsid w:val="4ECA2430"/>
    <w:rsid w:val="4F075432"/>
    <w:rsid w:val="4F350C23"/>
    <w:rsid w:val="4F4B17C3"/>
    <w:rsid w:val="4F4E3061"/>
    <w:rsid w:val="4F530159"/>
    <w:rsid w:val="4F9D203F"/>
    <w:rsid w:val="4FD5235B"/>
    <w:rsid w:val="4FD95020"/>
    <w:rsid w:val="4FDC241B"/>
    <w:rsid w:val="50151DD1"/>
    <w:rsid w:val="50250941"/>
    <w:rsid w:val="50285660"/>
    <w:rsid w:val="502C6E1C"/>
    <w:rsid w:val="505C7A00"/>
    <w:rsid w:val="50852AB2"/>
    <w:rsid w:val="50903205"/>
    <w:rsid w:val="50C80BF1"/>
    <w:rsid w:val="50ED0658"/>
    <w:rsid w:val="51242133"/>
    <w:rsid w:val="512C2F2E"/>
    <w:rsid w:val="513444D8"/>
    <w:rsid w:val="51363DAD"/>
    <w:rsid w:val="51385D77"/>
    <w:rsid w:val="51576EA0"/>
    <w:rsid w:val="5161594C"/>
    <w:rsid w:val="5176689F"/>
    <w:rsid w:val="51786173"/>
    <w:rsid w:val="51946BBA"/>
    <w:rsid w:val="51D04201"/>
    <w:rsid w:val="51F872B4"/>
    <w:rsid w:val="52021EE1"/>
    <w:rsid w:val="520914C1"/>
    <w:rsid w:val="521B37A0"/>
    <w:rsid w:val="525A6314"/>
    <w:rsid w:val="527252B8"/>
    <w:rsid w:val="529B480F"/>
    <w:rsid w:val="52A42F98"/>
    <w:rsid w:val="52BC29D7"/>
    <w:rsid w:val="52CA29FF"/>
    <w:rsid w:val="52CC109E"/>
    <w:rsid w:val="53476745"/>
    <w:rsid w:val="536746F1"/>
    <w:rsid w:val="537312E8"/>
    <w:rsid w:val="53901E9A"/>
    <w:rsid w:val="539B006D"/>
    <w:rsid w:val="53B22CE9"/>
    <w:rsid w:val="53C25322"/>
    <w:rsid w:val="541A1764"/>
    <w:rsid w:val="541B1F62"/>
    <w:rsid w:val="542F67CA"/>
    <w:rsid w:val="54A8045F"/>
    <w:rsid w:val="54CC5154"/>
    <w:rsid w:val="54D97871"/>
    <w:rsid w:val="54F93A6F"/>
    <w:rsid w:val="55085A60"/>
    <w:rsid w:val="5536081F"/>
    <w:rsid w:val="554271C4"/>
    <w:rsid w:val="554A42CB"/>
    <w:rsid w:val="5568005C"/>
    <w:rsid w:val="55973993"/>
    <w:rsid w:val="55985036"/>
    <w:rsid w:val="55A5175D"/>
    <w:rsid w:val="55D41DE6"/>
    <w:rsid w:val="55D50038"/>
    <w:rsid w:val="55DB7D2E"/>
    <w:rsid w:val="55F2746A"/>
    <w:rsid w:val="55FD758F"/>
    <w:rsid w:val="56013A0F"/>
    <w:rsid w:val="561E0B0A"/>
    <w:rsid w:val="5640122A"/>
    <w:rsid w:val="5648247B"/>
    <w:rsid w:val="566C29CD"/>
    <w:rsid w:val="567C4958"/>
    <w:rsid w:val="569C2904"/>
    <w:rsid w:val="56BC7FA7"/>
    <w:rsid w:val="56DC71A4"/>
    <w:rsid w:val="57120E18"/>
    <w:rsid w:val="571406EC"/>
    <w:rsid w:val="577613A7"/>
    <w:rsid w:val="577949F3"/>
    <w:rsid w:val="57942E41"/>
    <w:rsid w:val="57CC1813"/>
    <w:rsid w:val="57CF2865"/>
    <w:rsid w:val="57F82DC0"/>
    <w:rsid w:val="580824C7"/>
    <w:rsid w:val="580E15DF"/>
    <w:rsid w:val="58417026"/>
    <w:rsid w:val="584274DB"/>
    <w:rsid w:val="585D2A6D"/>
    <w:rsid w:val="58627B7D"/>
    <w:rsid w:val="586438F5"/>
    <w:rsid w:val="58845D45"/>
    <w:rsid w:val="58BF0B2C"/>
    <w:rsid w:val="58C148A4"/>
    <w:rsid w:val="58C3486B"/>
    <w:rsid w:val="58F20F01"/>
    <w:rsid w:val="58FF53CC"/>
    <w:rsid w:val="59012EF2"/>
    <w:rsid w:val="590429E2"/>
    <w:rsid w:val="59205A6E"/>
    <w:rsid w:val="59213594"/>
    <w:rsid w:val="593C7298"/>
    <w:rsid w:val="594D6137"/>
    <w:rsid w:val="594E7503"/>
    <w:rsid w:val="59722042"/>
    <w:rsid w:val="59A55F73"/>
    <w:rsid w:val="59AC5554"/>
    <w:rsid w:val="59AC7302"/>
    <w:rsid w:val="59B62942"/>
    <w:rsid w:val="59BC506B"/>
    <w:rsid w:val="59C9705D"/>
    <w:rsid w:val="59EF3692"/>
    <w:rsid w:val="5A3623EE"/>
    <w:rsid w:val="5A5B4884"/>
    <w:rsid w:val="5A6B69EA"/>
    <w:rsid w:val="5A897643"/>
    <w:rsid w:val="5A8C0EE1"/>
    <w:rsid w:val="5AB02E22"/>
    <w:rsid w:val="5ACB1A0A"/>
    <w:rsid w:val="5ACC7530"/>
    <w:rsid w:val="5ADA39FB"/>
    <w:rsid w:val="5AFE3B8D"/>
    <w:rsid w:val="5B595267"/>
    <w:rsid w:val="5B5B3851"/>
    <w:rsid w:val="5B7A3E0D"/>
    <w:rsid w:val="5BC052E6"/>
    <w:rsid w:val="5BC30933"/>
    <w:rsid w:val="5BCD78C0"/>
    <w:rsid w:val="5BD40D92"/>
    <w:rsid w:val="5BDB1EAB"/>
    <w:rsid w:val="5C2A2760"/>
    <w:rsid w:val="5C3D6937"/>
    <w:rsid w:val="5C62639E"/>
    <w:rsid w:val="5C6D2AA1"/>
    <w:rsid w:val="5C96226F"/>
    <w:rsid w:val="5D213B63"/>
    <w:rsid w:val="5D2641A2"/>
    <w:rsid w:val="5D3A2E77"/>
    <w:rsid w:val="5D3E55A4"/>
    <w:rsid w:val="5D4D2BAA"/>
    <w:rsid w:val="5D59154F"/>
    <w:rsid w:val="5D852344"/>
    <w:rsid w:val="5DB63291"/>
    <w:rsid w:val="5DBA7B13"/>
    <w:rsid w:val="5DD27DB3"/>
    <w:rsid w:val="5DEF1EB3"/>
    <w:rsid w:val="5E5835B4"/>
    <w:rsid w:val="5E6261E1"/>
    <w:rsid w:val="5E730114"/>
    <w:rsid w:val="5E801A7A"/>
    <w:rsid w:val="5E897C12"/>
    <w:rsid w:val="5EA467FA"/>
    <w:rsid w:val="5EB629D1"/>
    <w:rsid w:val="5EEC01A1"/>
    <w:rsid w:val="5EF7101F"/>
    <w:rsid w:val="5F13397F"/>
    <w:rsid w:val="5F1F0576"/>
    <w:rsid w:val="5F296CFF"/>
    <w:rsid w:val="5F2E6A0B"/>
    <w:rsid w:val="5F526256"/>
    <w:rsid w:val="5F577D10"/>
    <w:rsid w:val="5F716B7C"/>
    <w:rsid w:val="5F7408C2"/>
    <w:rsid w:val="5FD01870"/>
    <w:rsid w:val="5FE61094"/>
    <w:rsid w:val="5FE86F44"/>
    <w:rsid w:val="5FF2794C"/>
    <w:rsid w:val="60114363"/>
    <w:rsid w:val="60421D1C"/>
    <w:rsid w:val="6051475F"/>
    <w:rsid w:val="60555CAB"/>
    <w:rsid w:val="606B3A0E"/>
    <w:rsid w:val="60945B44"/>
    <w:rsid w:val="60B45728"/>
    <w:rsid w:val="60FB46CB"/>
    <w:rsid w:val="61497B2C"/>
    <w:rsid w:val="618943CD"/>
    <w:rsid w:val="618B5A4F"/>
    <w:rsid w:val="61952D71"/>
    <w:rsid w:val="61BE325C"/>
    <w:rsid w:val="61C827FF"/>
    <w:rsid w:val="61E41603"/>
    <w:rsid w:val="62120618"/>
    <w:rsid w:val="62455EA3"/>
    <w:rsid w:val="62487DE4"/>
    <w:rsid w:val="625E2039"/>
    <w:rsid w:val="62862AB7"/>
    <w:rsid w:val="629B74DF"/>
    <w:rsid w:val="62D578C9"/>
    <w:rsid w:val="631F6D97"/>
    <w:rsid w:val="63497970"/>
    <w:rsid w:val="635A392B"/>
    <w:rsid w:val="637F3391"/>
    <w:rsid w:val="64095351"/>
    <w:rsid w:val="64095A83"/>
    <w:rsid w:val="64373C6C"/>
    <w:rsid w:val="64504D2E"/>
    <w:rsid w:val="645760BC"/>
    <w:rsid w:val="649D76A0"/>
    <w:rsid w:val="64BE3BC1"/>
    <w:rsid w:val="65026375"/>
    <w:rsid w:val="65385ACD"/>
    <w:rsid w:val="659F41BF"/>
    <w:rsid w:val="65D976D1"/>
    <w:rsid w:val="66844B40"/>
    <w:rsid w:val="67204E8B"/>
    <w:rsid w:val="674C7B03"/>
    <w:rsid w:val="675E59B4"/>
    <w:rsid w:val="678278F4"/>
    <w:rsid w:val="67900263"/>
    <w:rsid w:val="67957627"/>
    <w:rsid w:val="679D028A"/>
    <w:rsid w:val="67F578A7"/>
    <w:rsid w:val="680D3A39"/>
    <w:rsid w:val="681C130B"/>
    <w:rsid w:val="68330BEE"/>
    <w:rsid w:val="687920A3"/>
    <w:rsid w:val="68C47A98"/>
    <w:rsid w:val="68C61648"/>
    <w:rsid w:val="68D0468F"/>
    <w:rsid w:val="68D423D1"/>
    <w:rsid w:val="68D45DEC"/>
    <w:rsid w:val="68FC5484"/>
    <w:rsid w:val="68FD36D6"/>
    <w:rsid w:val="6905258B"/>
    <w:rsid w:val="690F78C3"/>
    <w:rsid w:val="69B31FE7"/>
    <w:rsid w:val="69E623BC"/>
    <w:rsid w:val="69EA3131"/>
    <w:rsid w:val="69ED47C0"/>
    <w:rsid w:val="6A386990"/>
    <w:rsid w:val="6A647785"/>
    <w:rsid w:val="6A705326"/>
    <w:rsid w:val="6AAD4C88"/>
    <w:rsid w:val="6AC36259"/>
    <w:rsid w:val="6AD06BC8"/>
    <w:rsid w:val="6AE14931"/>
    <w:rsid w:val="6AE306AA"/>
    <w:rsid w:val="6AE82164"/>
    <w:rsid w:val="6B040620"/>
    <w:rsid w:val="6B0D5727"/>
    <w:rsid w:val="6B1E337F"/>
    <w:rsid w:val="6B3B2294"/>
    <w:rsid w:val="6B5415A7"/>
    <w:rsid w:val="6B550163"/>
    <w:rsid w:val="6B6F018F"/>
    <w:rsid w:val="6B7B4D86"/>
    <w:rsid w:val="6B851761"/>
    <w:rsid w:val="6B8E54EB"/>
    <w:rsid w:val="6B930322"/>
    <w:rsid w:val="6B96396E"/>
    <w:rsid w:val="6BA639E9"/>
    <w:rsid w:val="6BAF2C82"/>
    <w:rsid w:val="6BBC4CDE"/>
    <w:rsid w:val="6BC04E8F"/>
    <w:rsid w:val="6C094140"/>
    <w:rsid w:val="6C133F04"/>
    <w:rsid w:val="6C3C4515"/>
    <w:rsid w:val="6C4B4758"/>
    <w:rsid w:val="6C5536C6"/>
    <w:rsid w:val="6C8B724B"/>
    <w:rsid w:val="6C9F2CF6"/>
    <w:rsid w:val="6CB93DB8"/>
    <w:rsid w:val="6CE07597"/>
    <w:rsid w:val="6D0D7C60"/>
    <w:rsid w:val="6D374CDD"/>
    <w:rsid w:val="6D3B2A1F"/>
    <w:rsid w:val="6D3C0545"/>
    <w:rsid w:val="6D57537F"/>
    <w:rsid w:val="6D7E290C"/>
    <w:rsid w:val="6D855A48"/>
    <w:rsid w:val="6D995997"/>
    <w:rsid w:val="6DBE53FE"/>
    <w:rsid w:val="6DC01176"/>
    <w:rsid w:val="6E170016"/>
    <w:rsid w:val="6E281775"/>
    <w:rsid w:val="6E370438"/>
    <w:rsid w:val="6E573888"/>
    <w:rsid w:val="6E7A30D3"/>
    <w:rsid w:val="6EB72579"/>
    <w:rsid w:val="6EBB79A1"/>
    <w:rsid w:val="6EC66318"/>
    <w:rsid w:val="6ECD1366"/>
    <w:rsid w:val="6EE42C42"/>
    <w:rsid w:val="6EEE586F"/>
    <w:rsid w:val="6F0830A3"/>
    <w:rsid w:val="6F27734B"/>
    <w:rsid w:val="6F2B6AC3"/>
    <w:rsid w:val="6F347726"/>
    <w:rsid w:val="6F5A2F04"/>
    <w:rsid w:val="6F5B73A8"/>
    <w:rsid w:val="6F7E0543"/>
    <w:rsid w:val="6F8B0B99"/>
    <w:rsid w:val="6FC80653"/>
    <w:rsid w:val="6FD9207B"/>
    <w:rsid w:val="6FEC1DAE"/>
    <w:rsid w:val="6FF2313D"/>
    <w:rsid w:val="6FFE7D34"/>
    <w:rsid w:val="700417EE"/>
    <w:rsid w:val="700D7F77"/>
    <w:rsid w:val="701C60BF"/>
    <w:rsid w:val="703B4AE4"/>
    <w:rsid w:val="70645DE9"/>
    <w:rsid w:val="707D6EAA"/>
    <w:rsid w:val="70822713"/>
    <w:rsid w:val="70CA35FF"/>
    <w:rsid w:val="70FA112C"/>
    <w:rsid w:val="70FF1FB5"/>
    <w:rsid w:val="7130216F"/>
    <w:rsid w:val="71306613"/>
    <w:rsid w:val="713A2FED"/>
    <w:rsid w:val="715C2F64"/>
    <w:rsid w:val="71663DE2"/>
    <w:rsid w:val="717D42AF"/>
    <w:rsid w:val="71802208"/>
    <w:rsid w:val="71A768D5"/>
    <w:rsid w:val="71C47403"/>
    <w:rsid w:val="71D24BBA"/>
    <w:rsid w:val="71D76A8E"/>
    <w:rsid w:val="728B1D53"/>
    <w:rsid w:val="72D134DE"/>
    <w:rsid w:val="72EE0533"/>
    <w:rsid w:val="72FA6ED8"/>
    <w:rsid w:val="73027B3B"/>
    <w:rsid w:val="730E4732"/>
    <w:rsid w:val="732301DD"/>
    <w:rsid w:val="732950C8"/>
    <w:rsid w:val="736425A4"/>
    <w:rsid w:val="737C169B"/>
    <w:rsid w:val="739F538A"/>
    <w:rsid w:val="73BE7F06"/>
    <w:rsid w:val="73EB6821"/>
    <w:rsid w:val="73ED07EB"/>
    <w:rsid w:val="73FB071E"/>
    <w:rsid w:val="746D441A"/>
    <w:rsid w:val="74786307"/>
    <w:rsid w:val="7494591E"/>
    <w:rsid w:val="749F7D37"/>
    <w:rsid w:val="74C63436"/>
    <w:rsid w:val="74C96B62"/>
    <w:rsid w:val="74E67714"/>
    <w:rsid w:val="75041948"/>
    <w:rsid w:val="751A116C"/>
    <w:rsid w:val="75396E3D"/>
    <w:rsid w:val="75630D65"/>
    <w:rsid w:val="75986535"/>
    <w:rsid w:val="75A93784"/>
    <w:rsid w:val="75BA46FD"/>
    <w:rsid w:val="75F0011F"/>
    <w:rsid w:val="75FD6DA5"/>
    <w:rsid w:val="761E764F"/>
    <w:rsid w:val="765A00C6"/>
    <w:rsid w:val="767075E3"/>
    <w:rsid w:val="768E5673"/>
    <w:rsid w:val="76C84BF7"/>
    <w:rsid w:val="770420D4"/>
    <w:rsid w:val="771147F0"/>
    <w:rsid w:val="772E7150"/>
    <w:rsid w:val="774E334F"/>
    <w:rsid w:val="77626DFA"/>
    <w:rsid w:val="77737259"/>
    <w:rsid w:val="77846D70"/>
    <w:rsid w:val="779B53E9"/>
    <w:rsid w:val="779C1F25"/>
    <w:rsid w:val="779E42D6"/>
    <w:rsid w:val="77C11D73"/>
    <w:rsid w:val="77CD18C2"/>
    <w:rsid w:val="77E553A8"/>
    <w:rsid w:val="77F5069A"/>
    <w:rsid w:val="780B7492"/>
    <w:rsid w:val="78144598"/>
    <w:rsid w:val="781C51FB"/>
    <w:rsid w:val="78297D56"/>
    <w:rsid w:val="78413640"/>
    <w:rsid w:val="78574485"/>
    <w:rsid w:val="78706E4D"/>
    <w:rsid w:val="78911745"/>
    <w:rsid w:val="79346574"/>
    <w:rsid w:val="794428A8"/>
    <w:rsid w:val="79870D9A"/>
    <w:rsid w:val="79AE6327"/>
    <w:rsid w:val="79DA1AB2"/>
    <w:rsid w:val="79F006ED"/>
    <w:rsid w:val="7A1A6A15"/>
    <w:rsid w:val="7A1D7E42"/>
    <w:rsid w:val="7A236D15"/>
    <w:rsid w:val="7A342CD0"/>
    <w:rsid w:val="7A3525A4"/>
    <w:rsid w:val="7A666C01"/>
    <w:rsid w:val="7A7668C5"/>
    <w:rsid w:val="7ABA1B75"/>
    <w:rsid w:val="7ABB0CFB"/>
    <w:rsid w:val="7AD65B35"/>
    <w:rsid w:val="7AD71133"/>
    <w:rsid w:val="7AD93877"/>
    <w:rsid w:val="7B046602"/>
    <w:rsid w:val="7B163EBC"/>
    <w:rsid w:val="7B252618"/>
    <w:rsid w:val="7B31720F"/>
    <w:rsid w:val="7B3E36DA"/>
    <w:rsid w:val="7B407452"/>
    <w:rsid w:val="7B66335D"/>
    <w:rsid w:val="7B8E01BE"/>
    <w:rsid w:val="7B98728E"/>
    <w:rsid w:val="7BBA04FC"/>
    <w:rsid w:val="7BC71922"/>
    <w:rsid w:val="7BFF0ED0"/>
    <w:rsid w:val="7C033ED9"/>
    <w:rsid w:val="7C0B180E"/>
    <w:rsid w:val="7C6C5641"/>
    <w:rsid w:val="7C7C095E"/>
    <w:rsid w:val="7C804BF8"/>
    <w:rsid w:val="7C817D22"/>
    <w:rsid w:val="7C8F243F"/>
    <w:rsid w:val="7C9E08D4"/>
    <w:rsid w:val="7CAD2F2B"/>
    <w:rsid w:val="7CD662C0"/>
    <w:rsid w:val="7CD67ABD"/>
    <w:rsid w:val="7CE111F7"/>
    <w:rsid w:val="7D060228"/>
    <w:rsid w:val="7D1172F8"/>
    <w:rsid w:val="7D2749BA"/>
    <w:rsid w:val="7D2C43ED"/>
    <w:rsid w:val="7D494CE4"/>
    <w:rsid w:val="7D4A0A5C"/>
    <w:rsid w:val="7D4F50C4"/>
    <w:rsid w:val="7DA0067C"/>
    <w:rsid w:val="7DA20010"/>
    <w:rsid w:val="7DBD2FDC"/>
    <w:rsid w:val="7DC600E3"/>
    <w:rsid w:val="7DEC38C1"/>
    <w:rsid w:val="7DF00BFA"/>
    <w:rsid w:val="7DF34C50"/>
    <w:rsid w:val="7DF478B8"/>
    <w:rsid w:val="7E011C89"/>
    <w:rsid w:val="7E132BFC"/>
    <w:rsid w:val="7E283478"/>
    <w:rsid w:val="7E3C03A5"/>
    <w:rsid w:val="7E3F3E40"/>
    <w:rsid w:val="7E462FD2"/>
    <w:rsid w:val="7E7E276B"/>
    <w:rsid w:val="7E7F64E4"/>
    <w:rsid w:val="7E813F71"/>
    <w:rsid w:val="7EBE700C"/>
    <w:rsid w:val="7EC32874"/>
    <w:rsid w:val="7EC87E8B"/>
    <w:rsid w:val="7EF90044"/>
    <w:rsid w:val="7F0D1D41"/>
    <w:rsid w:val="7F9E2999"/>
    <w:rsid w:val="7FAF2DF8"/>
    <w:rsid w:val="7FED6926"/>
    <w:rsid w:val="7FF470C5"/>
    <w:rsid w:val="DDD54556"/>
    <w:rsid w:val="FDEF5D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left"/>
    </w:pPr>
    <w:rPr>
      <w:rFonts w:asciiTheme="minorEastAsia" w:hAnsiTheme="minorEastAsia" w:eastAsiaTheme="minorEastAsia" w:cstheme="minorEastAsia"/>
      <w:kern w:val="0"/>
      <w:sz w:val="24"/>
      <w:szCs w:val="24"/>
      <w:lang w:val="en-US" w:eastAsia="zh-CN" w:bidi="ar"/>
    </w:rPr>
  </w:style>
  <w:style w:type="paragraph" w:styleId="5">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6">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7">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bottom w:val="single" w:color="auto" w:sz="6" w:space="1"/>
      </w:pBdr>
      <w:tabs>
        <w:tab w:val="center" w:pos="4153"/>
        <w:tab w:val="right" w:pos="8306"/>
      </w:tabs>
      <w:snapToGrid w:val="0"/>
      <w:jc w:val="center"/>
    </w:pPr>
    <w:rPr>
      <w:kern w:val="0"/>
      <w:sz w:val="18"/>
      <w:szCs w:val="18"/>
    </w:rPr>
  </w:style>
  <w:style w:type="paragraph" w:styleId="10">
    <w:name w:val="toc 1"/>
    <w:basedOn w:val="1"/>
    <w:next w:val="1"/>
    <w:qFormat/>
    <w:uiPriority w:val="0"/>
  </w:style>
  <w:style w:type="paragraph" w:styleId="11">
    <w:name w:val="table of figures"/>
    <w:basedOn w:val="1"/>
    <w:next w:val="1"/>
    <w:qFormat/>
    <w:uiPriority w:val="0"/>
    <w:pPr>
      <w:ind w:left="400" w:leftChars="200" w:hanging="200" w:hangingChars="200"/>
    </w:pPr>
  </w:style>
  <w:style w:type="paragraph" w:styleId="12">
    <w:name w:val="toc 2"/>
    <w:basedOn w:val="1"/>
    <w:next w:val="1"/>
    <w:qFormat/>
    <w:uiPriority w:val="0"/>
    <w:pPr>
      <w:ind w:left="420" w:leftChars="200"/>
    </w:p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6">
    <w:name w:val="Strong"/>
    <w:basedOn w:val="15"/>
    <w:qFormat/>
    <w:uiPriority w:val="0"/>
    <w:rPr>
      <w:b/>
    </w:rPr>
  </w:style>
  <w:style w:type="paragraph" w:customStyle="1" w:styleId="17">
    <w:name w:val="文档正文"/>
    <w:basedOn w:val="1"/>
    <w:qFormat/>
    <w:uiPriority w:val="99"/>
    <w:pPr>
      <w:adjustRightInd w:val="0"/>
      <w:spacing w:line="480" w:lineRule="atLeast"/>
      <w:textAlignment w:val="baseline"/>
    </w:pPr>
    <w:rPr>
      <w:rFonts w:hAnsi="Arial"/>
      <w:kern w:val="0"/>
    </w:rPr>
  </w:style>
  <w:style w:type="paragraph" w:customStyle="1" w:styleId="18">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customStyle="1" w:styleId="19">
    <w:name w:val="WPSOffice手动目录 1"/>
    <w:qFormat/>
    <w:uiPriority w:val="0"/>
    <w:pPr>
      <w:ind w:leftChars="0"/>
    </w:pPr>
    <w:rPr>
      <w:rFonts w:ascii="Times New Roman" w:hAnsi="Times New Roman" w:eastAsia="宋体" w:cs="Times New Roman"/>
      <w:sz w:val="20"/>
      <w:szCs w:val="20"/>
    </w:rPr>
  </w:style>
  <w:style w:type="paragraph" w:customStyle="1" w:styleId="20">
    <w:name w:val="WPSOffice手动目录 2"/>
    <w:qFormat/>
    <w:uiPriority w:val="0"/>
    <w:pPr>
      <w:ind w:leftChars="200"/>
    </w:pPr>
    <w:rPr>
      <w:rFonts w:ascii="Times New Roman" w:hAnsi="Times New Roman" w:eastAsia="宋体" w:cs="Times New Roman"/>
      <w:sz w:val="20"/>
      <w:szCs w:val="20"/>
    </w:rPr>
  </w:style>
  <w:style w:type="paragraph" w:customStyle="1" w:styleId="21">
    <w:name w:val="普通(网站) Char"/>
    <w:basedOn w:val="1"/>
    <w:qFormat/>
    <w:uiPriority w:val="0"/>
    <w:pPr>
      <w:spacing w:before="0" w:beforeAutospacing="1" w:after="0" w:afterAutospacing="1"/>
      <w:ind w:left="0" w:right="0"/>
      <w:jc w:val="left"/>
    </w:pPr>
    <w:rPr>
      <w:rFonts w:ascii="宋体" w:eastAsia="宋体" w:cs="宋体"/>
      <w:kern w:val="0"/>
      <w:sz w:val="24"/>
      <w:szCs w:val="24"/>
      <w:lang w:val="en-US" w:eastAsia="zh-CN"/>
    </w:rPr>
  </w:style>
  <w:style w:type="character" w:customStyle="1" w:styleId="22">
    <w:name w:val="font21"/>
    <w:basedOn w:val="15"/>
    <w:qFormat/>
    <w:uiPriority w:val="0"/>
    <w:rPr>
      <w:rFonts w:ascii="宋体" w:hAnsi="宋体" w:eastAsia="宋体" w:cs="宋体"/>
      <w:color w:val="000000"/>
      <w:sz w:val="20"/>
      <w:szCs w:val="20"/>
      <w:u w:val="none"/>
    </w:rPr>
  </w:style>
  <w:style w:type="character" w:customStyle="1" w:styleId="23">
    <w:name w:val="font41"/>
    <w:basedOn w:val="15"/>
    <w:qFormat/>
    <w:uiPriority w:val="0"/>
    <w:rPr>
      <w:rFonts w:ascii="仿宋_GB2312" w:eastAsia="仿宋_GB2312" w:cs="仿宋_GB2312"/>
      <w:color w:val="000000"/>
      <w:sz w:val="20"/>
      <w:szCs w:val="20"/>
      <w:u w:val="none"/>
    </w:rPr>
  </w:style>
  <w:style w:type="character" w:customStyle="1" w:styleId="24">
    <w:name w:val="font31"/>
    <w:basedOn w:val="15"/>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themeOverride" Target="../theme/themeOverride2.xml"/><Relationship Id="rId1" Type="http://schemas.openxmlformats.org/officeDocument/2006/relationships/oleObject" Target="file:///E:\Desktop\&#31185;&#20892;&#23616;&#26448;&#26009;\&#31185;&#20892;&#23616;&#20915;&#31639;&#36164;&#26009;\2025&#24180;&#20915;&#31639;&#20844;&#24320;\2025&#24180;&#31185;&#20892;&#23616;&#20915;&#31639;&#34920;\&#39292;&#29366;&#22270;&#29983;&#20135;&#21147;.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31185;&#20892;&#23616;&#26448;&#26009;\&#31185;&#20892;&#23616;&#20915;&#31639;&#36164;&#26009;\2024&#24180;&#20915;&#31639;&#20844;&#24320;\2024&#24180;&#31185;&#20892;&#23616;&#20915;&#31639;&#36164;&#26009;\2024&#24180;&#20915;&#31639;&#20844;&#24320;&#36164;&#26009;\&#39292;&#29366;&#22270;&#26412;&#3242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31185;&#20892;&#23616;&#26448;&#26009;\&#31185;&#20892;&#23616;&#20915;&#31639;&#36164;&#26009;\2024&#24180;&#20915;&#31639;&#20844;&#24320;\2024&#24180;&#31185;&#20892;&#23616;&#20915;&#31639;&#36164;&#26009;\2024&#24180;&#20915;&#31639;&#20844;&#24320;&#36164;&#26009;\&#39292;&#29366;&#22270;&#29983;&#20135;&#21147;.xlsx" TargetMode="External"/></Relationships>
</file>

<file path=word/charts/_rels/chart4.xml.rels><?xml version="1.0" encoding="UTF-8" standalone="yes"?>
<Relationships xmlns="http://schemas.openxmlformats.org/package/2006/relationships"><Relationship Id="rId2" Type="http://schemas.openxmlformats.org/officeDocument/2006/relationships/themeOverride" Target="../theme/themeOverrid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1" Type="http://schemas.openxmlformats.org/officeDocument/2006/relationships/oleObject" Target="file:///E:\Desktop\&#31185;&#20892;&#23616;&#26448;&#26009;\&#31185;&#20892;&#23616;&#20915;&#31639;&#36164;&#26009;\2025&#24180;&#20915;&#31639;&#20844;&#24320;\2025&#24180;&#31185;&#20892;&#23616;&#20915;&#31639;&#34920;\&#39292;&#29366;&#22270;&#29983;&#20135;&#21147;.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Desktop\&#31185;&#20892;&#23616;&#26448;&#26009;\&#31185;&#20892;&#23616;&#20915;&#31639;&#36164;&#26009;\2025&#24180;&#20915;&#31639;&#20844;&#24320;\2025&#24180;&#31185;&#20892;&#23616;&#20915;&#31639;&#34920;\&#39292;&#29366;&#22270;&#29983;&#20135;&#21147;.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istrator\Desktop\&#20892;&#19994;&#23616;&#26448;&#26009;\&#31185;&#20892;&#23616;&#20915;&#31639;&#36164;&#26009;\2023&#24180;&#20915;&#31639;&#20844;&#24320;\2023&#24180;&#31185;&#20892;&#23616;&#20915;&#31639;&#20844;&#24320;&#36164;&#26009;\&#39292;&#29366;&#22270;&#29983;&#20135;&#21147;.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6805555555556"/>
          <c:y val="0.202751322751322"/>
          <c:w val="0.852916666666667"/>
          <c:h val="0.697566137566138"/>
        </c:manualLayout>
      </c:layout>
      <c:barChart>
        <c:barDir val="col"/>
        <c:grouping val="clustered"/>
        <c:varyColors val="0"/>
        <c:ser>
          <c:idx val="0"/>
          <c:order val="0"/>
          <c:tx>
            <c:strRef>
              <c:f>[饼状图生产力.xlsx]Sheet1!$C$8</c:f>
              <c:strCache>
                <c:ptCount val="1"/>
                <c:pt idx="0">
                  <c:v>图一.收、支决算总计变动情况图</c:v>
                </c:pt>
              </c:strCache>
            </c:strRef>
          </c:tx>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[饼状图生产力.xlsx]Sheet1!$B$9:$B$10</c:f>
              <c:strCache>
                <c:ptCount val="2"/>
                <c:pt idx="0">
                  <c:v>2024年</c:v>
                </c:pt>
                <c:pt idx="1">
                  <c:v>2025年</c:v>
                </c:pt>
              </c:strCache>
            </c:strRef>
          </c:cat>
          <c:val>
            <c:numRef>
              <c:f>[饼状图生产力.xlsx]Sheet1!$C$9:$C$10</c:f>
              <c:numCache>
                <c:formatCode>#,##0.00</c:formatCode>
                <c:ptCount val="2"/>
                <c:pt idx="0">
                  <c:v>355.59</c:v>
                </c:pt>
                <c:pt idx="1">
                  <c:v>245.71</c:v>
                </c:pt>
              </c:numCache>
            </c:numRef>
          </c:val>
        </c:ser>
        <c:dLbls>
          <c:showLegendKey val="0"/>
          <c:showVal val="1"/>
          <c:showCatName val="0"/>
          <c:showSerName val="0"/>
          <c:showPercent val="0"/>
          <c:showBubbleSize val="0"/>
        </c:dLbls>
        <c:gapWidth val="75"/>
        <c:axId val="80053376"/>
        <c:axId val="80054912"/>
      </c:barChart>
      <c:catAx>
        <c:axId val="80053376"/>
        <c:scaling>
          <c:orientation val="minMax"/>
        </c:scaling>
        <c:delete val="0"/>
        <c:axPos val="b"/>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80054912"/>
        <c:crosses val="autoZero"/>
        <c:auto val="1"/>
        <c:lblAlgn val="ctr"/>
        <c:lblOffset val="100"/>
        <c:noMultiLvlLbl val="0"/>
      </c:catAx>
      <c:valAx>
        <c:axId val="80054912"/>
        <c:scaling>
          <c:orientation val="minMax"/>
        </c:scaling>
        <c:delete val="0"/>
        <c:axPos val="l"/>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80053376"/>
        <c:crosses val="autoZero"/>
        <c:crossBetween val="between"/>
      </c:valAx>
      <c:spPr>
        <a:solidFill>
          <a:schemeClr val="bg1"/>
        </a:solidFill>
        <a:ln>
          <a:noFill/>
        </a:ln>
        <a:effectLst/>
      </c:spPr>
    </c:plotArea>
    <c:legend>
      <c:legendPos val="b"/>
      <c:legendEntry>
        <c:idx val="0"/>
        <c:txPr>
          <a:bodyPr rot="0" spcFirstLastPara="0" vertOverflow="ellipsis" vert="horz" wrap="square" anchor="ctr" anchorCtr="1"/>
          <a:lstStyle/>
          <a:p>
            <a:pPr>
              <a:defRPr lang="zh-CN" sz="1400" b="0" i="0" u="none" strike="noStrike" kern="1200" baseline="0">
                <a:solidFill>
                  <a:schemeClr val="tx1"/>
                </a:solidFill>
                <a:latin typeface="+mn-lt"/>
                <a:ea typeface="+mn-ea"/>
                <a:cs typeface="+mn-cs"/>
              </a:defRPr>
            </a:pPr>
          </a:p>
        </c:txPr>
      </c:legendEntry>
      <c:layout>
        <c:manualLayout>
          <c:xMode val="edge"/>
          <c:yMode val="edge"/>
          <c:x val="0.20625"/>
          <c:y val="0.0186243386243386"/>
          <c:w val="0.6625"/>
          <c:h val="0.136719576719577"/>
        </c:manualLayout>
      </c:layout>
      <c:overlay val="0"/>
      <c:txPr>
        <a:bodyPr rot="0" spcFirstLastPara="0" vertOverflow="ellipsis" vert="horz" wrap="square" anchor="ctr" anchorCtr="1"/>
        <a:lstStyle/>
        <a:p>
          <a:pPr>
            <a:defRPr lang="zh-CN" sz="14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ca80f23f-c291-4dce-afb5-07c65ae6ac47}"/>
      </c:ext>
    </c:extLst>
  </c:chart>
  <c:txPr>
    <a:bodyPr/>
    <a:lstStyle/>
    <a:p>
      <a:pPr>
        <a:defRPr lang="zh-CN"/>
      </a:pPr>
    </a:p>
  </c:txPr>
  <c:externalData r:id="rId1">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solidFill>
                <a:latin typeface="+mn-lt"/>
                <a:ea typeface="+mn-ea"/>
                <a:cs typeface="+mn-cs"/>
              </a:defRPr>
            </a:pPr>
            <a:r>
              <a:t>图二.202</a:t>
            </a:r>
            <a:r>
              <a:rPr lang="en-US" altLang="zh-CN"/>
              <a:t>5</a:t>
            </a:r>
            <a:r>
              <a:t>年收入决算结构图</a:t>
            </a:r>
          </a:p>
        </c:rich>
      </c:tx>
      <c:layout/>
      <c:overlay val="0"/>
    </c:title>
    <c:autoTitleDeleted val="0"/>
    <c:view3D>
      <c:rotX val="30"/>
      <c:rotY val="0"/>
      <c:depthPercent val="100"/>
      <c:rAngAx val="0"/>
      <c:perspective val="30"/>
    </c:view3D>
    <c:floor>
      <c:thickness val="0"/>
    </c:floor>
    <c:sideWall>
      <c:thickness val="0"/>
    </c:sideWall>
    <c:backWall>
      <c:thickness val="0"/>
    </c:backWall>
    <c:plotArea>
      <c:layout/>
      <c:pie3DChart>
        <c:varyColors val="1"/>
        <c:ser>
          <c:idx val="0"/>
          <c:order val="0"/>
          <c:tx>
            <c:strRef>
              <c:f>[饼状图本级.xlsx]Sheet1!$C$20</c:f>
              <c:strCache>
                <c:ptCount val="1"/>
                <c:pt idx="0">
                  <c:v>图二.2024年收入决算结构图</c:v>
                </c:pt>
              </c:strCache>
            </c:strRef>
          </c:tx>
          <c:explosion val="25"/>
          <c:dPt>
            <c:idx val="0"/>
            <c:bubble3D val="0"/>
          </c:dPt>
          <c:dPt>
            <c:idx val="1"/>
            <c:bubble3D val="0"/>
          </c:dPt>
          <c:dLbls>
            <c:delete val="1"/>
          </c:dLbls>
          <c:cat>
            <c:strRef>
              <c:f>[饼状图本级.xlsx]Sheet1!$B$21:$B$22</c:f>
              <c:strCache>
                <c:ptCount val="2"/>
                <c:pt idx="0">
                  <c:v>一般公共预算财政拨款收入占100%</c:v>
                </c:pt>
                <c:pt idx="1">
                  <c:v>政府性基金预算财政拨款收入占0%</c:v>
                </c:pt>
              </c:strCache>
            </c:strRef>
          </c:cat>
          <c:val>
            <c:numRef>
              <c:f>[饼状图本级.xlsx]Sheet1!$C$21:$C$22</c:f>
              <c:numCache>
                <c:formatCode>General</c:formatCode>
                <c:ptCount val="2"/>
                <c:pt idx="0">
                  <c:v>9663.32</c:v>
                </c:pt>
                <c:pt idx="1">
                  <c:v>0</c:v>
                </c:pt>
              </c:numCache>
            </c:numRef>
          </c:val>
        </c:ser>
        <c:dLbls>
          <c:showLegendKey val="0"/>
          <c:showVal val="0"/>
          <c:showCatName val="0"/>
          <c:showSerName val="0"/>
          <c:showPercent val="1"/>
          <c:showBubbleSize val="0"/>
        </c:dLbls>
      </c:pie3DChart>
    </c:plotArea>
    <c:legend>
      <c:legendPos val="r"/>
      <c:layout>
        <c:manualLayout>
          <c:xMode val="edge"/>
          <c:yMode val="edge"/>
          <c:x val="0.661727133367399"/>
          <c:y val="0.420587532839742"/>
          <c:w val="0.322943280531426"/>
          <c:h val="0.441604967757344"/>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c8605b31-945b-49de-ac56-14617b797638}"/>
      </c:ext>
    </c:extLst>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solidFill>
                <a:latin typeface="+mn-lt"/>
                <a:ea typeface="+mn-ea"/>
                <a:cs typeface="+mn-cs"/>
              </a:defRPr>
            </a:pPr>
            <a:r>
              <a:t>图三.202</a:t>
            </a:r>
            <a:r>
              <a:rPr lang="en-US" altLang="zh-CN"/>
              <a:t>5</a:t>
            </a:r>
            <a:r>
              <a:t>年支出决算结构图</a:t>
            </a:r>
          </a:p>
        </c:rich>
      </c:tx>
      <c:layout/>
      <c:overlay val="0"/>
    </c:title>
    <c:autoTitleDeleted val="0"/>
    <c:view3D>
      <c:rotX val="30"/>
      <c:rotY val="0"/>
      <c:depthPercent val="100"/>
      <c:rAngAx val="0"/>
      <c:perspective val="30"/>
    </c:view3D>
    <c:floor>
      <c:thickness val="0"/>
    </c:floor>
    <c:sideWall>
      <c:thickness val="0"/>
    </c:sideWall>
    <c:backWall>
      <c:thickness val="0"/>
    </c:backWall>
    <c:plotArea>
      <c:layout/>
      <c:pie3DChart>
        <c:varyColors val="1"/>
        <c:ser>
          <c:idx val="0"/>
          <c:order val="0"/>
          <c:tx>
            <c:strRef>
              <c:f>[饼状图生产力.xlsx]Sheet1!$C$38</c:f>
              <c:strCache>
                <c:ptCount val="1"/>
                <c:pt idx="0">
                  <c:v>图三.2024年支出决算结构图</c:v>
                </c:pt>
              </c:strCache>
            </c:strRef>
          </c:tx>
          <c:explosion val="25"/>
          <c:dPt>
            <c:idx val="0"/>
            <c:bubble3D val="0"/>
          </c:dPt>
          <c:dPt>
            <c:idx val="1"/>
            <c:bubble3D val="0"/>
          </c:dPt>
          <c:dLbls>
            <c:dLbl>
              <c:idx val="0"/>
              <c:layout>
                <c:manualLayout>
                  <c:x val="0.183333333333333"/>
                  <c:y val="-0.0243055555555556"/>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基本支出占</a:t>
                    </a:r>
                    <a:r>
                      <a:rPr lang="en-US" altLang="zh-CN"/>
                      <a:t>18.33</a:t>
                    </a:r>
                    <a:r>
                      <a:t>%</a:t>
                    </a:r>
                  </a:p>
                </c:rich>
              </c:tx>
              <c:dLblPos val="bestFit"/>
              <c:showLegendKey val="0"/>
              <c:showVal val="0"/>
              <c:showCatName val="1"/>
              <c:showSerName val="0"/>
              <c:showPercent val="0"/>
              <c:showBubbleSize val="0"/>
              <c:extLst>
                <c:ext xmlns:c15="http://schemas.microsoft.com/office/drawing/2012/chart" uri="{CE6537A1-D6FC-4f65-9D91-7224C49458BB}">
                  <c15:layout/>
                </c:ext>
              </c:extLst>
            </c:dLbl>
            <c:dLbl>
              <c:idx val="1"/>
              <c:layout>
                <c:manualLayout>
                  <c:x val="-0.225025158774982"/>
                  <c:y val="-0.0246375351762158"/>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项目支出占8</a:t>
                    </a:r>
                    <a:r>
                      <a:rPr lang="en-US" altLang="zh-CN"/>
                      <a:t>1.67</a:t>
                    </a:r>
                    <a:r>
                      <a:t>%</a:t>
                    </a:r>
                  </a:p>
                </c:rich>
              </c:tx>
              <c:dLblPos val="bestFit"/>
              <c:showLegendKey val="0"/>
              <c:showVal val="0"/>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[饼状图生产力.xlsx]Sheet1!$B$39:$B$40</c:f>
              <c:strCache>
                <c:ptCount val="2"/>
                <c:pt idx="0">
                  <c:v>基本支出占11.61%</c:v>
                </c:pt>
                <c:pt idx="1">
                  <c:v>项目支出占88.39%</c:v>
                </c:pt>
              </c:strCache>
            </c:strRef>
          </c:cat>
          <c:val>
            <c:numRef>
              <c:f>[饼状图生产力.xlsx]Sheet1!$C$39:$C$40</c:f>
              <c:numCache>
                <c:formatCode>General</c:formatCode>
                <c:ptCount val="2"/>
                <c:pt idx="0">
                  <c:v>41.28</c:v>
                </c:pt>
                <c:pt idx="1">
                  <c:v>314.31</c:v>
                </c:pt>
              </c:numCache>
            </c:numRef>
          </c:val>
        </c:ser>
        <c:dLbls>
          <c:showLegendKey val="0"/>
          <c:showVal val="0"/>
          <c:showCatName val="1"/>
          <c:showSerName val="0"/>
          <c:showPercent val="0"/>
          <c:showBubbleSize val="0"/>
        </c:dLbls>
      </c:pie3DChart>
    </c:plotArea>
    <c:plotVisOnly val="1"/>
    <c:dispBlanksAs val="gap"/>
    <c:showDLblsOverMax val="0"/>
    <c:extLst>
      <c:ext uri="{0b15fc19-7d7d-44ad-8c2d-2c3a37ce22c3}">
        <chartProps xmlns="https://web.wps.cn/et/2018/main" chartId="{a183dc34-8531-459f-9437-fc1dbf87abb8}"/>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1" i="0" u="none" strike="noStrike" kern="1200" baseline="0">
                <a:solidFill>
                  <a:schemeClr val="tx1"/>
                </a:solidFill>
                <a:latin typeface="+mn-lt"/>
                <a:ea typeface="+mn-ea"/>
                <a:cs typeface="+mn-cs"/>
              </a:defRPr>
            </a:pPr>
            <a:r>
              <a:rPr sz="1400"/>
              <a:t>图四</a:t>
            </a:r>
            <a:r>
              <a:rPr lang="en-US" altLang="zh-CN" sz="1400"/>
              <a:t>.</a:t>
            </a:r>
            <a:r>
              <a:rPr altLang="en-US" sz="1400"/>
              <a:t>财政拨款收、支决算总计变动情况图</a:t>
            </a:r>
            <a:endParaRPr altLang="en-US" sz="1400"/>
          </a:p>
        </c:rich>
      </c:tx>
      <c:layout>
        <c:manualLayout>
          <c:xMode val="edge"/>
          <c:yMode val="edge"/>
          <c:x val="0.186242038216561"/>
          <c:y val="0.0578259092766653"/>
        </c:manualLayout>
      </c:layout>
      <c:overlay val="0"/>
    </c:title>
    <c:autoTitleDeleted val="0"/>
    <c:plotArea>
      <c:layout>
        <c:manualLayout>
          <c:layoutTarget val="inner"/>
          <c:xMode val="edge"/>
          <c:yMode val="edge"/>
          <c:x val="0.131668789808917"/>
          <c:y val="0.181242337556191"/>
          <c:w val="0.764891719745223"/>
          <c:h val="0.659583163056804"/>
        </c:manualLayout>
      </c:layout>
      <c:barChart>
        <c:barDir val="col"/>
        <c:grouping val="clustered"/>
        <c:varyColors val="0"/>
        <c:ser>
          <c:idx val="0"/>
          <c:order val="0"/>
          <c:tx>
            <c:strRef>
              <c:f>Sheet1!$B$60</c:f>
              <c:strCache>
                <c:ptCount val="1"/>
                <c:pt idx="0">
                  <c:v>20204年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Sheet1!$C$59:$D$59</c:f>
              <c:strCache>
                <c:ptCount val="2"/>
                <c:pt idx="0">
                  <c:v>图四.财政拨款收、支决算总计变动情况</c:v>
                </c:pt>
              </c:strCache>
            </c:strRef>
          </c:cat>
          <c:val>
            <c:numRef>
              <c:f>Sheet1!$C$60:$D$60</c:f>
              <c:numCache>
                <c:formatCode>General</c:formatCode>
                <c:ptCount val="2"/>
                <c:pt idx="0">
                  <c:v>355.59</c:v>
                </c:pt>
              </c:numCache>
            </c:numRef>
          </c:val>
        </c:ser>
        <c:ser>
          <c:idx val="1"/>
          <c:order val="1"/>
          <c:tx>
            <c:strRef>
              <c:f>Sheet1!$B$61</c:f>
              <c:strCache>
                <c:ptCount val="1"/>
                <c:pt idx="0">
                  <c:v>2025年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Sheet1!$C$59:$D$59</c:f>
              <c:strCache>
                <c:ptCount val="2"/>
                <c:pt idx="0">
                  <c:v>图四.财政拨款收、支决算总计变动情况</c:v>
                </c:pt>
              </c:strCache>
            </c:strRef>
          </c:cat>
          <c:val>
            <c:numRef>
              <c:f>Sheet1!$C$61:$D$61</c:f>
              <c:numCache>
                <c:formatCode>General</c:formatCode>
                <c:ptCount val="2"/>
                <c:pt idx="0">
                  <c:v>245.71</c:v>
                </c:pt>
              </c:numCache>
            </c:numRef>
          </c:val>
        </c:ser>
        <c:dLbls>
          <c:showLegendKey val="0"/>
          <c:showVal val="0"/>
          <c:showCatName val="0"/>
          <c:showSerName val="0"/>
          <c:showPercent val="0"/>
          <c:showBubbleSize val="0"/>
        </c:dLbls>
        <c:gapWidth val="150"/>
        <c:axId val="64526592"/>
        <c:axId val="64540672"/>
      </c:barChart>
      <c:catAx>
        <c:axId val="64526592"/>
        <c:scaling>
          <c:orientation val="minMax"/>
        </c:scaling>
        <c:delete val="1"/>
        <c:axPos val="b"/>
        <c:majorTickMark val="out"/>
        <c:minorTickMark val="none"/>
        <c:tickLblPos val="nextTo"/>
        <c:txPr>
          <a:bodyPr rot="-60000000" spcFirstLastPara="0" vertOverflow="ellipsis" vert="horz" wrap="square" anchor="ctr" anchorCtr="1"/>
          <a:lstStyle/>
          <a:p>
            <a:pPr>
              <a:defRPr lang="zh-CN" sz="900" b="0" i="0" u="none" strike="noStrike" kern="1200" baseline="0">
                <a:solidFill>
                  <a:sysClr val="windowText" lastClr="000000"/>
                </a:solidFill>
                <a:latin typeface="+mn-lt"/>
                <a:ea typeface="+mn-ea"/>
                <a:cs typeface="+mn-cs"/>
              </a:defRPr>
            </a:pPr>
          </a:p>
        </c:txPr>
        <c:crossAx val="64540672"/>
        <c:crosses val="autoZero"/>
        <c:auto val="1"/>
        <c:lblAlgn val="ctr"/>
        <c:lblOffset val="100"/>
        <c:noMultiLvlLbl val="0"/>
      </c:catAx>
      <c:valAx>
        <c:axId val="64540672"/>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900" b="0" i="0" u="none" strike="noStrike" kern="1200" baseline="0">
                <a:solidFill>
                  <a:sysClr val="windowText" lastClr="000000"/>
                </a:solidFill>
                <a:latin typeface="+mn-lt"/>
                <a:ea typeface="+mn-ea"/>
                <a:cs typeface="+mn-cs"/>
              </a:defRPr>
            </a:pPr>
          </a:p>
        </c:txPr>
        <c:crossAx val="64526592"/>
        <c:crosses val="autoZero"/>
        <c:crossBetween val="between"/>
      </c:valAx>
      <c:spPr>
        <a:solidFill>
          <a:sysClr val="window" lastClr="FFFFFF"/>
        </a:solidFill>
        <a:ln>
          <a:noFill/>
        </a:ln>
        <a:effectLst/>
      </c:spPr>
    </c:plotArea>
    <c:legend>
      <c:legendPos val="r"/>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ysClr val="windowText" lastClr="000000"/>
                </a:solidFill>
                <a:latin typeface="+mn-lt"/>
                <a:ea typeface="+mn-ea"/>
                <a:cs typeface="+mn-cs"/>
              </a:defRPr>
            </a:pPr>
          </a:p>
        </c:txPr>
      </c:legendEntry>
      <c:layout>
        <c:manualLayout>
          <c:xMode val="edge"/>
          <c:yMode val="edge"/>
          <c:x val="0.129388816644993"/>
          <c:y val="0.861453053342988"/>
          <c:w val="0.815994798439532"/>
          <c:h val="0.13130581704079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mn-lt"/>
              <a:ea typeface="+mn-ea"/>
              <a:cs typeface="+mn-cs"/>
            </a:defRPr>
          </a:pPr>
        </a:p>
      </c:txPr>
    </c:legend>
    <c:plotVisOnly val="1"/>
    <c:dispBlanksAs val="gap"/>
    <c:showDLblsOverMax val="0"/>
    <c:extLst>
      <c:ext uri="{0b15fc19-7d7d-44ad-8c2d-2c3a37ce22c3}">
        <chartProps xmlns="https://web.wps.cn/et/2018/main" chartId="{84cee51e-8058-4304-8342-df4339f17f79}"/>
      </c:ext>
    </c:extLst>
  </c:chart>
  <c:txPr>
    <a:bodyPr/>
    <a:lstStyle/>
    <a:p>
      <a:pPr>
        <a:defRPr lang="zh-CN" sz="900"/>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77777777777778"/>
          <c:y val="0.200925925925926"/>
          <c:w val="0.887916666666667"/>
          <c:h val="0.693518518518519"/>
        </c:manualLayout>
      </c:layout>
      <c:barChart>
        <c:barDir val="col"/>
        <c:grouping val="clustered"/>
        <c:varyColors val="0"/>
        <c:ser>
          <c:idx val="0"/>
          <c:order val="0"/>
          <c:tx>
            <c:strRef>
              <c:f>[饼状图生产力.xlsx]Sheet1!$C$77</c:f>
              <c:strCache>
                <c:ptCount val="1"/>
                <c:pt idx="0">
                  <c:v>图五.一般公共预算财政拨款支出决算变动情况</c:v>
                </c:pt>
              </c:strCache>
            </c:strRef>
          </c:tx>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[饼状图生产力.xlsx]Sheet1!$B$78:$B$79</c:f>
              <c:strCache>
                <c:ptCount val="2"/>
                <c:pt idx="0">
                  <c:v>2024年</c:v>
                </c:pt>
                <c:pt idx="1">
                  <c:v>2025年</c:v>
                </c:pt>
              </c:strCache>
            </c:strRef>
          </c:cat>
          <c:val>
            <c:numRef>
              <c:f>[饼状图生产力.xlsx]Sheet1!$C$78:$C$79</c:f>
              <c:numCache>
                <c:formatCode>General</c:formatCode>
                <c:ptCount val="2"/>
                <c:pt idx="0">
                  <c:v>355.59</c:v>
                </c:pt>
                <c:pt idx="1" c:formatCode="0.00_ ">
                  <c:v>245.71</c:v>
                </c:pt>
              </c:numCache>
            </c:numRef>
          </c:val>
        </c:ser>
        <c:dLbls>
          <c:showLegendKey val="0"/>
          <c:showVal val="1"/>
          <c:showCatName val="0"/>
          <c:showSerName val="0"/>
          <c:showPercent val="0"/>
          <c:showBubbleSize val="0"/>
        </c:dLbls>
        <c:gapWidth val="75"/>
        <c:axId val="73993600"/>
        <c:axId val="73999488"/>
      </c:barChart>
      <c:catAx>
        <c:axId val="73993600"/>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73999488"/>
        <c:crosses val="autoZero"/>
        <c:auto val="1"/>
        <c:lblAlgn val="ctr"/>
        <c:lblOffset val="100"/>
        <c:noMultiLvlLbl val="0"/>
      </c:catAx>
      <c:valAx>
        <c:axId val="73999488"/>
        <c:scaling>
          <c:orientation val="minMax"/>
        </c:scaling>
        <c:delete val="0"/>
        <c:axPos val="l"/>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73993600"/>
        <c:crosses val="autoZero"/>
        <c:crossBetween val="between"/>
      </c:valAx>
      <c:spPr>
        <a:solidFill>
          <a:schemeClr val="bg1"/>
        </a:solidFill>
        <a:ln>
          <a:noFill/>
        </a:ln>
        <a:effectLst/>
      </c:spPr>
    </c:plotArea>
    <c:legend>
      <c:legendPos val="b"/>
      <c:legendEntry>
        <c:idx val="0"/>
        <c:txPr>
          <a:bodyPr rot="0" spcFirstLastPara="0" vertOverflow="ellipsis" vert="horz" wrap="square" anchor="ctr" anchorCtr="1"/>
          <a:lstStyle/>
          <a:p>
            <a:pPr>
              <a:defRPr lang="zh-CN" sz="1400" b="0" i="0" u="none" strike="noStrike" kern="1200" baseline="0">
                <a:solidFill>
                  <a:schemeClr val="tx1"/>
                </a:solidFill>
                <a:latin typeface="+mn-lt"/>
                <a:ea typeface="+mn-ea"/>
                <a:cs typeface="+mn-cs"/>
              </a:defRPr>
            </a:pPr>
          </a:p>
        </c:txPr>
      </c:legendEntry>
      <c:layout>
        <c:manualLayout>
          <c:xMode val="edge"/>
          <c:yMode val="edge"/>
          <c:x val="0.0791666666666667"/>
          <c:y val="0.0212962962962963"/>
          <c:w val="0.8625"/>
          <c:h val="0.138425925925926"/>
        </c:manualLayout>
      </c:layout>
      <c:overlay val="0"/>
      <c:txPr>
        <a:bodyPr rot="0" spcFirstLastPara="0" vertOverflow="ellipsis" vert="horz" wrap="square" anchor="ctr" anchorCtr="1"/>
        <a:lstStyle/>
        <a:p>
          <a:pPr>
            <a:defRPr lang="zh-CN" sz="14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91e7f026-75a3-4018-9387-c40e6cf7f094}"/>
      </c:ext>
    </c:extLst>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18472222222222"/>
          <c:y val="0.00568181818181818"/>
        </c:manualLayout>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view3D>
      <c:rotX val="30"/>
      <c:rotY val="0"/>
      <c:depthPercent val="100"/>
      <c:rAngAx val="0"/>
      <c:perspective val="30"/>
    </c:view3D>
    <c:floor>
      <c:thickness val="0"/>
    </c:floor>
    <c:sideWall>
      <c:thickness val="0"/>
    </c:sideWall>
    <c:backWall>
      <c:thickness val="0"/>
    </c:backWall>
    <c:plotArea>
      <c:layout>
        <c:manualLayout>
          <c:layoutTarget val="inner"/>
          <c:xMode val="edge"/>
          <c:yMode val="edge"/>
          <c:x val="0.083953823953824"/>
          <c:y val="0.424493804068272"/>
          <c:w val="0.829206349206349"/>
          <c:h val="0.568491933598317"/>
        </c:manualLayout>
      </c:layout>
      <c:pie3DChart>
        <c:varyColors val="1"/>
        <c:ser>
          <c:idx val="0"/>
          <c:order val="0"/>
          <c:tx>
            <c:strRef>
              <c:f>[饼状图生产力.xlsx]Sheet1!$C$99</c:f>
              <c:strCache>
                <c:ptCount val="1"/>
                <c:pt idx="0">
                  <c:v>图六.2025年一般公共预算财政拨款支出决算结构</c:v>
                </c:pt>
              </c:strCache>
            </c:strRef>
          </c:tx>
          <c:explosion val="0"/>
          <c:dPt>
            <c:idx val="0"/>
            <c:bubble3D val="0"/>
          </c:dPt>
          <c:dPt>
            <c:idx val="1"/>
            <c:bubble3D val="0"/>
          </c:dPt>
          <c:dPt>
            <c:idx val="2"/>
            <c:bubble3D val="0"/>
          </c:dPt>
          <c:dPt>
            <c:idx val="3"/>
            <c:bubble3D val="0"/>
            <c:explosion val="2"/>
          </c:dPt>
          <c:dLbls>
            <c:dLbl>
              <c:idx val="0"/>
              <c:layout>
                <c:manualLayout>
                  <c:x val="0.306721435130526"/>
                  <c:y val="-0.00255164760474915"/>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dLbl>
              <c:idx val="1"/>
              <c:layout>
                <c:manualLayout>
                  <c:x val="-0.259286607075268"/>
                  <c:y val="-0.0189840004804558"/>
                </c:manualLayout>
              </c:layout>
              <c:dLblPos val="bestFit"/>
              <c:showLegendKey val="0"/>
              <c:showVal val="0"/>
              <c:showCatName val="1"/>
              <c:showSerName val="0"/>
              <c:showPercent val="0"/>
              <c:showBubbleSize val="0"/>
              <c:extLst>
                <c:ext xmlns:c15="http://schemas.microsoft.com/office/drawing/2012/chart" uri="{CE6537A1-D6FC-4f65-9D91-7224C49458BB}">
                  <c15:layout>
                    <c:manualLayout>
                      <c:w val="0.205694444444444"/>
                      <c:h val="0.177462121212121"/>
                    </c:manualLayout>
                  </c15:layout>
                </c:ext>
              </c:extLst>
            </c:dLbl>
            <c:dLbl>
              <c:idx val="2"/>
              <c:layout>
                <c:manualLayout>
                  <c:x val="0.0315213826577463"/>
                  <c:y val="-0.112064745808531"/>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dLbl>
              <c:idx val="3"/>
              <c:layout>
                <c:manualLayout>
                  <c:x val="0.384676386878391"/>
                  <c:y val="-0.0189242119812142"/>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[饼状图生产力.xlsx]Sheet1!$B$100:$B$103</c:f>
              <c:strCache>
                <c:ptCount val="4"/>
                <c:pt idx="0">
                  <c:v>科学技术支出占95.25%</c:v>
                </c:pt>
                <c:pt idx="1">
                  <c:v>社会保障和就业支出占2.44%</c:v>
                </c:pt>
                <c:pt idx="2">
                  <c:v>卫生健康支出占0.94%</c:v>
                </c:pt>
                <c:pt idx="3">
                  <c:v>住房保障支出占1.37%</c:v>
                </c:pt>
              </c:strCache>
            </c:strRef>
          </c:cat>
          <c:val>
            <c:numRef>
              <c:f>[饼状图生产力.xlsx]Sheet1!$C$100:$C$103</c:f>
              <c:numCache>
                <c:formatCode>General</c:formatCode>
                <c:ptCount val="4"/>
                <c:pt idx="0">
                  <c:v>234.03</c:v>
                </c:pt>
                <c:pt idx="1">
                  <c:v>5.99</c:v>
                </c:pt>
                <c:pt idx="2">
                  <c:v>2.31</c:v>
                </c:pt>
                <c:pt idx="3" c:formatCode="0.00_ ">
                  <c:v>3.38</c:v>
                </c:pt>
              </c:numCache>
            </c:numRef>
          </c:val>
        </c:ser>
        <c:dLbls>
          <c:showLegendKey val="0"/>
          <c:showVal val="0"/>
          <c:showCatName val="1"/>
          <c:showSerName val="0"/>
          <c:showPercent val="0"/>
          <c:showBubbleSize val="0"/>
        </c:dLbls>
      </c:pie3DChart>
    </c:plotArea>
    <c:plotVisOnly val="1"/>
    <c:dispBlanksAs val="gap"/>
    <c:showDLblsOverMax val="0"/>
    <c:extLst>
      <c:ext uri="{0b15fc19-7d7d-44ad-8c2d-2c3a37ce22c3}">
        <chartProps xmlns="https://web.wps.cn/et/2018/main" chartId="{a32bb083-673e-4aba-a1ed-6641138179e6}"/>
      </c:ext>
    </c:extLst>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solidFill>
                <a:latin typeface="+mn-lt"/>
                <a:ea typeface="+mn-ea"/>
                <a:cs typeface="+mn-cs"/>
              </a:defRPr>
            </a:pPr>
            <a:r>
              <a:t>图七.202</a:t>
            </a:r>
            <a:r>
              <a:rPr lang="en-US" altLang="zh-CN"/>
              <a:t>5</a:t>
            </a:r>
            <a:r>
              <a:t>年“三公”经费财政拨款支出结构图</a:t>
            </a:r>
          </a:p>
        </c:rich>
      </c:tx>
      <c:layout/>
      <c:overlay val="0"/>
    </c:title>
    <c:autoTitleDeleted val="0"/>
    <c:view3D>
      <c:rotX val="30"/>
      <c:rotY val="0"/>
      <c:depthPercent val="100"/>
      <c:rAngAx val="0"/>
      <c:perspective val="30"/>
    </c:view3D>
    <c:floor>
      <c:thickness val="0"/>
    </c:floor>
    <c:sideWall>
      <c:thickness val="0"/>
    </c:sideWall>
    <c:backWall>
      <c:thickness val="0"/>
    </c:backWall>
    <c:plotArea>
      <c:layout/>
      <c:pie3DChart>
        <c:varyColors val="1"/>
        <c:ser>
          <c:idx val="0"/>
          <c:order val="0"/>
          <c:tx>
            <c:strRef>
              <c:f>[饼状图生产力.xlsx]Sheet1!$C$120</c:f>
              <c:strCache>
                <c:ptCount val="1"/>
                <c:pt idx="0">
                  <c:v>图七.2023年“三公”经费财政拨款支出结构图</c:v>
                </c:pt>
              </c:strCache>
            </c:strRef>
          </c:tx>
          <c:explosion val="25"/>
          <c:dPt>
            <c:idx val="0"/>
            <c:bubble3D val="0"/>
          </c:dPt>
          <c:dPt>
            <c:idx val="1"/>
            <c:bubble3D val="0"/>
          </c:dPt>
          <c:dPt>
            <c:idx val="2"/>
            <c:bubble3D val="0"/>
          </c:dPt>
          <c:dLbls>
            <c:dLbl>
              <c:idx val="1"/>
              <c:layout>
                <c:manualLayout>
                  <c:x val="-0.322799097065463"/>
                  <c:y val="0.16304347826087"/>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dLbl>
              <c:idx val="2"/>
              <c:layout>
                <c:manualLayout>
                  <c:x val="0.334866469489822"/>
                  <c:y val="-0.430242911425741"/>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公务接待费支出占</a:t>
                    </a:r>
                    <a:r>
                      <a:rPr lang="en-US" altLang="zh-CN"/>
                      <a:t>0</a:t>
                    </a:r>
                    <a:r>
                      <a:t>%</a:t>
                    </a:r>
                  </a:p>
                </c:rich>
              </c:tx>
              <c:dLblPos val="bestFit"/>
              <c:showLegendKey val="0"/>
              <c:showVal val="0"/>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[饼状图生产力.xlsx]Sheet1!$B$121:$B$123</c:f>
              <c:strCache>
                <c:ptCount val="3"/>
                <c:pt idx="1">
                  <c:v>公务用车购置及运行维护费支出占0%</c:v>
                </c:pt>
                <c:pt idx="2">
                  <c:v>公务接待费支出占100%</c:v>
                </c:pt>
              </c:strCache>
            </c:strRef>
          </c:cat>
          <c:val>
            <c:numRef>
              <c:f>[饼状图生产力.xlsx]Sheet1!$C$121:$C$123</c:f>
              <c:numCache>
                <c:formatCode>General</c:formatCode>
                <c:ptCount val="3"/>
                <c:pt idx="1">
                  <c:v>0</c:v>
                </c:pt>
                <c:pt idx="2">
                  <c:v>0.03</c:v>
                </c:pt>
              </c:numCache>
            </c:numRef>
          </c:val>
        </c:ser>
        <c:dLbls>
          <c:showLegendKey val="0"/>
          <c:showVal val="0"/>
          <c:showCatName val="1"/>
          <c:showSerName val="0"/>
          <c:showPercent val="0"/>
          <c:showBubbleSize val="0"/>
        </c:dLbls>
      </c:pie3DChart>
    </c:plotArea>
    <c:plotVisOnly val="1"/>
    <c:dispBlanksAs val="gap"/>
    <c:showDLblsOverMax val="0"/>
    <c:extLst>
      <c:ext uri="{0b15fc19-7d7d-44ad-8c2d-2c3a37ce22c3}">
        <chartProps xmlns="https://web.wps.cn/et/2018/main" chartId="{5f6eece1-1fac-4388-8a4c-cbaf2d2998be}"/>
      </c:ext>
    </c:extLst>
  </c:chart>
  <c:txPr>
    <a:bodyPr/>
    <a:lstStyle/>
    <a:p>
      <a:pPr>
        <a:defRPr lang="zh-CN"/>
      </a:pPr>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0.38958</cdr:x>
      <cdr:y>0.18697</cdr:y>
    </cdr:from>
    <cdr:to>
      <cdr:x>0.58333</cdr:x>
      <cdr:y>0.29178</cdr:y>
    </cdr:to>
    <cdr:sp>
      <cdr:nvSpPr>
        <cdr:cNvPr id="2" name="矩形 1"/>
        <cdr:cNvSpPr/>
      </cdr:nvSpPr>
      <cdr:spPr xmlns:a="http://schemas.openxmlformats.org/drawingml/2006/main">
        <a:xfrm xmlns:a="http://schemas.openxmlformats.org/drawingml/2006/main">
          <a:off x="1781175" y="628651"/>
          <a:ext cx="885825" cy="352425"/>
        </a:xfrm>
        <a:prstGeom xmlns:a="http://schemas.openxmlformats.org/drawingml/2006/main" prst="rect">
          <a:avLst/>
        </a:prstGeom>
      </cdr:spPr>
      <cdr:txBody xmlns:a="http://schemas.openxmlformats.org/drawingml/2006/main">
        <a:bodyPr vertOverflow="clip" vert="horz" wrap="none" lIns="45720" tIns="45720" rIns="45720" bIns="45720" rtlCol="0" anchor="t" anchorCtr="0">
          <a:normAutofit/>
        </a:bodyPr>
        <a:lstStyle/>
        <a:p>
          <a:endParaRPr lang="zh-CN" altLang="en-US" sz="1100"/>
        </a:p>
      </cdr:txBody>
    </cdr:sp>
  </cdr:relSizeAnchor>
  <cdr:relSizeAnchor xmlns:cdr="http://schemas.openxmlformats.org/drawingml/2006/chartDrawing">
    <cdr:from>
      <cdr:x>0.23542</cdr:x>
      <cdr:y>0.38527</cdr:y>
    </cdr:from>
    <cdr:to>
      <cdr:x>0.47292</cdr:x>
      <cdr:y>0.45892</cdr:y>
    </cdr:to>
    <cdr:sp>
      <cdr:nvSpPr>
        <cdr:cNvPr id="3" name="矩形 2"/>
        <cdr:cNvSpPr/>
      </cdr:nvSpPr>
      <cdr:spPr xmlns:a="http://schemas.openxmlformats.org/drawingml/2006/main">
        <a:xfrm xmlns:a="http://schemas.openxmlformats.org/drawingml/2006/main">
          <a:off x="1076325" y="1295401"/>
          <a:ext cx="1085850" cy="247650"/>
        </a:xfrm>
        <a:prstGeom xmlns:a="http://schemas.openxmlformats.org/drawingml/2006/main" prst="rect">
          <a:avLst/>
        </a:prstGeom>
        <a:noFill/>
      </cdr:spPr>
      <cdr:txBody xmlns:a="http://schemas.openxmlformats.org/drawingml/2006/main">
        <a:bodyPr vert="horz" wrap="square" lIns="91440" tIns="45720" rIns="91440" bIns="45720" anchor="t" anchorCtr="0">
          <a:noAutofit/>
        </a:bodyPr>
        <a:lstStyle/>
        <a:p>
          <a:pPr algn="ctr"/>
          <a:endParaRPr lang="zh-CN" altLang="en-US" sz="1100" b="1" cap="none" spc="300">
            <a:ln w="11430" cmpd="sng">
              <a:solidFill>
                <a:schemeClr val="accent1">
                  <a:tint val="10000"/>
                </a:schemeClr>
              </a:solidFill>
              <a:prstDash val="solid"/>
              <a:miter lim="800000"/>
            </a:ln>
            <a:gradFill>
              <a:gsLst>
                <a:gs pos="10000">
                  <a:schemeClr val="accent1">
                    <a:tint val="83000"/>
                    <a:shade val="100000"/>
                    <a:satMod val="200000"/>
                  </a:schemeClr>
                </a:gs>
                <a:gs pos="75000">
                  <a:schemeClr val="accent1">
                    <a:tint val="100000"/>
                    <a:shade val="50000"/>
                    <a:satMod val="150000"/>
                  </a:schemeClr>
                </a:gs>
              </a:gsLst>
              <a:lin ang="5400000"/>
            </a:gradFill>
            <a:effectLst>
              <a:glow rad="45500">
                <a:schemeClr val="accent1">
                  <a:satMod val="220000"/>
                  <a:alpha val="35000"/>
                </a:schemeClr>
              </a:glow>
            </a:effectLst>
          </a:endParaRPr>
        </a:p>
      </cdr:txBody>
    </cdr:sp>
  </cdr:relSizeAnchor>
  <cdr:relSizeAnchor xmlns:cdr="http://schemas.openxmlformats.org/drawingml/2006/chartDrawing">
    <cdr:from>
      <cdr:x>0.8</cdr:x>
      <cdr:y>0.37394</cdr:y>
    </cdr:from>
    <cdr:to>
      <cdr:x>1</cdr:x>
      <cdr:y>0.64589</cdr:y>
    </cdr:to>
    <cdr:sp>
      <cdr:nvSpPr>
        <cdr:cNvPr id="4" name="矩形 3"/>
        <cdr:cNvSpPr/>
      </cdr:nvSpPr>
      <cdr:spPr xmlns:a="http://schemas.openxmlformats.org/drawingml/2006/main">
        <a:xfrm xmlns:a="http://schemas.openxmlformats.org/drawingml/2006/main">
          <a:off x="4010025" y="1257301"/>
          <a:ext cx="914400" cy="914400"/>
        </a:xfrm>
        <a:prstGeom xmlns:a="http://schemas.openxmlformats.org/drawingml/2006/main" prst="rect">
          <a:avLst/>
        </a:prstGeom>
      </cdr:spPr>
      <cdr:txBody xmlns:a="http://schemas.openxmlformats.org/drawingml/2006/main">
        <a:bodyPr vertOverflow="clip" vert="horz" wrap="none" lIns="45720" tIns="45720" rIns="45720" bIns="45720" rtlCol="0" anchor="t" anchorCtr="0">
          <a:normAutofit/>
        </a:bodyPr>
        <a:lstStyle/>
        <a:p>
          <a:endParaRPr lang="zh-CN" altLang="en-US" sz="1100"/>
        </a:p>
      </cdr:txBody>
    </cdr:sp>
  </cdr:relSizeAnchor>
</c:userShape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6884</Words>
  <Characters>7303</Characters>
  <Lines>0</Lines>
  <Paragraphs>0</Paragraphs>
  <TotalTime>0</TotalTime>
  <ScaleCrop>false</ScaleCrop>
  <LinksUpToDate>false</LinksUpToDate>
  <CharactersWithSpaces>7429</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2023-09-12T17:48:00Z</dcterms:created>
  <dc:creator>Administrator</dc:creator>
  <cp:lastModifiedBy>kylin</cp:lastModifiedBy>
  <cp:lastPrinted>2026-09-02T11:10:00Z</cp:lastPrinted>
  <dcterms:modified xsi:type="dcterms:W3CDTF">2026-09-03T11:02:19Z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8945ADD90758AF82D4438E6AB44C8A8C_43</vt:lpwstr>
  </property>
  <property fmtid="{D5CDD505-2E9C-101B-9397-08002B2CF9AE}" pid="4" name="KSOTemplateDocerSaveRecord">
    <vt:lpwstr>eyJoZGlkIjoiZjRmYzVhMTg2MDdjYTY1YTYzNDNlM2I0M2ZkYWYyNGYiLCJ1c2VySWQiOiI0MTY4Mzk0ODcifQ==</vt:lpwstr>
  </property>
</Properties>
</file>