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F8A24B">
      <w:pPr>
        <w:pageBreakBefore w:val="0"/>
        <w:widowControl w:val="0"/>
        <w:kinsoku/>
        <w:wordWrap/>
        <w:overflowPunct/>
        <w:topLinePunct w:val="0"/>
        <w:bidi w:val="0"/>
        <w:spacing w:line="576" w:lineRule="exact"/>
        <w:jc w:val="center"/>
        <w:textAlignment w:val="auto"/>
        <w:rPr>
          <w:rFonts w:hint="eastAsia" w:ascii="方正小标宋简体" w:eastAsia="方正小标宋简体" w:cs="方正小标宋简体"/>
          <w:sz w:val="48"/>
          <w:szCs w:val="48"/>
        </w:rPr>
      </w:pPr>
    </w:p>
    <w:p w14:paraId="487CFFF2">
      <w:pPr>
        <w:pageBreakBefore w:val="0"/>
        <w:widowControl w:val="0"/>
        <w:kinsoku/>
        <w:wordWrap/>
        <w:overflowPunct/>
        <w:topLinePunct w:val="0"/>
        <w:bidi w:val="0"/>
        <w:spacing w:line="576" w:lineRule="exact"/>
        <w:jc w:val="center"/>
        <w:textAlignment w:val="auto"/>
        <w:rPr>
          <w:rFonts w:hint="eastAsia" w:ascii="方正小标宋简体" w:eastAsia="方正小标宋简体" w:cs="方正小标宋简体"/>
          <w:sz w:val="48"/>
          <w:szCs w:val="48"/>
        </w:rPr>
      </w:pPr>
    </w:p>
    <w:p w14:paraId="435B34DD">
      <w:pPr>
        <w:pStyle w:val="2"/>
        <w:rPr>
          <w:rFonts w:hint="eastAsia" w:ascii="方正小标宋简体" w:eastAsia="方正小标宋简体" w:cs="方正小标宋简体"/>
          <w:sz w:val="48"/>
          <w:szCs w:val="48"/>
        </w:rPr>
      </w:pPr>
    </w:p>
    <w:p w14:paraId="3AFCC07F">
      <w:pPr>
        <w:pStyle w:val="3"/>
        <w:ind w:left="0" w:leftChars="0" w:firstLine="0" w:firstLineChars="0"/>
        <w:rPr>
          <w:rFonts w:hint="eastAsia" w:ascii="方正小标宋简体" w:eastAsia="方正小标宋简体" w:cs="方正小标宋简体"/>
          <w:sz w:val="48"/>
          <w:szCs w:val="48"/>
        </w:rPr>
      </w:pPr>
    </w:p>
    <w:p w14:paraId="75BCBA17">
      <w:pPr>
        <w:pageBreakBefore w:val="0"/>
        <w:widowControl w:val="0"/>
        <w:kinsoku/>
        <w:wordWrap/>
        <w:overflowPunct/>
        <w:topLinePunct w:val="0"/>
        <w:bidi w:val="0"/>
        <w:spacing w:line="576" w:lineRule="exact"/>
        <w:jc w:val="center"/>
        <w:textAlignment w:val="auto"/>
        <w:rPr>
          <w:rFonts w:hint="eastAsia" w:ascii="方正小标宋简体" w:eastAsia="方正小标宋简体" w:cs="方正小标宋简体"/>
          <w:sz w:val="48"/>
          <w:szCs w:val="48"/>
        </w:rPr>
      </w:pPr>
    </w:p>
    <w:p w14:paraId="66BBDCF0">
      <w:pPr>
        <w:pageBreakBefore w:val="0"/>
        <w:widowControl w:val="0"/>
        <w:kinsoku/>
        <w:wordWrap/>
        <w:overflowPunct/>
        <w:topLinePunct w:val="0"/>
        <w:bidi w:val="0"/>
        <w:spacing w:line="576" w:lineRule="exact"/>
        <w:jc w:val="center"/>
        <w:textAlignment w:val="auto"/>
        <w:outlineLvl w:val="9"/>
        <w:rPr>
          <w:rFonts w:hint="eastAsia" w:ascii="方正小标宋简体" w:eastAsia="方正小标宋简体" w:cs="方正小标宋简体"/>
          <w:sz w:val="48"/>
          <w:szCs w:val="48"/>
        </w:rPr>
      </w:pPr>
      <w:r>
        <w:rPr>
          <w:rFonts w:hint="eastAsia" w:ascii="方正小标宋简体" w:eastAsia="方正小标宋简体" w:cs="方正小标宋简体"/>
          <w:sz w:val="48"/>
          <w:szCs w:val="48"/>
          <w:lang w:eastAsia="zh-CN"/>
        </w:rPr>
        <w:t>2025</w:t>
      </w:r>
      <w:r>
        <w:rPr>
          <w:rFonts w:hint="eastAsia" w:ascii="方正小标宋简体" w:eastAsia="方正小标宋简体" w:cs="方正小标宋简体"/>
          <w:sz w:val="48"/>
          <w:szCs w:val="48"/>
        </w:rPr>
        <w:t>年度四川省阿坝州</w:t>
      </w:r>
    </w:p>
    <w:p w14:paraId="490B9819">
      <w:pPr>
        <w:pStyle w:val="2"/>
        <w:rPr>
          <w:rFonts w:hint="eastAsia"/>
        </w:rPr>
      </w:pPr>
    </w:p>
    <w:p w14:paraId="4774003F">
      <w:pPr>
        <w:pageBreakBefore w:val="0"/>
        <w:widowControl w:val="0"/>
        <w:kinsoku/>
        <w:wordWrap/>
        <w:overflowPunct/>
        <w:topLinePunct w:val="0"/>
        <w:bidi w:val="0"/>
        <w:spacing w:line="576" w:lineRule="exact"/>
        <w:jc w:val="center"/>
        <w:textAlignment w:val="auto"/>
        <w:outlineLvl w:val="9"/>
        <w:rPr>
          <w:rFonts w:hint="eastAsia" w:ascii="方正小标宋简体" w:eastAsia="方正小标宋简体" w:cs="方正小标宋简体"/>
          <w:sz w:val="48"/>
          <w:szCs w:val="48"/>
        </w:rPr>
      </w:pPr>
      <w:r>
        <w:rPr>
          <w:rFonts w:hint="eastAsia" w:ascii="方正小标宋简体" w:eastAsia="方正小标宋简体" w:cs="方正小标宋简体"/>
          <w:sz w:val="48"/>
          <w:szCs w:val="48"/>
        </w:rPr>
        <w:t>茂县科学技术和农业畜牧局</w:t>
      </w:r>
    </w:p>
    <w:p w14:paraId="22E153C1">
      <w:pPr>
        <w:pStyle w:val="2"/>
        <w:rPr>
          <w:rFonts w:hint="eastAsia"/>
        </w:rPr>
      </w:pPr>
    </w:p>
    <w:p w14:paraId="1D68D0AA">
      <w:pPr>
        <w:pageBreakBefore w:val="0"/>
        <w:widowControl w:val="0"/>
        <w:kinsoku/>
        <w:wordWrap/>
        <w:overflowPunct/>
        <w:topLinePunct w:val="0"/>
        <w:bidi w:val="0"/>
        <w:spacing w:line="576" w:lineRule="exact"/>
        <w:jc w:val="center"/>
        <w:textAlignment w:val="auto"/>
        <w:outlineLvl w:val="9"/>
        <w:rPr>
          <w:rFonts w:hint="eastAsia" w:ascii="方正小标宋简体" w:eastAsia="方正小标宋简体" w:cs="方正小标宋简体"/>
          <w:sz w:val="48"/>
          <w:szCs w:val="48"/>
          <w:lang w:val="en-US" w:eastAsia="zh-CN"/>
        </w:rPr>
      </w:pPr>
      <w:r>
        <w:rPr>
          <w:rFonts w:hint="eastAsia" w:ascii="方正小标宋简体" w:eastAsia="方正小标宋简体" w:cs="方正小标宋简体"/>
          <w:sz w:val="48"/>
          <w:szCs w:val="48"/>
        </w:rPr>
        <w:t>部门决算</w:t>
      </w:r>
      <w:r>
        <w:rPr>
          <w:rFonts w:hint="eastAsia" w:ascii="方正小标宋简体" w:eastAsia="方正小标宋简体" w:cs="方正小标宋简体"/>
          <w:sz w:val="48"/>
          <w:szCs w:val="48"/>
          <w:lang w:val="en-US" w:eastAsia="zh-CN"/>
        </w:rPr>
        <w:t>公开</w:t>
      </w:r>
    </w:p>
    <w:p w14:paraId="70ED60D0">
      <w:pPr>
        <w:pStyle w:val="3"/>
        <w:rPr>
          <w:rFonts w:hint="eastAsia"/>
        </w:rPr>
      </w:pPr>
    </w:p>
    <w:p w14:paraId="1F5E1DF1">
      <w:pPr>
        <w:pStyle w:val="3"/>
        <w:rPr>
          <w:rFonts w:hint="eastAsia" w:eastAsia="宋体" w:cs="Times New Roman"/>
        </w:rPr>
      </w:pPr>
      <w:r>
        <w:rPr>
          <w:rFonts w:hint="eastAsia" w:eastAsia="宋体" w:cs="Times New Roman"/>
        </w:rPr>
        <w:t> </w:t>
      </w:r>
    </w:p>
    <w:p w14:paraId="3F35763D">
      <w:pPr>
        <w:pageBreakBefore w:val="0"/>
        <w:widowControl w:val="0"/>
        <w:kinsoku/>
        <w:wordWrap/>
        <w:overflowPunct/>
        <w:topLinePunct w:val="0"/>
        <w:bidi w:val="0"/>
        <w:spacing w:line="576" w:lineRule="exact"/>
        <w:jc w:val="center"/>
        <w:textAlignment w:val="auto"/>
        <w:rPr>
          <w:rFonts w:ascii="黑体" w:eastAsia="黑体" w:cs="Times New Roman"/>
          <w:sz w:val="72"/>
          <w:szCs w:val="72"/>
        </w:rPr>
      </w:pPr>
      <w:r>
        <w:rPr>
          <w:rFonts w:ascii="黑体" w:eastAsia="黑体" w:cs="Times New Roman"/>
          <w:sz w:val="72"/>
          <w:szCs w:val="72"/>
        </w:rPr>
        <w:t> </w:t>
      </w:r>
    </w:p>
    <w:p w14:paraId="20B95EAE">
      <w:pPr>
        <w:pageBreakBefore w:val="0"/>
        <w:widowControl w:val="0"/>
        <w:kinsoku/>
        <w:wordWrap/>
        <w:overflowPunct/>
        <w:topLinePunct w:val="0"/>
        <w:bidi w:val="0"/>
        <w:spacing w:line="576" w:lineRule="exact"/>
        <w:jc w:val="center"/>
        <w:textAlignment w:val="auto"/>
        <w:rPr>
          <w:rFonts w:ascii="黑体" w:eastAsia="黑体" w:cs="Times New Roman"/>
          <w:sz w:val="72"/>
          <w:szCs w:val="72"/>
        </w:rPr>
      </w:pPr>
      <w:r>
        <w:rPr>
          <w:rFonts w:ascii="黑体" w:eastAsia="黑体" w:cs="Times New Roman"/>
          <w:sz w:val="72"/>
          <w:szCs w:val="72"/>
        </w:rPr>
        <w:t> </w:t>
      </w:r>
    </w:p>
    <w:p w14:paraId="2E887264">
      <w:pPr>
        <w:pageBreakBefore w:val="0"/>
        <w:widowControl w:val="0"/>
        <w:kinsoku/>
        <w:wordWrap/>
        <w:overflowPunct/>
        <w:topLinePunct w:val="0"/>
        <w:bidi w:val="0"/>
        <w:spacing w:line="576" w:lineRule="exact"/>
        <w:jc w:val="center"/>
        <w:textAlignment w:val="auto"/>
        <w:rPr>
          <w:rFonts w:ascii="黑体" w:eastAsia="黑体" w:cs="Times New Roman"/>
          <w:sz w:val="72"/>
          <w:szCs w:val="72"/>
        </w:rPr>
      </w:pPr>
      <w:r>
        <w:rPr>
          <w:rFonts w:ascii="黑体" w:eastAsia="黑体" w:cs="Times New Roman"/>
          <w:sz w:val="72"/>
          <w:szCs w:val="72"/>
        </w:rPr>
        <w:t> </w:t>
      </w:r>
    </w:p>
    <w:p w14:paraId="25BCBE97">
      <w:pPr>
        <w:pageBreakBefore w:val="0"/>
        <w:widowControl w:val="0"/>
        <w:kinsoku/>
        <w:wordWrap/>
        <w:overflowPunct/>
        <w:topLinePunct w:val="0"/>
        <w:bidi w:val="0"/>
        <w:spacing w:line="576" w:lineRule="exact"/>
        <w:jc w:val="center"/>
        <w:textAlignment w:val="auto"/>
        <w:rPr>
          <w:rFonts w:ascii="黑体" w:eastAsia="黑体" w:cs="Times New Roman"/>
          <w:sz w:val="72"/>
          <w:szCs w:val="72"/>
        </w:rPr>
      </w:pPr>
      <w:r>
        <w:rPr>
          <w:rFonts w:ascii="黑体" w:eastAsia="黑体" w:cs="Times New Roman"/>
          <w:sz w:val="72"/>
          <w:szCs w:val="72"/>
        </w:rPr>
        <w:t> </w:t>
      </w:r>
    </w:p>
    <w:p w14:paraId="5205E76D">
      <w:pPr>
        <w:pageBreakBefore w:val="0"/>
        <w:widowControl w:val="0"/>
        <w:kinsoku/>
        <w:wordWrap/>
        <w:overflowPunct/>
        <w:topLinePunct w:val="0"/>
        <w:bidi w:val="0"/>
        <w:spacing w:line="576" w:lineRule="exact"/>
        <w:jc w:val="center"/>
        <w:textAlignment w:val="auto"/>
        <w:rPr>
          <w:rFonts w:ascii="黑体" w:eastAsia="黑体" w:cs="Times New Roman"/>
          <w:sz w:val="72"/>
          <w:szCs w:val="72"/>
        </w:rPr>
      </w:pPr>
      <w:r>
        <w:rPr>
          <w:rFonts w:ascii="黑体" w:eastAsia="黑体" w:cs="Times New Roman"/>
          <w:sz w:val="72"/>
          <w:szCs w:val="72"/>
        </w:rPr>
        <w:t> </w:t>
      </w:r>
    </w:p>
    <w:p w14:paraId="4ECF49F6">
      <w:pPr>
        <w:pageBreakBefore w:val="0"/>
        <w:widowControl w:val="0"/>
        <w:kinsoku/>
        <w:wordWrap/>
        <w:overflowPunct/>
        <w:topLinePunct w:val="0"/>
        <w:bidi w:val="0"/>
        <w:spacing w:line="576" w:lineRule="exact"/>
        <w:jc w:val="center"/>
        <w:textAlignment w:val="auto"/>
        <w:rPr>
          <w:rFonts w:ascii="黑体" w:eastAsia="黑体" w:cs="Times New Roman"/>
          <w:sz w:val="72"/>
          <w:szCs w:val="72"/>
        </w:rPr>
      </w:pPr>
      <w:r>
        <w:rPr>
          <w:rFonts w:ascii="黑体" w:eastAsia="黑体" w:cs="Times New Roman"/>
          <w:sz w:val="72"/>
          <w:szCs w:val="72"/>
        </w:rPr>
        <w:t> </w:t>
      </w:r>
    </w:p>
    <w:p w14:paraId="3281E0C3">
      <w:pPr>
        <w:pStyle w:val="16"/>
        <w:keepNext w:val="0"/>
        <w:keepLines w:val="0"/>
        <w:pageBreakBefore w:val="0"/>
        <w:widowControl/>
        <w:suppressLineNumbers w:val="0"/>
        <w:kinsoku/>
        <w:wordWrap/>
        <w:overflowPunct/>
        <w:topLinePunct w:val="0"/>
        <w:bidi w:val="0"/>
        <w:spacing w:line="576" w:lineRule="exact"/>
        <w:textAlignment w:val="auto"/>
      </w:pPr>
      <w:r>
        <w:t> </w:t>
      </w:r>
    </w:p>
    <w:p w14:paraId="1B5844C4">
      <w:pPr>
        <w:pStyle w:val="16"/>
        <w:keepNext w:val="0"/>
        <w:keepLines w:val="0"/>
        <w:pageBreakBefore w:val="0"/>
        <w:widowControl/>
        <w:suppressLineNumbers w:val="0"/>
        <w:kinsoku/>
        <w:wordWrap/>
        <w:overflowPunct/>
        <w:topLinePunct w:val="0"/>
        <w:bidi w:val="0"/>
        <w:spacing w:line="576" w:lineRule="exact"/>
        <w:textAlignment w:val="auto"/>
      </w:pPr>
      <w:r>
        <w:t> </w:t>
      </w:r>
    </w:p>
    <w:p w14:paraId="682D4AC7">
      <w:pPr>
        <w:pStyle w:val="16"/>
        <w:keepNext w:val="0"/>
        <w:keepLines w:val="0"/>
        <w:pageBreakBefore w:val="0"/>
        <w:widowControl/>
        <w:suppressLineNumbers w:val="0"/>
        <w:kinsoku/>
        <w:wordWrap/>
        <w:overflowPunct/>
        <w:topLinePunct w:val="0"/>
        <w:bidi w:val="0"/>
        <w:spacing w:line="576" w:lineRule="exact"/>
        <w:textAlignment w:val="auto"/>
        <w:rPr>
          <w:rFonts w:hint="eastAsia" w:ascii="黑体" w:eastAsia="黑体" w:cs="Times New Roman"/>
          <w:color w:val="000000"/>
          <w:sz w:val="48"/>
          <w:szCs w:val="48"/>
        </w:rPr>
      </w:pPr>
    </w:p>
    <w:p w14:paraId="6E02DBB4">
      <w:pPr>
        <w:pStyle w:val="16"/>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黑体" w:hAnsi="黑体" w:eastAsia="黑体" w:cs="黑体"/>
          <w:b/>
          <w:bCs/>
          <w:color w:val="000000"/>
          <w:sz w:val="24"/>
          <w:szCs w:val="24"/>
          <w:lang w:val="en-US" w:eastAsia="zh-CN"/>
        </w:rPr>
        <w:sectPr>
          <w:pgSz w:w="11906" w:h="16838"/>
          <w:pgMar w:top="1440" w:right="1800" w:bottom="1440" w:left="1800" w:header="851" w:footer="992" w:gutter="0"/>
          <w:pgNumType w:fmt="decimal"/>
          <w:cols w:space="720" w:num="1"/>
          <w:docGrid w:type="lines" w:linePitch="312" w:charSpace="0"/>
        </w:sectPr>
      </w:pPr>
    </w:p>
    <w:p w14:paraId="134F32CA">
      <w:pPr>
        <w:pStyle w:val="14"/>
        <w:tabs>
          <w:tab w:val="right" w:leader="dot" w:pos="8306"/>
        </w:tabs>
        <w:jc w:val="center"/>
        <w:rPr>
          <w:rFonts w:hint="eastAsia" w:ascii="黑体" w:hAnsi="黑体" w:eastAsia="黑体" w:cs="黑体"/>
          <w:b/>
          <w:bCs/>
          <w:color w:val="000000"/>
          <w:sz w:val="40"/>
          <w:szCs w:val="40"/>
          <w:lang w:val="en-US" w:eastAsia="zh-CN"/>
        </w:rPr>
      </w:pPr>
      <w:r>
        <w:rPr>
          <w:rFonts w:hint="eastAsia" w:ascii="黑体" w:hAnsi="黑体" w:eastAsia="黑体" w:cs="黑体"/>
          <w:b/>
          <w:bCs/>
          <w:color w:val="000000"/>
          <w:sz w:val="40"/>
          <w:szCs w:val="40"/>
          <w:lang w:val="en-US" w:eastAsia="zh-CN"/>
        </w:rPr>
        <w:t>目录</w:t>
      </w:r>
    </w:p>
    <w:p w14:paraId="39D36957">
      <w:pPr>
        <w:pStyle w:val="16"/>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黑体" w:hAnsi="黑体" w:eastAsia="黑体" w:cs="黑体"/>
          <w:b/>
          <w:bCs/>
          <w:color w:val="000000"/>
          <w:sz w:val="24"/>
          <w:szCs w:val="24"/>
          <w:lang w:val="en-US" w:eastAsia="zh-CN"/>
        </w:rPr>
      </w:pPr>
      <w:r>
        <w:rPr>
          <w:rFonts w:hint="eastAsia" w:ascii="黑体" w:hAnsi="黑体" w:eastAsia="黑体" w:cs="黑体"/>
          <w:b/>
          <w:bCs/>
          <w:sz w:val="24"/>
          <w:szCs w:val="24"/>
        </w:rPr>
        <w:t>公开时间</w:t>
      </w:r>
      <w:r>
        <w:rPr>
          <w:rFonts w:hint="eastAsia" w:ascii="黑体" w:hAnsi="黑体" w:eastAsia="黑体" w:cs="黑体"/>
          <w:b/>
          <w:bCs/>
          <w:sz w:val="24"/>
          <w:szCs w:val="24"/>
          <w:highlight w:val="none"/>
        </w:rPr>
        <w:t>：202</w:t>
      </w:r>
      <w:r>
        <w:rPr>
          <w:rFonts w:hint="eastAsia" w:ascii="黑体" w:hAnsi="黑体" w:eastAsia="黑体" w:cs="黑体"/>
          <w:b/>
          <w:bCs/>
          <w:sz w:val="24"/>
          <w:szCs w:val="24"/>
          <w:highlight w:val="none"/>
          <w:lang w:val="en-US" w:eastAsia="zh-CN"/>
        </w:rPr>
        <w:t>6</w:t>
      </w:r>
      <w:r>
        <w:rPr>
          <w:rFonts w:hint="eastAsia" w:ascii="黑体" w:hAnsi="黑体" w:eastAsia="黑体" w:cs="黑体"/>
          <w:b/>
          <w:bCs/>
          <w:sz w:val="24"/>
          <w:szCs w:val="24"/>
          <w:highlight w:val="none"/>
        </w:rPr>
        <w:t>年</w:t>
      </w:r>
      <w:r>
        <w:rPr>
          <w:rFonts w:hint="eastAsia" w:ascii="黑体" w:hAnsi="黑体" w:eastAsia="黑体" w:cs="黑体"/>
          <w:b/>
          <w:bCs/>
          <w:sz w:val="24"/>
          <w:szCs w:val="24"/>
          <w:highlight w:val="none"/>
          <w:lang w:val="en-US" w:eastAsia="zh-CN"/>
        </w:rPr>
        <w:t>9</w:t>
      </w:r>
      <w:r>
        <w:rPr>
          <w:rFonts w:hint="eastAsia" w:ascii="黑体" w:hAnsi="黑体" w:eastAsia="黑体" w:cs="黑体"/>
          <w:b/>
          <w:bCs/>
          <w:sz w:val="24"/>
          <w:szCs w:val="24"/>
          <w:highlight w:val="none"/>
        </w:rPr>
        <w:t>月</w:t>
      </w:r>
      <w:r>
        <w:rPr>
          <w:rFonts w:hint="eastAsia" w:ascii="黑体" w:hAnsi="黑体" w:eastAsia="黑体" w:cs="黑体"/>
          <w:b/>
          <w:bCs/>
          <w:sz w:val="24"/>
          <w:szCs w:val="24"/>
          <w:highlight w:val="none"/>
          <w:lang w:val="en-US" w:eastAsia="zh-CN"/>
        </w:rPr>
        <w:t>4</w:t>
      </w:r>
      <w:r>
        <w:rPr>
          <w:rFonts w:hint="eastAsia" w:ascii="黑体" w:hAnsi="黑体" w:eastAsia="黑体" w:cs="黑体"/>
          <w:b/>
          <w:bCs/>
          <w:sz w:val="24"/>
          <w:szCs w:val="24"/>
          <w:highlight w:val="none"/>
        </w:rPr>
        <w:t>日</w:t>
      </w:r>
    </w:p>
    <w:p w14:paraId="39024A4E">
      <w:pPr>
        <w:pStyle w:val="12"/>
        <w:tabs>
          <w:tab w:val="right" w:leader="dot" w:pos="8306"/>
        </w:tabs>
      </w:pPr>
      <w:r>
        <w:rPr>
          <w:rFonts w:hint="eastAsia" w:ascii="黑体" w:hAnsi="黑体" w:eastAsia="黑体" w:cs="黑体"/>
          <w:b w:val="0"/>
          <w:bCs w:val="0"/>
          <w:sz w:val="21"/>
          <w:szCs w:val="21"/>
        </w:rPr>
        <w:fldChar w:fldCharType="begin"/>
      </w:r>
      <w:r>
        <w:rPr>
          <w:rFonts w:hint="eastAsia" w:ascii="黑体" w:hAnsi="黑体" w:eastAsia="黑体" w:cs="黑体"/>
          <w:b w:val="0"/>
          <w:bCs w:val="0"/>
          <w:sz w:val="21"/>
          <w:szCs w:val="21"/>
        </w:rPr>
        <w:instrText xml:space="preserve">TOC \o "1-2" \h \u </w:instrText>
      </w:r>
      <w:r>
        <w:rPr>
          <w:rFonts w:hint="eastAsia" w:ascii="黑体" w:hAnsi="黑体" w:eastAsia="黑体" w:cs="黑体"/>
          <w:b w:val="0"/>
          <w:bCs w:val="0"/>
          <w:sz w:val="21"/>
          <w:szCs w:val="21"/>
        </w:rPr>
        <w:fldChar w:fldCharType="separate"/>
      </w: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_Toc597375544 </w:instrText>
      </w:r>
      <w:r>
        <w:rPr>
          <w:rFonts w:hint="eastAsia" w:ascii="黑体" w:hAnsi="黑体" w:eastAsia="黑体" w:cs="黑体"/>
          <w:bCs w:val="0"/>
          <w:szCs w:val="21"/>
        </w:rPr>
        <w:fldChar w:fldCharType="separate"/>
      </w:r>
      <w:r>
        <w:rPr>
          <w:rFonts w:hint="eastAsia" w:ascii="黑体" w:eastAsia="黑体" w:cs="Times New Roman"/>
          <w:szCs w:val="44"/>
          <w:lang w:bidi="ar-SA"/>
        </w:rPr>
        <w:t>第一部分</w:t>
      </w:r>
      <w:r>
        <w:rPr>
          <w:rFonts w:hint="eastAsia" w:ascii="黑体" w:eastAsia="黑体" w:cs="Times New Roman"/>
          <w:szCs w:val="44"/>
          <w:lang w:val="en-US" w:eastAsia="zh-CN" w:bidi="ar-SA"/>
        </w:rPr>
        <w:t xml:space="preserve"> </w:t>
      </w:r>
      <w:r>
        <w:rPr>
          <w:rFonts w:hint="eastAsia" w:ascii="黑体" w:eastAsia="黑体" w:cs="Times New Roman"/>
          <w:szCs w:val="44"/>
          <w:lang w:bidi="ar-SA"/>
        </w:rPr>
        <w:t xml:space="preserve"> 部门概况</w:t>
      </w:r>
      <w:r>
        <w:tab/>
      </w:r>
      <w:r>
        <w:fldChar w:fldCharType="begin"/>
      </w:r>
      <w:r>
        <w:instrText xml:space="preserve"> PAGEREF _Toc597375544 \h </w:instrText>
      </w:r>
      <w:r>
        <w:fldChar w:fldCharType="separate"/>
      </w:r>
      <w:r>
        <w:t>1</w:t>
      </w:r>
      <w:r>
        <w:fldChar w:fldCharType="end"/>
      </w:r>
      <w:r>
        <w:rPr>
          <w:rFonts w:hint="eastAsia" w:ascii="黑体" w:hAnsi="黑体" w:eastAsia="黑体" w:cs="黑体"/>
          <w:bCs w:val="0"/>
          <w:szCs w:val="21"/>
        </w:rPr>
        <w:fldChar w:fldCharType="end"/>
      </w:r>
    </w:p>
    <w:p w14:paraId="44FB17D9">
      <w:pPr>
        <w:pStyle w:val="14"/>
        <w:tabs>
          <w:tab w:val="right" w:leader="dot" w:pos="8306"/>
        </w:tabs>
      </w:pP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_Toc640746839 </w:instrText>
      </w:r>
      <w:r>
        <w:rPr>
          <w:rFonts w:hint="eastAsia" w:ascii="黑体" w:hAnsi="黑体" w:eastAsia="黑体" w:cs="黑体"/>
          <w:bCs w:val="0"/>
          <w:szCs w:val="21"/>
        </w:rPr>
        <w:fldChar w:fldCharType="separate"/>
      </w:r>
      <w:r>
        <w:rPr>
          <w:rFonts w:hint="eastAsia" w:ascii="黑体" w:eastAsia="黑体" w:cs="黑体"/>
          <w:bCs w:val="0"/>
          <w:kern w:val="0"/>
          <w:szCs w:val="32"/>
          <w:lang w:val="en-US" w:eastAsia="zh-CN"/>
        </w:rPr>
        <w:t>一、部门职责</w:t>
      </w:r>
      <w:r>
        <w:tab/>
      </w:r>
      <w:r>
        <w:fldChar w:fldCharType="begin"/>
      </w:r>
      <w:r>
        <w:instrText xml:space="preserve"> PAGEREF _Toc640746839 \h </w:instrText>
      </w:r>
      <w:r>
        <w:fldChar w:fldCharType="separate"/>
      </w:r>
      <w:r>
        <w:t>1</w:t>
      </w:r>
      <w:r>
        <w:fldChar w:fldCharType="end"/>
      </w:r>
      <w:r>
        <w:rPr>
          <w:rFonts w:hint="eastAsia" w:ascii="黑体" w:hAnsi="黑体" w:eastAsia="黑体" w:cs="黑体"/>
          <w:bCs w:val="0"/>
          <w:szCs w:val="21"/>
        </w:rPr>
        <w:fldChar w:fldCharType="end"/>
      </w:r>
    </w:p>
    <w:p w14:paraId="7BC759E2">
      <w:pPr>
        <w:pStyle w:val="14"/>
        <w:tabs>
          <w:tab w:val="right" w:leader="dot" w:pos="8306"/>
        </w:tabs>
      </w:pP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_Toc2035707600 </w:instrText>
      </w:r>
      <w:r>
        <w:rPr>
          <w:rFonts w:hint="eastAsia" w:ascii="黑体" w:hAnsi="黑体" w:eastAsia="黑体" w:cs="黑体"/>
          <w:bCs w:val="0"/>
          <w:szCs w:val="21"/>
        </w:rPr>
        <w:fldChar w:fldCharType="separate"/>
      </w:r>
      <w:r>
        <w:rPr>
          <w:rFonts w:hint="eastAsia" w:ascii="黑体" w:eastAsia="黑体" w:cs="黑体"/>
          <w:bCs w:val="0"/>
          <w:kern w:val="0"/>
          <w:szCs w:val="32"/>
          <w:lang w:val="en-US" w:eastAsia="zh-CN"/>
        </w:rPr>
        <w:t>二、机构设置</w:t>
      </w:r>
      <w:r>
        <w:tab/>
      </w:r>
      <w:r>
        <w:fldChar w:fldCharType="begin"/>
      </w:r>
      <w:r>
        <w:instrText xml:space="preserve"> PAGEREF _Toc2035707600 \h </w:instrText>
      </w:r>
      <w:r>
        <w:fldChar w:fldCharType="separate"/>
      </w:r>
      <w:r>
        <w:t>3</w:t>
      </w:r>
      <w:r>
        <w:fldChar w:fldCharType="end"/>
      </w:r>
      <w:r>
        <w:rPr>
          <w:rFonts w:hint="eastAsia" w:ascii="黑体" w:hAnsi="黑体" w:eastAsia="黑体" w:cs="黑体"/>
          <w:bCs w:val="0"/>
          <w:szCs w:val="21"/>
        </w:rPr>
        <w:fldChar w:fldCharType="end"/>
      </w:r>
    </w:p>
    <w:p w14:paraId="3D939B80">
      <w:pPr>
        <w:pStyle w:val="12"/>
        <w:tabs>
          <w:tab w:val="right" w:leader="dot" w:pos="8306"/>
        </w:tabs>
      </w:pP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_Toc385521937 </w:instrText>
      </w:r>
      <w:r>
        <w:rPr>
          <w:rFonts w:hint="eastAsia" w:ascii="黑体" w:hAnsi="黑体" w:eastAsia="黑体" w:cs="黑体"/>
          <w:bCs w:val="0"/>
          <w:szCs w:val="21"/>
        </w:rPr>
        <w:fldChar w:fldCharType="separate"/>
      </w:r>
      <w:r>
        <w:rPr>
          <w:rFonts w:hint="eastAsia" w:ascii="黑体" w:eastAsia="黑体" w:cs="Times New Roman"/>
          <w:szCs w:val="44"/>
          <w:lang w:bidi="ar-SA"/>
        </w:rPr>
        <w:t xml:space="preserve">第二部分 </w:t>
      </w:r>
      <w:r>
        <w:rPr>
          <w:rFonts w:hint="eastAsia" w:ascii="黑体" w:eastAsia="黑体" w:cs="Times New Roman"/>
          <w:szCs w:val="44"/>
          <w:lang w:eastAsia="zh-CN" w:bidi="ar-SA"/>
        </w:rPr>
        <w:t>2025</w:t>
      </w:r>
      <w:r>
        <w:rPr>
          <w:rFonts w:hint="eastAsia" w:ascii="黑体" w:eastAsia="黑体" w:cs="Times New Roman"/>
          <w:szCs w:val="44"/>
          <w:lang w:bidi="ar-SA"/>
        </w:rPr>
        <w:t>年度部门决算情况说明</w:t>
      </w:r>
      <w:r>
        <w:tab/>
      </w:r>
      <w:r>
        <w:fldChar w:fldCharType="begin"/>
      </w:r>
      <w:r>
        <w:instrText xml:space="preserve"> PAGEREF _Toc385521937 \h </w:instrText>
      </w:r>
      <w:r>
        <w:fldChar w:fldCharType="separate"/>
      </w:r>
      <w:r>
        <w:t>4</w:t>
      </w:r>
      <w:r>
        <w:fldChar w:fldCharType="end"/>
      </w:r>
      <w:r>
        <w:rPr>
          <w:rFonts w:hint="eastAsia" w:ascii="黑体" w:hAnsi="黑体" w:eastAsia="黑体" w:cs="黑体"/>
          <w:bCs w:val="0"/>
          <w:szCs w:val="21"/>
        </w:rPr>
        <w:fldChar w:fldCharType="end"/>
      </w:r>
    </w:p>
    <w:p w14:paraId="6C2D7018">
      <w:pPr>
        <w:pStyle w:val="14"/>
        <w:tabs>
          <w:tab w:val="right" w:leader="dot" w:pos="8306"/>
        </w:tabs>
      </w:pP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_Toc1124750094 </w:instrText>
      </w:r>
      <w:r>
        <w:rPr>
          <w:rFonts w:hint="eastAsia" w:ascii="黑体" w:hAnsi="黑体" w:eastAsia="黑体" w:cs="黑体"/>
          <w:bCs w:val="0"/>
          <w:szCs w:val="21"/>
        </w:rPr>
        <w:fldChar w:fldCharType="separate"/>
      </w:r>
      <w:r>
        <w:rPr>
          <w:rFonts w:hint="eastAsia" w:ascii="黑体" w:eastAsia="黑体" w:cs="Times New Roman"/>
          <w:szCs w:val="32"/>
          <w:lang w:val="en-US" w:eastAsia="zh-CN"/>
        </w:rPr>
        <w:t>一、</w:t>
      </w:r>
      <w:r>
        <w:rPr>
          <w:rFonts w:hint="eastAsia" w:ascii="黑体" w:eastAsia="黑体" w:cs="Times New Roman"/>
          <w:szCs w:val="32"/>
        </w:rPr>
        <w:t>收入支出决算总体情况说明</w:t>
      </w:r>
      <w:r>
        <w:tab/>
      </w:r>
      <w:r>
        <w:fldChar w:fldCharType="begin"/>
      </w:r>
      <w:r>
        <w:instrText xml:space="preserve"> PAGEREF _Toc1124750094 \h </w:instrText>
      </w:r>
      <w:r>
        <w:fldChar w:fldCharType="separate"/>
      </w:r>
      <w:r>
        <w:t>4</w:t>
      </w:r>
      <w:r>
        <w:fldChar w:fldCharType="end"/>
      </w:r>
      <w:r>
        <w:rPr>
          <w:rFonts w:hint="eastAsia" w:ascii="黑体" w:hAnsi="黑体" w:eastAsia="黑体" w:cs="黑体"/>
          <w:bCs w:val="0"/>
          <w:szCs w:val="21"/>
        </w:rPr>
        <w:fldChar w:fldCharType="end"/>
      </w:r>
    </w:p>
    <w:p w14:paraId="76E594BA">
      <w:pPr>
        <w:pStyle w:val="14"/>
        <w:tabs>
          <w:tab w:val="right" w:leader="dot" w:pos="8306"/>
        </w:tabs>
      </w:pP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_Toc1701714044 </w:instrText>
      </w:r>
      <w:r>
        <w:rPr>
          <w:rFonts w:hint="eastAsia" w:ascii="黑体" w:hAnsi="黑体" w:eastAsia="黑体" w:cs="黑体"/>
          <w:bCs w:val="0"/>
          <w:szCs w:val="21"/>
        </w:rPr>
        <w:fldChar w:fldCharType="separate"/>
      </w:r>
      <w:r>
        <w:rPr>
          <w:rFonts w:hint="eastAsia" w:ascii="黑体" w:eastAsia="黑体" w:cs="Times New Roman"/>
          <w:szCs w:val="32"/>
          <w:lang w:val="en-US" w:eastAsia="zh-CN"/>
        </w:rPr>
        <w:t>二、</w:t>
      </w:r>
      <w:r>
        <w:rPr>
          <w:rFonts w:hint="eastAsia" w:ascii="黑体" w:eastAsia="黑体" w:cs="Times New Roman"/>
          <w:szCs w:val="32"/>
        </w:rPr>
        <w:t>收入决算情况说明</w:t>
      </w:r>
      <w:r>
        <w:tab/>
      </w:r>
      <w:r>
        <w:fldChar w:fldCharType="begin"/>
      </w:r>
      <w:r>
        <w:instrText xml:space="preserve"> PAGEREF _Toc1701714044 \h </w:instrText>
      </w:r>
      <w:r>
        <w:fldChar w:fldCharType="separate"/>
      </w:r>
      <w:r>
        <w:t>4</w:t>
      </w:r>
      <w:r>
        <w:fldChar w:fldCharType="end"/>
      </w:r>
      <w:r>
        <w:rPr>
          <w:rFonts w:hint="eastAsia" w:ascii="黑体" w:hAnsi="黑体" w:eastAsia="黑体" w:cs="黑体"/>
          <w:bCs w:val="0"/>
          <w:szCs w:val="21"/>
        </w:rPr>
        <w:fldChar w:fldCharType="end"/>
      </w:r>
    </w:p>
    <w:p w14:paraId="1688B0CF">
      <w:pPr>
        <w:pStyle w:val="14"/>
        <w:tabs>
          <w:tab w:val="right" w:leader="dot" w:pos="8306"/>
        </w:tabs>
      </w:pP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_Toc1665535122 </w:instrText>
      </w:r>
      <w:r>
        <w:rPr>
          <w:rFonts w:hint="eastAsia" w:ascii="黑体" w:hAnsi="黑体" w:eastAsia="黑体" w:cs="黑体"/>
          <w:bCs w:val="0"/>
          <w:szCs w:val="21"/>
        </w:rPr>
        <w:fldChar w:fldCharType="separate"/>
      </w:r>
      <w:r>
        <w:rPr>
          <w:rFonts w:hint="eastAsia" w:ascii="黑体" w:eastAsia="黑体" w:cs="Times New Roman"/>
          <w:szCs w:val="32"/>
          <w:lang w:val="en-US" w:eastAsia="zh-CN"/>
        </w:rPr>
        <w:t>三、支出决算情况说明</w:t>
      </w:r>
      <w:r>
        <w:tab/>
      </w:r>
      <w:r>
        <w:fldChar w:fldCharType="begin"/>
      </w:r>
      <w:r>
        <w:instrText xml:space="preserve"> PAGEREF _Toc1665535122 \h </w:instrText>
      </w:r>
      <w:r>
        <w:fldChar w:fldCharType="separate"/>
      </w:r>
      <w:r>
        <w:t>5</w:t>
      </w:r>
      <w:r>
        <w:fldChar w:fldCharType="end"/>
      </w:r>
      <w:r>
        <w:rPr>
          <w:rFonts w:hint="eastAsia" w:ascii="黑体" w:hAnsi="黑体" w:eastAsia="黑体" w:cs="黑体"/>
          <w:bCs w:val="0"/>
          <w:szCs w:val="21"/>
        </w:rPr>
        <w:fldChar w:fldCharType="end"/>
      </w:r>
    </w:p>
    <w:p w14:paraId="1CA74210">
      <w:pPr>
        <w:pStyle w:val="14"/>
        <w:tabs>
          <w:tab w:val="right" w:leader="dot" w:pos="8306"/>
        </w:tabs>
      </w:pP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_Toc734246627 </w:instrText>
      </w:r>
      <w:r>
        <w:rPr>
          <w:rFonts w:hint="eastAsia" w:ascii="黑体" w:hAnsi="黑体" w:eastAsia="黑体" w:cs="黑体"/>
          <w:bCs w:val="0"/>
          <w:szCs w:val="21"/>
        </w:rPr>
        <w:fldChar w:fldCharType="separate"/>
      </w:r>
      <w:r>
        <w:rPr>
          <w:rFonts w:hint="eastAsia" w:ascii="黑体" w:eastAsia="黑体" w:cs="Times New Roman"/>
          <w:szCs w:val="32"/>
          <w:lang w:val="en-US" w:eastAsia="zh-CN"/>
        </w:rPr>
        <w:t>四、财政拨款收入支出决算总体情况说明</w:t>
      </w:r>
      <w:r>
        <w:tab/>
      </w:r>
      <w:r>
        <w:fldChar w:fldCharType="begin"/>
      </w:r>
      <w:r>
        <w:instrText xml:space="preserve"> PAGEREF _Toc734246627 \h </w:instrText>
      </w:r>
      <w:r>
        <w:fldChar w:fldCharType="separate"/>
      </w:r>
      <w:r>
        <w:t>5</w:t>
      </w:r>
      <w:r>
        <w:fldChar w:fldCharType="end"/>
      </w:r>
      <w:r>
        <w:rPr>
          <w:rFonts w:hint="eastAsia" w:ascii="黑体" w:hAnsi="黑体" w:eastAsia="黑体" w:cs="黑体"/>
          <w:bCs w:val="0"/>
          <w:szCs w:val="21"/>
        </w:rPr>
        <w:fldChar w:fldCharType="end"/>
      </w:r>
    </w:p>
    <w:p w14:paraId="651E84B4">
      <w:pPr>
        <w:pStyle w:val="14"/>
        <w:tabs>
          <w:tab w:val="right" w:leader="dot" w:pos="8306"/>
        </w:tabs>
      </w:pP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_Toc1779503409 </w:instrText>
      </w:r>
      <w:r>
        <w:rPr>
          <w:rFonts w:hint="eastAsia" w:ascii="黑体" w:hAnsi="黑体" w:eastAsia="黑体" w:cs="黑体"/>
          <w:bCs w:val="0"/>
          <w:szCs w:val="21"/>
        </w:rPr>
        <w:fldChar w:fldCharType="separate"/>
      </w:r>
      <w:r>
        <w:rPr>
          <w:rFonts w:hint="eastAsia" w:ascii="黑体" w:eastAsia="黑体" w:cs="Times New Roman"/>
          <w:szCs w:val="32"/>
          <w:lang w:val="en-US" w:eastAsia="zh-CN"/>
        </w:rPr>
        <w:t>五、一般公共预算财政拨款支出决算情况说明</w:t>
      </w:r>
      <w:r>
        <w:tab/>
      </w:r>
      <w:r>
        <w:fldChar w:fldCharType="begin"/>
      </w:r>
      <w:r>
        <w:instrText xml:space="preserve"> PAGEREF _Toc1779503409 \h </w:instrText>
      </w:r>
      <w:r>
        <w:fldChar w:fldCharType="separate"/>
      </w:r>
      <w:r>
        <w:t>6</w:t>
      </w:r>
      <w:r>
        <w:fldChar w:fldCharType="end"/>
      </w:r>
      <w:r>
        <w:rPr>
          <w:rFonts w:hint="eastAsia" w:ascii="黑体" w:hAnsi="黑体" w:eastAsia="黑体" w:cs="黑体"/>
          <w:bCs w:val="0"/>
          <w:szCs w:val="21"/>
        </w:rPr>
        <w:fldChar w:fldCharType="end"/>
      </w:r>
    </w:p>
    <w:p w14:paraId="208C7616">
      <w:pPr>
        <w:pStyle w:val="14"/>
        <w:tabs>
          <w:tab w:val="right" w:leader="dot" w:pos="8306"/>
        </w:tabs>
      </w:pP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_Toc1310545216 </w:instrText>
      </w:r>
      <w:r>
        <w:rPr>
          <w:rFonts w:hint="eastAsia" w:ascii="黑体" w:hAnsi="黑体" w:eastAsia="黑体" w:cs="黑体"/>
          <w:bCs w:val="0"/>
          <w:szCs w:val="21"/>
        </w:rPr>
        <w:fldChar w:fldCharType="separate"/>
      </w:r>
      <w:r>
        <w:rPr>
          <w:rFonts w:hint="eastAsia" w:ascii="黑体" w:hAnsi="Calibri" w:eastAsia="黑体" w:cs="Times New Roman"/>
          <w:kern w:val="2"/>
          <w:szCs w:val="32"/>
          <w:lang w:val="en-US" w:eastAsia="zh-CN" w:bidi="ar-SA"/>
        </w:rPr>
        <w:t>六、一般公共预算财政拨款基本支出决算情况说明  </w:t>
      </w:r>
      <w:r>
        <w:rPr>
          <w:rFonts w:hint="eastAsia" w:ascii="仿宋_GB2312" w:eastAsia="仿宋_GB2312" w:cs="仿宋_GB2312"/>
          <w:bCs/>
          <w:kern w:val="2"/>
          <w:szCs w:val="32"/>
          <w:lang w:val="en-US" w:eastAsia="zh-CN" w:bidi="ar-SA"/>
        </w:rPr>
        <w:t> </w:t>
      </w:r>
      <w:r>
        <w:tab/>
      </w:r>
      <w:r>
        <w:fldChar w:fldCharType="begin"/>
      </w:r>
      <w:r>
        <w:instrText xml:space="preserve"> PAGEREF _Toc1310545216 \h </w:instrText>
      </w:r>
      <w:r>
        <w:fldChar w:fldCharType="separate"/>
      </w:r>
      <w:r>
        <w:t>9</w:t>
      </w:r>
      <w:r>
        <w:fldChar w:fldCharType="end"/>
      </w:r>
      <w:r>
        <w:rPr>
          <w:rFonts w:hint="eastAsia" w:ascii="黑体" w:hAnsi="黑体" w:eastAsia="黑体" w:cs="黑体"/>
          <w:bCs w:val="0"/>
          <w:szCs w:val="21"/>
        </w:rPr>
        <w:fldChar w:fldCharType="end"/>
      </w:r>
    </w:p>
    <w:p w14:paraId="2E81502C">
      <w:pPr>
        <w:pStyle w:val="14"/>
        <w:tabs>
          <w:tab w:val="right" w:leader="dot" w:pos="8306"/>
        </w:tabs>
      </w:pP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_Toc1176097061 </w:instrText>
      </w:r>
      <w:r>
        <w:rPr>
          <w:rFonts w:hint="eastAsia" w:ascii="黑体" w:hAnsi="黑体" w:eastAsia="黑体" w:cs="黑体"/>
          <w:bCs w:val="0"/>
          <w:szCs w:val="21"/>
        </w:rPr>
        <w:fldChar w:fldCharType="separate"/>
      </w:r>
      <w:r>
        <w:rPr>
          <w:rFonts w:hint="eastAsia" w:ascii="黑体" w:hAnsi="Calibri" w:eastAsia="黑体" w:cs="Times New Roman"/>
          <w:kern w:val="2"/>
          <w:szCs w:val="32"/>
          <w:lang w:val="en-US" w:eastAsia="zh-CN" w:bidi="ar-SA"/>
        </w:rPr>
        <w:t>七、财政拨款“三公”经费支出决算情况说明</w:t>
      </w:r>
      <w:r>
        <w:tab/>
      </w:r>
      <w:r>
        <w:fldChar w:fldCharType="begin"/>
      </w:r>
      <w:r>
        <w:instrText xml:space="preserve"> PAGEREF _Toc1176097061 \h </w:instrText>
      </w:r>
      <w:r>
        <w:fldChar w:fldCharType="separate"/>
      </w:r>
      <w:r>
        <w:t>10</w:t>
      </w:r>
      <w:r>
        <w:fldChar w:fldCharType="end"/>
      </w:r>
      <w:r>
        <w:rPr>
          <w:rFonts w:hint="eastAsia" w:ascii="黑体" w:hAnsi="黑体" w:eastAsia="黑体" w:cs="黑体"/>
          <w:bCs w:val="0"/>
          <w:szCs w:val="21"/>
        </w:rPr>
        <w:fldChar w:fldCharType="end"/>
      </w:r>
    </w:p>
    <w:p w14:paraId="6678FAD2">
      <w:pPr>
        <w:pStyle w:val="14"/>
        <w:tabs>
          <w:tab w:val="right" w:leader="dot" w:pos="8306"/>
        </w:tabs>
      </w:pP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_Toc1292893019 </w:instrText>
      </w:r>
      <w:r>
        <w:rPr>
          <w:rFonts w:hint="eastAsia" w:ascii="黑体" w:hAnsi="黑体" w:eastAsia="黑体" w:cs="黑体"/>
          <w:bCs w:val="0"/>
          <w:szCs w:val="21"/>
        </w:rPr>
        <w:fldChar w:fldCharType="separate"/>
      </w:r>
      <w:r>
        <w:rPr>
          <w:rFonts w:hint="eastAsia" w:ascii="黑体" w:eastAsia="黑体" w:cs="Times New Roman"/>
          <w:szCs w:val="32"/>
          <w:lang w:val="en-US" w:eastAsia="zh-CN"/>
        </w:rPr>
        <w:t>八、政府性基金预算支出决算情况说明</w:t>
      </w:r>
      <w:r>
        <w:tab/>
      </w:r>
      <w:r>
        <w:fldChar w:fldCharType="begin"/>
      </w:r>
      <w:r>
        <w:instrText xml:space="preserve"> PAGEREF _Toc1292893019 \h </w:instrText>
      </w:r>
      <w:r>
        <w:fldChar w:fldCharType="separate"/>
      </w:r>
      <w:r>
        <w:t>12</w:t>
      </w:r>
      <w:r>
        <w:fldChar w:fldCharType="end"/>
      </w:r>
      <w:r>
        <w:rPr>
          <w:rFonts w:hint="eastAsia" w:ascii="黑体" w:hAnsi="黑体" w:eastAsia="黑体" w:cs="黑体"/>
          <w:bCs w:val="0"/>
          <w:szCs w:val="21"/>
        </w:rPr>
        <w:fldChar w:fldCharType="end"/>
      </w:r>
    </w:p>
    <w:p w14:paraId="3E2572F2">
      <w:pPr>
        <w:pStyle w:val="14"/>
        <w:tabs>
          <w:tab w:val="right" w:leader="dot" w:pos="8306"/>
        </w:tabs>
      </w:pP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_Toc177992136 </w:instrText>
      </w:r>
      <w:r>
        <w:rPr>
          <w:rFonts w:hint="eastAsia" w:ascii="黑体" w:hAnsi="黑体" w:eastAsia="黑体" w:cs="黑体"/>
          <w:bCs w:val="0"/>
          <w:szCs w:val="21"/>
        </w:rPr>
        <w:fldChar w:fldCharType="separate"/>
      </w:r>
      <w:r>
        <w:rPr>
          <w:rFonts w:hint="eastAsia" w:ascii="黑体" w:eastAsia="黑体" w:cs="Times New Roman"/>
          <w:szCs w:val="32"/>
          <w:lang w:val="en-US" w:eastAsia="zh-CN"/>
        </w:rPr>
        <w:t>九、国有资本经营预算支出决算情况说明</w:t>
      </w:r>
      <w:r>
        <w:tab/>
      </w:r>
      <w:r>
        <w:fldChar w:fldCharType="begin"/>
      </w:r>
      <w:r>
        <w:instrText xml:space="preserve"> PAGEREF _Toc177992136 \h </w:instrText>
      </w:r>
      <w:r>
        <w:fldChar w:fldCharType="separate"/>
      </w:r>
      <w:r>
        <w:t>12</w:t>
      </w:r>
      <w:r>
        <w:fldChar w:fldCharType="end"/>
      </w:r>
      <w:r>
        <w:rPr>
          <w:rFonts w:hint="eastAsia" w:ascii="黑体" w:hAnsi="黑体" w:eastAsia="黑体" w:cs="黑体"/>
          <w:bCs w:val="0"/>
          <w:szCs w:val="21"/>
        </w:rPr>
        <w:fldChar w:fldCharType="end"/>
      </w:r>
    </w:p>
    <w:p w14:paraId="0A0C8969">
      <w:pPr>
        <w:pStyle w:val="14"/>
        <w:tabs>
          <w:tab w:val="right" w:leader="dot" w:pos="8306"/>
        </w:tabs>
      </w:pP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_Toc326356283 </w:instrText>
      </w:r>
      <w:r>
        <w:rPr>
          <w:rFonts w:hint="eastAsia" w:ascii="黑体" w:hAnsi="黑体" w:eastAsia="黑体" w:cs="黑体"/>
          <w:bCs w:val="0"/>
          <w:szCs w:val="21"/>
        </w:rPr>
        <w:fldChar w:fldCharType="separate"/>
      </w:r>
      <w:r>
        <w:rPr>
          <w:rFonts w:hint="eastAsia" w:ascii="黑体" w:eastAsia="黑体" w:cs="Times New Roman"/>
          <w:szCs w:val="32"/>
        </w:rPr>
        <w:t>十、其他重要事项的情况说明</w:t>
      </w:r>
      <w:r>
        <w:tab/>
      </w:r>
      <w:r>
        <w:fldChar w:fldCharType="begin"/>
      </w:r>
      <w:r>
        <w:instrText xml:space="preserve"> PAGEREF _Toc326356283 \h </w:instrText>
      </w:r>
      <w:r>
        <w:fldChar w:fldCharType="separate"/>
      </w:r>
      <w:r>
        <w:t>12</w:t>
      </w:r>
      <w:r>
        <w:fldChar w:fldCharType="end"/>
      </w:r>
      <w:r>
        <w:rPr>
          <w:rFonts w:hint="eastAsia" w:ascii="黑体" w:hAnsi="黑体" w:eastAsia="黑体" w:cs="黑体"/>
          <w:bCs w:val="0"/>
          <w:szCs w:val="21"/>
        </w:rPr>
        <w:fldChar w:fldCharType="end"/>
      </w:r>
    </w:p>
    <w:p w14:paraId="57AF052E">
      <w:pPr>
        <w:pStyle w:val="12"/>
        <w:tabs>
          <w:tab w:val="right" w:leader="dot" w:pos="8306"/>
        </w:tabs>
      </w:pP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_Toc174256438 </w:instrText>
      </w:r>
      <w:r>
        <w:rPr>
          <w:rFonts w:hint="eastAsia" w:ascii="黑体" w:hAnsi="黑体" w:eastAsia="黑体" w:cs="黑体"/>
          <w:bCs w:val="0"/>
          <w:szCs w:val="21"/>
        </w:rPr>
        <w:fldChar w:fldCharType="separate"/>
      </w:r>
      <w:r>
        <w:rPr>
          <w:rFonts w:hint="eastAsia" w:ascii="黑体" w:eastAsia="黑体" w:cs="Times New Roman"/>
          <w:szCs w:val="44"/>
          <w:lang w:val="en-US" w:eastAsia="zh-CN" w:bidi="ar-SA"/>
        </w:rPr>
        <w:t xml:space="preserve">第三部分  </w:t>
      </w:r>
      <w:r>
        <w:rPr>
          <w:rFonts w:hint="eastAsia" w:ascii="黑体" w:eastAsia="黑体" w:cs="Times New Roman"/>
          <w:szCs w:val="44"/>
          <w:lang w:bidi="ar-SA"/>
        </w:rPr>
        <w:t>名词解释</w:t>
      </w:r>
      <w:r>
        <w:tab/>
      </w:r>
      <w:r>
        <w:fldChar w:fldCharType="begin"/>
      </w:r>
      <w:r>
        <w:instrText xml:space="preserve"> PAGEREF _Toc174256438 \h </w:instrText>
      </w:r>
      <w:r>
        <w:fldChar w:fldCharType="separate"/>
      </w:r>
      <w:r>
        <w:t>14</w:t>
      </w:r>
      <w:r>
        <w:fldChar w:fldCharType="end"/>
      </w:r>
      <w:r>
        <w:rPr>
          <w:rFonts w:hint="eastAsia" w:ascii="黑体" w:hAnsi="黑体" w:eastAsia="黑体" w:cs="黑体"/>
          <w:bCs w:val="0"/>
          <w:szCs w:val="21"/>
        </w:rPr>
        <w:fldChar w:fldCharType="end"/>
      </w:r>
    </w:p>
    <w:p w14:paraId="4955EE3C">
      <w:pPr>
        <w:pStyle w:val="12"/>
        <w:tabs>
          <w:tab w:val="right" w:leader="dot" w:pos="8306"/>
        </w:tabs>
      </w:pP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_Toc359649168 </w:instrText>
      </w:r>
      <w:r>
        <w:rPr>
          <w:rFonts w:hint="eastAsia" w:ascii="黑体" w:hAnsi="黑体" w:eastAsia="黑体" w:cs="黑体"/>
          <w:bCs w:val="0"/>
          <w:szCs w:val="21"/>
        </w:rPr>
        <w:fldChar w:fldCharType="separate"/>
      </w:r>
      <w:r>
        <w:rPr>
          <w:rFonts w:hint="eastAsia" w:ascii="黑体" w:eastAsia="黑体" w:cs="Times New Roman"/>
          <w:szCs w:val="44"/>
          <w:lang w:val="en-US" w:eastAsia="zh-CN" w:bidi="ar-SA"/>
        </w:rPr>
        <w:t>第四部分 附件</w:t>
      </w:r>
      <w:r>
        <w:tab/>
      </w:r>
      <w:r>
        <w:fldChar w:fldCharType="begin"/>
      </w:r>
      <w:r>
        <w:instrText xml:space="preserve"> PAGEREF _Toc359649168 \h </w:instrText>
      </w:r>
      <w:r>
        <w:fldChar w:fldCharType="separate"/>
      </w:r>
      <w:r>
        <w:t>18</w:t>
      </w:r>
      <w:r>
        <w:fldChar w:fldCharType="end"/>
      </w:r>
      <w:r>
        <w:rPr>
          <w:rFonts w:hint="eastAsia" w:ascii="黑体" w:hAnsi="黑体" w:eastAsia="黑体" w:cs="黑体"/>
          <w:bCs w:val="0"/>
          <w:szCs w:val="21"/>
        </w:rPr>
        <w:fldChar w:fldCharType="end"/>
      </w:r>
    </w:p>
    <w:p w14:paraId="210719A7">
      <w:pPr>
        <w:pStyle w:val="12"/>
        <w:tabs>
          <w:tab w:val="right" w:leader="dot" w:pos="8306"/>
        </w:tabs>
      </w:pP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_Toc1855824379 </w:instrText>
      </w:r>
      <w:r>
        <w:rPr>
          <w:rFonts w:hint="eastAsia" w:ascii="黑体" w:hAnsi="黑体" w:eastAsia="黑体" w:cs="黑体"/>
          <w:bCs w:val="0"/>
          <w:szCs w:val="21"/>
        </w:rPr>
        <w:fldChar w:fldCharType="separate"/>
      </w:r>
      <w:r>
        <w:rPr>
          <w:rFonts w:hint="eastAsia" w:ascii="黑体" w:eastAsia="黑体" w:cs="Times New Roman"/>
          <w:szCs w:val="44"/>
          <w:lang w:val="en-US" w:eastAsia="zh-CN" w:bidi="ar-SA"/>
        </w:rPr>
        <w:t>第五部分 附表</w:t>
      </w:r>
      <w:r>
        <w:tab/>
      </w:r>
      <w:r>
        <w:fldChar w:fldCharType="begin"/>
      </w:r>
      <w:r>
        <w:instrText xml:space="preserve"> PAGEREF _Toc1855824379 \h </w:instrText>
      </w:r>
      <w:r>
        <w:fldChar w:fldCharType="separate"/>
      </w:r>
      <w:r>
        <w:t>37</w:t>
      </w:r>
      <w:r>
        <w:fldChar w:fldCharType="end"/>
      </w:r>
      <w:r>
        <w:rPr>
          <w:rFonts w:hint="eastAsia" w:ascii="黑体" w:hAnsi="黑体" w:eastAsia="黑体" w:cs="黑体"/>
          <w:bCs w:val="0"/>
          <w:szCs w:val="21"/>
        </w:rPr>
        <w:fldChar w:fldCharType="end"/>
      </w:r>
    </w:p>
    <w:p w14:paraId="40395BA5">
      <w:pPr>
        <w:pStyle w:val="14"/>
        <w:tabs>
          <w:tab w:val="right" w:leader="dot" w:pos="8306"/>
        </w:tabs>
      </w:pP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_Toc1075816074 </w:instrText>
      </w:r>
      <w:r>
        <w:rPr>
          <w:rFonts w:hint="eastAsia" w:ascii="黑体" w:hAnsi="黑体" w:eastAsia="黑体" w:cs="黑体"/>
          <w:bCs w:val="0"/>
          <w:szCs w:val="21"/>
        </w:rPr>
        <w:fldChar w:fldCharType="separate"/>
      </w:r>
      <w:r>
        <w:rPr>
          <w:rFonts w:hint="eastAsia" w:ascii="黑体" w:hAnsi="黑体" w:eastAsia="黑体" w:cs="黑体"/>
          <w:bCs/>
          <w:kern w:val="2"/>
          <w:szCs w:val="32"/>
          <w:lang w:val="en-US" w:eastAsia="zh-CN"/>
        </w:rPr>
        <w:t>一、</w:t>
      </w:r>
      <w:r>
        <w:rPr>
          <w:rFonts w:hint="eastAsia" w:ascii="黑体" w:hAnsi="黑体" w:eastAsia="黑体" w:cs="黑体"/>
          <w:bCs/>
          <w:kern w:val="2"/>
          <w:szCs w:val="32"/>
        </w:rPr>
        <w:t>收入支出决算总表</w:t>
      </w:r>
      <w:r>
        <w:tab/>
      </w:r>
      <w:r>
        <w:fldChar w:fldCharType="begin"/>
      </w:r>
      <w:r>
        <w:instrText xml:space="preserve"> PAGEREF _Toc1075816074 \h </w:instrText>
      </w:r>
      <w:r>
        <w:fldChar w:fldCharType="separate"/>
      </w:r>
      <w:r>
        <w:t>37</w:t>
      </w:r>
      <w:r>
        <w:fldChar w:fldCharType="end"/>
      </w:r>
      <w:r>
        <w:rPr>
          <w:rFonts w:hint="eastAsia" w:ascii="黑体" w:hAnsi="黑体" w:eastAsia="黑体" w:cs="黑体"/>
          <w:bCs w:val="0"/>
          <w:szCs w:val="21"/>
        </w:rPr>
        <w:fldChar w:fldCharType="end"/>
      </w:r>
    </w:p>
    <w:p w14:paraId="74E0AE76">
      <w:pPr>
        <w:pStyle w:val="14"/>
        <w:tabs>
          <w:tab w:val="right" w:leader="dot" w:pos="8306"/>
        </w:tabs>
      </w:pP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_Toc1051171700 </w:instrText>
      </w:r>
      <w:r>
        <w:rPr>
          <w:rFonts w:hint="eastAsia" w:ascii="黑体" w:hAnsi="黑体" w:eastAsia="黑体" w:cs="黑体"/>
          <w:bCs w:val="0"/>
          <w:szCs w:val="21"/>
        </w:rPr>
        <w:fldChar w:fldCharType="separate"/>
      </w:r>
      <w:r>
        <w:rPr>
          <w:rFonts w:hint="eastAsia" w:ascii="黑体" w:hAnsi="黑体" w:eastAsia="黑体" w:cs="黑体"/>
          <w:bCs/>
          <w:kern w:val="2"/>
          <w:szCs w:val="32"/>
        </w:rPr>
        <w:t>二、收入决算表</w:t>
      </w:r>
      <w:r>
        <w:tab/>
      </w:r>
      <w:r>
        <w:fldChar w:fldCharType="begin"/>
      </w:r>
      <w:r>
        <w:instrText xml:space="preserve"> PAGEREF _Toc1051171700 \h </w:instrText>
      </w:r>
      <w:r>
        <w:fldChar w:fldCharType="separate"/>
      </w:r>
      <w:r>
        <w:t>37</w:t>
      </w:r>
      <w:r>
        <w:fldChar w:fldCharType="end"/>
      </w:r>
      <w:r>
        <w:rPr>
          <w:rFonts w:hint="eastAsia" w:ascii="黑体" w:hAnsi="黑体" w:eastAsia="黑体" w:cs="黑体"/>
          <w:bCs w:val="0"/>
          <w:szCs w:val="21"/>
        </w:rPr>
        <w:fldChar w:fldCharType="end"/>
      </w:r>
    </w:p>
    <w:p w14:paraId="6BDE2393">
      <w:pPr>
        <w:pStyle w:val="14"/>
        <w:tabs>
          <w:tab w:val="right" w:leader="dot" w:pos="8306"/>
        </w:tabs>
      </w:pP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_Toc261585051 </w:instrText>
      </w:r>
      <w:r>
        <w:rPr>
          <w:rFonts w:hint="eastAsia" w:ascii="黑体" w:hAnsi="黑体" w:eastAsia="黑体" w:cs="黑体"/>
          <w:bCs w:val="0"/>
          <w:szCs w:val="21"/>
        </w:rPr>
        <w:fldChar w:fldCharType="separate"/>
      </w:r>
      <w:r>
        <w:rPr>
          <w:rFonts w:hint="eastAsia" w:ascii="黑体" w:hAnsi="黑体" w:eastAsia="黑体" w:cs="黑体"/>
          <w:bCs/>
          <w:kern w:val="2"/>
          <w:szCs w:val="32"/>
        </w:rPr>
        <w:t>三、支出决算表</w:t>
      </w:r>
      <w:r>
        <w:tab/>
      </w:r>
      <w:r>
        <w:fldChar w:fldCharType="begin"/>
      </w:r>
      <w:r>
        <w:instrText xml:space="preserve"> PAGEREF _Toc261585051 \h </w:instrText>
      </w:r>
      <w:r>
        <w:fldChar w:fldCharType="separate"/>
      </w:r>
      <w:r>
        <w:t>37</w:t>
      </w:r>
      <w:r>
        <w:fldChar w:fldCharType="end"/>
      </w:r>
      <w:r>
        <w:rPr>
          <w:rFonts w:hint="eastAsia" w:ascii="黑体" w:hAnsi="黑体" w:eastAsia="黑体" w:cs="黑体"/>
          <w:bCs w:val="0"/>
          <w:szCs w:val="21"/>
        </w:rPr>
        <w:fldChar w:fldCharType="end"/>
      </w:r>
    </w:p>
    <w:p w14:paraId="726BCEBE">
      <w:pPr>
        <w:pStyle w:val="14"/>
        <w:tabs>
          <w:tab w:val="right" w:leader="dot" w:pos="8306"/>
        </w:tabs>
      </w:pP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_Toc1956062203 </w:instrText>
      </w:r>
      <w:r>
        <w:rPr>
          <w:rFonts w:hint="eastAsia" w:ascii="黑体" w:hAnsi="黑体" w:eastAsia="黑体" w:cs="黑体"/>
          <w:bCs w:val="0"/>
          <w:szCs w:val="21"/>
        </w:rPr>
        <w:fldChar w:fldCharType="separate"/>
      </w:r>
      <w:r>
        <w:rPr>
          <w:rFonts w:hint="eastAsia" w:ascii="黑体" w:hAnsi="黑体" w:eastAsia="黑体" w:cs="黑体"/>
          <w:bCs/>
          <w:kern w:val="2"/>
          <w:szCs w:val="32"/>
        </w:rPr>
        <w:t>四、财政拨款收入支出决算总表</w:t>
      </w:r>
      <w:r>
        <w:tab/>
      </w:r>
      <w:r>
        <w:fldChar w:fldCharType="begin"/>
      </w:r>
      <w:r>
        <w:instrText xml:space="preserve"> PAGEREF _Toc1956062203 \h </w:instrText>
      </w:r>
      <w:r>
        <w:fldChar w:fldCharType="separate"/>
      </w:r>
      <w:r>
        <w:t>37</w:t>
      </w:r>
      <w:r>
        <w:fldChar w:fldCharType="end"/>
      </w:r>
      <w:r>
        <w:rPr>
          <w:rFonts w:hint="eastAsia" w:ascii="黑体" w:hAnsi="黑体" w:eastAsia="黑体" w:cs="黑体"/>
          <w:bCs w:val="0"/>
          <w:szCs w:val="21"/>
        </w:rPr>
        <w:fldChar w:fldCharType="end"/>
      </w:r>
    </w:p>
    <w:p w14:paraId="1FE5D6CB">
      <w:pPr>
        <w:pStyle w:val="14"/>
        <w:tabs>
          <w:tab w:val="right" w:leader="dot" w:pos="8306"/>
        </w:tabs>
      </w:pP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_Toc1448672727 </w:instrText>
      </w:r>
      <w:r>
        <w:rPr>
          <w:rFonts w:hint="eastAsia" w:ascii="黑体" w:hAnsi="黑体" w:eastAsia="黑体" w:cs="黑体"/>
          <w:bCs w:val="0"/>
          <w:szCs w:val="21"/>
        </w:rPr>
        <w:fldChar w:fldCharType="separate"/>
      </w:r>
      <w:r>
        <w:rPr>
          <w:rFonts w:hint="eastAsia" w:ascii="黑体" w:hAnsi="黑体" w:eastAsia="黑体" w:cs="黑体"/>
          <w:bCs/>
          <w:kern w:val="2"/>
          <w:szCs w:val="32"/>
        </w:rPr>
        <w:t>五、财政拨款支出决算明细表</w:t>
      </w:r>
      <w:r>
        <w:tab/>
      </w:r>
      <w:r>
        <w:fldChar w:fldCharType="begin"/>
      </w:r>
      <w:r>
        <w:instrText xml:space="preserve"> PAGEREF _Toc1448672727 \h </w:instrText>
      </w:r>
      <w:r>
        <w:fldChar w:fldCharType="separate"/>
      </w:r>
      <w:r>
        <w:t>37</w:t>
      </w:r>
      <w:r>
        <w:fldChar w:fldCharType="end"/>
      </w:r>
      <w:r>
        <w:rPr>
          <w:rFonts w:hint="eastAsia" w:ascii="黑体" w:hAnsi="黑体" w:eastAsia="黑体" w:cs="黑体"/>
          <w:bCs w:val="0"/>
          <w:szCs w:val="21"/>
        </w:rPr>
        <w:fldChar w:fldCharType="end"/>
      </w:r>
    </w:p>
    <w:p w14:paraId="54D2F8B3">
      <w:pPr>
        <w:pStyle w:val="14"/>
        <w:tabs>
          <w:tab w:val="right" w:leader="dot" w:pos="8306"/>
        </w:tabs>
      </w:pP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_Toc1767975113 </w:instrText>
      </w:r>
      <w:r>
        <w:rPr>
          <w:rFonts w:hint="eastAsia" w:ascii="黑体" w:hAnsi="黑体" w:eastAsia="黑体" w:cs="黑体"/>
          <w:bCs w:val="0"/>
          <w:szCs w:val="21"/>
        </w:rPr>
        <w:fldChar w:fldCharType="separate"/>
      </w:r>
      <w:r>
        <w:rPr>
          <w:rFonts w:hint="eastAsia" w:ascii="黑体" w:hAnsi="黑体" w:eastAsia="黑体" w:cs="黑体"/>
          <w:bCs/>
          <w:kern w:val="2"/>
          <w:szCs w:val="32"/>
        </w:rPr>
        <w:t>六、一般公共预算财政拨款支出决算表</w:t>
      </w:r>
      <w:r>
        <w:tab/>
      </w:r>
      <w:r>
        <w:fldChar w:fldCharType="begin"/>
      </w:r>
      <w:r>
        <w:instrText xml:space="preserve"> PAGEREF _Toc1767975113 \h </w:instrText>
      </w:r>
      <w:r>
        <w:fldChar w:fldCharType="separate"/>
      </w:r>
      <w:r>
        <w:t>37</w:t>
      </w:r>
      <w:r>
        <w:fldChar w:fldCharType="end"/>
      </w:r>
      <w:r>
        <w:rPr>
          <w:rFonts w:hint="eastAsia" w:ascii="黑体" w:hAnsi="黑体" w:eastAsia="黑体" w:cs="黑体"/>
          <w:bCs w:val="0"/>
          <w:szCs w:val="21"/>
        </w:rPr>
        <w:fldChar w:fldCharType="end"/>
      </w:r>
    </w:p>
    <w:p w14:paraId="78130F1D">
      <w:pPr>
        <w:pStyle w:val="14"/>
        <w:tabs>
          <w:tab w:val="right" w:leader="dot" w:pos="8306"/>
        </w:tabs>
      </w:pP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_Toc1529278185 </w:instrText>
      </w:r>
      <w:r>
        <w:rPr>
          <w:rFonts w:hint="eastAsia" w:ascii="黑体" w:hAnsi="黑体" w:eastAsia="黑体" w:cs="黑体"/>
          <w:bCs w:val="0"/>
          <w:szCs w:val="21"/>
        </w:rPr>
        <w:fldChar w:fldCharType="separate"/>
      </w:r>
      <w:r>
        <w:rPr>
          <w:rFonts w:hint="eastAsia" w:ascii="黑体" w:hAnsi="黑体" w:eastAsia="黑体" w:cs="黑体"/>
          <w:bCs/>
          <w:kern w:val="2"/>
          <w:szCs w:val="32"/>
        </w:rPr>
        <w:t>七、一般公共预算财政拨款支出决算明细表</w:t>
      </w:r>
      <w:r>
        <w:tab/>
      </w:r>
      <w:r>
        <w:fldChar w:fldCharType="begin"/>
      </w:r>
      <w:r>
        <w:instrText xml:space="preserve"> PAGEREF _Toc1529278185 \h </w:instrText>
      </w:r>
      <w:r>
        <w:fldChar w:fldCharType="separate"/>
      </w:r>
      <w:r>
        <w:t>37</w:t>
      </w:r>
      <w:r>
        <w:fldChar w:fldCharType="end"/>
      </w:r>
      <w:r>
        <w:rPr>
          <w:rFonts w:hint="eastAsia" w:ascii="黑体" w:hAnsi="黑体" w:eastAsia="黑体" w:cs="黑体"/>
          <w:bCs w:val="0"/>
          <w:szCs w:val="21"/>
        </w:rPr>
        <w:fldChar w:fldCharType="end"/>
      </w:r>
    </w:p>
    <w:p w14:paraId="7EC603DF">
      <w:pPr>
        <w:pStyle w:val="14"/>
        <w:tabs>
          <w:tab w:val="right" w:leader="dot" w:pos="8306"/>
        </w:tabs>
      </w:pP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_Toc616333723 </w:instrText>
      </w:r>
      <w:r>
        <w:rPr>
          <w:rFonts w:hint="eastAsia" w:ascii="黑体" w:hAnsi="黑体" w:eastAsia="黑体" w:cs="黑体"/>
          <w:bCs w:val="0"/>
          <w:szCs w:val="21"/>
        </w:rPr>
        <w:fldChar w:fldCharType="separate"/>
      </w:r>
      <w:r>
        <w:rPr>
          <w:rFonts w:hint="eastAsia" w:ascii="黑体" w:hAnsi="黑体" w:eastAsia="黑体" w:cs="黑体"/>
          <w:bCs/>
          <w:kern w:val="2"/>
          <w:szCs w:val="32"/>
        </w:rPr>
        <w:t>八、一般公共预算财政拨款基本支出决算表</w:t>
      </w:r>
      <w:r>
        <w:tab/>
      </w:r>
      <w:r>
        <w:fldChar w:fldCharType="begin"/>
      </w:r>
      <w:r>
        <w:instrText xml:space="preserve"> PAGEREF _Toc616333723 \h </w:instrText>
      </w:r>
      <w:r>
        <w:fldChar w:fldCharType="separate"/>
      </w:r>
      <w:r>
        <w:t>37</w:t>
      </w:r>
      <w:r>
        <w:fldChar w:fldCharType="end"/>
      </w:r>
      <w:r>
        <w:rPr>
          <w:rFonts w:hint="eastAsia" w:ascii="黑体" w:hAnsi="黑体" w:eastAsia="黑体" w:cs="黑体"/>
          <w:bCs w:val="0"/>
          <w:szCs w:val="21"/>
        </w:rPr>
        <w:fldChar w:fldCharType="end"/>
      </w:r>
    </w:p>
    <w:p w14:paraId="61C5D8D4">
      <w:pPr>
        <w:pStyle w:val="14"/>
        <w:tabs>
          <w:tab w:val="right" w:leader="dot" w:pos="8306"/>
        </w:tabs>
      </w:pP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_Toc1549628368 </w:instrText>
      </w:r>
      <w:r>
        <w:rPr>
          <w:rFonts w:hint="eastAsia" w:ascii="黑体" w:hAnsi="黑体" w:eastAsia="黑体" w:cs="黑体"/>
          <w:bCs w:val="0"/>
          <w:szCs w:val="21"/>
        </w:rPr>
        <w:fldChar w:fldCharType="separate"/>
      </w:r>
      <w:r>
        <w:rPr>
          <w:rFonts w:hint="eastAsia" w:ascii="黑体" w:hAnsi="黑体" w:eastAsia="黑体" w:cs="黑体"/>
          <w:bCs/>
          <w:kern w:val="2"/>
          <w:szCs w:val="32"/>
        </w:rPr>
        <w:t>九、一般公共预算财政拨款项目支出决算表</w:t>
      </w:r>
      <w:r>
        <w:tab/>
      </w:r>
      <w:r>
        <w:fldChar w:fldCharType="begin"/>
      </w:r>
      <w:r>
        <w:instrText xml:space="preserve"> PAGEREF _Toc1549628368 \h </w:instrText>
      </w:r>
      <w:r>
        <w:fldChar w:fldCharType="separate"/>
      </w:r>
      <w:r>
        <w:t>37</w:t>
      </w:r>
      <w:r>
        <w:fldChar w:fldCharType="end"/>
      </w:r>
      <w:r>
        <w:rPr>
          <w:rFonts w:hint="eastAsia" w:ascii="黑体" w:hAnsi="黑体" w:eastAsia="黑体" w:cs="黑体"/>
          <w:bCs w:val="0"/>
          <w:szCs w:val="21"/>
        </w:rPr>
        <w:fldChar w:fldCharType="end"/>
      </w:r>
    </w:p>
    <w:p w14:paraId="12E7E01B">
      <w:pPr>
        <w:pStyle w:val="14"/>
        <w:tabs>
          <w:tab w:val="right" w:leader="dot" w:pos="8306"/>
        </w:tabs>
      </w:pP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_Toc2073349750 </w:instrText>
      </w:r>
      <w:r>
        <w:rPr>
          <w:rFonts w:hint="eastAsia" w:ascii="黑体" w:hAnsi="黑体" w:eastAsia="黑体" w:cs="黑体"/>
          <w:bCs w:val="0"/>
          <w:szCs w:val="21"/>
        </w:rPr>
        <w:fldChar w:fldCharType="separate"/>
      </w:r>
      <w:r>
        <w:rPr>
          <w:rFonts w:hint="eastAsia" w:ascii="黑体" w:hAnsi="黑体" w:eastAsia="黑体" w:cs="黑体"/>
          <w:bCs/>
          <w:kern w:val="2"/>
          <w:szCs w:val="32"/>
        </w:rPr>
        <w:t>十、政府性基金预算财政拨款收入支出决算表</w:t>
      </w:r>
      <w:r>
        <w:tab/>
      </w:r>
      <w:r>
        <w:fldChar w:fldCharType="begin"/>
      </w:r>
      <w:r>
        <w:instrText xml:space="preserve"> PAGEREF _Toc2073349750 \h </w:instrText>
      </w:r>
      <w:r>
        <w:fldChar w:fldCharType="separate"/>
      </w:r>
      <w:r>
        <w:t>37</w:t>
      </w:r>
      <w:r>
        <w:fldChar w:fldCharType="end"/>
      </w:r>
      <w:r>
        <w:rPr>
          <w:rFonts w:hint="eastAsia" w:ascii="黑体" w:hAnsi="黑体" w:eastAsia="黑体" w:cs="黑体"/>
          <w:bCs w:val="0"/>
          <w:szCs w:val="21"/>
        </w:rPr>
        <w:fldChar w:fldCharType="end"/>
      </w:r>
    </w:p>
    <w:p w14:paraId="3BA78901">
      <w:pPr>
        <w:pStyle w:val="14"/>
        <w:tabs>
          <w:tab w:val="right" w:leader="dot" w:pos="8306"/>
        </w:tabs>
      </w:pP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_Toc780689705 </w:instrText>
      </w:r>
      <w:r>
        <w:rPr>
          <w:rFonts w:hint="eastAsia" w:ascii="黑体" w:hAnsi="黑体" w:eastAsia="黑体" w:cs="黑体"/>
          <w:bCs w:val="0"/>
          <w:szCs w:val="21"/>
        </w:rPr>
        <w:fldChar w:fldCharType="separate"/>
      </w:r>
      <w:r>
        <w:rPr>
          <w:rFonts w:hint="eastAsia" w:ascii="黑体" w:hAnsi="黑体" w:eastAsia="黑体" w:cs="黑体"/>
          <w:bCs/>
          <w:kern w:val="2"/>
          <w:szCs w:val="32"/>
        </w:rPr>
        <w:t>十一、国有资本经营预算财政拨款收入支出决算表</w:t>
      </w:r>
      <w:r>
        <w:tab/>
      </w:r>
      <w:r>
        <w:fldChar w:fldCharType="begin"/>
      </w:r>
      <w:r>
        <w:instrText xml:space="preserve"> PAGEREF _Toc780689705 \h </w:instrText>
      </w:r>
      <w:r>
        <w:fldChar w:fldCharType="separate"/>
      </w:r>
      <w:r>
        <w:t>37</w:t>
      </w:r>
      <w:r>
        <w:fldChar w:fldCharType="end"/>
      </w:r>
      <w:r>
        <w:rPr>
          <w:rFonts w:hint="eastAsia" w:ascii="黑体" w:hAnsi="黑体" w:eastAsia="黑体" w:cs="黑体"/>
          <w:bCs w:val="0"/>
          <w:szCs w:val="21"/>
        </w:rPr>
        <w:fldChar w:fldCharType="end"/>
      </w:r>
    </w:p>
    <w:p w14:paraId="18C956C4">
      <w:pPr>
        <w:pStyle w:val="14"/>
        <w:tabs>
          <w:tab w:val="right" w:leader="dot" w:pos="8306"/>
        </w:tabs>
      </w:pP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_Toc1123461446 </w:instrText>
      </w:r>
      <w:r>
        <w:rPr>
          <w:rFonts w:hint="eastAsia" w:ascii="黑体" w:hAnsi="黑体" w:eastAsia="黑体" w:cs="黑体"/>
          <w:bCs w:val="0"/>
          <w:szCs w:val="21"/>
        </w:rPr>
        <w:fldChar w:fldCharType="separate"/>
      </w:r>
      <w:r>
        <w:rPr>
          <w:rFonts w:hint="eastAsia" w:ascii="黑体" w:hAnsi="黑体" w:eastAsia="黑体" w:cs="黑体"/>
          <w:bCs/>
          <w:kern w:val="2"/>
          <w:szCs w:val="32"/>
        </w:rPr>
        <w:t>十二、国有资本经营预算财政拨款支出决算表</w:t>
      </w:r>
      <w:r>
        <w:tab/>
      </w:r>
      <w:r>
        <w:fldChar w:fldCharType="begin"/>
      </w:r>
      <w:r>
        <w:instrText xml:space="preserve"> PAGEREF _Toc1123461446 \h </w:instrText>
      </w:r>
      <w:r>
        <w:fldChar w:fldCharType="separate"/>
      </w:r>
      <w:r>
        <w:t>37</w:t>
      </w:r>
      <w:r>
        <w:fldChar w:fldCharType="end"/>
      </w:r>
      <w:r>
        <w:rPr>
          <w:rFonts w:hint="eastAsia" w:ascii="黑体" w:hAnsi="黑体" w:eastAsia="黑体" w:cs="黑体"/>
          <w:bCs w:val="0"/>
          <w:szCs w:val="21"/>
        </w:rPr>
        <w:fldChar w:fldCharType="end"/>
      </w:r>
    </w:p>
    <w:p w14:paraId="115EC451">
      <w:pPr>
        <w:pStyle w:val="14"/>
        <w:tabs>
          <w:tab w:val="right" w:leader="dot" w:pos="8306"/>
        </w:tabs>
      </w:pPr>
      <w:r>
        <w:rPr>
          <w:rFonts w:hint="eastAsia" w:ascii="黑体" w:hAnsi="黑体" w:eastAsia="黑体" w:cs="黑体"/>
          <w:bCs w:val="0"/>
          <w:szCs w:val="21"/>
        </w:rPr>
        <w:fldChar w:fldCharType="begin"/>
      </w:r>
      <w:r>
        <w:rPr>
          <w:rFonts w:hint="eastAsia" w:ascii="黑体" w:hAnsi="黑体" w:eastAsia="黑体" w:cs="黑体"/>
          <w:bCs w:val="0"/>
          <w:szCs w:val="21"/>
        </w:rPr>
        <w:instrText xml:space="preserve"> HYPERLINK \l _Toc1967409423 </w:instrText>
      </w:r>
      <w:r>
        <w:rPr>
          <w:rFonts w:hint="eastAsia" w:ascii="黑体" w:hAnsi="黑体" w:eastAsia="黑体" w:cs="黑体"/>
          <w:bCs w:val="0"/>
          <w:szCs w:val="21"/>
        </w:rPr>
        <w:fldChar w:fldCharType="separate"/>
      </w:r>
      <w:r>
        <w:rPr>
          <w:rFonts w:hint="eastAsia" w:ascii="黑体" w:hAnsi="黑体" w:eastAsia="黑体" w:cs="黑体"/>
          <w:bCs/>
          <w:kern w:val="2"/>
          <w:szCs w:val="32"/>
        </w:rPr>
        <w:t>十三、财政拨款“三公”经费支出决算表</w:t>
      </w:r>
      <w:r>
        <w:tab/>
      </w:r>
      <w:r>
        <w:fldChar w:fldCharType="begin"/>
      </w:r>
      <w:r>
        <w:instrText xml:space="preserve"> PAGEREF _Toc1967409423 \h </w:instrText>
      </w:r>
      <w:r>
        <w:fldChar w:fldCharType="separate"/>
      </w:r>
      <w:r>
        <w:t>37</w:t>
      </w:r>
      <w:r>
        <w:fldChar w:fldCharType="end"/>
      </w:r>
      <w:r>
        <w:rPr>
          <w:rFonts w:hint="eastAsia" w:ascii="黑体" w:hAnsi="黑体" w:eastAsia="黑体" w:cs="黑体"/>
          <w:bCs w:val="0"/>
          <w:szCs w:val="21"/>
        </w:rPr>
        <w:fldChar w:fldCharType="end"/>
      </w:r>
    </w:p>
    <w:p w14:paraId="4E1BDF4D">
      <w:pPr>
        <w:pStyle w:val="16"/>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outlineLvl w:val="0"/>
        <w:rPr>
          <w:rFonts w:hint="eastAsia" w:ascii="黑体" w:hAnsi="黑体" w:eastAsia="黑体" w:cs="黑体"/>
          <w:bCs w:val="0"/>
          <w:szCs w:val="21"/>
        </w:rPr>
      </w:pPr>
      <w:r>
        <w:rPr>
          <w:rFonts w:hint="eastAsia" w:ascii="黑体" w:hAnsi="黑体" w:eastAsia="黑体" w:cs="黑体"/>
          <w:bCs w:val="0"/>
          <w:szCs w:val="21"/>
        </w:rPr>
        <w:fldChar w:fldCharType="end"/>
      </w:r>
      <w:bookmarkStart w:id="0" w:name="_Toc18791"/>
      <w:bookmarkStart w:id="1" w:name="_Toc7333"/>
      <w:bookmarkStart w:id="2" w:name="_Toc11096"/>
    </w:p>
    <w:p w14:paraId="51BBDECE">
      <w:pPr>
        <w:pStyle w:val="16"/>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outlineLvl w:val="0"/>
        <w:rPr>
          <w:rFonts w:hint="eastAsia" w:ascii="黑体" w:eastAsia="黑体" w:cs="Times New Roman"/>
          <w:b w:val="0"/>
          <w:sz w:val="44"/>
          <w:szCs w:val="44"/>
          <w:lang w:bidi="ar-SA"/>
        </w:rPr>
        <w:sectPr>
          <w:footerReference r:id="rId3" w:type="default"/>
          <w:pgSz w:w="11906" w:h="16838"/>
          <w:pgMar w:top="1440" w:right="1800" w:bottom="1440" w:left="1800" w:header="851" w:footer="992" w:gutter="0"/>
          <w:pgNumType w:fmt="decimal" w:start="1"/>
          <w:cols w:space="720" w:num="1"/>
          <w:docGrid w:type="lines" w:linePitch="312" w:charSpace="0"/>
        </w:sectPr>
      </w:pPr>
    </w:p>
    <w:p w14:paraId="18F1FAD0">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firstLine="880" w:firstLineChars="200"/>
        <w:jc w:val="center"/>
        <w:textAlignment w:val="auto"/>
        <w:outlineLvl w:val="0"/>
        <w:rPr>
          <w:rFonts w:hint="eastAsia" w:ascii="黑体" w:eastAsia="黑体" w:cs="Times New Roman"/>
          <w:b w:val="0"/>
          <w:sz w:val="44"/>
          <w:szCs w:val="44"/>
          <w:lang w:bidi="ar-SA"/>
        </w:rPr>
      </w:pPr>
      <w:bookmarkStart w:id="3" w:name="_Toc597375544"/>
      <w:r>
        <w:rPr>
          <w:rFonts w:hint="eastAsia" w:ascii="黑体" w:eastAsia="黑体" w:cs="Times New Roman"/>
          <w:b w:val="0"/>
          <w:sz w:val="44"/>
          <w:szCs w:val="44"/>
          <w:lang w:bidi="ar-SA"/>
        </w:rPr>
        <w:t>第一部分</w:t>
      </w:r>
      <w:r>
        <w:rPr>
          <w:rFonts w:hint="eastAsia" w:ascii="黑体" w:eastAsia="黑体" w:cs="Times New Roman"/>
          <w:b w:val="0"/>
          <w:sz w:val="44"/>
          <w:szCs w:val="44"/>
          <w:lang w:val="en-US" w:eastAsia="zh-CN" w:bidi="ar-SA"/>
        </w:rPr>
        <w:t xml:space="preserve"> </w:t>
      </w:r>
      <w:r>
        <w:rPr>
          <w:rFonts w:hint="eastAsia" w:ascii="黑体" w:eastAsia="黑体" w:cs="Times New Roman"/>
          <w:b w:val="0"/>
          <w:sz w:val="44"/>
          <w:szCs w:val="44"/>
          <w:lang w:bidi="ar-SA"/>
        </w:rPr>
        <w:t xml:space="preserve"> 部门概况</w:t>
      </w:r>
      <w:bookmarkEnd w:id="0"/>
      <w:bookmarkEnd w:id="1"/>
      <w:bookmarkEnd w:id="2"/>
      <w:bookmarkEnd w:id="3"/>
    </w:p>
    <w:p w14:paraId="5CD94A09">
      <w:pPr>
        <w:pStyle w:val="6"/>
        <w:keepNext/>
        <w:keepLines/>
        <w:pageBreakBefore w:val="0"/>
        <w:widowControl w:val="0"/>
        <w:numPr>
          <w:ilvl w:val="0"/>
          <w:numId w:val="0"/>
        </w:numPr>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outlineLvl w:val="1"/>
        <w:rPr>
          <w:rFonts w:hint="eastAsia" w:ascii="黑体" w:eastAsia="黑体" w:cs="黑体"/>
          <w:b w:val="0"/>
          <w:bCs w:val="0"/>
          <w:kern w:val="0"/>
          <w:sz w:val="32"/>
          <w:szCs w:val="32"/>
          <w:lang w:val="en-US" w:eastAsia="zh-CN"/>
        </w:rPr>
      </w:pPr>
      <w:bookmarkStart w:id="4" w:name="_Toc20800"/>
      <w:bookmarkStart w:id="5" w:name="_Toc640746839"/>
      <w:bookmarkStart w:id="6" w:name="_Toc208"/>
      <w:r>
        <w:rPr>
          <w:rFonts w:hint="eastAsia" w:ascii="黑体" w:eastAsia="黑体" w:cs="黑体"/>
          <w:b w:val="0"/>
          <w:bCs w:val="0"/>
          <w:kern w:val="0"/>
          <w:sz w:val="32"/>
          <w:szCs w:val="32"/>
          <w:lang w:val="en-US" w:eastAsia="zh-CN"/>
        </w:rPr>
        <w:t>一、部门职责</w:t>
      </w:r>
      <w:bookmarkEnd w:id="4"/>
      <w:bookmarkEnd w:id="5"/>
      <w:bookmarkEnd w:id="6"/>
      <w:bookmarkStart w:id="7" w:name="_Toc79163853"/>
      <w:bookmarkStart w:id="8" w:name="_Toc79163603"/>
      <w:bookmarkStart w:id="9" w:name="_Toc27980"/>
      <w:bookmarkStart w:id="10" w:name="_Toc15377198"/>
      <w:bookmarkStart w:id="11" w:name="_Toc17469"/>
      <w:bookmarkStart w:id="12" w:name="_Toc15378445"/>
      <w:bookmarkStart w:id="13" w:name="_Toc6001"/>
    </w:p>
    <w:bookmarkEnd w:id="7"/>
    <w:bookmarkEnd w:id="8"/>
    <w:bookmarkEnd w:id="9"/>
    <w:bookmarkEnd w:id="10"/>
    <w:bookmarkEnd w:id="11"/>
    <w:bookmarkEnd w:id="12"/>
    <w:bookmarkEnd w:id="13"/>
    <w:p w14:paraId="35824856">
      <w:pPr>
        <w:pStyle w:val="16"/>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textAlignment w:val="auto"/>
        <w:outlineLvl w:val="2"/>
        <w:rPr>
          <w:rFonts w:ascii="仿宋_GB2312" w:eastAsia="仿宋_GB2312" w:cs="仿宋_GB2312"/>
          <w:sz w:val="32"/>
          <w:szCs w:val="32"/>
        </w:rPr>
      </w:pPr>
      <w:bookmarkStart w:id="14" w:name="_Toc79163604"/>
      <w:bookmarkStart w:id="15" w:name="_Toc15377199"/>
      <w:bookmarkStart w:id="16" w:name="_Toc16142"/>
      <w:bookmarkStart w:id="17" w:name="_Toc15378446"/>
      <w:bookmarkStart w:id="18" w:name="_Toc79163854"/>
      <w:r>
        <w:rPr>
          <w:rFonts w:ascii="仿宋_GB2312" w:eastAsia="仿宋_GB2312" w:cs="仿宋_GB2312"/>
          <w:sz w:val="32"/>
          <w:szCs w:val="32"/>
        </w:rPr>
        <w:t>1.</w:t>
      </w:r>
      <w:r>
        <w:rPr>
          <w:rFonts w:hint="eastAsia" w:ascii="仿宋_GB2312" w:eastAsia="仿宋_GB2312" w:cs="仿宋_GB2312"/>
          <w:sz w:val="32"/>
          <w:szCs w:val="32"/>
        </w:rPr>
        <w:t>组织实施全县重大科技专项，组织参与国家、省州重大科技专项。统筹关键共性技术、前沿引领技术、现代工程技术、颠覆性技术研发和创新，牵头组织重大技术攻关和科技成果应用示范。</w:t>
      </w:r>
    </w:p>
    <w:p w14:paraId="385DCDED">
      <w:pPr>
        <w:pStyle w:val="16"/>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textAlignment w:val="auto"/>
        <w:outlineLvl w:val="2"/>
        <w:rPr>
          <w:rFonts w:ascii="仿宋_GB2312" w:eastAsia="仿宋_GB2312" w:cs="仿宋_GB2312"/>
          <w:sz w:val="32"/>
          <w:szCs w:val="32"/>
        </w:rPr>
      </w:pPr>
      <w:r>
        <w:rPr>
          <w:rFonts w:hint="eastAsia" w:ascii="仿宋_GB2312" w:eastAsia="仿宋_GB2312" w:cs="仿宋_GB2312"/>
          <w:sz w:val="32"/>
          <w:szCs w:val="32"/>
        </w:rPr>
        <w:t>2</w:t>
      </w:r>
      <w:r>
        <w:rPr>
          <w:rFonts w:ascii="仿宋_GB2312" w:eastAsia="仿宋_GB2312" w:cs="仿宋_GB2312"/>
          <w:sz w:val="32"/>
          <w:szCs w:val="32"/>
        </w:rPr>
        <w:t>.</w:t>
      </w:r>
      <w:r>
        <w:rPr>
          <w:rFonts w:hint="eastAsia" w:ascii="仿宋_GB2312" w:eastAsia="仿宋_GB2312" w:cs="仿宋_GB2312"/>
          <w:sz w:val="32"/>
          <w:szCs w:val="32"/>
        </w:rPr>
        <w:t>会同有关部门制定科技人才队伍建设规划，建立健全科技人才评价和激励机制，组织实施科技人才计划，推动科技创新人才队伍建设。</w:t>
      </w:r>
    </w:p>
    <w:p w14:paraId="7A5CDD71">
      <w:pPr>
        <w:pStyle w:val="16"/>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textAlignment w:val="auto"/>
        <w:outlineLvl w:val="2"/>
        <w:rPr>
          <w:rFonts w:ascii="仿宋_GB2312" w:eastAsia="仿宋_GB2312" w:cs="仿宋_GB2312"/>
          <w:sz w:val="32"/>
          <w:szCs w:val="32"/>
        </w:rPr>
      </w:pPr>
      <w:r>
        <w:rPr>
          <w:rFonts w:hint="eastAsia" w:ascii="仿宋_GB2312" w:eastAsia="仿宋_GB2312" w:cs="仿宋_GB2312"/>
          <w:sz w:val="32"/>
          <w:szCs w:val="32"/>
        </w:rPr>
        <w:t>3</w:t>
      </w:r>
      <w:r>
        <w:rPr>
          <w:rFonts w:ascii="仿宋_GB2312" w:eastAsia="仿宋_GB2312" w:cs="仿宋_GB2312"/>
          <w:sz w:val="32"/>
          <w:szCs w:val="32"/>
        </w:rPr>
        <w:t>.</w:t>
      </w:r>
      <w:r>
        <w:rPr>
          <w:rFonts w:hint="eastAsia" w:ascii="仿宋_GB2312" w:eastAsia="仿宋_GB2312" w:cs="仿宋_GB2312"/>
          <w:sz w:val="32"/>
          <w:szCs w:val="32"/>
        </w:rPr>
        <w:t>统筹研究和组织实施全县“三农”工作的发展战略、中长期规划、重大政策。贯彻执行国家有关种植业、畜牧业（草原牧业）、渔业、农业机械化、农垦等农业领域工作的法律法规、政策以及省、州、县关于“三农”工作方面的决策部署。</w:t>
      </w:r>
    </w:p>
    <w:p w14:paraId="4B0D988B">
      <w:pPr>
        <w:pStyle w:val="16"/>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textAlignment w:val="auto"/>
        <w:outlineLvl w:val="2"/>
        <w:rPr>
          <w:rFonts w:ascii="仿宋_GB2312" w:eastAsia="仿宋_GB2312" w:cs="仿宋_GB2312"/>
          <w:sz w:val="32"/>
          <w:szCs w:val="32"/>
        </w:rPr>
      </w:pPr>
      <w:r>
        <w:rPr>
          <w:rFonts w:hint="eastAsia" w:ascii="仿宋_GB2312" w:eastAsia="仿宋_GB2312" w:cs="仿宋_GB2312"/>
          <w:sz w:val="32"/>
          <w:szCs w:val="32"/>
        </w:rPr>
        <w:t>4</w:t>
      </w:r>
      <w:r>
        <w:rPr>
          <w:rFonts w:ascii="仿宋_GB2312" w:eastAsia="仿宋_GB2312" w:cs="仿宋_GB2312"/>
          <w:sz w:val="32"/>
          <w:szCs w:val="32"/>
        </w:rPr>
        <w:t>.</w:t>
      </w:r>
      <w:r>
        <w:rPr>
          <w:rFonts w:hint="eastAsia" w:ascii="仿宋_GB2312" w:eastAsia="仿宋_GB2312" w:cs="仿宋_GB2312"/>
          <w:sz w:val="32"/>
          <w:szCs w:val="32"/>
        </w:rPr>
        <w:t>统筹实施乡村振兴战略，牵头组织改善全县农村人居环境。统筹推动发展农村社会事业、农村公共服务、农村文化、农村基础设施和乡村治理。指导农业遗产的保护传承和开发利用。指导农村精神文明和优秀农耕文化建设。</w:t>
      </w:r>
    </w:p>
    <w:p w14:paraId="1FE16E64">
      <w:pPr>
        <w:pStyle w:val="16"/>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textAlignment w:val="auto"/>
        <w:outlineLvl w:val="2"/>
        <w:rPr>
          <w:rFonts w:hint="eastAsia" w:ascii="仿宋_GB2312" w:eastAsia="仿宋_GB2312" w:cs="仿宋_GB2312"/>
          <w:sz w:val="32"/>
          <w:szCs w:val="32"/>
        </w:rPr>
      </w:pPr>
      <w:bookmarkStart w:id="19" w:name="_Toc23906"/>
      <w:bookmarkStart w:id="20" w:name="_Toc6019"/>
      <w:bookmarkStart w:id="21" w:name="_Toc25818"/>
      <w:bookmarkStart w:id="22" w:name="_Toc30134"/>
      <w:r>
        <w:rPr>
          <w:rFonts w:hint="eastAsia" w:ascii="仿宋_GB2312" w:eastAsia="仿宋_GB2312" w:cs="仿宋_GB2312"/>
          <w:sz w:val="32"/>
          <w:szCs w:val="32"/>
        </w:rPr>
        <w:t>5</w:t>
      </w:r>
      <w:r>
        <w:rPr>
          <w:rFonts w:ascii="仿宋_GB2312" w:eastAsia="仿宋_GB2312" w:cs="仿宋_GB2312"/>
          <w:sz w:val="32"/>
          <w:szCs w:val="32"/>
        </w:rPr>
        <w:t>.</w:t>
      </w:r>
      <w:r>
        <w:rPr>
          <w:rFonts w:hint="eastAsia" w:ascii="仿宋_GB2312" w:eastAsia="仿宋_GB2312" w:cs="仿宋_GB2312"/>
          <w:sz w:val="32"/>
          <w:szCs w:val="32"/>
        </w:rPr>
        <w:t>深化全县农村经济体制改革和巩固完善农村基本经营制度。负责农民承包地、农村宅基地管理和改革有关工作。负责农村集体产权制度改革，指导农村集体经济组织发展、集体资产和财务管理工作。拟订农业产业化经营的发展规划并组织实施，指导农民合作经济组织、农业社会化服务体系、新型农业经营主体建设与发展。指导、监督减轻农民负担工作。</w:t>
      </w:r>
      <w:bookmarkEnd w:id="19"/>
      <w:bookmarkEnd w:id="20"/>
      <w:bookmarkEnd w:id="21"/>
      <w:bookmarkEnd w:id="22"/>
    </w:p>
    <w:p w14:paraId="47DFE14D">
      <w:pPr>
        <w:pStyle w:val="16"/>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textAlignment w:val="auto"/>
        <w:outlineLvl w:val="2"/>
        <w:rPr>
          <w:rFonts w:hint="eastAsia" w:ascii="仿宋_GB2312" w:eastAsia="仿宋_GB2312" w:cs="仿宋_GB2312"/>
          <w:sz w:val="32"/>
          <w:szCs w:val="32"/>
        </w:rPr>
      </w:pPr>
      <w:bookmarkStart w:id="23" w:name="_Toc11894"/>
      <w:bookmarkStart w:id="24" w:name="_Toc12359"/>
      <w:bookmarkStart w:id="25" w:name="_Toc21064"/>
      <w:r>
        <w:rPr>
          <w:rFonts w:hint="eastAsia" w:ascii="仿宋_GB2312" w:eastAsia="仿宋_GB2312" w:cs="仿宋_GB2312"/>
          <w:sz w:val="32"/>
          <w:szCs w:val="32"/>
        </w:rPr>
        <w:t>6.负责全县农产品质量安全监督管理。组织开展农产品质量安全监测、追溯、风险评估。发布有关农产品质量安全状况</w:t>
      </w:r>
      <w:r>
        <w:rPr>
          <w:rFonts w:hint="eastAsia" w:ascii="仿宋_GB2312" w:eastAsia="仿宋_GB2312" w:cs="仿宋_GB2312"/>
          <w:sz w:val="32"/>
          <w:szCs w:val="32"/>
          <w:highlight w:val="none"/>
        </w:rPr>
        <w:t>信息</w:t>
      </w:r>
      <w:r>
        <w:rPr>
          <w:rFonts w:hint="eastAsia" w:ascii="仿宋_GB2312" w:eastAsia="仿宋_GB2312" w:cs="仿宋_GB2312"/>
          <w:sz w:val="32"/>
          <w:szCs w:val="32"/>
          <w:highlight w:val="none"/>
          <w:lang w:val="en-US" w:eastAsia="zh-CN"/>
        </w:rPr>
        <w:t>、</w:t>
      </w:r>
      <w:r>
        <w:rPr>
          <w:rFonts w:hint="eastAsia" w:ascii="仿宋_GB2312" w:eastAsia="仿宋_GB2312" w:cs="仿宋_GB2312"/>
          <w:sz w:val="32"/>
          <w:szCs w:val="32"/>
        </w:rPr>
        <w:t>指导农业检验检测体系建设。依法组织实施符合安全标准的农产品生产基地认定、产品认证、农产品地理标志登记保护和监督管理。</w:t>
      </w:r>
      <w:bookmarkEnd w:id="23"/>
      <w:bookmarkEnd w:id="24"/>
      <w:bookmarkEnd w:id="25"/>
    </w:p>
    <w:p w14:paraId="081C2DE3">
      <w:pPr>
        <w:pStyle w:val="16"/>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textAlignment w:val="auto"/>
        <w:outlineLvl w:val="2"/>
        <w:rPr>
          <w:rFonts w:hint="eastAsia" w:ascii="仿宋_GB2312" w:eastAsia="仿宋_GB2312" w:cs="仿宋_GB2312"/>
          <w:sz w:val="32"/>
          <w:szCs w:val="32"/>
        </w:rPr>
      </w:pPr>
      <w:bookmarkStart w:id="26" w:name="_Toc9693"/>
      <w:bookmarkStart w:id="27" w:name="_Toc18861"/>
      <w:bookmarkStart w:id="28" w:name="_Toc11357"/>
      <w:r>
        <w:rPr>
          <w:rFonts w:hint="eastAsia" w:ascii="仿宋_GB2312" w:eastAsia="仿宋_GB2312" w:cs="仿宋_GB2312"/>
          <w:sz w:val="32"/>
          <w:szCs w:val="32"/>
        </w:rPr>
        <w:t>7.负责全县有关农业生产资料和农业投入品的监督管理。组织农业生产资料市场体系建设，承担农作物种子（种苗）、食用菌种、饲草良种、种畜禽、水产苗种、农药、兽药、饲料、饲料添加剂等农业生产资料的监督管理职责，牵头负责“瘦肉精”监督管理工作。监督管理兽医医疗器械、肥料。会同有关部门监督实施农业生产资料国家标准。组织兽医医政、兽药药政药检工作，负责执业兽医和畜禽屠宰行业管理。</w:t>
      </w:r>
      <w:bookmarkEnd w:id="26"/>
      <w:bookmarkEnd w:id="27"/>
      <w:bookmarkEnd w:id="28"/>
    </w:p>
    <w:p w14:paraId="39E25FEA">
      <w:pPr>
        <w:pStyle w:val="16"/>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textAlignment w:val="auto"/>
        <w:outlineLvl w:val="2"/>
        <w:rPr>
          <w:rFonts w:hint="eastAsia" w:ascii="仿宋_GB2312" w:eastAsia="仿宋_GB2312" w:cs="仿宋_GB2312"/>
          <w:sz w:val="32"/>
          <w:szCs w:val="32"/>
        </w:rPr>
      </w:pPr>
      <w:bookmarkStart w:id="29" w:name="_Toc18038"/>
      <w:bookmarkStart w:id="30" w:name="_Toc16014"/>
      <w:bookmarkStart w:id="31" w:name="_Toc24760"/>
      <w:r>
        <w:rPr>
          <w:rFonts w:hint="eastAsia" w:ascii="仿宋_GB2312" w:eastAsia="仿宋_GB2312" w:cs="仿宋_GB2312"/>
          <w:sz w:val="32"/>
          <w:szCs w:val="32"/>
        </w:rPr>
        <w:t>8.负责全县农业防灾减灾、农作物重大病虫害防治工作。指导动植物防疫检疫体系建设，组织监督管理县内动植物防疫检疫工作，发布疫情并组织扑灭。组织植物检疫性有害生物普查。牵头管理外来农业物种。监测、核查、发布农业灾情，组织种子、种苗、化肥、兽药等农业生产救灾物资的储备和调拨，提出生产救灾资金安排建议，指导紧急救灾和灾后生产恢复。</w:t>
      </w:r>
      <w:bookmarkEnd w:id="29"/>
      <w:bookmarkEnd w:id="30"/>
      <w:bookmarkEnd w:id="31"/>
    </w:p>
    <w:p w14:paraId="69236BE3">
      <w:pPr>
        <w:pStyle w:val="16"/>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textAlignment w:val="auto"/>
        <w:outlineLvl w:val="2"/>
        <w:rPr>
          <w:rFonts w:hint="eastAsia" w:ascii="仿宋_GB2312" w:eastAsia="仿宋_GB2312" w:cs="仿宋_GB2312"/>
          <w:sz w:val="32"/>
          <w:szCs w:val="32"/>
        </w:rPr>
      </w:pPr>
      <w:bookmarkStart w:id="32" w:name="_Toc4303"/>
      <w:bookmarkStart w:id="33" w:name="_Toc1933"/>
      <w:bookmarkStart w:id="34" w:name="_Toc27141"/>
      <w:r>
        <w:rPr>
          <w:rFonts w:hint="eastAsia" w:ascii="仿宋_GB2312" w:eastAsia="仿宋_GB2312" w:cs="仿宋_GB2312"/>
          <w:sz w:val="32"/>
          <w:szCs w:val="32"/>
        </w:rPr>
        <w:t>9.负责全县农田建设管理。拟订农田建设发展规划，提出农田建设项目需求建议。负责全县农田建设管理、高标准农田建设和耕地质量管理。编制农业综合开发涉及农田建设项目、农田整治项目、农田水利建设项目的计划，并组织实施和管理。</w:t>
      </w:r>
      <w:bookmarkEnd w:id="32"/>
      <w:bookmarkEnd w:id="33"/>
      <w:bookmarkEnd w:id="34"/>
    </w:p>
    <w:p w14:paraId="2ECA5750">
      <w:pPr>
        <w:pStyle w:val="16"/>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textAlignment w:val="auto"/>
        <w:outlineLvl w:val="2"/>
        <w:rPr>
          <w:rFonts w:hint="eastAsia" w:ascii="仿宋_GB2312" w:eastAsia="仿宋_GB2312" w:cs="仿宋_GB2312"/>
          <w:sz w:val="32"/>
          <w:szCs w:val="32"/>
        </w:rPr>
      </w:pPr>
      <w:bookmarkStart w:id="35" w:name="_Toc29378"/>
      <w:bookmarkStart w:id="36" w:name="_Toc1051"/>
      <w:bookmarkStart w:id="37" w:name="_Toc14965"/>
      <w:r>
        <w:rPr>
          <w:rFonts w:hint="eastAsia" w:ascii="仿宋_GB2312" w:eastAsia="仿宋_GB2312" w:cs="仿宋_GB2312"/>
          <w:sz w:val="32"/>
          <w:szCs w:val="32"/>
        </w:rPr>
        <w:t>10.负责职责范围内的安全生产、生态环境保护、审批服务便民化等工作。</w:t>
      </w:r>
      <w:bookmarkEnd w:id="35"/>
      <w:bookmarkEnd w:id="36"/>
      <w:bookmarkEnd w:id="37"/>
    </w:p>
    <w:p w14:paraId="318D6B26">
      <w:pPr>
        <w:pStyle w:val="16"/>
        <w:pageBreakBefore w:val="0"/>
        <w:widowControl w:val="0"/>
        <w:shd w:val="clear" w:color="auto" w:fill="FFFFFF"/>
        <w:kinsoku/>
        <w:wordWrap/>
        <w:overflowPunct/>
        <w:topLinePunct w:val="0"/>
        <w:autoSpaceDE/>
        <w:autoSpaceDN/>
        <w:bidi w:val="0"/>
        <w:adjustRightInd/>
        <w:snapToGrid/>
        <w:spacing w:before="0" w:beforeAutospacing="0" w:after="0" w:afterAutospacing="0" w:line="576" w:lineRule="exact"/>
        <w:ind w:firstLine="640" w:firstLineChars="200"/>
        <w:textAlignment w:val="auto"/>
        <w:outlineLvl w:val="2"/>
        <w:rPr>
          <w:rFonts w:hint="eastAsia" w:ascii="仿宋_GB2312" w:eastAsia="仿宋_GB2312" w:cs="仿宋_GB2312"/>
          <w:sz w:val="32"/>
          <w:szCs w:val="32"/>
        </w:rPr>
      </w:pPr>
      <w:bookmarkStart w:id="38" w:name="_Toc10528"/>
      <w:bookmarkStart w:id="39" w:name="_Toc23673"/>
      <w:bookmarkStart w:id="40" w:name="_Toc30287"/>
      <w:r>
        <w:rPr>
          <w:rFonts w:hint="eastAsia" w:ascii="仿宋_GB2312" w:eastAsia="仿宋_GB2312" w:cs="仿宋_GB2312"/>
          <w:sz w:val="32"/>
          <w:szCs w:val="32"/>
        </w:rPr>
        <w:t>11.完成县委、县政府交办的其他任务。</w:t>
      </w:r>
      <w:bookmarkEnd w:id="38"/>
      <w:bookmarkEnd w:id="39"/>
      <w:bookmarkEnd w:id="40"/>
      <w:bookmarkStart w:id="41" w:name="_Toc21460"/>
    </w:p>
    <w:bookmarkEnd w:id="14"/>
    <w:bookmarkEnd w:id="15"/>
    <w:bookmarkEnd w:id="16"/>
    <w:bookmarkEnd w:id="17"/>
    <w:bookmarkEnd w:id="18"/>
    <w:bookmarkEnd w:id="41"/>
    <w:p w14:paraId="67E5E11B">
      <w:pPr>
        <w:pStyle w:val="16"/>
        <w:pageBreakBefore w:val="0"/>
        <w:shd w:val="clear" w:color="auto" w:fill="FFFFFF"/>
        <w:kinsoku/>
        <w:wordWrap/>
        <w:overflowPunct/>
        <w:topLinePunct w:val="0"/>
        <w:autoSpaceDE/>
        <w:autoSpaceDN/>
        <w:bidi w:val="0"/>
        <w:spacing w:before="0" w:beforeAutospacing="0" w:after="0" w:afterAutospacing="0" w:line="576" w:lineRule="exact"/>
        <w:ind w:firstLine="640" w:firstLineChars="200"/>
        <w:textAlignment w:val="auto"/>
        <w:outlineLvl w:val="1"/>
        <w:rPr>
          <w:rFonts w:hint="eastAsia" w:ascii="黑体" w:eastAsia="黑体" w:cs="黑体"/>
          <w:b w:val="0"/>
          <w:bCs w:val="0"/>
          <w:kern w:val="0"/>
          <w:sz w:val="32"/>
          <w:szCs w:val="32"/>
          <w:lang w:val="en-US" w:eastAsia="zh-CN"/>
        </w:rPr>
      </w:pPr>
      <w:bookmarkStart w:id="42" w:name="_Toc22021"/>
      <w:bookmarkStart w:id="43" w:name="_Toc2035707600"/>
      <w:bookmarkStart w:id="44" w:name="_Toc23373"/>
      <w:r>
        <w:rPr>
          <w:rFonts w:hint="eastAsia" w:ascii="黑体" w:eastAsia="黑体" w:cs="黑体"/>
          <w:b w:val="0"/>
          <w:bCs w:val="0"/>
          <w:kern w:val="0"/>
          <w:sz w:val="32"/>
          <w:szCs w:val="32"/>
          <w:lang w:val="en-US" w:eastAsia="zh-CN"/>
        </w:rPr>
        <w:t>二、机构设置</w:t>
      </w:r>
      <w:bookmarkEnd w:id="42"/>
      <w:bookmarkEnd w:id="43"/>
      <w:bookmarkEnd w:id="44"/>
    </w:p>
    <w:p w14:paraId="124AF30D">
      <w:pPr>
        <w:pStyle w:val="16"/>
        <w:pageBreakBefore w:val="0"/>
        <w:shd w:val="clear" w:color="auto" w:fill="FFFFFF"/>
        <w:kinsoku/>
        <w:wordWrap/>
        <w:overflowPunct/>
        <w:topLinePunct w:val="0"/>
        <w:autoSpaceDE/>
        <w:autoSpaceDN/>
        <w:bidi w:val="0"/>
        <w:spacing w:before="0" w:beforeAutospacing="0" w:after="0" w:afterAutospacing="0" w:line="576" w:lineRule="exact"/>
        <w:ind w:firstLine="640" w:firstLineChars="200"/>
        <w:textAlignment w:val="auto"/>
        <w:outlineLvl w:val="2"/>
        <w:rPr>
          <w:rFonts w:hint="default" w:ascii="仿宋_GB2312" w:eastAsia="仿宋" w:cs="仿宋_GB2312"/>
          <w:sz w:val="32"/>
          <w:szCs w:val="32"/>
          <w:lang w:val="en-US" w:eastAsia="zh-CN"/>
        </w:rPr>
      </w:pPr>
      <w:r>
        <w:rPr>
          <w:rFonts w:hint="eastAsia" w:ascii="仿宋_GB2312" w:eastAsia="仿宋_GB2312" w:cs="仿宋_GB2312"/>
          <w:sz w:val="32"/>
          <w:szCs w:val="32"/>
          <w:lang w:val="en-US" w:eastAsia="zh-CN"/>
        </w:rPr>
        <w:t>茂县科学技术和农业畜牧局</w:t>
      </w:r>
      <w:r>
        <w:rPr>
          <w:rFonts w:hint="eastAsia" w:ascii="仿宋" w:hAnsi="仿宋" w:eastAsia="仿宋"/>
          <w:color w:val="auto"/>
          <w:sz w:val="32"/>
          <w:szCs w:val="32"/>
          <w:highlight w:val="none"/>
          <w:lang w:val="en-US" w:eastAsia="zh-CN"/>
        </w:rPr>
        <w:t>下属二级决算单位3个，其中行政单位1个，参照公务员法管理的事业单位0个，其他事业单位2个。</w:t>
      </w:r>
    </w:p>
    <w:p w14:paraId="701B2E56">
      <w:pPr>
        <w:pStyle w:val="9"/>
        <w:pageBreakBefore w:val="0"/>
        <w:kinsoku/>
        <w:wordWrap/>
        <w:overflowPunct/>
        <w:topLinePunct w:val="0"/>
        <w:autoSpaceDE/>
        <w:autoSpaceDN/>
        <w:bidi w:val="0"/>
        <w:adjustRightInd w:val="0"/>
        <w:snapToGrid w:val="0"/>
        <w:spacing w:before="0" w:beforeLines="0" w:beforeAutospacing="0" w:afterAutospacing="0" w:line="576" w:lineRule="exact"/>
        <w:ind w:firstLine="640" w:firstLineChars="200"/>
        <w:textAlignment w:val="auto"/>
        <w:rPr>
          <w:rFonts w:hint="eastAsia" w:ascii="仿宋" w:hAnsi="仿宋" w:eastAsia="仿宋" w:cs="Times New Roman"/>
          <w:color w:val="auto"/>
          <w:kern w:val="0"/>
          <w:sz w:val="32"/>
          <w:szCs w:val="32"/>
          <w:highlight w:val="none"/>
          <w:lang w:val="en-US" w:eastAsia="zh-CN" w:bidi="ar-SA"/>
        </w:rPr>
      </w:pPr>
      <w:r>
        <w:rPr>
          <w:rFonts w:hint="eastAsia" w:ascii="仿宋" w:hAnsi="仿宋" w:eastAsia="仿宋" w:cs="Times New Roman"/>
          <w:color w:val="auto"/>
          <w:kern w:val="0"/>
          <w:sz w:val="32"/>
          <w:szCs w:val="32"/>
          <w:highlight w:val="none"/>
          <w:lang w:val="en-US" w:eastAsia="zh-CN" w:bidi="ar-SA"/>
        </w:rPr>
        <w:t>纳入茂县科学技术和农业畜牧局2025年度部门决算编制范围的二级预算单位包括：</w:t>
      </w:r>
    </w:p>
    <w:p w14:paraId="51F87BAE">
      <w:pPr>
        <w:pStyle w:val="9"/>
        <w:pageBreakBefore w:val="0"/>
        <w:numPr>
          <w:ilvl w:val="0"/>
          <w:numId w:val="0"/>
        </w:numPr>
        <w:kinsoku/>
        <w:wordWrap/>
        <w:overflowPunct/>
        <w:topLinePunct w:val="0"/>
        <w:autoSpaceDE/>
        <w:autoSpaceDN/>
        <w:bidi w:val="0"/>
        <w:adjustRightInd w:val="0"/>
        <w:snapToGrid w:val="0"/>
        <w:spacing w:before="0" w:beforeLines="0" w:beforeAutospacing="0" w:afterAutospacing="0" w:line="576" w:lineRule="exact"/>
        <w:ind w:firstLine="640" w:firstLineChars="200"/>
        <w:textAlignment w:val="auto"/>
        <w:rPr>
          <w:rFonts w:hint="eastAsia" w:ascii="仿宋" w:hAnsi="仿宋" w:eastAsia="仿宋" w:cs="Times New Roman"/>
          <w:color w:val="auto"/>
          <w:kern w:val="0"/>
          <w:sz w:val="32"/>
          <w:szCs w:val="32"/>
          <w:highlight w:val="none"/>
          <w:lang w:val="en-US" w:eastAsia="zh-CN" w:bidi="ar-SA"/>
        </w:rPr>
      </w:pPr>
      <w:r>
        <w:rPr>
          <w:rFonts w:hint="eastAsia" w:ascii="仿宋" w:hAnsi="仿宋" w:eastAsia="仿宋" w:cs="Times New Roman"/>
          <w:color w:val="auto"/>
          <w:kern w:val="0"/>
          <w:sz w:val="32"/>
          <w:szCs w:val="32"/>
          <w:highlight w:val="none"/>
          <w:lang w:val="en-US" w:eastAsia="zh-CN" w:bidi="ar-SA"/>
        </w:rPr>
        <w:t>1.茂县科学技术和农业畜牧局（行政）。</w:t>
      </w:r>
    </w:p>
    <w:p w14:paraId="72FF4782">
      <w:pPr>
        <w:pStyle w:val="9"/>
        <w:pageBreakBefore w:val="0"/>
        <w:numPr>
          <w:ilvl w:val="0"/>
          <w:numId w:val="0"/>
        </w:numPr>
        <w:kinsoku/>
        <w:wordWrap/>
        <w:overflowPunct/>
        <w:topLinePunct w:val="0"/>
        <w:autoSpaceDE/>
        <w:autoSpaceDN/>
        <w:bidi w:val="0"/>
        <w:adjustRightInd w:val="0"/>
        <w:snapToGrid w:val="0"/>
        <w:spacing w:before="0" w:beforeLines="0" w:beforeAutospacing="0" w:afterAutospacing="0" w:line="576" w:lineRule="exact"/>
        <w:ind w:firstLine="640" w:firstLineChars="200"/>
        <w:textAlignment w:val="auto"/>
        <w:rPr>
          <w:rFonts w:hint="default" w:ascii="仿宋" w:hAnsi="仿宋" w:eastAsia="仿宋" w:cs="Times New Roman"/>
          <w:color w:val="auto"/>
          <w:kern w:val="0"/>
          <w:sz w:val="32"/>
          <w:szCs w:val="32"/>
          <w:highlight w:val="none"/>
          <w:lang w:val="en-US" w:eastAsia="zh-CN" w:bidi="ar-SA"/>
        </w:rPr>
      </w:pPr>
      <w:r>
        <w:rPr>
          <w:rFonts w:hint="eastAsia" w:ascii="仿宋" w:hAnsi="仿宋" w:eastAsia="仿宋" w:cs="Times New Roman"/>
          <w:color w:val="auto"/>
          <w:kern w:val="0"/>
          <w:sz w:val="32"/>
          <w:szCs w:val="32"/>
          <w:highlight w:val="none"/>
          <w:lang w:val="en-US" w:eastAsia="zh-CN" w:bidi="ar-SA"/>
        </w:rPr>
        <w:t>2.茂县科教站(事业)。</w:t>
      </w:r>
    </w:p>
    <w:p w14:paraId="66875B2C">
      <w:pPr>
        <w:pStyle w:val="9"/>
        <w:pageBreakBefore w:val="0"/>
        <w:numPr>
          <w:ilvl w:val="0"/>
          <w:numId w:val="0"/>
        </w:numPr>
        <w:kinsoku/>
        <w:wordWrap/>
        <w:overflowPunct/>
        <w:topLinePunct w:val="0"/>
        <w:autoSpaceDE/>
        <w:autoSpaceDN/>
        <w:bidi w:val="0"/>
        <w:adjustRightInd w:val="0"/>
        <w:snapToGrid w:val="0"/>
        <w:spacing w:before="0" w:beforeLines="0" w:beforeAutospacing="0" w:afterAutospacing="0" w:line="576" w:lineRule="exact"/>
        <w:ind w:firstLine="640" w:firstLineChars="200"/>
        <w:textAlignment w:val="auto"/>
        <w:rPr>
          <w:rFonts w:hint="eastAsia" w:ascii="仿宋" w:hAnsi="仿宋" w:eastAsia="仿宋" w:cs="Times New Roman"/>
          <w:color w:val="auto"/>
          <w:kern w:val="0"/>
          <w:sz w:val="32"/>
          <w:szCs w:val="32"/>
          <w:highlight w:val="none"/>
          <w:lang w:val="en-US" w:eastAsia="zh-CN" w:bidi="ar-SA"/>
        </w:rPr>
      </w:pPr>
      <w:r>
        <w:rPr>
          <w:rFonts w:hint="eastAsia" w:ascii="仿宋" w:hAnsi="仿宋" w:eastAsia="仿宋" w:cs="Times New Roman"/>
          <w:color w:val="auto"/>
          <w:kern w:val="0"/>
          <w:sz w:val="32"/>
          <w:szCs w:val="32"/>
          <w:highlight w:val="none"/>
          <w:lang w:val="en-US" w:eastAsia="zh-CN" w:bidi="ar-SA"/>
        </w:rPr>
        <w:t>3.茂县生产力促进中心（事业）。</w:t>
      </w:r>
    </w:p>
    <w:p w14:paraId="1088DFBC">
      <w:pPr>
        <w:pStyle w:val="16"/>
        <w:shd w:val="clear" w:color="auto" w:fill="FFFFFF"/>
        <w:spacing w:beforeAutospacing="0" w:afterAutospacing="0" w:line="560" w:lineRule="exact"/>
        <w:ind w:firstLine="640" w:firstLineChars="200"/>
        <w:outlineLvl w:val="2"/>
        <w:rPr>
          <w:rFonts w:hint="eastAsia" w:ascii="仿宋_GB2312" w:eastAsia="仿宋_GB2312" w:cs="仿宋_GB2312"/>
          <w:sz w:val="32"/>
          <w:szCs w:val="32"/>
          <w:lang w:val="en-US" w:eastAsia="zh-CN"/>
        </w:rPr>
      </w:pPr>
    </w:p>
    <w:p w14:paraId="77996484">
      <w:pPr>
        <w:pStyle w:val="16"/>
        <w:shd w:val="clear" w:color="auto" w:fill="FFFFFF"/>
        <w:spacing w:beforeAutospacing="0" w:afterAutospacing="0" w:line="560" w:lineRule="exact"/>
        <w:ind w:firstLine="640" w:firstLineChars="200"/>
        <w:outlineLvl w:val="2"/>
        <w:rPr>
          <w:rFonts w:hint="eastAsia" w:ascii="仿宋_GB2312" w:eastAsia="仿宋_GB2312" w:cs="仿宋_GB2312"/>
          <w:sz w:val="32"/>
          <w:szCs w:val="32"/>
          <w:lang w:val="en-US" w:eastAsia="zh-CN"/>
        </w:rPr>
      </w:pPr>
    </w:p>
    <w:p w14:paraId="54F38D83">
      <w:pPr>
        <w:pStyle w:val="16"/>
        <w:shd w:val="clear" w:color="auto" w:fill="FFFFFF"/>
        <w:spacing w:beforeAutospacing="0" w:afterAutospacing="0" w:line="560" w:lineRule="exact"/>
        <w:ind w:firstLine="640" w:firstLineChars="200"/>
        <w:outlineLvl w:val="2"/>
        <w:rPr>
          <w:rFonts w:hint="eastAsia" w:ascii="仿宋_GB2312" w:eastAsia="仿宋_GB2312" w:cs="仿宋_GB2312"/>
          <w:sz w:val="32"/>
          <w:szCs w:val="32"/>
          <w:lang w:val="en-US" w:eastAsia="zh-CN"/>
        </w:rPr>
      </w:pPr>
    </w:p>
    <w:p w14:paraId="00C6D27A">
      <w:pPr>
        <w:pStyle w:val="16"/>
        <w:shd w:val="clear" w:color="auto" w:fill="FFFFFF"/>
        <w:spacing w:beforeAutospacing="0" w:afterAutospacing="0" w:line="560" w:lineRule="exact"/>
        <w:ind w:firstLine="640" w:firstLineChars="200"/>
        <w:outlineLvl w:val="2"/>
        <w:rPr>
          <w:rFonts w:hint="eastAsia" w:ascii="仿宋_GB2312" w:eastAsia="仿宋_GB2312" w:cs="仿宋_GB2312"/>
          <w:sz w:val="32"/>
          <w:szCs w:val="32"/>
          <w:lang w:val="en-US" w:eastAsia="zh-CN"/>
        </w:rPr>
      </w:pPr>
    </w:p>
    <w:p w14:paraId="7702EDA8">
      <w:pPr>
        <w:pStyle w:val="16"/>
        <w:shd w:val="clear" w:color="auto" w:fill="FFFFFF"/>
        <w:spacing w:beforeAutospacing="0" w:afterAutospacing="0" w:line="560" w:lineRule="exact"/>
        <w:ind w:firstLine="640" w:firstLineChars="200"/>
        <w:outlineLvl w:val="2"/>
        <w:rPr>
          <w:rFonts w:hint="eastAsia" w:ascii="仿宋_GB2312" w:eastAsia="仿宋_GB2312" w:cs="仿宋_GB2312"/>
          <w:sz w:val="32"/>
          <w:szCs w:val="32"/>
          <w:lang w:val="en-US" w:eastAsia="zh-CN"/>
        </w:rPr>
      </w:pPr>
    </w:p>
    <w:p w14:paraId="248421C3">
      <w:pPr>
        <w:pStyle w:val="16"/>
        <w:shd w:val="clear" w:color="auto" w:fill="FFFFFF"/>
        <w:spacing w:beforeAutospacing="0" w:afterAutospacing="0" w:line="560" w:lineRule="exact"/>
        <w:ind w:firstLine="640" w:firstLineChars="200"/>
        <w:outlineLvl w:val="2"/>
        <w:rPr>
          <w:rFonts w:hint="eastAsia" w:ascii="仿宋_GB2312" w:eastAsia="仿宋_GB2312" w:cs="仿宋_GB2312"/>
          <w:sz w:val="32"/>
          <w:szCs w:val="32"/>
          <w:lang w:val="en-US" w:eastAsia="zh-CN"/>
        </w:rPr>
      </w:pPr>
    </w:p>
    <w:p w14:paraId="18438712">
      <w:pPr>
        <w:pStyle w:val="16"/>
        <w:shd w:val="clear" w:color="auto" w:fill="FFFFFF"/>
        <w:spacing w:beforeAutospacing="0" w:afterAutospacing="0" w:line="560" w:lineRule="exact"/>
        <w:outlineLvl w:val="2"/>
        <w:rPr>
          <w:rFonts w:hint="eastAsia" w:ascii="仿宋_GB2312" w:eastAsia="仿宋_GB2312" w:cs="仿宋_GB2312"/>
          <w:sz w:val="32"/>
          <w:szCs w:val="32"/>
          <w:lang w:val="en-US" w:eastAsia="zh-CN"/>
        </w:rPr>
      </w:pPr>
    </w:p>
    <w:p w14:paraId="31D09ACF">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firstLine="640" w:firstLineChars="200"/>
        <w:jc w:val="center"/>
        <w:textAlignment w:val="auto"/>
        <w:outlineLvl w:val="0"/>
        <w:rPr>
          <w:rFonts w:hint="eastAsia" w:ascii="仿宋_GB2312" w:eastAsia="仿宋_GB2312" w:cs="仿宋_GB2312"/>
          <w:sz w:val="32"/>
          <w:szCs w:val="32"/>
          <w:lang w:val="en-US" w:eastAsia="zh-CN"/>
        </w:rPr>
      </w:pPr>
    </w:p>
    <w:p w14:paraId="1B7BFD65">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firstLine="640" w:firstLineChars="200"/>
        <w:jc w:val="center"/>
        <w:textAlignment w:val="auto"/>
        <w:outlineLvl w:val="0"/>
        <w:rPr>
          <w:rFonts w:hint="eastAsia" w:ascii="仿宋_GB2312" w:eastAsia="仿宋_GB2312" w:cs="仿宋_GB2312"/>
          <w:sz w:val="32"/>
          <w:szCs w:val="32"/>
          <w:lang w:val="en-US" w:eastAsia="zh-CN"/>
        </w:rPr>
      </w:pPr>
    </w:p>
    <w:p w14:paraId="4D479564">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jc w:val="center"/>
        <w:textAlignment w:val="auto"/>
        <w:outlineLvl w:val="0"/>
        <w:rPr>
          <w:rFonts w:hint="eastAsia" w:ascii="黑体" w:eastAsia="黑体" w:cs="Times New Roman"/>
          <w:b w:val="0"/>
          <w:sz w:val="44"/>
          <w:szCs w:val="44"/>
          <w:lang w:bidi="ar-SA"/>
        </w:rPr>
      </w:pPr>
      <w:bookmarkStart w:id="45" w:name="_Toc385521937"/>
      <w:bookmarkStart w:id="46" w:name="_Toc29163"/>
      <w:bookmarkStart w:id="47" w:name="_Toc23191"/>
      <w:bookmarkStart w:id="48" w:name="_Toc12955"/>
      <w:r>
        <w:rPr>
          <w:rFonts w:hint="eastAsia" w:ascii="黑体" w:eastAsia="黑体" w:cs="Times New Roman"/>
          <w:b w:val="0"/>
          <w:sz w:val="44"/>
          <w:szCs w:val="44"/>
          <w:lang w:bidi="ar-SA"/>
        </w:rPr>
        <w:t xml:space="preserve">第二部分 </w:t>
      </w:r>
      <w:r>
        <w:rPr>
          <w:rFonts w:hint="eastAsia" w:ascii="黑体" w:eastAsia="黑体" w:cs="Times New Roman"/>
          <w:b w:val="0"/>
          <w:sz w:val="44"/>
          <w:szCs w:val="44"/>
          <w:lang w:eastAsia="zh-CN" w:bidi="ar-SA"/>
        </w:rPr>
        <w:t>2025</w:t>
      </w:r>
      <w:r>
        <w:rPr>
          <w:rFonts w:hint="eastAsia" w:ascii="黑体" w:eastAsia="黑体" w:cs="Times New Roman"/>
          <w:b w:val="0"/>
          <w:sz w:val="44"/>
          <w:szCs w:val="44"/>
          <w:lang w:bidi="ar-SA"/>
        </w:rPr>
        <w:t>年度部门决算情况说明</w:t>
      </w:r>
      <w:bookmarkEnd w:id="45"/>
      <w:bookmarkEnd w:id="46"/>
      <w:bookmarkEnd w:id="47"/>
      <w:bookmarkEnd w:id="48"/>
    </w:p>
    <w:p w14:paraId="776BCF7C">
      <w:pPr>
        <w:pStyle w:val="25"/>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outlineLvl w:val="1"/>
        <w:rPr>
          <w:rFonts w:hint="eastAsia" w:ascii="黑体" w:eastAsia="黑体" w:cs="Times New Roman"/>
          <w:color w:val="000000"/>
          <w:sz w:val="32"/>
          <w:szCs w:val="32"/>
        </w:rPr>
      </w:pPr>
      <w:bookmarkStart w:id="49" w:name="_Toc9684"/>
      <w:bookmarkStart w:id="50" w:name="_Toc1124750094"/>
      <w:bookmarkStart w:id="51" w:name="_Toc29487"/>
      <w:r>
        <w:rPr>
          <w:rFonts w:hint="eastAsia" w:ascii="黑体" w:eastAsia="黑体" w:cs="Times New Roman"/>
          <w:color w:val="000000"/>
          <w:sz w:val="32"/>
          <w:szCs w:val="32"/>
          <w:lang w:val="en-US" w:eastAsia="zh-CN"/>
        </w:rPr>
        <w:t>一、</w:t>
      </w:r>
      <w:r>
        <w:rPr>
          <w:rFonts w:hint="eastAsia" w:ascii="黑体" w:eastAsia="黑体" w:cs="Times New Roman"/>
          <w:color w:val="000000"/>
          <w:sz w:val="32"/>
          <w:szCs w:val="32"/>
        </w:rPr>
        <w:t>收入支出决算总体情况说明</w:t>
      </w:r>
      <w:bookmarkEnd w:id="49"/>
      <w:bookmarkEnd w:id="50"/>
      <w:bookmarkEnd w:id="51"/>
    </w:p>
    <w:p w14:paraId="010F9FC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sz w:val="32"/>
          <w:szCs w:val="32"/>
        </w:rPr>
      </w:pPr>
      <w:bookmarkStart w:id="52" w:name="_Toc27396"/>
      <w:r>
        <w:rPr>
          <w:rFonts w:hint="eastAsia" w:ascii="仿宋_GB2312" w:hAnsi="Calibri" w:eastAsia="仿宋_GB2312" w:cs="仿宋_GB2312"/>
          <w:kern w:val="2"/>
          <w:sz w:val="32"/>
          <w:szCs w:val="32"/>
          <w:lang w:eastAsia="zh-CN"/>
        </w:rPr>
        <w:t>2025</w:t>
      </w:r>
      <w:r>
        <w:rPr>
          <w:rFonts w:ascii="仿宋_GB2312" w:hAnsi="Calibri" w:eastAsia="仿宋_GB2312" w:cs="仿宋_GB2312"/>
          <w:kern w:val="2"/>
          <w:sz w:val="32"/>
          <w:szCs w:val="32"/>
        </w:rPr>
        <w:t>年度收</w:t>
      </w:r>
      <w:r>
        <w:rPr>
          <w:rFonts w:hint="eastAsia" w:ascii="仿宋_GB2312" w:hAnsi="Calibri" w:eastAsia="仿宋_GB2312" w:cs="仿宋_GB2312"/>
          <w:kern w:val="2"/>
          <w:sz w:val="32"/>
          <w:szCs w:val="32"/>
          <w:lang w:eastAsia="zh-CN"/>
        </w:rPr>
        <w:t>入</w:t>
      </w:r>
      <w:r>
        <w:rPr>
          <w:rFonts w:hint="eastAsia" w:ascii="仿宋_GB2312" w:eastAsia="仿宋_GB2312" w:cs="仿宋_GB2312"/>
          <w:kern w:val="2"/>
          <w:sz w:val="32"/>
          <w:szCs w:val="32"/>
          <w:lang w:eastAsia="zh-CN"/>
        </w:rPr>
        <w:t>、支出总计均为</w:t>
      </w:r>
      <w:r>
        <w:rPr>
          <w:rFonts w:hint="eastAsia" w:ascii="仿宋_GB2312" w:eastAsia="仿宋_GB2312" w:cs="仿宋_GB2312"/>
          <w:kern w:val="2"/>
          <w:sz w:val="32"/>
          <w:szCs w:val="32"/>
          <w:lang w:val="en-US" w:eastAsia="zh-CN"/>
        </w:rPr>
        <w:t>14289.64</w:t>
      </w:r>
      <w:r>
        <w:rPr>
          <w:rFonts w:hint="eastAsia" w:ascii="仿宋_GB2312" w:hAnsi="Calibri" w:eastAsia="仿宋_GB2312" w:cs="仿宋_GB2312"/>
          <w:kern w:val="2"/>
          <w:sz w:val="32"/>
          <w:szCs w:val="32"/>
          <w:lang w:val="en-US" w:eastAsia="zh-CN"/>
        </w:rPr>
        <w:t>万元</w:t>
      </w:r>
      <w:r>
        <w:rPr>
          <w:rFonts w:hint="eastAsia" w:ascii="仿宋_GB2312" w:eastAsia="仿宋_GB2312" w:cs="仿宋_GB2312"/>
          <w:kern w:val="2"/>
          <w:sz w:val="32"/>
          <w:szCs w:val="32"/>
          <w:lang w:val="en-US" w:eastAsia="zh-CN"/>
        </w:rPr>
        <w:t>。</w:t>
      </w:r>
      <w:r>
        <w:rPr>
          <w:rFonts w:hint="eastAsia" w:ascii="仿宋_GB2312" w:eastAsia="仿宋_GB2312" w:cs="仿宋_GB2312"/>
          <w:kern w:val="2"/>
          <w:sz w:val="32"/>
          <w:szCs w:val="32"/>
          <w:highlight w:val="none"/>
          <w:lang w:val="en-US" w:eastAsia="zh-CN"/>
        </w:rPr>
        <w:t>与</w:t>
      </w:r>
      <w:r>
        <w:rPr>
          <w:rFonts w:hint="eastAsia" w:ascii="仿宋_GB2312" w:eastAsia="仿宋_GB2312" w:cs="仿宋_GB2312"/>
          <w:kern w:val="2"/>
          <w:sz w:val="32"/>
          <w:szCs w:val="32"/>
          <w:highlight w:val="none"/>
          <w:lang w:eastAsia="zh-CN"/>
        </w:rPr>
        <w:t>上</w:t>
      </w:r>
      <w:r>
        <w:rPr>
          <w:rFonts w:ascii="仿宋_GB2312" w:hAnsi="Calibri" w:eastAsia="仿宋_GB2312" w:cs="仿宋_GB2312"/>
          <w:kern w:val="2"/>
          <w:sz w:val="32"/>
          <w:szCs w:val="32"/>
          <w:highlight w:val="none"/>
        </w:rPr>
        <w:t>年</w:t>
      </w:r>
      <w:r>
        <w:rPr>
          <w:rFonts w:hint="eastAsia" w:ascii="仿宋_GB2312" w:eastAsia="仿宋_GB2312" w:cs="仿宋_GB2312"/>
          <w:kern w:val="2"/>
          <w:sz w:val="32"/>
          <w:szCs w:val="32"/>
          <w:highlight w:val="none"/>
          <w:lang w:eastAsia="zh-CN"/>
        </w:rPr>
        <w:t>度</w:t>
      </w:r>
      <w:r>
        <w:rPr>
          <w:rFonts w:ascii="仿宋_GB2312" w:hAnsi="Calibri" w:eastAsia="仿宋_GB2312" w:cs="仿宋_GB2312"/>
          <w:kern w:val="2"/>
          <w:sz w:val="32"/>
          <w:szCs w:val="32"/>
          <w:highlight w:val="none"/>
        </w:rPr>
        <w:t>相比，</w:t>
      </w:r>
      <w:r>
        <w:rPr>
          <w:rFonts w:hint="eastAsia" w:ascii="仿宋_GB2312" w:eastAsia="仿宋_GB2312" w:cs="仿宋_GB2312"/>
          <w:kern w:val="2"/>
          <w:sz w:val="32"/>
          <w:szCs w:val="32"/>
          <w:highlight w:val="none"/>
          <w:lang w:eastAsia="zh-CN"/>
        </w:rPr>
        <w:t>收入、支出总计各</w:t>
      </w:r>
      <w:r>
        <w:rPr>
          <w:rFonts w:hint="eastAsia" w:ascii="仿宋_GB2312" w:hAnsi="Calibri" w:eastAsia="仿宋_GB2312" w:cs="仿宋_GB2312"/>
          <w:kern w:val="2"/>
          <w:sz w:val="32"/>
          <w:szCs w:val="32"/>
          <w:highlight w:val="none"/>
          <w:lang w:val="en-US" w:eastAsia="zh-CN"/>
        </w:rPr>
        <w:t>增加</w:t>
      </w:r>
      <w:r>
        <w:rPr>
          <w:rFonts w:hint="eastAsia" w:ascii="仿宋_GB2312" w:eastAsia="仿宋_GB2312" w:cs="仿宋_GB2312"/>
          <w:kern w:val="2"/>
          <w:sz w:val="32"/>
          <w:szCs w:val="32"/>
          <w:highlight w:val="none"/>
          <w:lang w:val="en-US" w:eastAsia="zh-CN"/>
        </w:rPr>
        <w:t>3044.6</w:t>
      </w:r>
      <w:r>
        <w:rPr>
          <w:rFonts w:ascii="仿宋_GB2312" w:hAnsi="Calibri" w:eastAsia="仿宋_GB2312" w:cs="仿宋_GB2312"/>
          <w:kern w:val="2"/>
          <w:sz w:val="32"/>
          <w:szCs w:val="32"/>
          <w:highlight w:val="none"/>
        </w:rPr>
        <w:t>万元，</w:t>
      </w:r>
      <w:r>
        <w:rPr>
          <w:rFonts w:hint="eastAsia" w:ascii="仿宋_GB2312" w:hAnsi="Calibri" w:eastAsia="仿宋_GB2312" w:cs="仿宋_GB2312"/>
          <w:kern w:val="2"/>
          <w:sz w:val="32"/>
          <w:szCs w:val="32"/>
          <w:highlight w:val="none"/>
          <w:lang w:val="en-US" w:eastAsia="zh-CN"/>
        </w:rPr>
        <w:t>增长</w:t>
      </w:r>
      <w:r>
        <w:rPr>
          <w:rFonts w:hint="eastAsia" w:ascii="仿宋_GB2312" w:eastAsia="仿宋_GB2312" w:cs="仿宋_GB2312"/>
          <w:kern w:val="2"/>
          <w:sz w:val="32"/>
          <w:szCs w:val="32"/>
          <w:highlight w:val="none"/>
          <w:lang w:val="en-US" w:eastAsia="zh-CN"/>
        </w:rPr>
        <w:t>27.08</w:t>
      </w:r>
      <w:r>
        <w:rPr>
          <w:rFonts w:ascii="仿宋_GB2312" w:hAnsi="Calibri" w:eastAsia="仿宋_GB2312" w:cs="仿宋_GB2312"/>
          <w:kern w:val="2"/>
          <w:sz w:val="32"/>
          <w:szCs w:val="32"/>
          <w:highlight w:val="none"/>
        </w:rPr>
        <w:t>%</w:t>
      </w:r>
      <w:r>
        <w:rPr>
          <w:rFonts w:ascii="仿宋_GB2312" w:hAnsi="Calibri" w:eastAsia="仿宋_GB2312" w:cs="仿宋_GB2312"/>
          <w:kern w:val="2"/>
          <w:sz w:val="32"/>
          <w:szCs w:val="32"/>
        </w:rPr>
        <w:t>。主要变动原因是</w:t>
      </w:r>
      <w:r>
        <w:rPr>
          <w:rFonts w:hint="eastAsia" w:ascii="仿宋_GB2312" w:hAnsi="Calibri" w:eastAsia="仿宋_GB2312" w:cs="仿宋_GB2312"/>
          <w:kern w:val="2"/>
          <w:sz w:val="32"/>
          <w:szCs w:val="32"/>
          <w:lang w:eastAsia="zh-CN"/>
        </w:rPr>
        <w:t>：</w:t>
      </w:r>
      <w:r>
        <w:rPr>
          <w:rFonts w:ascii="仿宋_GB2312" w:hAnsi="Calibri" w:eastAsia="仿宋_GB2312" w:cs="仿宋_GB2312"/>
          <w:kern w:val="2"/>
          <w:sz w:val="32"/>
          <w:szCs w:val="32"/>
        </w:rPr>
        <w:t>农林水</w:t>
      </w:r>
      <w:r>
        <w:rPr>
          <w:rFonts w:hint="eastAsia" w:ascii="仿宋_GB2312" w:hAnsi="Calibri" w:eastAsia="仿宋_GB2312" w:cs="仿宋_GB2312"/>
          <w:kern w:val="2"/>
          <w:sz w:val="32"/>
          <w:szCs w:val="32"/>
          <w:lang w:eastAsia="zh-CN"/>
        </w:rPr>
        <w:t>项目</w:t>
      </w:r>
      <w:r>
        <w:rPr>
          <w:rFonts w:ascii="仿宋_GB2312" w:hAnsi="Calibri" w:eastAsia="仿宋_GB2312" w:cs="仿宋_GB2312"/>
          <w:kern w:val="2"/>
          <w:sz w:val="32"/>
          <w:szCs w:val="32"/>
        </w:rPr>
        <w:t>支出</w:t>
      </w:r>
      <w:r>
        <w:rPr>
          <w:rFonts w:hint="eastAsia" w:ascii="仿宋_GB2312" w:hAnsi="Calibri" w:eastAsia="仿宋_GB2312" w:cs="仿宋_GB2312"/>
          <w:kern w:val="2"/>
          <w:sz w:val="32"/>
          <w:szCs w:val="32"/>
          <w:lang w:val="en-US" w:eastAsia="zh-CN"/>
        </w:rPr>
        <w:t>增加</w:t>
      </w:r>
      <w:r>
        <w:rPr>
          <w:rFonts w:ascii="仿宋_GB2312" w:hAnsi="Calibri" w:eastAsia="仿宋_GB2312" w:cs="仿宋_GB2312"/>
          <w:kern w:val="2"/>
          <w:sz w:val="32"/>
          <w:szCs w:val="32"/>
        </w:rPr>
        <w:t>。</w:t>
      </w:r>
      <w:bookmarkEnd w:id="52"/>
    </w:p>
    <w:p w14:paraId="296E16D7">
      <w:pPr>
        <w:pStyle w:val="3"/>
        <w:ind w:left="0" w:leftChars="0" w:firstLine="0" w:firstLineChars="0"/>
      </w:pPr>
      <w:r>
        <w:rPr>
          <w:rFonts w:hint="eastAsia"/>
          <w:lang w:val="en-US" w:eastAsia="zh-CN"/>
        </w:rPr>
        <w:t xml:space="preserve">  </w:t>
      </w:r>
      <w:r>
        <w:drawing>
          <wp:inline distT="0" distB="0" distL="114300" distR="114300">
            <wp:extent cx="4848225" cy="3057525"/>
            <wp:effectExtent l="4445" t="4445" r="5080" b="5080"/>
            <wp:docPr id="1"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41D1B291">
      <w:pPr>
        <w:pStyle w:val="25"/>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outlineLvl w:val="1"/>
        <w:rPr>
          <w:rFonts w:hint="eastAsia" w:ascii="黑体" w:eastAsia="黑体" w:cs="Times New Roman"/>
          <w:color w:val="000000"/>
          <w:sz w:val="32"/>
          <w:szCs w:val="32"/>
        </w:rPr>
      </w:pPr>
      <w:bookmarkStart w:id="53" w:name="_Toc10475"/>
      <w:bookmarkStart w:id="54" w:name="_Toc13500"/>
      <w:bookmarkStart w:id="55" w:name="_Toc1701714044"/>
      <w:r>
        <w:rPr>
          <w:rFonts w:hint="eastAsia" w:ascii="黑体" w:eastAsia="黑体" w:cs="Times New Roman"/>
          <w:color w:val="000000"/>
          <w:sz w:val="32"/>
          <w:szCs w:val="32"/>
          <w:lang w:val="en-US" w:eastAsia="zh-CN"/>
        </w:rPr>
        <w:t>二、</w:t>
      </w:r>
      <w:r>
        <w:rPr>
          <w:rFonts w:hint="eastAsia" w:ascii="黑体" w:eastAsia="黑体" w:cs="Times New Roman"/>
          <w:color w:val="000000"/>
          <w:sz w:val="32"/>
          <w:szCs w:val="32"/>
        </w:rPr>
        <w:t>收入决算情况说明</w:t>
      </w:r>
      <w:bookmarkEnd w:id="53"/>
      <w:bookmarkEnd w:id="54"/>
      <w:bookmarkEnd w:id="55"/>
    </w:p>
    <w:p w14:paraId="75A830D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仿宋" w:eastAsia="仿宋" w:cs="Times New Roman"/>
          <w:color w:val="000000"/>
          <w:sz w:val="32"/>
          <w:szCs w:val="32"/>
        </w:rPr>
      </w:pPr>
      <w:r>
        <w:rPr>
          <w:rFonts w:hint="eastAsia" w:ascii="仿宋_GB2312" w:eastAsia="仿宋_GB2312" w:cs="仿宋_GB2312"/>
          <w:kern w:val="0"/>
          <w:sz w:val="32"/>
          <w:szCs w:val="32"/>
          <w:lang w:eastAsia="zh-CN"/>
        </w:rPr>
        <w:t>2025</w:t>
      </w:r>
      <w:r>
        <w:rPr>
          <w:rFonts w:ascii="仿宋_GB2312" w:eastAsia="仿宋_GB2312" w:cs="仿宋_GB2312"/>
          <w:kern w:val="0"/>
          <w:sz w:val="32"/>
          <w:szCs w:val="32"/>
        </w:rPr>
        <w:t>年</w:t>
      </w:r>
      <w:r>
        <w:rPr>
          <w:rFonts w:hint="eastAsia" w:ascii="仿宋_GB2312" w:eastAsia="仿宋_GB2312" w:cs="仿宋_GB2312"/>
          <w:kern w:val="0"/>
          <w:sz w:val="32"/>
          <w:szCs w:val="32"/>
          <w:lang w:val="en-US" w:eastAsia="zh-CN"/>
        </w:rPr>
        <w:t>度</w:t>
      </w:r>
      <w:r>
        <w:rPr>
          <w:rFonts w:ascii="仿宋_GB2312" w:eastAsia="仿宋_GB2312" w:cs="仿宋_GB2312"/>
          <w:kern w:val="0"/>
          <w:sz w:val="32"/>
          <w:szCs w:val="32"/>
        </w:rPr>
        <w:t>本年收入合计</w:t>
      </w:r>
      <w:r>
        <w:rPr>
          <w:rFonts w:hint="eastAsia" w:ascii="仿宋_GB2312" w:eastAsia="仿宋_GB2312" w:cs="仿宋_GB2312"/>
          <w:kern w:val="0"/>
          <w:sz w:val="32"/>
          <w:szCs w:val="32"/>
          <w:lang w:val="en-US" w:eastAsia="zh-CN"/>
        </w:rPr>
        <w:t>14289.64</w:t>
      </w:r>
      <w:r>
        <w:rPr>
          <w:rFonts w:ascii="仿宋_GB2312" w:eastAsia="仿宋_GB2312" w:cs="仿宋_GB2312"/>
          <w:kern w:val="0"/>
          <w:sz w:val="32"/>
          <w:szCs w:val="32"/>
        </w:rPr>
        <w:t>万元，一般公共预算财政拨款收入</w:t>
      </w:r>
      <w:r>
        <w:rPr>
          <w:rFonts w:hint="eastAsia" w:ascii="仿宋_GB2312" w:eastAsia="仿宋_GB2312" w:cs="仿宋_GB2312"/>
          <w:kern w:val="0"/>
          <w:sz w:val="32"/>
          <w:szCs w:val="32"/>
          <w:lang w:val="en-US" w:eastAsia="zh-CN"/>
        </w:rPr>
        <w:t>13107.93</w:t>
      </w:r>
      <w:r>
        <w:rPr>
          <w:rFonts w:ascii="仿宋_GB2312" w:eastAsia="仿宋_GB2312" w:cs="仿宋_GB2312"/>
          <w:kern w:val="0"/>
          <w:sz w:val="32"/>
          <w:szCs w:val="32"/>
        </w:rPr>
        <w:t>万元，占</w:t>
      </w:r>
      <w:r>
        <w:rPr>
          <w:rFonts w:hint="eastAsia" w:ascii="仿宋_GB2312" w:eastAsia="仿宋_GB2312" w:cs="仿宋_GB2312"/>
          <w:kern w:val="0"/>
          <w:sz w:val="32"/>
          <w:szCs w:val="32"/>
          <w:lang w:val="en-US" w:eastAsia="zh-CN"/>
        </w:rPr>
        <w:t>91.73</w:t>
      </w:r>
      <w:r>
        <w:rPr>
          <w:rFonts w:ascii="仿宋_GB2312" w:eastAsia="仿宋_GB2312" w:cs="仿宋_GB2312"/>
          <w:kern w:val="0"/>
          <w:sz w:val="32"/>
          <w:szCs w:val="32"/>
        </w:rPr>
        <w:t>%</w:t>
      </w:r>
      <w:bookmarkStart w:id="56" w:name="_Toc12371"/>
      <w:bookmarkEnd w:id="56"/>
      <w:bookmarkStart w:id="57" w:name="_Toc11957"/>
      <w:bookmarkEnd w:id="57"/>
      <w:bookmarkStart w:id="58" w:name="_Toc22970"/>
      <w:bookmarkEnd w:id="58"/>
      <w:bookmarkStart w:id="59" w:name="_Toc24455"/>
      <w:bookmarkEnd w:id="59"/>
      <w:bookmarkStart w:id="60" w:name="_Toc20880"/>
      <w:bookmarkEnd w:id="60"/>
      <w:r>
        <w:rPr>
          <w:rFonts w:hint="eastAsia" w:ascii="仿宋_GB2312" w:eastAsia="仿宋_GB2312" w:cs="仿宋_GB2312"/>
          <w:kern w:val="0"/>
          <w:sz w:val="32"/>
          <w:szCs w:val="32"/>
          <w:lang w:eastAsia="zh-CN"/>
        </w:rPr>
        <w:t>；</w:t>
      </w:r>
      <w:r>
        <w:rPr>
          <w:rFonts w:hint="eastAsia" w:ascii="仿宋" w:eastAsia="仿宋" w:cs="Times New Roman"/>
          <w:color w:val="000000"/>
          <w:sz w:val="32"/>
          <w:szCs w:val="32"/>
          <w:lang w:val="en-US" w:eastAsia="zh-CN"/>
        </w:rPr>
        <w:t>政府性基金预算</w:t>
      </w:r>
      <w:r>
        <w:rPr>
          <w:rFonts w:hint="eastAsia" w:ascii="仿宋_GB2312" w:eastAsia="仿宋_GB2312" w:cs="仿宋_GB2312"/>
          <w:sz w:val="32"/>
          <w:szCs w:val="32"/>
        </w:rPr>
        <w:t>财政拨款收入</w:t>
      </w:r>
      <w:r>
        <w:rPr>
          <w:rFonts w:hint="eastAsia" w:ascii="仿宋_GB2312" w:eastAsia="仿宋_GB2312" w:cs="仿宋_GB2312"/>
          <w:sz w:val="32"/>
          <w:szCs w:val="32"/>
          <w:lang w:val="en-US" w:eastAsia="zh-CN"/>
        </w:rPr>
        <w:t>1161.71</w:t>
      </w:r>
      <w:r>
        <w:rPr>
          <w:rFonts w:hint="eastAsia" w:ascii="仿宋_GB2312" w:eastAsia="仿宋_GB2312" w:cs="仿宋_GB2312"/>
          <w:sz w:val="32"/>
          <w:szCs w:val="32"/>
        </w:rPr>
        <w:t>万元，</w:t>
      </w:r>
      <w:r>
        <w:rPr>
          <w:rFonts w:hint="eastAsia" w:ascii="仿宋_GB2312" w:eastAsia="仿宋_GB2312" w:cs="仿宋_GB2312"/>
          <w:kern w:val="0"/>
          <w:sz w:val="32"/>
          <w:szCs w:val="32"/>
          <w:lang w:eastAsia="zh-CN"/>
        </w:rPr>
        <w:t>占</w:t>
      </w:r>
      <w:r>
        <w:rPr>
          <w:rFonts w:hint="eastAsia" w:ascii="仿宋_GB2312" w:eastAsia="仿宋_GB2312" w:cs="仿宋_GB2312"/>
          <w:kern w:val="0"/>
          <w:sz w:val="32"/>
          <w:szCs w:val="32"/>
          <w:lang w:val="en-US" w:eastAsia="zh-CN"/>
        </w:rPr>
        <w:t>8.13</w:t>
      </w:r>
      <w:r>
        <w:rPr>
          <w:rFonts w:hint="eastAsia" w:ascii="仿宋_GB2312" w:eastAsia="仿宋_GB2312" w:cs="仿宋_GB2312"/>
          <w:kern w:val="0"/>
          <w:sz w:val="32"/>
          <w:szCs w:val="32"/>
          <w:lang w:eastAsia="zh-CN"/>
        </w:rPr>
        <w:t>%；其他</w:t>
      </w:r>
      <w:r>
        <w:rPr>
          <w:rFonts w:hint="eastAsia" w:ascii="仿宋_GB2312" w:eastAsia="仿宋_GB2312" w:cs="仿宋_GB2312"/>
          <w:kern w:val="0"/>
          <w:sz w:val="32"/>
          <w:szCs w:val="32"/>
          <w:lang w:val="en-US" w:eastAsia="zh-CN"/>
        </w:rPr>
        <w:t>预算</w:t>
      </w:r>
      <w:r>
        <w:rPr>
          <w:rFonts w:hint="eastAsia" w:ascii="仿宋_GB2312" w:eastAsia="仿宋_GB2312" w:cs="仿宋_GB2312"/>
          <w:kern w:val="0"/>
          <w:sz w:val="32"/>
          <w:szCs w:val="32"/>
          <w:lang w:eastAsia="zh-CN"/>
        </w:rPr>
        <w:t>财政拨款收入</w:t>
      </w:r>
      <w:r>
        <w:rPr>
          <w:rFonts w:hint="eastAsia" w:ascii="仿宋_GB2312" w:eastAsia="仿宋_GB2312" w:cs="仿宋_GB2312"/>
          <w:kern w:val="0"/>
          <w:sz w:val="32"/>
          <w:szCs w:val="32"/>
          <w:lang w:val="en-US" w:eastAsia="zh-CN"/>
        </w:rPr>
        <w:t>20</w:t>
      </w:r>
      <w:r>
        <w:rPr>
          <w:rFonts w:hint="eastAsia" w:ascii="仿宋_GB2312" w:eastAsia="仿宋_GB2312" w:cs="仿宋_GB2312"/>
          <w:kern w:val="0"/>
          <w:sz w:val="32"/>
          <w:szCs w:val="32"/>
          <w:lang w:eastAsia="zh-CN"/>
        </w:rPr>
        <w:t>万元，占</w:t>
      </w:r>
      <w:r>
        <w:rPr>
          <w:rFonts w:hint="eastAsia" w:ascii="仿宋_GB2312" w:eastAsia="仿宋_GB2312" w:cs="仿宋_GB2312"/>
          <w:kern w:val="0"/>
          <w:sz w:val="32"/>
          <w:szCs w:val="32"/>
          <w:lang w:val="en-US" w:eastAsia="zh-CN"/>
        </w:rPr>
        <w:t>0.14</w:t>
      </w:r>
      <w:r>
        <w:rPr>
          <w:rFonts w:hint="eastAsia" w:ascii="仿宋_GB2312" w:eastAsia="仿宋_GB2312" w:cs="仿宋_GB2312"/>
          <w:kern w:val="0"/>
          <w:sz w:val="32"/>
          <w:szCs w:val="32"/>
          <w:lang w:eastAsia="zh-CN"/>
        </w:rPr>
        <w:t>%。</w:t>
      </w:r>
    </w:p>
    <w:p w14:paraId="122D7222">
      <w:pPr>
        <w:pStyle w:val="2"/>
      </w:pPr>
      <w:r>
        <w:drawing>
          <wp:inline distT="0" distB="0" distL="114300" distR="114300">
            <wp:extent cx="5125085" cy="2893060"/>
            <wp:effectExtent l="4445" t="4445" r="13970" b="17145"/>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DD5B71D">
      <w:pPr>
        <w:pStyle w:val="25"/>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outlineLvl w:val="1"/>
        <w:rPr>
          <w:rFonts w:hint="eastAsia" w:ascii="黑体" w:eastAsia="黑体" w:cs="Times New Roman"/>
          <w:color w:val="000000"/>
          <w:sz w:val="32"/>
          <w:szCs w:val="32"/>
          <w:lang w:val="en-US" w:eastAsia="zh-CN"/>
        </w:rPr>
      </w:pPr>
      <w:bookmarkStart w:id="61" w:name="_Toc8702"/>
      <w:bookmarkStart w:id="62" w:name="_Toc25170"/>
      <w:bookmarkStart w:id="63" w:name="_Toc1665535122"/>
      <w:r>
        <w:rPr>
          <w:rFonts w:hint="eastAsia" w:ascii="黑体" w:eastAsia="黑体" w:cs="Times New Roman"/>
          <w:color w:val="000000"/>
          <w:sz w:val="32"/>
          <w:szCs w:val="32"/>
          <w:lang w:val="en-US" w:eastAsia="zh-CN"/>
        </w:rPr>
        <w:t>三、支出决算情况说明</w:t>
      </w:r>
      <w:bookmarkEnd w:id="61"/>
      <w:bookmarkEnd w:id="62"/>
      <w:bookmarkEnd w:id="63"/>
    </w:p>
    <w:p w14:paraId="2664242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sz w:val="32"/>
          <w:szCs w:val="32"/>
          <w:lang w:eastAsia="zh-CN"/>
        </w:rPr>
      </w:pPr>
      <w:r>
        <w:rPr>
          <w:rFonts w:hint="eastAsia" w:ascii="仿宋_GB2312" w:eastAsia="仿宋_GB2312" w:cs="仿宋_GB2312"/>
          <w:bCs/>
          <w:kern w:val="2"/>
          <w:sz w:val="32"/>
          <w:szCs w:val="32"/>
          <w:lang w:val="en-US" w:eastAsia="zh-CN" w:bidi="ar-SA"/>
        </w:rPr>
        <w:t>2025年度本年支出合计14286.61万元，其中：基本支出2111.74</w:t>
      </w:r>
      <w:r>
        <w:rPr>
          <w:rFonts w:hint="eastAsia" w:ascii="仿宋_GB2312" w:eastAsia="仿宋_GB2312" w:cs="仿宋_GB2312"/>
          <w:sz w:val="32"/>
          <w:szCs w:val="32"/>
        </w:rPr>
        <w:t>万元，占</w:t>
      </w:r>
      <w:r>
        <w:rPr>
          <w:rFonts w:hint="eastAsia" w:ascii="仿宋_GB2312" w:eastAsia="仿宋_GB2312" w:cs="仿宋_GB2312"/>
          <w:sz w:val="32"/>
          <w:szCs w:val="32"/>
          <w:lang w:val="en-US" w:eastAsia="zh-CN"/>
        </w:rPr>
        <w:t>14.78</w:t>
      </w:r>
      <w:r>
        <w:rPr>
          <w:rFonts w:ascii="仿宋_GB2312" w:eastAsia="仿宋_GB2312" w:cs="仿宋_GB2312"/>
          <w:sz w:val="32"/>
          <w:szCs w:val="32"/>
        </w:rPr>
        <w:t>%</w:t>
      </w:r>
      <w:r>
        <w:rPr>
          <w:rFonts w:hint="eastAsia" w:ascii="仿宋_GB2312" w:eastAsia="仿宋_GB2312" w:cs="仿宋_GB2312"/>
          <w:sz w:val="32"/>
          <w:szCs w:val="32"/>
        </w:rPr>
        <w:t>；项目支出</w:t>
      </w:r>
      <w:r>
        <w:rPr>
          <w:rFonts w:hint="eastAsia" w:ascii="仿宋_GB2312" w:eastAsia="仿宋_GB2312" w:cs="仿宋_GB2312"/>
          <w:sz w:val="32"/>
          <w:szCs w:val="32"/>
          <w:lang w:val="en-US" w:eastAsia="zh-CN"/>
        </w:rPr>
        <w:t>12174.87</w:t>
      </w:r>
      <w:r>
        <w:rPr>
          <w:rFonts w:hint="eastAsia" w:ascii="仿宋_GB2312" w:eastAsia="仿宋_GB2312" w:cs="仿宋_GB2312"/>
          <w:sz w:val="32"/>
          <w:szCs w:val="32"/>
        </w:rPr>
        <w:t>万元，占</w:t>
      </w:r>
      <w:r>
        <w:rPr>
          <w:rFonts w:hint="eastAsia" w:ascii="仿宋_GB2312" w:eastAsia="仿宋_GB2312" w:cs="仿宋_GB2312"/>
          <w:sz w:val="32"/>
          <w:szCs w:val="32"/>
          <w:lang w:val="en-US" w:eastAsia="zh-CN"/>
        </w:rPr>
        <w:t>85.22</w:t>
      </w:r>
      <w:r>
        <w:rPr>
          <w:rFonts w:ascii="仿宋_GB2312" w:eastAsia="仿宋_GB2312" w:cs="仿宋_GB2312"/>
          <w:sz w:val="32"/>
          <w:szCs w:val="32"/>
        </w:rPr>
        <w:t>%</w:t>
      </w:r>
      <w:r>
        <w:rPr>
          <w:rFonts w:hint="eastAsia" w:ascii="仿宋_GB2312" w:eastAsia="仿宋_GB2312" w:cs="仿宋_GB2312"/>
          <w:sz w:val="32"/>
          <w:szCs w:val="32"/>
          <w:lang w:eastAsia="zh-CN"/>
        </w:rPr>
        <w:t>。</w:t>
      </w:r>
      <w:r>
        <w:rPr>
          <w:rFonts w:hint="eastAsia" w:ascii="仿宋_GB2312" w:eastAsia="仿宋_GB2312" w:cs="仿宋_GB2312"/>
          <w:bCs/>
          <w:sz w:val="32"/>
          <w:szCs w:val="32"/>
          <w:lang w:val="en" w:eastAsia="zh-CN"/>
        </w:rPr>
        <w:t>本部门</w:t>
      </w:r>
      <w:r>
        <w:rPr>
          <w:rFonts w:hint="eastAsia" w:ascii="仿宋_GB2312" w:eastAsia="仿宋_GB2312" w:cs="仿宋_GB2312"/>
          <w:bCs/>
          <w:sz w:val="32"/>
          <w:szCs w:val="32"/>
          <w:lang w:val="en-US" w:eastAsia="zh-CN"/>
        </w:rPr>
        <w:t>2025年度无上缴上级支出、经营支出、对附属单位补助支出。</w:t>
      </w:r>
    </w:p>
    <w:p w14:paraId="225F7269">
      <w:pPr>
        <w:pStyle w:val="3"/>
        <w:tabs>
          <w:tab w:val="left" w:pos="748"/>
        </w:tabs>
        <w:ind w:left="0" w:leftChars="0" w:firstLine="0" w:firstLineChars="0"/>
        <w:rPr>
          <w:rFonts w:hint="eastAsia"/>
        </w:rPr>
      </w:pPr>
      <w:r>
        <w:rPr>
          <w:rFonts w:hint="eastAsia"/>
          <w:lang w:val="en-US" w:eastAsia="zh-CN"/>
        </w:rPr>
        <w:t xml:space="preserve">  </w:t>
      </w:r>
      <w:r>
        <w:drawing>
          <wp:inline distT="0" distB="0" distL="114300" distR="114300">
            <wp:extent cx="4953000" cy="2711450"/>
            <wp:effectExtent l="4445" t="4445" r="14605" b="8255"/>
            <wp:docPr id="5"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2F87773">
      <w:pPr>
        <w:pStyle w:val="25"/>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outlineLvl w:val="1"/>
        <w:rPr>
          <w:rFonts w:hint="eastAsia" w:ascii="黑体" w:eastAsia="黑体" w:cs="Times New Roman"/>
          <w:color w:val="000000"/>
          <w:sz w:val="32"/>
          <w:szCs w:val="32"/>
          <w:lang w:val="en-US" w:eastAsia="zh-CN"/>
        </w:rPr>
      </w:pPr>
      <w:bookmarkStart w:id="64" w:name="_Toc734246627"/>
      <w:bookmarkStart w:id="65" w:name="_Toc32429"/>
      <w:bookmarkStart w:id="66" w:name="_Toc9033"/>
      <w:r>
        <w:rPr>
          <w:rFonts w:hint="eastAsia" w:ascii="黑体" w:eastAsia="黑体" w:cs="Times New Roman"/>
          <w:color w:val="000000"/>
          <w:sz w:val="32"/>
          <w:szCs w:val="32"/>
          <w:lang w:val="en-US" w:eastAsia="zh-CN"/>
        </w:rPr>
        <w:t>四、财政拨款收入支出决算总体情况说明</w:t>
      </w:r>
      <w:bookmarkEnd w:id="64"/>
      <w:bookmarkEnd w:id="65"/>
      <w:bookmarkEnd w:id="66"/>
    </w:p>
    <w:p w14:paraId="4A95A9C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sz w:val="32"/>
          <w:szCs w:val="32"/>
        </w:rPr>
      </w:pPr>
      <w:bookmarkStart w:id="67" w:name="_Toc14667"/>
      <w:r>
        <w:rPr>
          <w:rFonts w:hint="eastAsia" w:ascii="仿宋_GB2312" w:hAnsi="Calibri" w:eastAsia="仿宋_GB2312" w:cs="仿宋_GB2312"/>
          <w:kern w:val="2"/>
          <w:sz w:val="32"/>
          <w:szCs w:val="32"/>
          <w:lang w:eastAsia="zh-CN"/>
        </w:rPr>
        <w:t>2025</w:t>
      </w:r>
      <w:r>
        <w:rPr>
          <w:rFonts w:ascii="仿宋_GB2312" w:hAnsi="Calibri" w:eastAsia="仿宋_GB2312" w:cs="仿宋_GB2312"/>
          <w:kern w:val="2"/>
          <w:sz w:val="32"/>
          <w:szCs w:val="32"/>
        </w:rPr>
        <w:t>年度</w:t>
      </w:r>
      <w:r>
        <w:rPr>
          <w:rFonts w:hint="eastAsia" w:ascii="仿宋_GB2312" w:eastAsia="仿宋_GB2312" w:cs="仿宋_GB2312"/>
          <w:kern w:val="2"/>
          <w:sz w:val="32"/>
          <w:szCs w:val="32"/>
          <w:lang w:eastAsia="zh-CN"/>
        </w:rPr>
        <w:t>财政拨款</w:t>
      </w:r>
      <w:r>
        <w:rPr>
          <w:rFonts w:ascii="仿宋_GB2312" w:hAnsi="Calibri" w:eastAsia="仿宋_GB2312" w:cs="仿宋_GB2312"/>
          <w:kern w:val="2"/>
          <w:sz w:val="32"/>
          <w:szCs w:val="32"/>
        </w:rPr>
        <w:t>收</w:t>
      </w:r>
      <w:r>
        <w:rPr>
          <w:rFonts w:hint="eastAsia" w:ascii="仿宋_GB2312" w:hAnsi="Calibri" w:eastAsia="仿宋_GB2312" w:cs="仿宋_GB2312"/>
          <w:kern w:val="2"/>
          <w:sz w:val="32"/>
          <w:szCs w:val="32"/>
          <w:lang w:eastAsia="zh-CN"/>
        </w:rPr>
        <w:t>入</w:t>
      </w:r>
      <w:r>
        <w:rPr>
          <w:rFonts w:hint="eastAsia" w:ascii="仿宋_GB2312" w:eastAsia="仿宋_GB2312" w:cs="仿宋_GB2312"/>
          <w:kern w:val="2"/>
          <w:sz w:val="32"/>
          <w:szCs w:val="32"/>
          <w:lang w:eastAsia="zh-CN"/>
        </w:rPr>
        <w:t>、支出总计均为</w:t>
      </w:r>
      <w:r>
        <w:rPr>
          <w:rFonts w:hint="eastAsia" w:ascii="仿宋_GB2312" w:eastAsia="仿宋_GB2312" w:cs="仿宋_GB2312"/>
          <w:kern w:val="2"/>
          <w:sz w:val="32"/>
          <w:szCs w:val="32"/>
          <w:lang w:val="en-US" w:eastAsia="zh-CN"/>
        </w:rPr>
        <w:t>14289.64</w:t>
      </w:r>
      <w:r>
        <w:rPr>
          <w:rFonts w:hint="eastAsia" w:ascii="仿宋_GB2312" w:hAnsi="Calibri" w:eastAsia="仿宋_GB2312" w:cs="仿宋_GB2312"/>
          <w:kern w:val="2"/>
          <w:sz w:val="32"/>
          <w:szCs w:val="32"/>
          <w:lang w:val="en-US" w:eastAsia="zh-CN"/>
        </w:rPr>
        <w:t>万元</w:t>
      </w:r>
      <w:r>
        <w:rPr>
          <w:rFonts w:hint="eastAsia" w:ascii="仿宋_GB2312" w:hAnsi="Calibri" w:eastAsia="仿宋_GB2312" w:cs="仿宋_GB2312"/>
          <w:kern w:val="2"/>
          <w:sz w:val="32"/>
          <w:szCs w:val="32"/>
          <w:highlight w:val="none"/>
          <w:lang w:val="en-US" w:eastAsia="zh-CN"/>
        </w:rPr>
        <w:t>，</w:t>
      </w:r>
      <w:r>
        <w:rPr>
          <w:rFonts w:hint="eastAsia" w:ascii="仿宋_GB2312" w:eastAsia="仿宋_GB2312" w:cs="仿宋_GB2312"/>
          <w:kern w:val="2"/>
          <w:sz w:val="32"/>
          <w:szCs w:val="32"/>
          <w:highlight w:val="none"/>
          <w:lang w:val="en-US" w:eastAsia="zh-CN"/>
        </w:rPr>
        <w:t>与上</w:t>
      </w:r>
      <w:r>
        <w:rPr>
          <w:rFonts w:ascii="仿宋_GB2312" w:hAnsi="Calibri" w:eastAsia="仿宋_GB2312" w:cs="仿宋_GB2312"/>
          <w:kern w:val="2"/>
          <w:sz w:val="32"/>
          <w:szCs w:val="32"/>
          <w:highlight w:val="none"/>
        </w:rPr>
        <w:t>年</w:t>
      </w:r>
      <w:r>
        <w:rPr>
          <w:rFonts w:hint="eastAsia" w:ascii="仿宋_GB2312" w:eastAsia="仿宋_GB2312" w:cs="仿宋_GB2312"/>
          <w:kern w:val="2"/>
          <w:sz w:val="32"/>
          <w:szCs w:val="32"/>
          <w:highlight w:val="none"/>
          <w:lang w:eastAsia="zh-CN"/>
        </w:rPr>
        <w:t>度</w:t>
      </w:r>
      <w:r>
        <w:rPr>
          <w:rFonts w:ascii="仿宋_GB2312" w:hAnsi="Calibri" w:eastAsia="仿宋_GB2312" w:cs="仿宋_GB2312"/>
          <w:kern w:val="2"/>
          <w:sz w:val="32"/>
          <w:szCs w:val="32"/>
          <w:highlight w:val="none"/>
        </w:rPr>
        <w:t>相比，</w:t>
      </w:r>
      <w:r>
        <w:rPr>
          <w:rFonts w:hint="eastAsia" w:ascii="仿宋_GB2312" w:eastAsia="仿宋_GB2312" w:cs="仿宋_GB2312"/>
          <w:kern w:val="2"/>
          <w:sz w:val="32"/>
          <w:szCs w:val="32"/>
          <w:lang w:eastAsia="zh-CN"/>
        </w:rPr>
        <w:t>财政拨款</w:t>
      </w:r>
      <w:r>
        <w:rPr>
          <w:rFonts w:ascii="仿宋_GB2312" w:hAnsi="Calibri" w:eastAsia="仿宋_GB2312" w:cs="仿宋_GB2312"/>
          <w:kern w:val="2"/>
          <w:sz w:val="32"/>
          <w:szCs w:val="32"/>
        </w:rPr>
        <w:t>收</w:t>
      </w:r>
      <w:r>
        <w:rPr>
          <w:rFonts w:hint="eastAsia" w:ascii="仿宋_GB2312" w:hAnsi="Calibri" w:eastAsia="仿宋_GB2312" w:cs="仿宋_GB2312"/>
          <w:kern w:val="2"/>
          <w:sz w:val="32"/>
          <w:szCs w:val="32"/>
          <w:lang w:eastAsia="zh-CN"/>
        </w:rPr>
        <w:t>入</w:t>
      </w:r>
      <w:r>
        <w:rPr>
          <w:rFonts w:hint="eastAsia" w:ascii="仿宋_GB2312" w:eastAsia="仿宋_GB2312" w:cs="仿宋_GB2312"/>
          <w:kern w:val="2"/>
          <w:sz w:val="32"/>
          <w:szCs w:val="32"/>
          <w:lang w:eastAsia="zh-CN"/>
        </w:rPr>
        <w:t>、支出总计各</w:t>
      </w:r>
      <w:r>
        <w:rPr>
          <w:rFonts w:hint="eastAsia" w:ascii="仿宋_GB2312" w:hAnsi="Calibri" w:eastAsia="仿宋_GB2312" w:cs="仿宋_GB2312"/>
          <w:kern w:val="2"/>
          <w:sz w:val="32"/>
          <w:szCs w:val="32"/>
          <w:highlight w:val="none"/>
          <w:lang w:val="en-US" w:eastAsia="zh-CN"/>
        </w:rPr>
        <w:t>增加</w:t>
      </w:r>
      <w:r>
        <w:rPr>
          <w:rFonts w:hint="eastAsia" w:ascii="仿宋_GB2312" w:eastAsia="仿宋_GB2312" w:cs="仿宋_GB2312"/>
          <w:kern w:val="2"/>
          <w:sz w:val="32"/>
          <w:szCs w:val="32"/>
          <w:highlight w:val="none"/>
          <w:lang w:val="en-US" w:eastAsia="zh-CN"/>
        </w:rPr>
        <w:t>3044.6</w:t>
      </w:r>
      <w:r>
        <w:rPr>
          <w:rFonts w:ascii="仿宋_GB2312" w:hAnsi="Calibri" w:eastAsia="仿宋_GB2312" w:cs="仿宋_GB2312"/>
          <w:kern w:val="2"/>
          <w:sz w:val="32"/>
          <w:szCs w:val="32"/>
          <w:highlight w:val="none"/>
        </w:rPr>
        <w:t>万元，</w:t>
      </w:r>
      <w:r>
        <w:rPr>
          <w:rFonts w:hint="eastAsia" w:ascii="仿宋_GB2312" w:hAnsi="Calibri" w:eastAsia="仿宋_GB2312" w:cs="仿宋_GB2312"/>
          <w:kern w:val="2"/>
          <w:sz w:val="32"/>
          <w:szCs w:val="32"/>
          <w:highlight w:val="none"/>
          <w:lang w:val="en-US" w:eastAsia="zh-CN"/>
        </w:rPr>
        <w:t>增长</w:t>
      </w:r>
      <w:r>
        <w:rPr>
          <w:rFonts w:hint="eastAsia" w:ascii="仿宋_GB2312" w:eastAsia="仿宋_GB2312" w:cs="仿宋_GB2312"/>
          <w:kern w:val="2"/>
          <w:sz w:val="32"/>
          <w:szCs w:val="32"/>
          <w:highlight w:val="none"/>
          <w:lang w:val="en-US" w:eastAsia="zh-CN"/>
        </w:rPr>
        <w:t>27.08</w:t>
      </w:r>
      <w:r>
        <w:rPr>
          <w:rFonts w:ascii="仿宋_GB2312" w:hAnsi="Calibri" w:eastAsia="仿宋_GB2312" w:cs="仿宋_GB2312"/>
          <w:kern w:val="2"/>
          <w:sz w:val="32"/>
          <w:szCs w:val="32"/>
          <w:highlight w:val="none"/>
        </w:rPr>
        <w:t>%</w:t>
      </w:r>
      <w:r>
        <w:rPr>
          <w:rFonts w:ascii="仿宋_GB2312" w:hAnsi="Calibri" w:eastAsia="仿宋_GB2312" w:cs="仿宋_GB2312"/>
          <w:kern w:val="2"/>
          <w:sz w:val="32"/>
          <w:szCs w:val="32"/>
        </w:rPr>
        <w:t>。主要变动原因是</w:t>
      </w:r>
      <w:r>
        <w:rPr>
          <w:rFonts w:hint="eastAsia" w:ascii="仿宋_GB2312" w:hAnsi="Calibri" w:eastAsia="仿宋_GB2312" w:cs="仿宋_GB2312"/>
          <w:kern w:val="2"/>
          <w:sz w:val="32"/>
          <w:szCs w:val="32"/>
          <w:lang w:eastAsia="zh-CN"/>
        </w:rPr>
        <w:t>：</w:t>
      </w:r>
      <w:r>
        <w:rPr>
          <w:rFonts w:ascii="仿宋_GB2312" w:hAnsi="Calibri" w:eastAsia="仿宋_GB2312" w:cs="仿宋_GB2312"/>
          <w:kern w:val="2"/>
          <w:sz w:val="32"/>
          <w:szCs w:val="32"/>
        </w:rPr>
        <w:t>农林水</w:t>
      </w:r>
      <w:r>
        <w:rPr>
          <w:rFonts w:hint="eastAsia" w:ascii="仿宋_GB2312" w:hAnsi="Calibri" w:eastAsia="仿宋_GB2312" w:cs="仿宋_GB2312"/>
          <w:kern w:val="2"/>
          <w:sz w:val="32"/>
          <w:szCs w:val="32"/>
          <w:lang w:eastAsia="zh-CN"/>
        </w:rPr>
        <w:t>项目</w:t>
      </w:r>
      <w:r>
        <w:rPr>
          <w:rFonts w:ascii="仿宋_GB2312" w:hAnsi="Calibri" w:eastAsia="仿宋_GB2312" w:cs="仿宋_GB2312"/>
          <w:kern w:val="2"/>
          <w:sz w:val="32"/>
          <w:szCs w:val="32"/>
        </w:rPr>
        <w:t>支出</w:t>
      </w:r>
      <w:r>
        <w:rPr>
          <w:rFonts w:hint="eastAsia" w:ascii="仿宋_GB2312" w:hAnsi="Calibri" w:eastAsia="仿宋_GB2312" w:cs="仿宋_GB2312"/>
          <w:kern w:val="2"/>
          <w:sz w:val="32"/>
          <w:szCs w:val="32"/>
          <w:lang w:val="en-US" w:eastAsia="zh-CN"/>
        </w:rPr>
        <w:t>增加</w:t>
      </w:r>
      <w:r>
        <w:rPr>
          <w:rFonts w:ascii="仿宋_GB2312" w:hAnsi="Calibri" w:eastAsia="仿宋_GB2312" w:cs="仿宋_GB2312"/>
          <w:kern w:val="2"/>
          <w:sz w:val="32"/>
          <w:szCs w:val="32"/>
        </w:rPr>
        <w:t>。</w:t>
      </w:r>
    </w:p>
    <w:p w14:paraId="1027A419">
      <w:pPr>
        <w:pStyle w:val="3"/>
        <w:ind w:left="0" w:leftChars="0" w:firstLine="420" w:firstLineChars="200"/>
        <w:jc w:val="left"/>
        <w:rPr>
          <w:rFonts w:hint="eastAsia" w:asciiTheme="minorEastAsia" w:hAnsiTheme="minorEastAsia" w:eastAsiaTheme="minorEastAsia" w:cstheme="minorEastAsia"/>
        </w:rPr>
      </w:pPr>
      <w:r>
        <w:rPr>
          <w:rFonts w:hint="eastAsia"/>
          <w:lang w:val="en-US" w:eastAsia="zh-CN"/>
        </w:rPr>
        <w:t xml:space="preserve">  </w:t>
      </w:r>
      <w:r>
        <w:drawing>
          <wp:inline distT="0" distB="0" distL="114300" distR="114300">
            <wp:extent cx="4824730" cy="2923540"/>
            <wp:effectExtent l="4445" t="4445" r="9525" b="5715"/>
            <wp:docPr id="3"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rFonts w:hint="eastAsia"/>
          <w:lang w:val="en-US" w:eastAsia="zh-CN"/>
        </w:rPr>
        <w:t xml:space="preserve">     </w:t>
      </w:r>
    </w:p>
    <w:p w14:paraId="2B9681C3">
      <w:pPr>
        <w:pStyle w:val="25"/>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outlineLvl w:val="1"/>
        <w:rPr>
          <w:rFonts w:hint="eastAsia" w:ascii="黑体" w:eastAsia="黑体" w:cs="Times New Roman"/>
          <w:color w:val="000000"/>
          <w:sz w:val="32"/>
          <w:szCs w:val="32"/>
          <w:lang w:val="en-US" w:eastAsia="zh-CN"/>
        </w:rPr>
      </w:pPr>
      <w:bookmarkStart w:id="68" w:name="_Toc1779503409"/>
      <w:r>
        <w:rPr>
          <w:rFonts w:hint="eastAsia" w:ascii="黑体" w:eastAsia="黑体" w:cs="Times New Roman"/>
          <w:color w:val="000000"/>
          <w:sz w:val="32"/>
          <w:szCs w:val="32"/>
          <w:lang w:val="en-US" w:eastAsia="zh-CN"/>
        </w:rPr>
        <w:t>五、一般公共预算财政拨款支出决算情况说明</w:t>
      </w:r>
      <w:bookmarkEnd w:id="67"/>
      <w:bookmarkEnd w:id="68"/>
    </w:p>
    <w:p w14:paraId="7A8E9AE0">
      <w:pPr>
        <w:spacing w:line="600" w:lineRule="exact"/>
        <w:ind w:firstLine="643" w:firstLineChars="200"/>
        <w:outlineLvl w:val="2"/>
        <w:rPr>
          <w:rFonts w:hint="eastAsia" w:ascii="Times New Roman" w:hAnsi="Times New Roman" w:eastAsia="楷体_GB2312" w:cs="楷体_GB2312"/>
          <w:b/>
          <w:color w:val="auto"/>
          <w:sz w:val="32"/>
          <w:szCs w:val="32"/>
          <w:highlight w:val="none"/>
          <w:lang w:val="en-US" w:eastAsia="zh-CN"/>
        </w:rPr>
      </w:pPr>
      <w:bookmarkStart w:id="69" w:name="_Toc3246"/>
      <w:bookmarkStart w:id="70" w:name="_Toc19262"/>
      <w:r>
        <w:rPr>
          <w:rFonts w:hint="eastAsia" w:ascii="Times New Roman" w:hAnsi="Times New Roman" w:eastAsia="楷体_GB2312" w:cs="楷体_GB2312"/>
          <w:b/>
          <w:color w:val="auto"/>
          <w:sz w:val="32"/>
          <w:szCs w:val="32"/>
          <w:highlight w:val="none"/>
          <w:lang w:val="en-US" w:eastAsia="zh-CN"/>
        </w:rPr>
        <w:t>（一）一般公共预算财政拨款支出决算总体情况</w:t>
      </w:r>
      <w:bookmarkEnd w:id="69"/>
      <w:bookmarkEnd w:id="70"/>
    </w:p>
    <w:p w14:paraId="11F92F3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sz w:val="32"/>
          <w:szCs w:val="32"/>
          <w:lang w:val="en-US" w:eastAsia="zh-CN"/>
        </w:rPr>
      </w:pPr>
      <w:r>
        <w:rPr>
          <w:rFonts w:hint="eastAsia" w:ascii="仿宋_GB2312" w:eastAsia="仿宋_GB2312" w:cs="仿宋_GB2312"/>
          <w:bCs/>
          <w:kern w:val="2"/>
          <w:sz w:val="32"/>
          <w:szCs w:val="32"/>
          <w:lang w:val="en-US" w:eastAsia="zh-CN" w:bidi="ar-SA"/>
        </w:rPr>
        <w:t>2025年度一般公共预算财政拨款支出13107.93万元，占本年支出合</w:t>
      </w:r>
      <w:r>
        <w:rPr>
          <w:rFonts w:hint="eastAsia" w:ascii="仿宋_GB2312" w:eastAsia="仿宋_GB2312" w:cs="仿宋_GB2312"/>
          <w:sz w:val="32"/>
          <w:szCs w:val="32"/>
        </w:rPr>
        <w:t>计的</w:t>
      </w:r>
      <w:r>
        <w:rPr>
          <w:rFonts w:hint="eastAsia" w:ascii="仿宋_GB2312" w:eastAsia="仿宋_GB2312" w:cs="仿宋_GB2312"/>
          <w:sz w:val="32"/>
          <w:szCs w:val="32"/>
          <w:lang w:val="en-US" w:eastAsia="zh-CN"/>
        </w:rPr>
        <w:t>91.75</w:t>
      </w:r>
      <w:r>
        <w:rPr>
          <w:rFonts w:ascii="仿宋_GB2312" w:eastAsia="仿宋_GB2312" w:cs="仿宋_GB2312"/>
          <w:sz w:val="32"/>
          <w:szCs w:val="32"/>
        </w:rPr>
        <w:t>%</w:t>
      </w:r>
      <w:r>
        <w:rPr>
          <w:rFonts w:hint="eastAsia" w:ascii="仿宋_GB2312" w:eastAsia="仿宋_GB2312" w:cs="仿宋_GB2312"/>
          <w:sz w:val="32"/>
          <w:szCs w:val="32"/>
          <w:highlight w:val="none"/>
        </w:rPr>
        <w:t>。</w:t>
      </w:r>
      <w:r>
        <w:rPr>
          <w:rFonts w:hint="eastAsia" w:ascii="仿宋_GB2312" w:eastAsia="仿宋_GB2312" w:cs="仿宋_GB2312"/>
          <w:sz w:val="32"/>
          <w:szCs w:val="32"/>
          <w:highlight w:val="none"/>
          <w:lang w:val="en-US" w:eastAsia="zh-CN"/>
        </w:rPr>
        <w:t>与上</w:t>
      </w:r>
      <w:r>
        <w:rPr>
          <w:rFonts w:hint="eastAsia" w:ascii="仿宋_GB2312" w:eastAsia="仿宋_GB2312" w:cs="仿宋_GB2312"/>
          <w:sz w:val="32"/>
          <w:szCs w:val="32"/>
        </w:rPr>
        <w:t>年</w:t>
      </w:r>
      <w:r>
        <w:rPr>
          <w:rFonts w:hint="eastAsia" w:ascii="仿宋_GB2312" w:eastAsia="仿宋_GB2312" w:cs="仿宋_GB2312"/>
          <w:sz w:val="32"/>
          <w:szCs w:val="32"/>
          <w:lang w:eastAsia="zh-CN"/>
        </w:rPr>
        <w:t>度</w:t>
      </w:r>
      <w:r>
        <w:rPr>
          <w:rFonts w:hint="eastAsia" w:ascii="仿宋_GB2312" w:eastAsia="仿宋_GB2312" w:cs="仿宋_GB2312"/>
          <w:sz w:val="32"/>
          <w:szCs w:val="32"/>
        </w:rPr>
        <w:t>相比，一般公共预算财政拨款</w:t>
      </w:r>
      <w:r>
        <w:rPr>
          <w:rFonts w:hint="eastAsia" w:ascii="仿宋_GB2312" w:eastAsia="仿宋_GB2312" w:cs="仿宋_GB2312"/>
          <w:sz w:val="32"/>
          <w:szCs w:val="32"/>
          <w:lang w:val="en-US" w:eastAsia="zh-CN"/>
        </w:rPr>
        <w:t>增加1862.89</w:t>
      </w:r>
      <w:r>
        <w:rPr>
          <w:rFonts w:hint="eastAsia" w:ascii="仿宋_GB2312" w:eastAsia="仿宋_GB2312" w:cs="仿宋_GB2312"/>
          <w:sz w:val="32"/>
          <w:szCs w:val="32"/>
        </w:rPr>
        <w:t>万元，</w:t>
      </w:r>
      <w:r>
        <w:rPr>
          <w:rFonts w:hint="eastAsia" w:ascii="仿宋_GB2312" w:eastAsia="仿宋_GB2312" w:cs="仿宋_GB2312"/>
          <w:sz w:val="32"/>
          <w:szCs w:val="32"/>
          <w:lang w:val="en-US" w:eastAsia="zh-CN"/>
        </w:rPr>
        <w:t>增长16.57</w:t>
      </w:r>
      <w:r>
        <w:rPr>
          <w:rFonts w:ascii="仿宋_GB2312" w:eastAsia="仿宋_GB2312" w:cs="仿宋_GB2312"/>
          <w:sz w:val="32"/>
          <w:szCs w:val="32"/>
        </w:rPr>
        <w:t>%</w:t>
      </w:r>
      <w:r>
        <w:rPr>
          <w:rFonts w:hint="eastAsia" w:ascii="仿宋_GB2312" w:eastAsia="仿宋_GB2312" w:cs="仿宋_GB2312"/>
          <w:sz w:val="32"/>
          <w:szCs w:val="32"/>
          <w:lang w:eastAsia="zh-CN"/>
        </w:rPr>
        <w:t>，</w:t>
      </w:r>
      <w:r>
        <w:rPr>
          <w:rFonts w:hint="eastAsia" w:ascii="仿宋_GB2312" w:eastAsia="仿宋_GB2312" w:cs="仿宋_GB2312"/>
          <w:sz w:val="32"/>
          <w:szCs w:val="32"/>
        </w:rPr>
        <w:t>主要变动原因</w:t>
      </w:r>
      <w:r>
        <w:rPr>
          <w:rFonts w:hint="eastAsia" w:ascii="仿宋_GB2312" w:eastAsia="仿宋_GB2312" w:cs="仿宋_GB2312"/>
          <w:sz w:val="32"/>
          <w:szCs w:val="32"/>
          <w:lang w:val="en-US" w:eastAsia="zh-CN"/>
        </w:rPr>
        <w:t>是：</w:t>
      </w:r>
      <w:r>
        <w:rPr>
          <w:rFonts w:hint="eastAsia" w:ascii="仿宋_GB2312" w:eastAsia="仿宋_GB2312" w:cs="仿宋_GB2312"/>
          <w:sz w:val="32"/>
          <w:szCs w:val="32"/>
        </w:rPr>
        <w:t>财政拨款农林水</w:t>
      </w:r>
      <w:r>
        <w:rPr>
          <w:rFonts w:hint="eastAsia" w:ascii="仿宋_GB2312" w:eastAsia="仿宋_GB2312" w:cs="仿宋_GB2312"/>
          <w:sz w:val="32"/>
          <w:szCs w:val="32"/>
          <w:lang w:eastAsia="zh-CN"/>
        </w:rPr>
        <w:t>项目</w:t>
      </w:r>
      <w:r>
        <w:rPr>
          <w:rFonts w:hint="eastAsia" w:ascii="仿宋_GB2312" w:eastAsia="仿宋_GB2312" w:cs="仿宋_GB2312"/>
          <w:sz w:val="32"/>
          <w:szCs w:val="32"/>
        </w:rPr>
        <w:t>支出</w:t>
      </w:r>
      <w:r>
        <w:rPr>
          <w:rFonts w:hint="eastAsia" w:ascii="仿宋_GB2312" w:eastAsia="仿宋_GB2312" w:cs="仿宋_GB2312"/>
          <w:sz w:val="32"/>
          <w:szCs w:val="32"/>
          <w:lang w:val="en-US" w:eastAsia="zh-CN"/>
        </w:rPr>
        <w:t>增加。</w:t>
      </w:r>
    </w:p>
    <w:p w14:paraId="1553B7B6">
      <w:pPr>
        <w:pStyle w:val="3"/>
        <w:ind w:left="0" w:leftChars="0" w:firstLine="0" w:firstLineChars="0"/>
        <w:rPr>
          <w:rFonts w:hint="default" w:ascii="仿宋_GB2312" w:eastAsia="仿宋_GB2312" w:cs="仿宋_GB2312"/>
          <w:sz w:val="32"/>
          <w:szCs w:val="32"/>
          <w:lang w:val="en-US" w:eastAsia="zh-CN"/>
        </w:rPr>
      </w:pPr>
      <w:r>
        <w:rPr>
          <w:rFonts w:hint="eastAsia" w:ascii="仿宋_GB2312" w:eastAsia="仿宋_GB2312" w:cs="仿宋_GB2312"/>
          <w:sz w:val="32"/>
          <w:szCs w:val="32"/>
          <w:lang w:val="en-US" w:eastAsia="zh-CN"/>
        </w:rPr>
        <w:t xml:space="preserve"> </w:t>
      </w:r>
      <w:r>
        <w:drawing>
          <wp:inline distT="0" distB="0" distL="114300" distR="114300">
            <wp:extent cx="5123180" cy="2964180"/>
            <wp:effectExtent l="4445" t="4445" r="15875" b="22225"/>
            <wp:docPr id="12"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Pr>
          <w:rFonts w:hint="eastAsia" w:ascii="仿宋_GB2312" w:eastAsia="仿宋_GB2312" w:cs="仿宋_GB2312"/>
          <w:sz w:val="32"/>
          <w:szCs w:val="32"/>
          <w:lang w:val="en-US" w:eastAsia="zh-CN"/>
        </w:rPr>
        <w:t xml:space="preserve"> </w:t>
      </w:r>
    </w:p>
    <w:p w14:paraId="4F77FAF3">
      <w:pPr>
        <w:spacing w:line="600" w:lineRule="exact"/>
        <w:ind w:firstLine="643" w:firstLineChars="200"/>
        <w:outlineLvl w:val="2"/>
        <w:rPr>
          <w:rFonts w:hint="eastAsia" w:ascii="Times New Roman" w:hAnsi="Times New Roman" w:eastAsia="楷体_GB2312" w:cs="楷体_GB2312"/>
          <w:b/>
          <w:color w:val="auto"/>
          <w:sz w:val="32"/>
          <w:szCs w:val="32"/>
          <w:highlight w:val="none"/>
          <w:lang w:val="en-US" w:eastAsia="zh-CN"/>
        </w:rPr>
      </w:pPr>
      <w:bookmarkStart w:id="71" w:name="_Toc558"/>
      <w:bookmarkStart w:id="72" w:name="_Toc15725"/>
      <w:r>
        <w:rPr>
          <w:rFonts w:hint="eastAsia" w:ascii="Times New Roman" w:hAnsi="Times New Roman" w:eastAsia="楷体_GB2312" w:cs="楷体_GB2312"/>
          <w:b/>
          <w:color w:val="auto"/>
          <w:sz w:val="32"/>
          <w:szCs w:val="32"/>
          <w:highlight w:val="none"/>
          <w:lang w:val="en-US" w:eastAsia="zh-CN"/>
        </w:rPr>
        <w:t>（二）一般公共预算财政拨款支出决算结构情况</w:t>
      </w:r>
      <w:bookmarkEnd w:id="71"/>
      <w:bookmarkEnd w:id="72"/>
    </w:p>
    <w:p w14:paraId="2A4B3DE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s="仿宋_GB2312"/>
          <w:sz w:val="32"/>
          <w:szCs w:val="32"/>
          <w:highlight w:val="none"/>
        </w:rPr>
      </w:pPr>
      <w:r>
        <w:rPr>
          <w:rFonts w:hint="eastAsia" w:ascii="仿宋_GB2312" w:eastAsia="仿宋_GB2312" w:cs="仿宋_GB2312"/>
          <w:sz w:val="32"/>
          <w:szCs w:val="32"/>
          <w:highlight w:val="none"/>
          <w:lang w:eastAsia="zh-CN"/>
        </w:rPr>
        <w:t>2025</w:t>
      </w:r>
      <w:r>
        <w:rPr>
          <w:rFonts w:hint="eastAsia" w:ascii="仿宋_GB2312" w:eastAsia="仿宋_GB2312" w:cs="仿宋_GB2312"/>
          <w:sz w:val="32"/>
          <w:szCs w:val="32"/>
          <w:highlight w:val="none"/>
        </w:rPr>
        <w:t>年</w:t>
      </w:r>
      <w:r>
        <w:rPr>
          <w:rFonts w:hint="eastAsia" w:ascii="仿宋_GB2312" w:eastAsia="仿宋_GB2312" w:cs="仿宋_GB2312"/>
          <w:sz w:val="32"/>
          <w:szCs w:val="32"/>
          <w:highlight w:val="none"/>
          <w:lang w:val="en-US" w:eastAsia="zh-CN"/>
        </w:rPr>
        <w:t>度</w:t>
      </w:r>
      <w:r>
        <w:rPr>
          <w:rFonts w:hint="eastAsia" w:ascii="仿宋_GB2312" w:eastAsia="仿宋_GB2312" w:cs="仿宋_GB2312"/>
          <w:sz w:val="32"/>
          <w:szCs w:val="32"/>
          <w:highlight w:val="none"/>
        </w:rPr>
        <w:t>一般公共预算财政拨款支出</w:t>
      </w:r>
      <w:r>
        <w:rPr>
          <w:rFonts w:hint="eastAsia" w:ascii="仿宋_GB2312" w:eastAsia="仿宋_GB2312" w:cs="仿宋_GB2312"/>
          <w:sz w:val="32"/>
          <w:szCs w:val="32"/>
          <w:highlight w:val="none"/>
          <w:lang w:val="en-US" w:eastAsia="zh-CN"/>
        </w:rPr>
        <w:t>13107.93</w:t>
      </w:r>
      <w:r>
        <w:rPr>
          <w:rFonts w:hint="eastAsia" w:ascii="仿宋_GB2312" w:eastAsia="仿宋_GB2312" w:cs="仿宋_GB2312"/>
          <w:sz w:val="32"/>
          <w:szCs w:val="32"/>
          <w:highlight w:val="none"/>
        </w:rPr>
        <w:t>万元，主要用于以下方面:科学技术支出</w:t>
      </w:r>
      <w:r>
        <w:rPr>
          <w:rFonts w:hint="eastAsia" w:ascii="仿宋_GB2312" w:eastAsia="仿宋_GB2312" w:cs="仿宋_GB2312"/>
          <w:sz w:val="32"/>
          <w:szCs w:val="32"/>
          <w:highlight w:val="none"/>
          <w:lang w:val="en-US" w:eastAsia="zh-CN"/>
        </w:rPr>
        <w:t>669.22</w:t>
      </w:r>
      <w:r>
        <w:rPr>
          <w:rFonts w:hint="eastAsia" w:ascii="仿宋_GB2312" w:eastAsia="仿宋_GB2312" w:cs="仿宋_GB2312"/>
          <w:sz w:val="32"/>
          <w:szCs w:val="32"/>
          <w:highlight w:val="none"/>
        </w:rPr>
        <w:t>万元，占</w:t>
      </w:r>
      <w:r>
        <w:rPr>
          <w:rFonts w:hint="eastAsia" w:ascii="仿宋_GB2312" w:eastAsia="仿宋_GB2312" w:cs="仿宋_GB2312"/>
          <w:sz w:val="32"/>
          <w:szCs w:val="32"/>
          <w:highlight w:val="none"/>
          <w:lang w:val="en-US" w:eastAsia="zh-CN"/>
        </w:rPr>
        <w:t>5.11</w:t>
      </w:r>
      <w:r>
        <w:rPr>
          <w:rFonts w:hint="eastAsia" w:ascii="仿宋_GB2312" w:eastAsia="仿宋_GB2312" w:cs="仿宋_GB2312"/>
          <w:sz w:val="32"/>
          <w:szCs w:val="32"/>
          <w:highlight w:val="none"/>
        </w:rPr>
        <w:t>%；社会保障和就业支出</w:t>
      </w:r>
      <w:r>
        <w:rPr>
          <w:rFonts w:hint="eastAsia" w:ascii="仿宋_GB2312" w:eastAsia="仿宋_GB2312" w:cs="仿宋_GB2312"/>
          <w:sz w:val="32"/>
          <w:szCs w:val="32"/>
          <w:highlight w:val="none"/>
          <w:lang w:val="en-US" w:eastAsia="zh-CN"/>
        </w:rPr>
        <w:t>254.77</w:t>
      </w:r>
      <w:r>
        <w:rPr>
          <w:rFonts w:hint="eastAsia" w:ascii="仿宋_GB2312" w:eastAsia="仿宋_GB2312" w:cs="仿宋_GB2312"/>
          <w:sz w:val="32"/>
          <w:szCs w:val="32"/>
          <w:highlight w:val="none"/>
        </w:rPr>
        <w:t>万元，占</w:t>
      </w:r>
      <w:r>
        <w:rPr>
          <w:rFonts w:hint="eastAsia" w:ascii="仿宋_GB2312" w:eastAsia="仿宋_GB2312" w:cs="仿宋_GB2312"/>
          <w:sz w:val="32"/>
          <w:szCs w:val="32"/>
          <w:highlight w:val="none"/>
          <w:lang w:val="en-US" w:eastAsia="zh-CN"/>
        </w:rPr>
        <w:t>1.94</w:t>
      </w:r>
      <w:r>
        <w:rPr>
          <w:rFonts w:hint="eastAsia" w:ascii="仿宋_GB2312" w:eastAsia="仿宋_GB2312" w:cs="仿宋_GB2312"/>
          <w:sz w:val="32"/>
          <w:szCs w:val="32"/>
          <w:highlight w:val="none"/>
        </w:rPr>
        <w:t>%；卫生健康支出</w:t>
      </w:r>
      <w:r>
        <w:rPr>
          <w:rFonts w:hint="eastAsia" w:ascii="仿宋_GB2312" w:eastAsia="仿宋_GB2312" w:cs="仿宋_GB2312"/>
          <w:sz w:val="32"/>
          <w:szCs w:val="32"/>
          <w:highlight w:val="none"/>
          <w:lang w:val="en-US" w:eastAsia="zh-CN"/>
        </w:rPr>
        <w:t>108.14</w:t>
      </w:r>
      <w:r>
        <w:rPr>
          <w:rFonts w:hint="eastAsia" w:ascii="仿宋_GB2312" w:eastAsia="仿宋_GB2312" w:cs="仿宋_GB2312"/>
          <w:sz w:val="32"/>
          <w:szCs w:val="32"/>
          <w:highlight w:val="none"/>
        </w:rPr>
        <w:t>万元，占</w:t>
      </w:r>
      <w:r>
        <w:rPr>
          <w:rFonts w:hint="eastAsia" w:ascii="仿宋_GB2312" w:eastAsia="仿宋_GB2312" w:cs="仿宋_GB2312"/>
          <w:sz w:val="32"/>
          <w:szCs w:val="32"/>
          <w:highlight w:val="none"/>
          <w:lang w:val="en-US" w:eastAsia="zh-CN"/>
        </w:rPr>
        <w:t>0.82</w:t>
      </w:r>
      <w:r>
        <w:rPr>
          <w:rFonts w:hint="eastAsia" w:ascii="仿宋_GB2312" w:eastAsia="仿宋_GB2312" w:cs="仿宋_GB2312"/>
          <w:sz w:val="32"/>
          <w:szCs w:val="32"/>
          <w:highlight w:val="none"/>
        </w:rPr>
        <w:t>%；农林水支出</w:t>
      </w:r>
      <w:r>
        <w:rPr>
          <w:rFonts w:hint="eastAsia" w:ascii="仿宋_GB2312" w:eastAsia="仿宋_GB2312" w:cs="仿宋_GB2312"/>
          <w:sz w:val="32"/>
          <w:szCs w:val="32"/>
          <w:highlight w:val="none"/>
          <w:lang w:val="en-US" w:eastAsia="zh-CN"/>
        </w:rPr>
        <w:t>11930.85</w:t>
      </w:r>
      <w:r>
        <w:rPr>
          <w:rFonts w:hint="eastAsia" w:ascii="仿宋_GB2312" w:eastAsia="仿宋_GB2312" w:cs="仿宋_GB2312"/>
          <w:sz w:val="32"/>
          <w:szCs w:val="32"/>
          <w:highlight w:val="none"/>
        </w:rPr>
        <w:t>万元，占</w:t>
      </w:r>
      <w:r>
        <w:rPr>
          <w:rFonts w:hint="eastAsia" w:ascii="仿宋_GB2312" w:eastAsia="仿宋_GB2312" w:cs="仿宋_GB2312"/>
          <w:sz w:val="32"/>
          <w:szCs w:val="32"/>
          <w:highlight w:val="none"/>
          <w:lang w:val="en-US" w:eastAsia="zh-CN"/>
        </w:rPr>
        <w:t>91.02</w:t>
      </w:r>
      <w:r>
        <w:rPr>
          <w:rFonts w:hint="eastAsia" w:ascii="仿宋_GB2312" w:eastAsia="仿宋_GB2312" w:cs="仿宋_GB2312"/>
          <w:sz w:val="32"/>
          <w:szCs w:val="32"/>
          <w:highlight w:val="none"/>
        </w:rPr>
        <w:t>%；</w:t>
      </w:r>
      <w:r>
        <w:rPr>
          <w:rFonts w:hint="eastAsia" w:ascii="仿宋_GB2312" w:eastAsia="仿宋_GB2312" w:cs="仿宋_GB2312"/>
          <w:sz w:val="32"/>
          <w:szCs w:val="32"/>
          <w:highlight w:val="none"/>
          <w:lang w:val="en-US" w:eastAsia="zh-CN"/>
        </w:rPr>
        <w:t>住</w:t>
      </w:r>
      <w:r>
        <w:rPr>
          <w:rFonts w:hint="eastAsia" w:ascii="仿宋_GB2312" w:eastAsia="仿宋_GB2312" w:cs="仿宋_GB2312"/>
          <w:sz w:val="32"/>
          <w:szCs w:val="32"/>
          <w:highlight w:val="none"/>
        </w:rPr>
        <w:t>房保障支出</w:t>
      </w:r>
      <w:r>
        <w:rPr>
          <w:rFonts w:hint="eastAsia" w:ascii="仿宋_GB2312" w:eastAsia="仿宋_GB2312" w:cs="仿宋_GB2312"/>
          <w:sz w:val="32"/>
          <w:szCs w:val="32"/>
          <w:highlight w:val="none"/>
          <w:lang w:val="en-US" w:eastAsia="zh-CN"/>
        </w:rPr>
        <w:t>144.94</w:t>
      </w:r>
      <w:r>
        <w:rPr>
          <w:rFonts w:hint="eastAsia" w:ascii="仿宋_GB2312" w:eastAsia="仿宋_GB2312" w:cs="仿宋_GB2312"/>
          <w:sz w:val="32"/>
          <w:szCs w:val="32"/>
          <w:highlight w:val="none"/>
        </w:rPr>
        <w:t>万元，占</w:t>
      </w:r>
      <w:r>
        <w:rPr>
          <w:rFonts w:hint="eastAsia" w:ascii="仿宋_GB2312" w:eastAsia="仿宋_GB2312" w:cs="仿宋_GB2312"/>
          <w:sz w:val="32"/>
          <w:szCs w:val="32"/>
          <w:highlight w:val="none"/>
          <w:lang w:val="en-US" w:eastAsia="zh-CN"/>
        </w:rPr>
        <w:t>1.11</w:t>
      </w:r>
      <w:r>
        <w:rPr>
          <w:rFonts w:hint="eastAsia" w:ascii="仿宋_GB2312" w:eastAsia="仿宋_GB2312" w:cs="仿宋_GB2312"/>
          <w:sz w:val="32"/>
          <w:szCs w:val="32"/>
          <w:highlight w:val="none"/>
        </w:rPr>
        <w:t>%。</w:t>
      </w:r>
    </w:p>
    <w:p w14:paraId="66300D04">
      <w:pPr>
        <w:pStyle w:val="24"/>
        <w:rPr>
          <w:rFonts w:hint="default" w:eastAsia="仿宋_GB2312"/>
          <w:lang w:val="en-US" w:eastAsia="zh-CN"/>
        </w:rPr>
      </w:pPr>
      <w:r>
        <w:drawing>
          <wp:inline distT="0" distB="0" distL="114300" distR="114300">
            <wp:extent cx="5180330" cy="2753995"/>
            <wp:effectExtent l="4445" t="4445" r="15875" b="22860"/>
            <wp:docPr id="13"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A10B9FD">
      <w:pPr>
        <w:spacing w:line="600" w:lineRule="exact"/>
        <w:ind w:firstLine="643" w:firstLineChars="200"/>
        <w:outlineLvl w:val="2"/>
        <w:rPr>
          <w:rFonts w:hint="eastAsia" w:ascii="Times New Roman" w:hAnsi="Times New Roman" w:eastAsia="楷体_GB2312" w:cs="楷体_GB2312"/>
          <w:b/>
          <w:color w:val="auto"/>
          <w:sz w:val="32"/>
          <w:szCs w:val="32"/>
          <w:highlight w:val="none"/>
          <w:lang w:val="en-US" w:eastAsia="zh-CN"/>
        </w:rPr>
      </w:pPr>
      <w:bookmarkStart w:id="73" w:name="_Toc24597"/>
      <w:bookmarkStart w:id="74" w:name="_Toc17147"/>
      <w:r>
        <w:rPr>
          <w:rFonts w:hint="eastAsia" w:ascii="Times New Roman" w:hAnsi="Times New Roman" w:eastAsia="楷体_GB2312" w:cs="楷体_GB2312"/>
          <w:b/>
          <w:color w:val="auto"/>
          <w:sz w:val="32"/>
          <w:szCs w:val="32"/>
          <w:highlight w:val="none"/>
          <w:lang w:val="en-US" w:eastAsia="zh-CN"/>
        </w:rPr>
        <w:t>（三）一般公共预算财政拨款支出决算具体情况</w:t>
      </w:r>
      <w:bookmarkEnd w:id="73"/>
      <w:bookmarkEnd w:id="74"/>
    </w:p>
    <w:p w14:paraId="07F6123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sz w:val="32"/>
          <w:szCs w:val="32"/>
        </w:rPr>
      </w:pPr>
      <w:r>
        <w:rPr>
          <w:rFonts w:hint="eastAsia" w:ascii="仿宋_GB2312" w:eastAsia="仿宋_GB2312" w:cs="仿宋_GB2312"/>
          <w:sz w:val="32"/>
          <w:szCs w:val="32"/>
          <w:lang w:eastAsia="zh-CN"/>
        </w:rPr>
        <w:t>2025</w:t>
      </w:r>
      <w:r>
        <w:rPr>
          <w:rFonts w:hint="eastAsia" w:ascii="仿宋_GB2312" w:eastAsia="仿宋_GB2312" w:cs="仿宋_GB2312"/>
          <w:sz w:val="32"/>
          <w:szCs w:val="32"/>
        </w:rPr>
        <w:t>年</w:t>
      </w:r>
      <w:r>
        <w:rPr>
          <w:rFonts w:hint="eastAsia" w:ascii="仿宋_GB2312" w:eastAsia="仿宋_GB2312" w:cs="仿宋_GB2312"/>
          <w:sz w:val="32"/>
          <w:szCs w:val="32"/>
          <w:lang w:val="en-US" w:eastAsia="zh-CN"/>
        </w:rPr>
        <w:t>度</w:t>
      </w:r>
      <w:r>
        <w:rPr>
          <w:rFonts w:hint="eastAsia" w:ascii="仿宋_GB2312" w:eastAsia="仿宋_GB2312" w:cs="仿宋_GB2312"/>
          <w:sz w:val="32"/>
          <w:szCs w:val="32"/>
        </w:rPr>
        <w:t>一般公共预算财政拨款支出决算数为</w:t>
      </w:r>
      <w:r>
        <w:rPr>
          <w:rFonts w:hint="eastAsia" w:ascii="仿宋_GB2312" w:eastAsia="仿宋_GB2312" w:cs="仿宋_GB2312"/>
          <w:sz w:val="32"/>
          <w:szCs w:val="32"/>
          <w:lang w:val="en-US" w:eastAsia="zh-CN"/>
        </w:rPr>
        <w:t>13107.93</w:t>
      </w:r>
      <w:r>
        <w:rPr>
          <w:rFonts w:hint="eastAsia" w:ascii="仿宋_GB2312" w:eastAsia="仿宋_GB2312" w:cs="仿宋_GB2312"/>
          <w:sz w:val="32"/>
          <w:szCs w:val="32"/>
        </w:rPr>
        <w:t>万元，完成预算</w:t>
      </w:r>
      <w:r>
        <w:rPr>
          <w:rFonts w:hint="eastAsia" w:ascii="仿宋_GB2312" w:eastAsia="仿宋_GB2312" w:cs="仿宋_GB2312"/>
          <w:sz w:val="32"/>
          <w:szCs w:val="32"/>
          <w:lang w:val="en-US" w:eastAsia="zh-CN"/>
        </w:rPr>
        <w:t>100</w:t>
      </w:r>
      <w:r>
        <w:rPr>
          <w:rFonts w:ascii="仿宋_GB2312" w:eastAsia="仿宋_GB2312" w:cs="仿宋_GB2312"/>
          <w:sz w:val="32"/>
          <w:szCs w:val="32"/>
        </w:rPr>
        <w:t>%</w:t>
      </w:r>
      <w:r>
        <w:rPr>
          <w:rFonts w:hint="eastAsia" w:ascii="仿宋_GB2312" w:eastAsia="仿宋_GB2312" w:cs="仿宋_GB2312"/>
          <w:sz w:val="32"/>
          <w:szCs w:val="32"/>
        </w:rPr>
        <w:t>。其中：</w:t>
      </w:r>
    </w:p>
    <w:p w14:paraId="26C3929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olor w:val="000000"/>
          <w:sz w:val="32"/>
          <w:szCs w:val="32"/>
          <w:lang w:eastAsia="zh-CN"/>
        </w:rPr>
      </w:pPr>
      <w:r>
        <w:rPr>
          <w:rFonts w:hint="eastAsia" w:ascii="仿宋_GB2312" w:eastAsia="仿宋_GB2312" w:cs="仿宋_GB2312"/>
          <w:bCs/>
          <w:color w:val="000000"/>
          <w:sz w:val="32"/>
          <w:szCs w:val="32"/>
          <w:lang w:val="en-US" w:eastAsia="zh-CN"/>
        </w:rPr>
        <w:t>1</w:t>
      </w:r>
      <w:r>
        <w:rPr>
          <w:rFonts w:hint="eastAsia" w:ascii="仿宋_GB2312" w:eastAsia="仿宋_GB2312" w:cs="仿宋_GB2312"/>
          <w:bCs/>
          <w:color w:val="000000"/>
          <w:sz w:val="32"/>
          <w:szCs w:val="32"/>
        </w:rPr>
        <w:t>.科学技术支出（</w:t>
      </w:r>
      <w:r>
        <w:rPr>
          <w:rFonts w:hint="eastAsia" w:ascii="仿宋_GB2312" w:eastAsia="仿宋_GB2312" w:cs="仿宋_GB2312"/>
          <w:bCs/>
          <w:color w:val="000000"/>
          <w:sz w:val="32"/>
          <w:szCs w:val="32"/>
          <w:lang w:eastAsia="zh-CN"/>
        </w:rPr>
        <w:t>类</w:t>
      </w:r>
      <w:r>
        <w:rPr>
          <w:rFonts w:hint="eastAsia" w:ascii="仿宋_GB2312" w:eastAsia="仿宋_GB2312" w:cs="仿宋_GB2312"/>
          <w:bCs/>
          <w:color w:val="000000"/>
          <w:sz w:val="32"/>
          <w:szCs w:val="32"/>
        </w:rPr>
        <w:t>）科学技术管理事</w:t>
      </w:r>
      <w:r>
        <w:rPr>
          <w:rFonts w:hint="eastAsia" w:ascii="仿宋_GB2312" w:eastAsia="仿宋_GB2312" w:cs="仿宋_GB2312"/>
          <w:bCs/>
          <w:color w:val="000000"/>
          <w:sz w:val="32"/>
          <w:szCs w:val="32"/>
          <w:lang w:val="en-US" w:eastAsia="zh-CN"/>
        </w:rPr>
        <w:t>务</w:t>
      </w:r>
      <w:r>
        <w:rPr>
          <w:rFonts w:hint="eastAsia" w:ascii="仿宋_GB2312" w:eastAsia="仿宋_GB2312" w:cs="仿宋_GB2312"/>
          <w:bCs/>
          <w:color w:val="000000"/>
          <w:sz w:val="32"/>
          <w:szCs w:val="32"/>
        </w:rPr>
        <w:t>（</w:t>
      </w:r>
      <w:r>
        <w:rPr>
          <w:rFonts w:hint="eastAsia" w:ascii="仿宋_GB2312" w:eastAsia="仿宋_GB2312" w:cs="仿宋_GB2312"/>
          <w:bCs/>
          <w:color w:val="000000"/>
          <w:sz w:val="32"/>
          <w:szCs w:val="32"/>
          <w:lang w:val="en-US" w:eastAsia="zh-CN"/>
        </w:rPr>
        <w:t>款</w:t>
      </w:r>
      <w:r>
        <w:rPr>
          <w:rFonts w:hint="eastAsia" w:ascii="仿宋_GB2312" w:eastAsia="仿宋_GB2312" w:cs="仿宋_GB2312"/>
          <w:bCs/>
          <w:color w:val="000000"/>
          <w:sz w:val="32"/>
          <w:szCs w:val="32"/>
        </w:rPr>
        <w:t>）其他科学技术管理事</w:t>
      </w:r>
      <w:r>
        <w:rPr>
          <w:rFonts w:hint="eastAsia" w:ascii="仿宋_GB2312" w:eastAsia="仿宋_GB2312" w:cs="仿宋_GB2312"/>
          <w:bCs/>
          <w:color w:val="000000"/>
          <w:sz w:val="32"/>
          <w:szCs w:val="32"/>
          <w:lang w:val="en-US" w:eastAsia="zh-CN"/>
        </w:rPr>
        <w:t>务</w:t>
      </w:r>
      <w:r>
        <w:rPr>
          <w:rFonts w:hint="eastAsia" w:ascii="仿宋_GB2312" w:eastAsia="仿宋_GB2312" w:cs="仿宋_GB2312"/>
          <w:bCs/>
          <w:color w:val="000000"/>
          <w:sz w:val="32"/>
          <w:szCs w:val="32"/>
        </w:rPr>
        <w:t>支出（</w:t>
      </w:r>
      <w:r>
        <w:rPr>
          <w:rFonts w:hint="eastAsia" w:ascii="仿宋_GB2312" w:eastAsia="仿宋_GB2312" w:cs="仿宋_GB2312"/>
          <w:bCs/>
          <w:color w:val="000000"/>
          <w:sz w:val="32"/>
          <w:szCs w:val="32"/>
          <w:lang w:eastAsia="zh-CN"/>
        </w:rPr>
        <w:t>项</w:t>
      </w:r>
      <w:r>
        <w:rPr>
          <w:rFonts w:hint="eastAsia" w:ascii="仿宋_GB2312" w:eastAsia="仿宋_GB2312" w:cs="仿宋_GB2312"/>
          <w:bCs/>
          <w:color w:val="000000"/>
          <w:sz w:val="32"/>
          <w:szCs w:val="32"/>
        </w:rPr>
        <w:t>）支出决算为</w:t>
      </w:r>
      <w:r>
        <w:rPr>
          <w:rFonts w:hint="eastAsia" w:ascii="仿宋_GB2312" w:eastAsia="仿宋_GB2312" w:cs="仿宋_GB2312"/>
          <w:bCs/>
          <w:color w:val="000000"/>
          <w:sz w:val="32"/>
          <w:szCs w:val="32"/>
          <w:lang w:val="en-US" w:eastAsia="zh-CN"/>
        </w:rPr>
        <w:t>33.35</w:t>
      </w:r>
      <w:r>
        <w:rPr>
          <w:rFonts w:hint="eastAsia" w:ascii="仿宋_GB2312" w:eastAsia="仿宋_GB2312" w:cs="仿宋_GB2312"/>
          <w:bCs/>
          <w:color w:val="000000"/>
          <w:sz w:val="32"/>
          <w:szCs w:val="32"/>
        </w:rPr>
        <w:t>万元，完成预算</w:t>
      </w:r>
      <w:r>
        <w:rPr>
          <w:rFonts w:hint="eastAsia" w:ascii="仿宋_GB2312" w:eastAsia="仿宋_GB2312" w:cs="仿宋_GB2312"/>
          <w:bCs/>
          <w:color w:val="000000"/>
          <w:sz w:val="32"/>
          <w:szCs w:val="32"/>
          <w:lang w:val="en-US" w:eastAsia="zh-CN"/>
        </w:rPr>
        <w:t>100</w:t>
      </w:r>
      <w:r>
        <w:rPr>
          <w:rFonts w:ascii="仿宋_GB2312" w:eastAsia="仿宋_GB2312" w:cs="仿宋_GB2312"/>
          <w:color w:val="000000"/>
          <w:sz w:val="32"/>
          <w:szCs w:val="32"/>
        </w:rPr>
        <w:t>%</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p>
    <w:p w14:paraId="5F59A3C5">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76" w:lineRule="exact"/>
        <w:ind w:right="0" w:rightChars="0" w:firstLine="640" w:firstLineChars="200"/>
        <w:jc w:val="both"/>
        <w:textAlignment w:val="auto"/>
        <w:rPr>
          <w:rFonts w:ascii="仿宋_GB2312" w:eastAsia="仿宋_GB2312" w:cs="仿宋_GB2312"/>
          <w:bCs/>
          <w:kern w:val="0"/>
          <w:sz w:val="32"/>
          <w:szCs w:val="32"/>
        </w:rPr>
      </w:pPr>
      <w:r>
        <w:rPr>
          <w:rFonts w:hint="eastAsia" w:ascii="仿宋_GB2312" w:eastAsia="仿宋_GB2312" w:cs="仿宋_GB2312"/>
          <w:sz w:val="32"/>
          <w:szCs w:val="32"/>
          <w:lang w:val="en-US" w:eastAsia="zh-CN"/>
        </w:rPr>
        <w:t>2</w:t>
      </w:r>
      <w:r>
        <w:rPr>
          <w:rFonts w:ascii="仿宋_GB2312" w:eastAsia="仿宋_GB2312" w:cs="仿宋_GB2312"/>
          <w:bCs/>
          <w:kern w:val="0"/>
          <w:sz w:val="32"/>
          <w:szCs w:val="32"/>
        </w:rPr>
        <w:t>.科学技术支出（</w:t>
      </w:r>
      <w:r>
        <w:rPr>
          <w:rFonts w:hint="eastAsia" w:ascii="仿宋_GB2312" w:eastAsia="仿宋_GB2312" w:cs="仿宋_GB2312"/>
          <w:bCs/>
          <w:color w:val="000000"/>
          <w:sz w:val="32"/>
          <w:szCs w:val="32"/>
          <w:lang w:eastAsia="zh-CN"/>
        </w:rPr>
        <w:t>类</w:t>
      </w:r>
      <w:r>
        <w:rPr>
          <w:rFonts w:ascii="仿宋_GB2312" w:eastAsia="仿宋_GB2312" w:cs="仿宋_GB2312"/>
          <w:bCs/>
          <w:kern w:val="0"/>
          <w:sz w:val="32"/>
          <w:szCs w:val="32"/>
        </w:rPr>
        <w:t>）</w:t>
      </w:r>
      <w:r>
        <w:rPr>
          <w:rFonts w:hint="eastAsia" w:ascii="仿宋_GB2312" w:eastAsia="仿宋_GB2312" w:cs="仿宋_GB2312"/>
          <w:bCs/>
          <w:kern w:val="0"/>
          <w:sz w:val="32"/>
          <w:szCs w:val="32"/>
          <w:lang w:eastAsia="zh-CN"/>
        </w:rPr>
        <w:t>其他</w:t>
      </w:r>
      <w:r>
        <w:rPr>
          <w:rFonts w:ascii="仿宋_GB2312" w:eastAsia="仿宋_GB2312" w:cs="仿宋_GB2312"/>
          <w:bCs/>
          <w:kern w:val="0"/>
          <w:sz w:val="32"/>
          <w:szCs w:val="32"/>
        </w:rPr>
        <w:t>科学</w:t>
      </w:r>
      <w:r>
        <w:rPr>
          <w:rFonts w:hint="eastAsia" w:ascii="仿宋_GB2312" w:eastAsia="仿宋_GB2312" w:cs="仿宋_GB2312"/>
          <w:bCs/>
          <w:kern w:val="0"/>
          <w:sz w:val="32"/>
          <w:szCs w:val="32"/>
          <w:lang w:eastAsia="zh-CN"/>
        </w:rPr>
        <w:t>技术</w:t>
      </w:r>
      <w:r>
        <w:rPr>
          <w:rFonts w:hint="eastAsia" w:ascii="仿宋_GB2312" w:eastAsia="仿宋_GB2312" w:cs="仿宋_GB2312"/>
          <w:bCs/>
          <w:kern w:val="0"/>
          <w:sz w:val="32"/>
          <w:szCs w:val="32"/>
          <w:lang w:val="en-US" w:eastAsia="zh-CN"/>
        </w:rPr>
        <w:t>支出</w:t>
      </w:r>
      <w:r>
        <w:rPr>
          <w:rFonts w:ascii="仿宋_GB2312" w:eastAsia="仿宋_GB2312" w:cs="仿宋_GB2312"/>
          <w:bCs/>
          <w:kern w:val="0"/>
          <w:sz w:val="32"/>
          <w:szCs w:val="32"/>
        </w:rPr>
        <w:t>（</w:t>
      </w:r>
      <w:r>
        <w:rPr>
          <w:rFonts w:hint="eastAsia" w:ascii="仿宋_GB2312" w:eastAsia="仿宋_GB2312" w:cs="仿宋_GB2312"/>
          <w:bCs/>
          <w:color w:val="000000"/>
          <w:sz w:val="32"/>
          <w:szCs w:val="32"/>
          <w:lang w:val="en-US" w:eastAsia="zh-CN"/>
        </w:rPr>
        <w:t>款</w:t>
      </w:r>
      <w:r>
        <w:rPr>
          <w:rFonts w:ascii="仿宋_GB2312" w:eastAsia="仿宋_GB2312" w:cs="仿宋_GB2312"/>
          <w:bCs/>
          <w:kern w:val="0"/>
          <w:sz w:val="32"/>
          <w:szCs w:val="32"/>
        </w:rPr>
        <w:t>）其他科学</w:t>
      </w:r>
      <w:r>
        <w:rPr>
          <w:rFonts w:hint="eastAsia" w:ascii="仿宋_GB2312" w:eastAsia="仿宋_GB2312" w:cs="仿宋_GB2312"/>
          <w:bCs/>
          <w:kern w:val="0"/>
          <w:sz w:val="32"/>
          <w:szCs w:val="32"/>
          <w:lang w:eastAsia="zh-CN"/>
        </w:rPr>
        <w:t>技术</w:t>
      </w:r>
      <w:r>
        <w:rPr>
          <w:rFonts w:ascii="仿宋_GB2312" w:eastAsia="仿宋_GB2312" w:cs="仿宋_GB2312"/>
          <w:bCs/>
          <w:kern w:val="0"/>
          <w:sz w:val="32"/>
          <w:szCs w:val="32"/>
        </w:rPr>
        <w:t>支出（</w:t>
      </w:r>
      <w:r>
        <w:rPr>
          <w:rFonts w:hint="eastAsia" w:ascii="仿宋_GB2312" w:eastAsia="仿宋_GB2312" w:cs="仿宋_GB2312"/>
          <w:bCs/>
          <w:kern w:val="0"/>
          <w:sz w:val="32"/>
          <w:szCs w:val="32"/>
          <w:lang w:eastAsia="zh-CN"/>
        </w:rPr>
        <w:t>项</w:t>
      </w:r>
      <w:r>
        <w:rPr>
          <w:rFonts w:ascii="仿宋_GB2312" w:eastAsia="仿宋_GB2312" w:cs="仿宋_GB2312"/>
          <w:bCs/>
          <w:kern w:val="0"/>
          <w:sz w:val="32"/>
          <w:szCs w:val="32"/>
        </w:rPr>
        <w:t>）支出决算为</w:t>
      </w:r>
      <w:r>
        <w:rPr>
          <w:rFonts w:hint="eastAsia" w:ascii="仿宋_GB2312" w:eastAsia="仿宋_GB2312" w:cs="仿宋_GB2312"/>
          <w:bCs/>
          <w:kern w:val="0"/>
          <w:sz w:val="32"/>
          <w:szCs w:val="32"/>
          <w:lang w:val="en-US" w:eastAsia="zh-CN"/>
        </w:rPr>
        <w:t>635.88</w:t>
      </w:r>
      <w:r>
        <w:rPr>
          <w:rFonts w:ascii="仿宋_GB2312" w:eastAsia="仿宋_GB2312" w:cs="仿宋_GB2312"/>
          <w:bCs/>
          <w:kern w:val="0"/>
          <w:sz w:val="32"/>
          <w:szCs w:val="32"/>
        </w:rPr>
        <w:t>万元，完成预算100%</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ascii="仿宋_GB2312" w:eastAsia="仿宋_GB2312" w:cs="仿宋_GB2312"/>
          <w:bCs/>
          <w:kern w:val="0"/>
          <w:sz w:val="32"/>
          <w:szCs w:val="32"/>
        </w:rPr>
        <w:t>。</w:t>
      </w:r>
    </w:p>
    <w:p w14:paraId="7620528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bCs/>
          <w:color w:val="000000"/>
          <w:sz w:val="32"/>
          <w:szCs w:val="32"/>
          <w:lang w:val="en-US" w:eastAsia="zh-CN"/>
        </w:rPr>
      </w:pPr>
      <w:r>
        <w:rPr>
          <w:rFonts w:hint="eastAsia" w:ascii="仿宋_GB2312" w:eastAsia="仿宋_GB2312" w:cs="仿宋_GB2312"/>
          <w:bCs/>
          <w:color w:val="000000"/>
          <w:sz w:val="32"/>
          <w:szCs w:val="32"/>
          <w:lang w:val="en-US" w:eastAsia="zh-CN"/>
        </w:rPr>
        <w:t>3.社会保障和就业支出（</w:t>
      </w:r>
      <w:r>
        <w:rPr>
          <w:rFonts w:hint="eastAsia" w:ascii="仿宋_GB2312" w:eastAsia="仿宋_GB2312" w:cs="仿宋_GB2312"/>
          <w:bCs/>
          <w:color w:val="000000"/>
          <w:sz w:val="32"/>
          <w:szCs w:val="32"/>
          <w:lang w:eastAsia="zh-CN"/>
        </w:rPr>
        <w:t>类</w:t>
      </w:r>
      <w:r>
        <w:rPr>
          <w:rFonts w:hint="eastAsia" w:ascii="仿宋_GB2312" w:eastAsia="仿宋_GB2312" w:cs="仿宋_GB2312"/>
          <w:bCs/>
          <w:color w:val="000000"/>
          <w:sz w:val="32"/>
          <w:szCs w:val="32"/>
          <w:lang w:val="en-US" w:eastAsia="zh-CN"/>
        </w:rPr>
        <w:t>）行政事业单位养老支出（款）机关事业单位基本养老保险缴费支出（项）：支出决算为169.88万元，完成预算100%</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eastAsia" w:ascii="仿宋_GB2312" w:eastAsia="仿宋_GB2312" w:cs="仿宋_GB2312"/>
          <w:bCs/>
          <w:color w:val="000000"/>
          <w:sz w:val="32"/>
          <w:szCs w:val="32"/>
          <w:lang w:val="en-US" w:eastAsia="zh-CN"/>
        </w:rPr>
        <w:t>。</w:t>
      </w:r>
    </w:p>
    <w:p w14:paraId="0AE7F8C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bCs/>
          <w:color w:val="000000"/>
          <w:sz w:val="32"/>
          <w:szCs w:val="32"/>
          <w:lang w:val="en-US" w:eastAsia="zh-CN"/>
        </w:rPr>
      </w:pPr>
      <w:r>
        <w:rPr>
          <w:rFonts w:hint="eastAsia" w:ascii="仿宋_GB2312" w:eastAsia="仿宋_GB2312" w:cs="仿宋_GB2312"/>
          <w:bCs/>
          <w:color w:val="000000"/>
          <w:sz w:val="32"/>
          <w:szCs w:val="32"/>
          <w:lang w:val="en-US" w:eastAsia="zh-CN"/>
        </w:rPr>
        <w:t>4.社会保障和就业支出（</w:t>
      </w:r>
      <w:r>
        <w:rPr>
          <w:rFonts w:hint="eastAsia" w:ascii="仿宋_GB2312" w:eastAsia="仿宋_GB2312" w:cs="仿宋_GB2312"/>
          <w:bCs/>
          <w:color w:val="000000"/>
          <w:sz w:val="32"/>
          <w:szCs w:val="32"/>
          <w:lang w:eastAsia="zh-CN"/>
        </w:rPr>
        <w:t>类</w:t>
      </w:r>
      <w:r>
        <w:rPr>
          <w:rFonts w:hint="eastAsia" w:ascii="仿宋_GB2312" w:eastAsia="仿宋_GB2312" w:cs="仿宋_GB2312"/>
          <w:bCs/>
          <w:color w:val="000000"/>
          <w:sz w:val="32"/>
          <w:szCs w:val="32"/>
          <w:lang w:val="en-US" w:eastAsia="zh-CN"/>
        </w:rPr>
        <w:t>）行政事业单位养老支出（款）机关事业单位职业年金缴费支出（项）：支出决算为84.89万元，完成预算100%</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eastAsia" w:ascii="仿宋_GB2312" w:eastAsia="仿宋_GB2312" w:cs="仿宋_GB2312"/>
          <w:bCs/>
          <w:color w:val="000000"/>
          <w:sz w:val="32"/>
          <w:szCs w:val="32"/>
          <w:lang w:val="en-US" w:eastAsia="zh-CN"/>
        </w:rPr>
        <w:t>。</w:t>
      </w:r>
    </w:p>
    <w:p w14:paraId="337DEDF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bCs/>
          <w:color w:val="000000"/>
          <w:sz w:val="32"/>
          <w:szCs w:val="32"/>
          <w:lang w:val="en-US" w:eastAsia="zh-CN"/>
        </w:rPr>
      </w:pPr>
      <w:r>
        <w:rPr>
          <w:rFonts w:hint="eastAsia" w:ascii="仿宋_GB2312" w:eastAsia="仿宋_GB2312" w:cs="仿宋_GB2312"/>
          <w:bCs/>
          <w:color w:val="000000"/>
          <w:sz w:val="32"/>
          <w:szCs w:val="32"/>
          <w:lang w:val="en-US" w:eastAsia="zh-CN"/>
        </w:rPr>
        <w:t>5.卫生健康支出（</w:t>
      </w:r>
      <w:r>
        <w:rPr>
          <w:rFonts w:hint="eastAsia" w:ascii="仿宋_GB2312" w:eastAsia="仿宋_GB2312" w:cs="仿宋_GB2312"/>
          <w:bCs/>
          <w:color w:val="000000"/>
          <w:sz w:val="32"/>
          <w:szCs w:val="32"/>
          <w:lang w:eastAsia="zh-CN"/>
        </w:rPr>
        <w:t>类</w:t>
      </w:r>
      <w:r>
        <w:rPr>
          <w:rFonts w:hint="eastAsia" w:ascii="仿宋_GB2312" w:eastAsia="仿宋_GB2312" w:cs="仿宋_GB2312"/>
          <w:bCs/>
          <w:color w:val="000000"/>
          <w:sz w:val="32"/>
          <w:szCs w:val="32"/>
          <w:lang w:val="en-US" w:eastAsia="zh-CN"/>
        </w:rPr>
        <w:t>）行政事业单位医疗（款）行政单位医疗（项）：支出决算为41.36万元，完成预算100%</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eastAsia" w:ascii="仿宋_GB2312" w:eastAsia="仿宋_GB2312" w:cs="仿宋_GB2312"/>
          <w:bCs/>
          <w:color w:val="000000"/>
          <w:sz w:val="32"/>
          <w:szCs w:val="32"/>
          <w:lang w:val="en-US" w:eastAsia="zh-CN"/>
        </w:rPr>
        <w:t>。</w:t>
      </w:r>
    </w:p>
    <w:p w14:paraId="1350C1A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bCs/>
          <w:color w:val="000000"/>
          <w:sz w:val="32"/>
          <w:szCs w:val="32"/>
          <w:lang w:val="en-US" w:eastAsia="zh-CN"/>
        </w:rPr>
      </w:pPr>
      <w:r>
        <w:rPr>
          <w:rFonts w:hint="eastAsia" w:ascii="仿宋_GB2312" w:eastAsia="仿宋_GB2312" w:cs="仿宋_GB2312"/>
          <w:bCs/>
          <w:color w:val="000000"/>
          <w:sz w:val="32"/>
          <w:szCs w:val="32"/>
          <w:lang w:val="en-US" w:eastAsia="zh-CN"/>
        </w:rPr>
        <w:t>6.卫生健康支出（类）行政事业单位医疗（款）事业单位医疗（项）：支出决算为66.78万元，完成预算100%，决算数与预算数持平。</w:t>
      </w:r>
    </w:p>
    <w:p w14:paraId="1DA8D95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仿宋_GB2312" w:eastAsia="仿宋_GB2312"/>
          <w:color w:val="FF0000"/>
          <w:sz w:val="32"/>
          <w:szCs w:val="32"/>
        </w:rPr>
      </w:pPr>
      <w:r>
        <w:rPr>
          <w:rFonts w:hint="eastAsia" w:ascii="仿宋_GB2312" w:eastAsia="仿宋_GB2312" w:cs="仿宋_GB2312"/>
          <w:bCs/>
          <w:color w:val="000000"/>
          <w:sz w:val="32"/>
          <w:szCs w:val="32"/>
          <w:lang w:val="en-US" w:eastAsia="zh-CN"/>
        </w:rPr>
        <w:t>7</w:t>
      </w:r>
      <w:r>
        <w:rPr>
          <w:rFonts w:ascii="仿宋_GB2312" w:eastAsia="仿宋_GB2312" w:cs="仿宋_GB2312"/>
          <w:bCs/>
          <w:color w:val="000000"/>
          <w:sz w:val="32"/>
          <w:szCs w:val="32"/>
        </w:rPr>
        <w:t>.</w:t>
      </w:r>
      <w:r>
        <w:rPr>
          <w:rFonts w:hint="eastAsia" w:ascii="仿宋_GB2312" w:eastAsia="仿宋_GB2312" w:cs="仿宋_GB2312"/>
          <w:bCs/>
          <w:color w:val="000000"/>
          <w:sz w:val="32"/>
          <w:szCs w:val="32"/>
        </w:rPr>
        <w:t>农林水支出（</w:t>
      </w:r>
      <w:r>
        <w:rPr>
          <w:rFonts w:hint="eastAsia" w:ascii="仿宋_GB2312" w:eastAsia="仿宋_GB2312" w:cs="仿宋_GB2312"/>
          <w:bCs/>
          <w:color w:val="000000"/>
          <w:sz w:val="32"/>
          <w:szCs w:val="32"/>
          <w:lang w:eastAsia="zh-CN"/>
        </w:rPr>
        <w:t>类</w:t>
      </w:r>
      <w:r>
        <w:rPr>
          <w:rFonts w:hint="eastAsia" w:ascii="仿宋_GB2312" w:eastAsia="仿宋_GB2312" w:cs="仿宋_GB2312"/>
          <w:bCs/>
          <w:color w:val="000000"/>
          <w:sz w:val="32"/>
          <w:szCs w:val="32"/>
        </w:rPr>
        <w:t>）农业</w:t>
      </w:r>
      <w:r>
        <w:rPr>
          <w:rFonts w:hint="eastAsia" w:ascii="仿宋_GB2312" w:eastAsia="仿宋_GB2312" w:cs="仿宋_GB2312"/>
          <w:bCs/>
          <w:color w:val="000000"/>
          <w:sz w:val="32"/>
          <w:szCs w:val="32"/>
          <w:lang w:val="en-US" w:eastAsia="zh-CN"/>
        </w:rPr>
        <w:t>农村</w:t>
      </w:r>
      <w:r>
        <w:rPr>
          <w:rFonts w:hint="eastAsia" w:ascii="仿宋_GB2312" w:eastAsia="仿宋_GB2312" w:cs="仿宋_GB2312"/>
          <w:bCs/>
          <w:color w:val="000000"/>
          <w:sz w:val="32"/>
          <w:szCs w:val="32"/>
        </w:rPr>
        <w:t>（</w:t>
      </w:r>
      <w:r>
        <w:rPr>
          <w:rFonts w:hint="eastAsia" w:ascii="仿宋_GB2312" w:eastAsia="仿宋_GB2312" w:cs="仿宋_GB2312"/>
          <w:bCs/>
          <w:color w:val="000000"/>
          <w:sz w:val="32"/>
          <w:szCs w:val="32"/>
          <w:lang w:val="en-US" w:eastAsia="zh-CN"/>
        </w:rPr>
        <w:t>款</w:t>
      </w:r>
      <w:r>
        <w:rPr>
          <w:rFonts w:hint="eastAsia" w:ascii="仿宋_GB2312" w:eastAsia="仿宋_GB2312" w:cs="仿宋_GB2312"/>
          <w:bCs/>
          <w:color w:val="000000"/>
          <w:sz w:val="32"/>
          <w:szCs w:val="32"/>
        </w:rPr>
        <w:t>）行政运行（</w:t>
      </w:r>
      <w:r>
        <w:rPr>
          <w:rFonts w:hint="eastAsia" w:ascii="仿宋_GB2312" w:eastAsia="仿宋_GB2312" w:cs="仿宋_GB2312"/>
          <w:bCs/>
          <w:color w:val="000000"/>
          <w:sz w:val="32"/>
          <w:szCs w:val="32"/>
          <w:lang w:eastAsia="zh-CN"/>
        </w:rPr>
        <w:t>项</w:t>
      </w:r>
      <w:r>
        <w:rPr>
          <w:rFonts w:hint="eastAsia" w:ascii="仿宋_GB2312" w:eastAsia="仿宋_GB2312" w:cs="仿宋_GB2312"/>
          <w:bCs/>
          <w:color w:val="000000"/>
          <w:sz w:val="32"/>
          <w:szCs w:val="32"/>
        </w:rPr>
        <w:t>）：</w:t>
      </w:r>
      <w:r>
        <w:rPr>
          <w:rFonts w:hint="eastAsia" w:ascii="仿宋_GB2312" w:eastAsia="仿宋_GB2312" w:cs="仿宋_GB2312"/>
          <w:color w:val="000000"/>
          <w:sz w:val="32"/>
          <w:szCs w:val="32"/>
        </w:rPr>
        <w:t>支出决算为</w:t>
      </w:r>
      <w:r>
        <w:rPr>
          <w:rFonts w:hint="eastAsia" w:ascii="仿宋_GB2312" w:eastAsia="仿宋_GB2312" w:cs="仿宋_GB2312"/>
          <w:color w:val="000000"/>
          <w:sz w:val="32"/>
          <w:szCs w:val="32"/>
          <w:lang w:val="en-US" w:eastAsia="zh-CN"/>
        </w:rPr>
        <w:t>555.97</w:t>
      </w:r>
      <w:r>
        <w:rPr>
          <w:rFonts w:hint="eastAsia" w:ascii="仿宋_GB2312" w:eastAsia="仿宋_GB2312" w:cs="仿宋_GB2312"/>
          <w:color w:val="000000"/>
          <w:sz w:val="32"/>
          <w:szCs w:val="32"/>
        </w:rPr>
        <w:t>万元，完成预算</w:t>
      </w:r>
      <w:r>
        <w:rPr>
          <w:rFonts w:hint="eastAsia" w:ascii="仿宋_GB2312" w:eastAsia="仿宋_GB2312" w:cs="仿宋_GB2312"/>
          <w:color w:val="000000"/>
          <w:sz w:val="32"/>
          <w:szCs w:val="32"/>
          <w:lang w:val="en-US" w:eastAsia="zh-CN"/>
        </w:rPr>
        <w:t>100</w:t>
      </w:r>
      <w:r>
        <w:rPr>
          <w:rFonts w:ascii="仿宋_GB2312" w:eastAsia="仿宋_GB2312" w:cs="仿宋_GB2312"/>
          <w:color w:val="000000"/>
          <w:sz w:val="32"/>
          <w:szCs w:val="32"/>
        </w:rPr>
        <w:t>%</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eastAsia" w:ascii="仿宋_GB2312" w:eastAsia="仿宋_GB2312" w:cs="仿宋_GB2312"/>
          <w:color w:val="000000"/>
          <w:sz w:val="32"/>
          <w:szCs w:val="32"/>
        </w:rPr>
        <w:t>。</w:t>
      </w:r>
    </w:p>
    <w:p w14:paraId="1E37626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color w:val="000000"/>
          <w:sz w:val="32"/>
          <w:szCs w:val="32"/>
        </w:rPr>
      </w:pPr>
      <w:r>
        <w:rPr>
          <w:rFonts w:hint="eastAsia" w:ascii="仿宋_GB2312" w:eastAsia="仿宋_GB2312" w:cs="仿宋_GB2312"/>
          <w:bCs/>
          <w:color w:val="000000"/>
          <w:sz w:val="32"/>
          <w:szCs w:val="32"/>
          <w:lang w:val="en-US" w:eastAsia="zh-CN"/>
        </w:rPr>
        <w:t>8</w:t>
      </w:r>
      <w:r>
        <w:rPr>
          <w:rFonts w:ascii="仿宋_GB2312" w:eastAsia="仿宋_GB2312" w:cs="仿宋_GB2312"/>
          <w:color w:val="000000"/>
          <w:sz w:val="32"/>
          <w:szCs w:val="32"/>
        </w:rPr>
        <w:t>.</w:t>
      </w:r>
      <w:r>
        <w:rPr>
          <w:rFonts w:hint="eastAsia" w:ascii="仿宋_GB2312" w:eastAsia="仿宋_GB2312" w:cs="仿宋_GB2312"/>
          <w:bCs/>
          <w:color w:val="000000"/>
          <w:sz w:val="32"/>
          <w:szCs w:val="32"/>
        </w:rPr>
        <w:t>农林水支出（</w:t>
      </w:r>
      <w:r>
        <w:rPr>
          <w:rFonts w:hint="eastAsia" w:ascii="仿宋_GB2312" w:eastAsia="仿宋_GB2312" w:cs="仿宋_GB2312"/>
          <w:bCs/>
          <w:color w:val="000000"/>
          <w:sz w:val="32"/>
          <w:szCs w:val="32"/>
          <w:lang w:eastAsia="zh-CN"/>
        </w:rPr>
        <w:t>类</w:t>
      </w:r>
      <w:r>
        <w:rPr>
          <w:rFonts w:hint="eastAsia" w:ascii="仿宋_GB2312" w:eastAsia="仿宋_GB2312" w:cs="仿宋_GB2312"/>
          <w:bCs/>
          <w:color w:val="000000"/>
          <w:sz w:val="32"/>
          <w:szCs w:val="32"/>
        </w:rPr>
        <w:t>）农业</w:t>
      </w:r>
      <w:r>
        <w:rPr>
          <w:rFonts w:hint="eastAsia" w:ascii="仿宋_GB2312" w:eastAsia="仿宋_GB2312" w:cs="仿宋_GB2312"/>
          <w:bCs/>
          <w:color w:val="000000"/>
          <w:sz w:val="32"/>
          <w:szCs w:val="32"/>
          <w:lang w:val="en-US" w:eastAsia="zh-CN"/>
        </w:rPr>
        <w:t>农村</w:t>
      </w:r>
      <w:r>
        <w:rPr>
          <w:rFonts w:hint="eastAsia" w:ascii="仿宋_GB2312" w:eastAsia="仿宋_GB2312" w:cs="仿宋_GB2312"/>
          <w:bCs/>
          <w:color w:val="000000"/>
          <w:sz w:val="32"/>
          <w:szCs w:val="32"/>
        </w:rPr>
        <w:t>（</w:t>
      </w:r>
      <w:r>
        <w:rPr>
          <w:rFonts w:hint="eastAsia" w:ascii="仿宋_GB2312" w:eastAsia="仿宋_GB2312" w:cs="仿宋_GB2312"/>
          <w:bCs/>
          <w:color w:val="000000"/>
          <w:sz w:val="32"/>
          <w:szCs w:val="32"/>
          <w:lang w:val="en-US" w:eastAsia="zh-CN"/>
        </w:rPr>
        <w:t>款</w:t>
      </w:r>
      <w:r>
        <w:rPr>
          <w:rFonts w:hint="eastAsia" w:ascii="仿宋_GB2312" w:eastAsia="仿宋_GB2312" w:cs="仿宋_GB2312"/>
          <w:bCs/>
          <w:color w:val="000000"/>
          <w:sz w:val="32"/>
          <w:szCs w:val="32"/>
        </w:rPr>
        <w:t>）事业运行（</w:t>
      </w:r>
      <w:r>
        <w:rPr>
          <w:rFonts w:hint="eastAsia" w:ascii="仿宋_GB2312" w:eastAsia="仿宋_GB2312" w:cs="仿宋_GB2312"/>
          <w:bCs/>
          <w:color w:val="000000"/>
          <w:sz w:val="32"/>
          <w:szCs w:val="32"/>
          <w:lang w:eastAsia="zh-CN"/>
        </w:rPr>
        <w:t>项</w:t>
      </w:r>
      <w:r>
        <w:rPr>
          <w:rFonts w:hint="eastAsia" w:ascii="仿宋_GB2312" w:eastAsia="仿宋_GB2312" w:cs="仿宋_GB2312"/>
          <w:bCs/>
          <w:color w:val="000000"/>
          <w:sz w:val="32"/>
          <w:szCs w:val="32"/>
        </w:rPr>
        <w:t>）</w:t>
      </w:r>
      <w:r>
        <w:rPr>
          <w:rFonts w:hint="eastAsia" w:ascii="仿宋_GB2312" w:eastAsia="仿宋_GB2312" w:cs="仿宋_GB2312"/>
          <w:color w:val="000000"/>
          <w:sz w:val="32"/>
          <w:szCs w:val="32"/>
        </w:rPr>
        <w:t>：支出决算为</w:t>
      </w:r>
      <w:r>
        <w:rPr>
          <w:rFonts w:hint="eastAsia" w:ascii="仿宋_GB2312" w:eastAsia="仿宋_GB2312" w:cs="仿宋_GB2312"/>
          <w:color w:val="000000"/>
          <w:sz w:val="32"/>
          <w:szCs w:val="32"/>
          <w:lang w:val="en-US" w:eastAsia="zh-CN"/>
        </w:rPr>
        <w:t>1014.57</w:t>
      </w:r>
      <w:r>
        <w:rPr>
          <w:rFonts w:hint="eastAsia" w:ascii="仿宋_GB2312" w:eastAsia="仿宋_GB2312" w:cs="仿宋_GB2312"/>
          <w:color w:val="000000"/>
          <w:sz w:val="32"/>
          <w:szCs w:val="32"/>
        </w:rPr>
        <w:t>万元，完成预算</w:t>
      </w:r>
      <w:r>
        <w:rPr>
          <w:rFonts w:hint="eastAsia" w:ascii="仿宋_GB2312" w:eastAsia="仿宋_GB2312" w:cs="仿宋_GB2312"/>
          <w:color w:val="000000"/>
          <w:sz w:val="32"/>
          <w:szCs w:val="32"/>
          <w:lang w:val="en-US" w:eastAsia="zh-CN"/>
        </w:rPr>
        <w:t>100</w:t>
      </w:r>
      <w:r>
        <w:rPr>
          <w:rFonts w:ascii="仿宋_GB2312" w:eastAsia="仿宋_GB2312" w:cs="仿宋_GB2312"/>
          <w:color w:val="000000"/>
          <w:sz w:val="32"/>
          <w:szCs w:val="32"/>
        </w:rPr>
        <w:t>%</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eastAsia" w:ascii="仿宋_GB2312" w:eastAsia="仿宋_GB2312" w:cs="仿宋_GB2312"/>
          <w:color w:val="000000"/>
          <w:sz w:val="32"/>
          <w:szCs w:val="32"/>
        </w:rPr>
        <w:t>。</w:t>
      </w:r>
    </w:p>
    <w:p w14:paraId="5ECC838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s="仿宋_GB2312"/>
          <w:color w:val="000000"/>
          <w:sz w:val="32"/>
          <w:szCs w:val="32"/>
        </w:rPr>
      </w:pPr>
      <w:r>
        <w:rPr>
          <w:rFonts w:hint="eastAsia" w:ascii="仿宋_GB2312" w:eastAsia="仿宋_GB2312" w:cs="仿宋_GB2312"/>
          <w:bCs/>
          <w:color w:val="000000"/>
          <w:sz w:val="32"/>
          <w:szCs w:val="32"/>
          <w:lang w:val="en-US" w:eastAsia="zh-CN"/>
        </w:rPr>
        <w:t>9</w:t>
      </w:r>
      <w:r>
        <w:rPr>
          <w:rFonts w:ascii="仿宋_GB2312" w:eastAsia="仿宋_GB2312" w:cs="仿宋_GB2312"/>
          <w:bCs/>
          <w:color w:val="000000"/>
          <w:sz w:val="32"/>
          <w:szCs w:val="32"/>
        </w:rPr>
        <w:t>.</w:t>
      </w:r>
      <w:r>
        <w:rPr>
          <w:rFonts w:hint="eastAsia" w:ascii="仿宋_GB2312" w:eastAsia="仿宋_GB2312" w:cs="仿宋_GB2312"/>
          <w:bCs/>
          <w:color w:val="000000"/>
          <w:sz w:val="32"/>
          <w:szCs w:val="32"/>
        </w:rPr>
        <w:t>农林水支出（</w:t>
      </w:r>
      <w:r>
        <w:rPr>
          <w:rFonts w:hint="eastAsia" w:ascii="仿宋_GB2312" w:eastAsia="仿宋_GB2312" w:cs="仿宋_GB2312"/>
          <w:bCs/>
          <w:color w:val="000000"/>
          <w:sz w:val="32"/>
          <w:szCs w:val="32"/>
          <w:lang w:eastAsia="zh-CN"/>
        </w:rPr>
        <w:t>类</w:t>
      </w:r>
      <w:r>
        <w:rPr>
          <w:rFonts w:hint="eastAsia" w:ascii="仿宋_GB2312" w:eastAsia="仿宋_GB2312" w:cs="仿宋_GB2312"/>
          <w:bCs/>
          <w:color w:val="000000"/>
          <w:sz w:val="32"/>
          <w:szCs w:val="32"/>
        </w:rPr>
        <w:t>）农业</w:t>
      </w:r>
      <w:r>
        <w:rPr>
          <w:rFonts w:hint="eastAsia" w:ascii="仿宋_GB2312" w:eastAsia="仿宋_GB2312" w:cs="仿宋_GB2312"/>
          <w:bCs/>
          <w:color w:val="000000"/>
          <w:sz w:val="32"/>
          <w:szCs w:val="32"/>
          <w:lang w:val="en-US" w:eastAsia="zh-CN"/>
        </w:rPr>
        <w:t>农村</w:t>
      </w:r>
      <w:r>
        <w:rPr>
          <w:rFonts w:hint="eastAsia" w:ascii="仿宋_GB2312" w:eastAsia="仿宋_GB2312" w:cs="仿宋_GB2312"/>
          <w:bCs/>
          <w:color w:val="000000"/>
          <w:sz w:val="32"/>
          <w:szCs w:val="32"/>
        </w:rPr>
        <w:t>（</w:t>
      </w:r>
      <w:r>
        <w:rPr>
          <w:rFonts w:hint="eastAsia" w:ascii="仿宋_GB2312" w:eastAsia="仿宋_GB2312" w:cs="仿宋_GB2312"/>
          <w:bCs/>
          <w:color w:val="000000"/>
          <w:sz w:val="32"/>
          <w:szCs w:val="32"/>
          <w:lang w:val="en-US" w:eastAsia="zh-CN"/>
        </w:rPr>
        <w:t>款</w:t>
      </w:r>
      <w:r>
        <w:rPr>
          <w:rFonts w:hint="eastAsia" w:ascii="仿宋_GB2312" w:eastAsia="仿宋_GB2312" w:cs="仿宋_GB2312"/>
          <w:bCs/>
          <w:color w:val="000000"/>
          <w:sz w:val="32"/>
          <w:szCs w:val="32"/>
        </w:rPr>
        <w:t>）</w:t>
      </w:r>
      <w:r>
        <w:rPr>
          <w:rFonts w:hint="eastAsia" w:ascii="仿宋_GB2312" w:eastAsia="仿宋_GB2312" w:cs="仿宋_GB2312"/>
          <w:bCs/>
          <w:color w:val="000000"/>
          <w:sz w:val="32"/>
          <w:szCs w:val="32"/>
          <w:lang w:val="en-US" w:eastAsia="zh-CN"/>
        </w:rPr>
        <w:t>农产品质量安全</w:t>
      </w:r>
      <w:r>
        <w:rPr>
          <w:rFonts w:hint="eastAsia" w:ascii="仿宋_GB2312" w:eastAsia="仿宋_GB2312" w:cs="仿宋_GB2312"/>
          <w:bCs/>
          <w:color w:val="000000"/>
          <w:sz w:val="32"/>
          <w:szCs w:val="32"/>
        </w:rPr>
        <w:t>（</w:t>
      </w:r>
      <w:r>
        <w:rPr>
          <w:rFonts w:hint="eastAsia" w:ascii="仿宋_GB2312" w:eastAsia="仿宋_GB2312" w:cs="仿宋_GB2312"/>
          <w:bCs/>
          <w:color w:val="000000"/>
          <w:sz w:val="32"/>
          <w:szCs w:val="32"/>
          <w:lang w:val="en-US" w:eastAsia="zh-CN"/>
        </w:rPr>
        <w:t>项</w:t>
      </w:r>
      <w:r>
        <w:rPr>
          <w:rFonts w:hint="eastAsia" w:ascii="仿宋_GB2312" w:eastAsia="仿宋_GB2312" w:cs="仿宋_GB2312"/>
          <w:bCs/>
          <w:color w:val="000000"/>
          <w:sz w:val="32"/>
          <w:szCs w:val="32"/>
        </w:rPr>
        <w:t>）</w:t>
      </w:r>
      <w:r>
        <w:rPr>
          <w:rFonts w:hint="eastAsia" w:ascii="仿宋_GB2312" w:eastAsia="仿宋_GB2312" w:cs="仿宋_GB2312"/>
          <w:color w:val="000000"/>
          <w:sz w:val="32"/>
          <w:szCs w:val="32"/>
        </w:rPr>
        <w:t>：支出决算为</w:t>
      </w:r>
      <w:r>
        <w:rPr>
          <w:rFonts w:hint="eastAsia" w:ascii="仿宋_GB2312" w:eastAsia="仿宋_GB2312" w:cs="仿宋_GB2312"/>
          <w:color w:val="000000"/>
          <w:sz w:val="32"/>
          <w:szCs w:val="32"/>
          <w:lang w:val="en-US" w:eastAsia="zh-CN"/>
        </w:rPr>
        <w:t>29.5</w:t>
      </w:r>
      <w:r>
        <w:rPr>
          <w:rFonts w:hint="eastAsia" w:ascii="仿宋_GB2312" w:eastAsia="仿宋_GB2312" w:cs="仿宋_GB2312"/>
          <w:color w:val="000000"/>
          <w:sz w:val="32"/>
          <w:szCs w:val="32"/>
        </w:rPr>
        <w:t>万元，完成预算</w:t>
      </w:r>
      <w:r>
        <w:rPr>
          <w:rFonts w:hint="eastAsia" w:ascii="仿宋_GB2312" w:eastAsia="仿宋_GB2312" w:cs="仿宋_GB2312"/>
          <w:color w:val="000000"/>
          <w:sz w:val="32"/>
          <w:szCs w:val="32"/>
          <w:lang w:val="en-US" w:eastAsia="zh-CN"/>
        </w:rPr>
        <w:t>100</w:t>
      </w:r>
      <w:r>
        <w:rPr>
          <w:rFonts w:ascii="仿宋_GB2312" w:eastAsia="仿宋_GB2312" w:cs="仿宋_GB2312"/>
          <w:color w:val="000000"/>
          <w:sz w:val="32"/>
          <w:szCs w:val="32"/>
        </w:rPr>
        <w:t>%</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eastAsia" w:ascii="仿宋_GB2312" w:eastAsia="仿宋_GB2312" w:cs="仿宋_GB2312"/>
          <w:color w:val="000000"/>
          <w:sz w:val="32"/>
          <w:szCs w:val="32"/>
        </w:rPr>
        <w:t>。</w:t>
      </w:r>
    </w:p>
    <w:p w14:paraId="58AF15B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s="仿宋_GB2312"/>
          <w:color w:val="000000"/>
          <w:sz w:val="32"/>
          <w:szCs w:val="32"/>
        </w:rPr>
      </w:pPr>
      <w:r>
        <w:rPr>
          <w:rFonts w:hint="eastAsia" w:ascii="仿宋_GB2312" w:eastAsia="仿宋_GB2312" w:cs="仿宋_GB2312"/>
          <w:bCs/>
          <w:color w:val="000000"/>
          <w:sz w:val="32"/>
          <w:szCs w:val="32"/>
          <w:lang w:val="en-US" w:eastAsia="zh-CN"/>
        </w:rPr>
        <w:t>10</w:t>
      </w:r>
      <w:r>
        <w:rPr>
          <w:rFonts w:ascii="仿宋_GB2312" w:eastAsia="仿宋_GB2312" w:cs="仿宋_GB2312"/>
          <w:bCs/>
          <w:color w:val="000000"/>
          <w:sz w:val="32"/>
          <w:szCs w:val="32"/>
        </w:rPr>
        <w:t>.</w:t>
      </w:r>
      <w:r>
        <w:rPr>
          <w:rFonts w:hint="eastAsia" w:ascii="仿宋_GB2312" w:eastAsia="仿宋_GB2312" w:cs="仿宋_GB2312"/>
          <w:bCs/>
          <w:color w:val="000000"/>
          <w:sz w:val="32"/>
          <w:szCs w:val="32"/>
        </w:rPr>
        <w:t>农林水支出（</w:t>
      </w:r>
      <w:r>
        <w:rPr>
          <w:rFonts w:hint="eastAsia" w:ascii="仿宋_GB2312" w:eastAsia="仿宋_GB2312" w:cs="仿宋_GB2312"/>
          <w:bCs/>
          <w:color w:val="000000"/>
          <w:sz w:val="32"/>
          <w:szCs w:val="32"/>
          <w:lang w:eastAsia="zh-CN"/>
        </w:rPr>
        <w:t>类</w:t>
      </w:r>
      <w:r>
        <w:rPr>
          <w:rFonts w:hint="eastAsia" w:ascii="仿宋_GB2312" w:eastAsia="仿宋_GB2312" w:cs="仿宋_GB2312"/>
          <w:bCs/>
          <w:color w:val="000000"/>
          <w:sz w:val="32"/>
          <w:szCs w:val="32"/>
        </w:rPr>
        <w:t>）农业</w:t>
      </w:r>
      <w:r>
        <w:rPr>
          <w:rFonts w:hint="eastAsia" w:ascii="仿宋_GB2312" w:eastAsia="仿宋_GB2312" w:cs="仿宋_GB2312"/>
          <w:bCs/>
          <w:color w:val="000000"/>
          <w:sz w:val="32"/>
          <w:szCs w:val="32"/>
          <w:lang w:val="en-US" w:eastAsia="zh-CN"/>
        </w:rPr>
        <w:t>农村</w:t>
      </w:r>
      <w:r>
        <w:rPr>
          <w:rFonts w:hint="eastAsia" w:ascii="仿宋_GB2312" w:eastAsia="仿宋_GB2312" w:cs="仿宋_GB2312"/>
          <w:bCs/>
          <w:color w:val="000000"/>
          <w:sz w:val="32"/>
          <w:szCs w:val="32"/>
        </w:rPr>
        <w:t>（</w:t>
      </w:r>
      <w:r>
        <w:rPr>
          <w:rFonts w:hint="eastAsia" w:ascii="仿宋_GB2312" w:eastAsia="仿宋_GB2312" w:cs="仿宋_GB2312"/>
          <w:bCs/>
          <w:color w:val="000000"/>
          <w:sz w:val="32"/>
          <w:szCs w:val="32"/>
          <w:lang w:val="en-US" w:eastAsia="zh-CN"/>
        </w:rPr>
        <w:t>款</w:t>
      </w:r>
      <w:r>
        <w:rPr>
          <w:rFonts w:hint="eastAsia" w:ascii="仿宋_GB2312" w:eastAsia="仿宋_GB2312" w:cs="仿宋_GB2312"/>
          <w:bCs/>
          <w:color w:val="000000"/>
          <w:sz w:val="32"/>
          <w:szCs w:val="32"/>
        </w:rPr>
        <w:t>）</w:t>
      </w:r>
      <w:r>
        <w:rPr>
          <w:rFonts w:hint="eastAsia" w:ascii="仿宋_GB2312" w:eastAsia="仿宋_GB2312" w:cs="仿宋_GB2312"/>
          <w:bCs/>
          <w:color w:val="000000"/>
          <w:sz w:val="32"/>
          <w:szCs w:val="32"/>
          <w:lang w:val="en-US" w:eastAsia="zh-CN"/>
        </w:rPr>
        <w:t>防灾救灾</w:t>
      </w:r>
      <w:r>
        <w:rPr>
          <w:rFonts w:hint="eastAsia" w:ascii="仿宋_GB2312" w:eastAsia="仿宋_GB2312" w:cs="仿宋_GB2312"/>
          <w:bCs/>
          <w:color w:val="000000"/>
          <w:sz w:val="32"/>
          <w:szCs w:val="32"/>
        </w:rPr>
        <w:t>（</w:t>
      </w:r>
      <w:r>
        <w:rPr>
          <w:rFonts w:hint="eastAsia" w:ascii="仿宋_GB2312" w:eastAsia="仿宋_GB2312" w:cs="仿宋_GB2312"/>
          <w:bCs/>
          <w:color w:val="000000"/>
          <w:sz w:val="32"/>
          <w:szCs w:val="32"/>
          <w:lang w:val="en-US" w:eastAsia="zh-CN"/>
        </w:rPr>
        <w:t>项</w:t>
      </w:r>
      <w:r>
        <w:rPr>
          <w:rFonts w:hint="eastAsia" w:ascii="仿宋_GB2312" w:eastAsia="仿宋_GB2312" w:cs="仿宋_GB2312"/>
          <w:bCs/>
          <w:color w:val="000000"/>
          <w:sz w:val="32"/>
          <w:szCs w:val="32"/>
        </w:rPr>
        <w:t>）</w:t>
      </w:r>
      <w:r>
        <w:rPr>
          <w:rFonts w:hint="eastAsia" w:ascii="仿宋_GB2312" w:eastAsia="仿宋_GB2312" w:cs="仿宋_GB2312"/>
          <w:color w:val="000000"/>
          <w:sz w:val="32"/>
          <w:szCs w:val="32"/>
        </w:rPr>
        <w:t>：支出决算为</w:t>
      </w:r>
      <w:r>
        <w:rPr>
          <w:rFonts w:hint="eastAsia" w:ascii="仿宋_GB2312" w:eastAsia="仿宋_GB2312" w:cs="仿宋_GB2312"/>
          <w:color w:val="000000"/>
          <w:sz w:val="32"/>
          <w:szCs w:val="32"/>
          <w:lang w:val="en-US" w:eastAsia="zh-CN"/>
        </w:rPr>
        <w:t>27.6</w:t>
      </w:r>
      <w:r>
        <w:rPr>
          <w:rFonts w:hint="eastAsia" w:ascii="仿宋_GB2312" w:eastAsia="仿宋_GB2312" w:cs="仿宋_GB2312"/>
          <w:color w:val="000000"/>
          <w:sz w:val="32"/>
          <w:szCs w:val="32"/>
        </w:rPr>
        <w:t>万元，完成预算</w:t>
      </w:r>
      <w:r>
        <w:rPr>
          <w:rFonts w:hint="eastAsia" w:ascii="仿宋_GB2312" w:eastAsia="仿宋_GB2312" w:cs="仿宋_GB2312"/>
          <w:color w:val="000000"/>
          <w:sz w:val="32"/>
          <w:szCs w:val="32"/>
          <w:lang w:val="en-US" w:eastAsia="zh-CN"/>
        </w:rPr>
        <w:t>100</w:t>
      </w:r>
      <w:r>
        <w:rPr>
          <w:rFonts w:ascii="仿宋_GB2312" w:eastAsia="仿宋_GB2312" w:cs="仿宋_GB2312"/>
          <w:color w:val="000000"/>
          <w:sz w:val="32"/>
          <w:szCs w:val="32"/>
        </w:rPr>
        <w:t>%</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eastAsia" w:ascii="仿宋_GB2312" w:eastAsia="仿宋_GB2312" w:cs="仿宋_GB2312"/>
          <w:color w:val="000000"/>
          <w:sz w:val="32"/>
          <w:szCs w:val="32"/>
        </w:rPr>
        <w:t>。</w:t>
      </w:r>
    </w:p>
    <w:p w14:paraId="285EF949">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s="仿宋_GB2312"/>
          <w:color w:val="000000"/>
          <w:sz w:val="32"/>
          <w:szCs w:val="32"/>
        </w:rPr>
      </w:pPr>
      <w:r>
        <w:rPr>
          <w:rFonts w:hint="eastAsia" w:ascii="仿宋_GB2312" w:eastAsia="仿宋_GB2312" w:cs="仿宋_GB2312"/>
          <w:bCs/>
          <w:sz w:val="32"/>
          <w:szCs w:val="32"/>
          <w:lang w:val="en-US" w:eastAsia="zh-CN"/>
        </w:rPr>
        <w:t>11</w:t>
      </w:r>
      <w:r>
        <w:rPr>
          <w:rFonts w:ascii="仿宋_GB2312" w:eastAsia="仿宋_GB2312" w:cs="仿宋_GB2312"/>
          <w:bCs/>
          <w:sz w:val="32"/>
          <w:szCs w:val="32"/>
        </w:rPr>
        <w:t>.</w:t>
      </w:r>
      <w:r>
        <w:rPr>
          <w:rFonts w:hint="eastAsia" w:ascii="仿宋_GB2312" w:eastAsia="仿宋_GB2312" w:cs="仿宋_GB2312"/>
          <w:bCs/>
          <w:color w:val="000000"/>
          <w:sz w:val="32"/>
          <w:szCs w:val="32"/>
        </w:rPr>
        <w:t>农林水支出（</w:t>
      </w:r>
      <w:r>
        <w:rPr>
          <w:rFonts w:hint="eastAsia" w:ascii="仿宋_GB2312" w:eastAsia="仿宋_GB2312" w:cs="仿宋_GB2312"/>
          <w:bCs/>
          <w:color w:val="000000"/>
          <w:sz w:val="32"/>
          <w:szCs w:val="32"/>
          <w:lang w:eastAsia="zh-CN"/>
        </w:rPr>
        <w:t>类</w:t>
      </w:r>
      <w:r>
        <w:rPr>
          <w:rFonts w:hint="eastAsia" w:ascii="仿宋_GB2312" w:eastAsia="仿宋_GB2312" w:cs="仿宋_GB2312"/>
          <w:bCs/>
          <w:color w:val="000000"/>
          <w:sz w:val="32"/>
          <w:szCs w:val="32"/>
        </w:rPr>
        <w:t>）农业</w:t>
      </w:r>
      <w:r>
        <w:rPr>
          <w:rFonts w:hint="eastAsia" w:ascii="仿宋_GB2312" w:eastAsia="仿宋_GB2312" w:cs="仿宋_GB2312"/>
          <w:bCs/>
          <w:color w:val="000000"/>
          <w:sz w:val="32"/>
          <w:szCs w:val="32"/>
          <w:lang w:val="en-US" w:eastAsia="zh-CN"/>
        </w:rPr>
        <w:t>农村</w:t>
      </w:r>
      <w:r>
        <w:rPr>
          <w:rFonts w:hint="eastAsia" w:ascii="仿宋_GB2312" w:eastAsia="仿宋_GB2312" w:cs="仿宋_GB2312"/>
          <w:bCs/>
          <w:color w:val="000000"/>
          <w:sz w:val="32"/>
          <w:szCs w:val="32"/>
        </w:rPr>
        <w:t>（</w:t>
      </w:r>
      <w:r>
        <w:rPr>
          <w:rFonts w:hint="eastAsia" w:ascii="仿宋_GB2312" w:eastAsia="仿宋_GB2312" w:cs="仿宋_GB2312"/>
          <w:bCs/>
          <w:color w:val="000000"/>
          <w:sz w:val="32"/>
          <w:szCs w:val="32"/>
          <w:lang w:val="en-US" w:eastAsia="zh-CN"/>
        </w:rPr>
        <w:t>款</w:t>
      </w:r>
      <w:r>
        <w:rPr>
          <w:rFonts w:hint="eastAsia" w:ascii="仿宋_GB2312" w:eastAsia="仿宋_GB2312" w:cs="仿宋_GB2312"/>
          <w:bCs/>
          <w:color w:val="000000"/>
          <w:sz w:val="32"/>
          <w:szCs w:val="32"/>
        </w:rPr>
        <w:t>）</w:t>
      </w:r>
      <w:r>
        <w:rPr>
          <w:rFonts w:hint="eastAsia" w:ascii="仿宋_GB2312" w:eastAsia="仿宋_GB2312" w:cs="仿宋_GB2312"/>
          <w:bCs/>
          <w:color w:val="000000"/>
          <w:sz w:val="32"/>
          <w:szCs w:val="32"/>
          <w:lang w:val="en-US" w:eastAsia="zh-CN"/>
        </w:rPr>
        <w:t>稳定农民收入补贴</w:t>
      </w:r>
      <w:r>
        <w:rPr>
          <w:rFonts w:hint="eastAsia" w:ascii="仿宋_GB2312" w:eastAsia="仿宋_GB2312" w:cs="仿宋_GB2312"/>
          <w:bCs/>
          <w:color w:val="000000"/>
          <w:sz w:val="32"/>
          <w:szCs w:val="32"/>
        </w:rPr>
        <w:t>（</w:t>
      </w:r>
      <w:r>
        <w:rPr>
          <w:rFonts w:hint="eastAsia" w:ascii="仿宋_GB2312" w:eastAsia="仿宋_GB2312" w:cs="仿宋_GB2312"/>
          <w:bCs/>
          <w:color w:val="000000"/>
          <w:sz w:val="32"/>
          <w:szCs w:val="32"/>
          <w:lang w:val="en-US" w:eastAsia="zh-CN"/>
        </w:rPr>
        <w:t>项</w:t>
      </w:r>
      <w:r>
        <w:rPr>
          <w:rFonts w:hint="eastAsia" w:ascii="仿宋_GB2312" w:eastAsia="仿宋_GB2312" w:cs="仿宋_GB2312"/>
          <w:bCs/>
          <w:color w:val="000000"/>
          <w:sz w:val="32"/>
          <w:szCs w:val="32"/>
        </w:rPr>
        <w:t>）</w:t>
      </w:r>
      <w:r>
        <w:rPr>
          <w:rFonts w:hint="eastAsia" w:ascii="仿宋_GB2312" w:eastAsia="仿宋_GB2312" w:cs="仿宋_GB2312"/>
          <w:color w:val="000000"/>
          <w:sz w:val="32"/>
          <w:szCs w:val="32"/>
        </w:rPr>
        <w:t>：支出决算为</w:t>
      </w:r>
      <w:r>
        <w:rPr>
          <w:rFonts w:hint="eastAsia" w:ascii="仿宋_GB2312" w:eastAsia="仿宋_GB2312" w:cs="仿宋_GB2312"/>
          <w:color w:val="000000"/>
          <w:sz w:val="32"/>
          <w:szCs w:val="32"/>
          <w:lang w:val="en-US" w:eastAsia="zh-CN"/>
        </w:rPr>
        <w:t>574.79</w:t>
      </w:r>
      <w:r>
        <w:rPr>
          <w:rFonts w:hint="eastAsia" w:ascii="仿宋_GB2312" w:eastAsia="仿宋_GB2312" w:cs="仿宋_GB2312"/>
          <w:color w:val="000000"/>
          <w:sz w:val="32"/>
          <w:szCs w:val="32"/>
        </w:rPr>
        <w:t>万元，完成预算</w:t>
      </w:r>
      <w:r>
        <w:rPr>
          <w:rFonts w:hint="eastAsia" w:ascii="仿宋_GB2312" w:eastAsia="仿宋_GB2312" w:cs="仿宋_GB2312"/>
          <w:color w:val="000000"/>
          <w:sz w:val="32"/>
          <w:szCs w:val="32"/>
          <w:lang w:val="en-US" w:eastAsia="zh-CN"/>
        </w:rPr>
        <w:t>100</w:t>
      </w:r>
      <w:r>
        <w:rPr>
          <w:rFonts w:ascii="仿宋_GB2312" w:eastAsia="仿宋_GB2312" w:cs="仿宋_GB2312"/>
          <w:color w:val="000000"/>
          <w:sz w:val="32"/>
          <w:szCs w:val="32"/>
        </w:rPr>
        <w:t>%</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eastAsia" w:ascii="仿宋_GB2312" w:eastAsia="仿宋_GB2312" w:cs="仿宋_GB2312"/>
          <w:color w:val="000000"/>
          <w:sz w:val="32"/>
          <w:szCs w:val="32"/>
        </w:rPr>
        <w:t>。</w:t>
      </w:r>
    </w:p>
    <w:p w14:paraId="7F6238C1">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s="仿宋_GB2312"/>
          <w:color w:val="000000"/>
          <w:sz w:val="32"/>
          <w:szCs w:val="32"/>
        </w:rPr>
      </w:pPr>
      <w:r>
        <w:rPr>
          <w:rFonts w:hint="eastAsia" w:ascii="仿宋_GB2312" w:eastAsia="仿宋_GB2312" w:cs="仿宋_GB2312"/>
          <w:bCs/>
          <w:sz w:val="32"/>
          <w:szCs w:val="32"/>
          <w:lang w:val="en-US" w:eastAsia="zh-CN"/>
        </w:rPr>
        <w:t>12</w:t>
      </w:r>
      <w:r>
        <w:rPr>
          <w:rFonts w:ascii="仿宋_GB2312" w:eastAsia="仿宋_GB2312" w:cs="仿宋_GB2312"/>
          <w:bCs/>
          <w:sz w:val="32"/>
          <w:szCs w:val="32"/>
        </w:rPr>
        <w:t>.</w:t>
      </w:r>
      <w:r>
        <w:rPr>
          <w:rFonts w:hint="eastAsia" w:ascii="仿宋_GB2312" w:eastAsia="仿宋_GB2312" w:cs="仿宋_GB2312"/>
          <w:bCs/>
          <w:color w:val="000000"/>
          <w:sz w:val="32"/>
          <w:szCs w:val="32"/>
        </w:rPr>
        <w:t>农林水支出（</w:t>
      </w:r>
      <w:r>
        <w:rPr>
          <w:rFonts w:hint="eastAsia" w:ascii="仿宋_GB2312" w:eastAsia="仿宋_GB2312" w:cs="仿宋_GB2312"/>
          <w:bCs/>
          <w:color w:val="000000"/>
          <w:sz w:val="32"/>
          <w:szCs w:val="32"/>
          <w:lang w:eastAsia="zh-CN"/>
        </w:rPr>
        <w:t>类</w:t>
      </w:r>
      <w:r>
        <w:rPr>
          <w:rFonts w:hint="eastAsia" w:ascii="仿宋_GB2312" w:eastAsia="仿宋_GB2312" w:cs="仿宋_GB2312"/>
          <w:bCs/>
          <w:color w:val="000000"/>
          <w:sz w:val="32"/>
          <w:szCs w:val="32"/>
        </w:rPr>
        <w:t>）农业</w:t>
      </w:r>
      <w:r>
        <w:rPr>
          <w:rFonts w:hint="eastAsia" w:ascii="仿宋_GB2312" w:eastAsia="仿宋_GB2312" w:cs="仿宋_GB2312"/>
          <w:bCs/>
          <w:color w:val="000000"/>
          <w:sz w:val="32"/>
          <w:szCs w:val="32"/>
          <w:lang w:val="en-US" w:eastAsia="zh-CN"/>
        </w:rPr>
        <w:t>农村</w:t>
      </w:r>
      <w:r>
        <w:rPr>
          <w:rFonts w:hint="eastAsia" w:ascii="仿宋_GB2312" w:eastAsia="仿宋_GB2312" w:cs="仿宋_GB2312"/>
          <w:bCs/>
          <w:color w:val="000000"/>
          <w:sz w:val="32"/>
          <w:szCs w:val="32"/>
        </w:rPr>
        <w:t>（</w:t>
      </w:r>
      <w:r>
        <w:rPr>
          <w:rFonts w:hint="eastAsia" w:ascii="仿宋_GB2312" w:eastAsia="仿宋_GB2312" w:cs="仿宋_GB2312"/>
          <w:bCs/>
          <w:color w:val="000000"/>
          <w:sz w:val="32"/>
          <w:szCs w:val="32"/>
          <w:lang w:val="en-US" w:eastAsia="zh-CN"/>
        </w:rPr>
        <w:t>款</w:t>
      </w:r>
      <w:r>
        <w:rPr>
          <w:rFonts w:hint="eastAsia" w:ascii="仿宋_GB2312" w:eastAsia="仿宋_GB2312" w:cs="仿宋_GB2312"/>
          <w:bCs/>
          <w:color w:val="000000"/>
          <w:sz w:val="32"/>
          <w:szCs w:val="32"/>
        </w:rPr>
        <w:t>）</w:t>
      </w:r>
      <w:r>
        <w:rPr>
          <w:rFonts w:hint="eastAsia" w:ascii="仿宋_GB2312" w:eastAsia="仿宋_GB2312" w:cs="仿宋_GB2312"/>
          <w:bCs/>
          <w:color w:val="000000"/>
          <w:sz w:val="32"/>
          <w:szCs w:val="32"/>
          <w:lang w:val="en-US" w:eastAsia="zh-CN"/>
        </w:rPr>
        <w:t>农业生产发展</w:t>
      </w:r>
      <w:r>
        <w:rPr>
          <w:rFonts w:hint="eastAsia" w:ascii="仿宋_GB2312" w:eastAsia="仿宋_GB2312" w:cs="仿宋_GB2312"/>
          <w:bCs/>
          <w:color w:val="000000"/>
          <w:sz w:val="32"/>
          <w:szCs w:val="32"/>
        </w:rPr>
        <w:t>（</w:t>
      </w:r>
      <w:r>
        <w:rPr>
          <w:rFonts w:hint="eastAsia" w:ascii="仿宋_GB2312" w:eastAsia="仿宋_GB2312" w:cs="仿宋_GB2312"/>
          <w:bCs/>
          <w:color w:val="000000"/>
          <w:sz w:val="32"/>
          <w:szCs w:val="32"/>
          <w:lang w:val="en-US" w:eastAsia="zh-CN"/>
        </w:rPr>
        <w:t>项</w:t>
      </w:r>
      <w:r>
        <w:rPr>
          <w:rFonts w:hint="eastAsia" w:ascii="仿宋_GB2312" w:eastAsia="仿宋_GB2312" w:cs="仿宋_GB2312"/>
          <w:bCs/>
          <w:color w:val="000000"/>
          <w:sz w:val="32"/>
          <w:szCs w:val="32"/>
        </w:rPr>
        <w:t>）</w:t>
      </w:r>
      <w:r>
        <w:rPr>
          <w:rFonts w:hint="eastAsia" w:ascii="仿宋_GB2312" w:eastAsia="仿宋_GB2312" w:cs="仿宋_GB2312"/>
          <w:color w:val="000000"/>
          <w:sz w:val="32"/>
          <w:szCs w:val="32"/>
        </w:rPr>
        <w:t>：支出决算为</w:t>
      </w:r>
      <w:r>
        <w:rPr>
          <w:rFonts w:hint="eastAsia" w:ascii="仿宋_GB2312" w:eastAsia="仿宋_GB2312" w:cs="仿宋_GB2312"/>
          <w:color w:val="000000"/>
          <w:sz w:val="32"/>
          <w:szCs w:val="32"/>
          <w:lang w:val="en-US" w:eastAsia="zh-CN"/>
        </w:rPr>
        <w:t>81</w:t>
      </w:r>
      <w:r>
        <w:rPr>
          <w:rFonts w:hint="eastAsia" w:ascii="仿宋_GB2312" w:eastAsia="仿宋_GB2312" w:cs="仿宋_GB2312"/>
          <w:color w:val="000000"/>
          <w:sz w:val="32"/>
          <w:szCs w:val="32"/>
        </w:rPr>
        <w:t>万元，完成预算</w:t>
      </w:r>
      <w:r>
        <w:rPr>
          <w:rFonts w:hint="eastAsia" w:ascii="仿宋_GB2312" w:eastAsia="仿宋_GB2312" w:cs="仿宋_GB2312"/>
          <w:color w:val="000000"/>
          <w:sz w:val="32"/>
          <w:szCs w:val="32"/>
          <w:lang w:val="en-US" w:eastAsia="zh-CN"/>
        </w:rPr>
        <w:t>100</w:t>
      </w:r>
      <w:r>
        <w:rPr>
          <w:rFonts w:ascii="仿宋_GB2312" w:eastAsia="仿宋_GB2312" w:cs="仿宋_GB2312"/>
          <w:color w:val="000000"/>
          <w:sz w:val="32"/>
          <w:szCs w:val="32"/>
        </w:rPr>
        <w:t>%</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eastAsia" w:ascii="仿宋_GB2312" w:eastAsia="仿宋_GB2312" w:cs="仿宋_GB2312"/>
          <w:color w:val="000000"/>
          <w:sz w:val="32"/>
          <w:szCs w:val="32"/>
        </w:rPr>
        <w:t>。</w:t>
      </w:r>
    </w:p>
    <w:p w14:paraId="69C37B0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sz w:val="32"/>
          <w:szCs w:val="32"/>
        </w:rPr>
      </w:pPr>
      <w:r>
        <w:rPr>
          <w:rFonts w:ascii="仿宋_GB2312" w:eastAsia="仿宋_GB2312" w:cs="仿宋_GB2312"/>
          <w:bCs/>
          <w:sz w:val="32"/>
          <w:szCs w:val="32"/>
        </w:rPr>
        <w:t>1</w:t>
      </w:r>
      <w:r>
        <w:rPr>
          <w:rFonts w:hint="eastAsia" w:ascii="仿宋_GB2312" w:eastAsia="仿宋_GB2312" w:cs="仿宋_GB2312"/>
          <w:bCs/>
          <w:sz w:val="32"/>
          <w:szCs w:val="32"/>
          <w:lang w:val="en-US" w:eastAsia="zh-CN"/>
        </w:rPr>
        <w:t>3</w:t>
      </w:r>
      <w:r>
        <w:rPr>
          <w:rFonts w:ascii="仿宋_GB2312" w:eastAsia="仿宋_GB2312" w:cs="仿宋_GB2312"/>
          <w:bCs/>
          <w:sz w:val="32"/>
          <w:szCs w:val="32"/>
        </w:rPr>
        <w:t>.</w:t>
      </w:r>
      <w:r>
        <w:rPr>
          <w:rFonts w:hint="eastAsia" w:ascii="仿宋_GB2312" w:eastAsia="仿宋_GB2312" w:cs="仿宋_GB2312"/>
          <w:bCs/>
          <w:sz w:val="32"/>
          <w:szCs w:val="32"/>
        </w:rPr>
        <w:t>农林水支出（</w:t>
      </w:r>
      <w:r>
        <w:rPr>
          <w:rFonts w:hint="eastAsia" w:ascii="仿宋_GB2312" w:eastAsia="仿宋_GB2312" w:cs="仿宋_GB2312"/>
          <w:bCs/>
          <w:color w:val="000000"/>
          <w:sz w:val="32"/>
          <w:szCs w:val="32"/>
          <w:lang w:eastAsia="zh-CN"/>
        </w:rPr>
        <w:t>类</w:t>
      </w:r>
      <w:r>
        <w:rPr>
          <w:rFonts w:hint="eastAsia" w:ascii="仿宋_GB2312" w:eastAsia="仿宋_GB2312" w:cs="仿宋_GB2312"/>
          <w:bCs/>
          <w:sz w:val="32"/>
          <w:szCs w:val="32"/>
        </w:rPr>
        <w:t>）农业</w:t>
      </w:r>
      <w:r>
        <w:rPr>
          <w:rFonts w:hint="eastAsia" w:ascii="仿宋_GB2312" w:eastAsia="仿宋_GB2312" w:cs="仿宋_GB2312"/>
          <w:bCs/>
          <w:sz w:val="32"/>
          <w:szCs w:val="32"/>
          <w:lang w:val="en-US" w:eastAsia="zh-CN"/>
        </w:rPr>
        <w:t>农村</w:t>
      </w:r>
      <w:r>
        <w:rPr>
          <w:rFonts w:hint="eastAsia" w:ascii="仿宋_GB2312" w:eastAsia="仿宋_GB2312" w:cs="仿宋_GB2312"/>
          <w:bCs/>
          <w:sz w:val="32"/>
          <w:szCs w:val="32"/>
        </w:rPr>
        <w:t>（</w:t>
      </w:r>
      <w:r>
        <w:rPr>
          <w:rFonts w:hint="eastAsia" w:ascii="仿宋_GB2312" w:eastAsia="仿宋_GB2312" w:cs="仿宋_GB2312"/>
          <w:bCs/>
          <w:color w:val="000000"/>
          <w:sz w:val="32"/>
          <w:szCs w:val="32"/>
          <w:lang w:val="en-US" w:eastAsia="zh-CN"/>
        </w:rPr>
        <w:t>款</w:t>
      </w:r>
      <w:r>
        <w:rPr>
          <w:rFonts w:hint="eastAsia" w:ascii="仿宋_GB2312" w:eastAsia="仿宋_GB2312" w:cs="仿宋_GB2312"/>
          <w:bCs/>
          <w:sz w:val="32"/>
          <w:szCs w:val="32"/>
        </w:rPr>
        <w:t>）</w:t>
      </w:r>
      <w:r>
        <w:rPr>
          <w:rFonts w:hint="eastAsia" w:ascii="仿宋_GB2312" w:eastAsia="仿宋_GB2312" w:cs="仿宋_GB2312"/>
          <w:bCs/>
          <w:sz w:val="32"/>
          <w:szCs w:val="32"/>
          <w:lang w:val="en-US" w:eastAsia="zh-CN"/>
        </w:rPr>
        <w:t>其他农业农村支出</w:t>
      </w:r>
      <w:r>
        <w:rPr>
          <w:rFonts w:hint="eastAsia" w:ascii="仿宋_GB2312" w:eastAsia="仿宋_GB2312" w:cs="仿宋_GB2312"/>
          <w:bCs/>
          <w:sz w:val="32"/>
          <w:szCs w:val="32"/>
        </w:rPr>
        <w:t>（</w:t>
      </w:r>
      <w:r>
        <w:rPr>
          <w:rFonts w:hint="eastAsia" w:ascii="仿宋_GB2312" w:eastAsia="仿宋_GB2312" w:cs="仿宋_GB2312"/>
          <w:bCs/>
          <w:sz w:val="32"/>
          <w:szCs w:val="32"/>
          <w:lang w:val="en-US" w:eastAsia="zh-CN"/>
        </w:rPr>
        <w:t>项</w:t>
      </w:r>
      <w:r>
        <w:rPr>
          <w:rFonts w:hint="eastAsia" w:ascii="仿宋_GB2312" w:eastAsia="仿宋_GB2312" w:cs="仿宋_GB2312"/>
          <w:bCs/>
          <w:sz w:val="32"/>
          <w:szCs w:val="32"/>
        </w:rPr>
        <w:t>）：支出决算为</w:t>
      </w:r>
      <w:r>
        <w:rPr>
          <w:rFonts w:hint="eastAsia" w:ascii="仿宋_GB2312" w:eastAsia="仿宋_GB2312" w:cs="仿宋_GB2312"/>
          <w:sz w:val="32"/>
          <w:szCs w:val="32"/>
          <w:lang w:val="en-US" w:eastAsia="zh-CN"/>
        </w:rPr>
        <w:t>2415.61</w:t>
      </w:r>
      <w:r>
        <w:rPr>
          <w:rFonts w:hint="eastAsia" w:ascii="仿宋_GB2312" w:eastAsia="仿宋_GB2312" w:cs="仿宋_GB2312"/>
          <w:sz w:val="32"/>
          <w:szCs w:val="32"/>
        </w:rPr>
        <w:t>万元，完成预算</w:t>
      </w:r>
      <w:r>
        <w:rPr>
          <w:rFonts w:hint="eastAsia" w:ascii="仿宋_GB2312" w:eastAsia="仿宋_GB2312" w:cs="仿宋_GB2312"/>
          <w:sz w:val="32"/>
          <w:szCs w:val="32"/>
          <w:lang w:val="en-US" w:eastAsia="zh-CN"/>
        </w:rPr>
        <w:t>100</w:t>
      </w:r>
      <w:r>
        <w:rPr>
          <w:rFonts w:ascii="仿宋_GB2312" w:eastAsia="仿宋_GB2312" w:cs="仿宋_GB2312"/>
          <w:sz w:val="32"/>
          <w:szCs w:val="32"/>
        </w:rPr>
        <w:t>%</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eastAsia" w:ascii="仿宋_GB2312" w:eastAsia="仿宋_GB2312" w:cs="仿宋_GB2312"/>
          <w:sz w:val="32"/>
          <w:szCs w:val="32"/>
        </w:rPr>
        <w:t>。</w:t>
      </w:r>
    </w:p>
    <w:p w14:paraId="4F71A93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s="仿宋_GB2312"/>
          <w:sz w:val="32"/>
          <w:szCs w:val="32"/>
          <w:highlight w:val="none"/>
        </w:rPr>
      </w:pPr>
      <w:r>
        <w:rPr>
          <w:rFonts w:hint="eastAsia" w:ascii="仿宋_GB2312" w:eastAsia="仿宋_GB2312" w:cs="仿宋_GB2312"/>
          <w:bCs/>
          <w:sz w:val="32"/>
          <w:szCs w:val="32"/>
          <w:lang w:val="en-US" w:eastAsia="zh-CN"/>
        </w:rPr>
        <w:t>14</w:t>
      </w:r>
      <w:r>
        <w:rPr>
          <w:rFonts w:ascii="仿宋_GB2312" w:eastAsia="仿宋_GB2312" w:cs="仿宋_GB2312"/>
          <w:bCs/>
          <w:sz w:val="32"/>
          <w:szCs w:val="32"/>
        </w:rPr>
        <w:t>.</w:t>
      </w:r>
      <w:r>
        <w:rPr>
          <w:rFonts w:hint="eastAsia" w:ascii="仿宋_GB2312" w:eastAsia="仿宋_GB2312" w:cs="仿宋_GB2312"/>
          <w:bCs/>
          <w:sz w:val="32"/>
          <w:szCs w:val="32"/>
        </w:rPr>
        <w:t>农林水支出（</w:t>
      </w:r>
      <w:r>
        <w:rPr>
          <w:rFonts w:hint="eastAsia" w:ascii="仿宋_GB2312" w:eastAsia="仿宋_GB2312" w:cs="仿宋_GB2312"/>
          <w:bCs/>
          <w:color w:val="000000"/>
          <w:sz w:val="32"/>
          <w:szCs w:val="32"/>
          <w:lang w:eastAsia="zh-CN"/>
        </w:rPr>
        <w:t>类</w:t>
      </w:r>
      <w:r>
        <w:rPr>
          <w:rFonts w:hint="eastAsia" w:ascii="仿宋_GB2312" w:eastAsia="仿宋_GB2312" w:cs="仿宋_GB2312"/>
          <w:bCs/>
          <w:sz w:val="32"/>
          <w:szCs w:val="32"/>
          <w:highlight w:val="none"/>
        </w:rPr>
        <w:t>）</w:t>
      </w:r>
      <w:r>
        <w:rPr>
          <w:rFonts w:hint="eastAsia" w:ascii="仿宋_GB2312" w:eastAsia="仿宋_GB2312" w:cs="仿宋_GB2312"/>
          <w:bCs/>
          <w:sz w:val="32"/>
          <w:szCs w:val="32"/>
          <w:highlight w:val="none"/>
          <w:lang w:val="en-US" w:eastAsia="zh-CN"/>
        </w:rPr>
        <w:t>巩固脱贫攻坚成果衔接乡村振兴</w:t>
      </w:r>
      <w:r>
        <w:rPr>
          <w:rFonts w:hint="eastAsia" w:ascii="仿宋_GB2312" w:eastAsia="仿宋_GB2312" w:cs="仿宋_GB2312"/>
          <w:bCs/>
          <w:sz w:val="32"/>
          <w:szCs w:val="32"/>
          <w:highlight w:val="none"/>
        </w:rPr>
        <w:t>（</w:t>
      </w:r>
      <w:r>
        <w:rPr>
          <w:rFonts w:hint="eastAsia" w:ascii="仿宋_GB2312" w:eastAsia="仿宋_GB2312" w:cs="仿宋_GB2312"/>
          <w:bCs/>
          <w:color w:val="000000"/>
          <w:sz w:val="32"/>
          <w:szCs w:val="32"/>
          <w:lang w:val="en-US" w:eastAsia="zh-CN"/>
        </w:rPr>
        <w:t>款</w:t>
      </w:r>
      <w:r>
        <w:rPr>
          <w:rFonts w:hint="eastAsia" w:ascii="仿宋_GB2312" w:eastAsia="仿宋_GB2312" w:cs="仿宋_GB2312"/>
          <w:bCs/>
          <w:sz w:val="32"/>
          <w:szCs w:val="32"/>
          <w:highlight w:val="none"/>
        </w:rPr>
        <w:t>）农村基础设施建设（</w:t>
      </w:r>
      <w:r>
        <w:rPr>
          <w:rFonts w:hint="eastAsia" w:ascii="仿宋_GB2312" w:eastAsia="仿宋_GB2312" w:cs="仿宋_GB2312"/>
          <w:bCs/>
          <w:sz w:val="32"/>
          <w:szCs w:val="32"/>
          <w:highlight w:val="none"/>
          <w:lang w:val="en-US" w:eastAsia="zh-CN"/>
        </w:rPr>
        <w:t>项</w:t>
      </w:r>
      <w:r>
        <w:rPr>
          <w:rFonts w:hint="eastAsia" w:ascii="仿宋_GB2312" w:eastAsia="仿宋_GB2312" w:cs="仿宋_GB2312"/>
          <w:bCs/>
          <w:sz w:val="32"/>
          <w:szCs w:val="32"/>
          <w:highlight w:val="none"/>
        </w:rPr>
        <w:t>）</w:t>
      </w:r>
      <w:r>
        <w:rPr>
          <w:rFonts w:hint="eastAsia" w:ascii="仿宋_GB2312" w:eastAsia="仿宋_GB2312" w:cs="仿宋_GB2312"/>
          <w:sz w:val="32"/>
          <w:szCs w:val="32"/>
          <w:highlight w:val="none"/>
        </w:rPr>
        <w:t>：支出决算为</w:t>
      </w:r>
      <w:r>
        <w:rPr>
          <w:rFonts w:hint="eastAsia" w:ascii="仿宋_GB2312" w:eastAsia="仿宋_GB2312" w:cs="仿宋_GB2312"/>
          <w:sz w:val="32"/>
          <w:szCs w:val="32"/>
          <w:highlight w:val="none"/>
          <w:lang w:val="en-US" w:eastAsia="zh-CN"/>
        </w:rPr>
        <w:t>1183.23</w:t>
      </w:r>
      <w:r>
        <w:rPr>
          <w:rFonts w:hint="eastAsia" w:ascii="仿宋_GB2312" w:eastAsia="仿宋_GB2312" w:cs="仿宋_GB2312"/>
          <w:sz w:val="32"/>
          <w:szCs w:val="32"/>
          <w:highlight w:val="none"/>
        </w:rPr>
        <w:t>万元，完成预算</w:t>
      </w:r>
      <w:r>
        <w:rPr>
          <w:rFonts w:hint="eastAsia" w:ascii="仿宋_GB2312" w:eastAsia="仿宋_GB2312" w:cs="仿宋_GB2312"/>
          <w:sz w:val="32"/>
          <w:szCs w:val="32"/>
          <w:highlight w:val="none"/>
          <w:lang w:val="en-US" w:eastAsia="zh-CN"/>
        </w:rPr>
        <w:t>100</w:t>
      </w:r>
      <w:r>
        <w:rPr>
          <w:rFonts w:ascii="仿宋_GB2312" w:eastAsia="仿宋_GB2312" w:cs="仿宋_GB2312"/>
          <w:sz w:val="32"/>
          <w:szCs w:val="32"/>
          <w:highlight w:val="none"/>
        </w:rPr>
        <w:t>%</w:t>
      </w:r>
      <w:r>
        <w:rPr>
          <w:rFonts w:hint="eastAsia" w:ascii="仿宋_GB2312" w:eastAsia="仿宋_GB2312" w:cs="仿宋_GB2312"/>
          <w:color w:val="000000"/>
          <w:sz w:val="32"/>
          <w:szCs w:val="32"/>
          <w:highlight w:val="none"/>
          <w:lang w:eastAsia="zh-CN"/>
        </w:rPr>
        <w:t>，</w:t>
      </w:r>
      <w:r>
        <w:rPr>
          <w:rFonts w:hint="eastAsia" w:ascii="仿宋_GB2312" w:eastAsia="仿宋_GB2312" w:cs="仿宋_GB2312"/>
          <w:bCs/>
          <w:sz w:val="32"/>
          <w:szCs w:val="32"/>
          <w:highlight w:val="none"/>
          <w:lang w:val="en-US" w:eastAsia="zh-CN"/>
        </w:rPr>
        <w:t>决算数与预算数持平</w:t>
      </w:r>
      <w:r>
        <w:rPr>
          <w:rFonts w:hint="eastAsia" w:ascii="仿宋_GB2312" w:eastAsia="仿宋_GB2312" w:cs="仿宋_GB2312"/>
          <w:sz w:val="32"/>
          <w:szCs w:val="32"/>
          <w:highlight w:val="none"/>
        </w:rPr>
        <w:t>。</w:t>
      </w:r>
    </w:p>
    <w:p w14:paraId="00D895A9">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s="仿宋_GB2312"/>
          <w:sz w:val="32"/>
          <w:szCs w:val="32"/>
          <w:highlight w:val="none"/>
        </w:rPr>
      </w:pPr>
      <w:r>
        <w:rPr>
          <w:rFonts w:ascii="仿宋_GB2312" w:eastAsia="仿宋_GB2312" w:cs="仿宋_GB2312"/>
          <w:bCs/>
          <w:sz w:val="32"/>
          <w:szCs w:val="32"/>
          <w:highlight w:val="none"/>
        </w:rPr>
        <w:t>1</w:t>
      </w:r>
      <w:r>
        <w:rPr>
          <w:rFonts w:hint="eastAsia" w:ascii="仿宋_GB2312" w:eastAsia="仿宋_GB2312" w:cs="仿宋_GB2312"/>
          <w:bCs/>
          <w:sz w:val="32"/>
          <w:szCs w:val="32"/>
          <w:highlight w:val="none"/>
          <w:lang w:val="en-US" w:eastAsia="zh-CN"/>
        </w:rPr>
        <w:t>5</w:t>
      </w:r>
      <w:r>
        <w:rPr>
          <w:rFonts w:ascii="仿宋_GB2312" w:eastAsia="仿宋_GB2312" w:cs="仿宋_GB2312"/>
          <w:bCs/>
          <w:sz w:val="32"/>
          <w:szCs w:val="32"/>
          <w:highlight w:val="none"/>
        </w:rPr>
        <w:t>.</w:t>
      </w:r>
      <w:r>
        <w:rPr>
          <w:rFonts w:hint="eastAsia" w:ascii="仿宋_GB2312" w:eastAsia="仿宋_GB2312" w:cs="仿宋_GB2312"/>
          <w:bCs/>
          <w:sz w:val="32"/>
          <w:szCs w:val="32"/>
          <w:highlight w:val="none"/>
        </w:rPr>
        <w:t>农林水支出（</w:t>
      </w:r>
      <w:r>
        <w:rPr>
          <w:rFonts w:hint="eastAsia" w:ascii="仿宋_GB2312" w:eastAsia="仿宋_GB2312" w:cs="仿宋_GB2312"/>
          <w:bCs/>
          <w:color w:val="000000"/>
          <w:sz w:val="32"/>
          <w:szCs w:val="32"/>
          <w:lang w:eastAsia="zh-CN"/>
        </w:rPr>
        <w:t>类</w:t>
      </w:r>
      <w:r>
        <w:rPr>
          <w:rFonts w:hint="eastAsia" w:ascii="仿宋_GB2312" w:eastAsia="仿宋_GB2312" w:cs="仿宋_GB2312"/>
          <w:bCs/>
          <w:sz w:val="32"/>
          <w:szCs w:val="32"/>
          <w:highlight w:val="none"/>
        </w:rPr>
        <w:t>）</w:t>
      </w:r>
      <w:r>
        <w:rPr>
          <w:rFonts w:hint="eastAsia" w:ascii="仿宋_GB2312" w:eastAsia="仿宋_GB2312" w:cs="仿宋_GB2312"/>
          <w:bCs/>
          <w:sz w:val="32"/>
          <w:szCs w:val="32"/>
          <w:highlight w:val="none"/>
          <w:lang w:val="en-US" w:eastAsia="zh-CN"/>
        </w:rPr>
        <w:t>巩固脱贫攻坚成果衔接乡村振兴</w:t>
      </w:r>
      <w:r>
        <w:rPr>
          <w:rFonts w:hint="eastAsia" w:ascii="仿宋_GB2312" w:eastAsia="仿宋_GB2312" w:cs="仿宋_GB2312"/>
          <w:bCs/>
          <w:sz w:val="32"/>
          <w:szCs w:val="32"/>
          <w:highlight w:val="none"/>
        </w:rPr>
        <w:t>（</w:t>
      </w:r>
      <w:r>
        <w:rPr>
          <w:rFonts w:hint="eastAsia" w:ascii="仿宋_GB2312" w:eastAsia="仿宋_GB2312" w:cs="仿宋_GB2312"/>
          <w:bCs/>
          <w:color w:val="000000"/>
          <w:sz w:val="32"/>
          <w:szCs w:val="32"/>
          <w:lang w:val="en-US" w:eastAsia="zh-CN"/>
        </w:rPr>
        <w:t>款</w:t>
      </w:r>
      <w:r>
        <w:rPr>
          <w:rFonts w:hint="eastAsia" w:ascii="仿宋_GB2312" w:eastAsia="仿宋_GB2312" w:cs="仿宋_GB2312"/>
          <w:bCs/>
          <w:sz w:val="32"/>
          <w:szCs w:val="32"/>
          <w:highlight w:val="none"/>
        </w:rPr>
        <w:t>）生产发展（</w:t>
      </w:r>
      <w:r>
        <w:rPr>
          <w:rFonts w:hint="eastAsia" w:ascii="仿宋_GB2312" w:eastAsia="仿宋_GB2312" w:cs="仿宋_GB2312"/>
          <w:bCs/>
          <w:sz w:val="32"/>
          <w:szCs w:val="32"/>
          <w:highlight w:val="none"/>
          <w:lang w:eastAsia="zh-CN"/>
        </w:rPr>
        <w:t>项</w:t>
      </w:r>
      <w:r>
        <w:rPr>
          <w:rFonts w:hint="eastAsia" w:ascii="仿宋_GB2312" w:eastAsia="仿宋_GB2312" w:cs="仿宋_GB2312"/>
          <w:bCs/>
          <w:sz w:val="32"/>
          <w:szCs w:val="32"/>
          <w:highlight w:val="none"/>
        </w:rPr>
        <w:t>）</w:t>
      </w:r>
      <w:r>
        <w:rPr>
          <w:rFonts w:hint="eastAsia" w:ascii="仿宋_GB2312" w:eastAsia="仿宋_GB2312" w:cs="仿宋_GB2312"/>
          <w:sz w:val="32"/>
          <w:szCs w:val="32"/>
          <w:highlight w:val="none"/>
        </w:rPr>
        <w:t>：支出决算为</w:t>
      </w:r>
      <w:r>
        <w:rPr>
          <w:rFonts w:hint="eastAsia" w:ascii="仿宋_GB2312" w:eastAsia="仿宋_GB2312" w:cs="仿宋_GB2312"/>
          <w:sz w:val="32"/>
          <w:szCs w:val="32"/>
          <w:highlight w:val="none"/>
          <w:lang w:val="en-US" w:eastAsia="zh-CN"/>
        </w:rPr>
        <w:t>117.91</w:t>
      </w:r>
      <w:r>
        <w:rPr>
          <w:rFonts w:hint="eastAsia" w:ascii="仿宋_GB2312" w:eastAsia="仿宋_GB2312" w:cs="仿宋_GB2312"/>
          <w:sz w:val="32"/>
          <w:szCs w:val="32"/>
          <w:highlight w:val="none"/>
        </w:rPr>
        <w:t>万元，完成预算</w:t>
      </w:r>
      <w:r>
        <w:rPr>
          <w:rFonts w:hint="eastAsia" w:ascii="仿宋_GB2312" w:eastAsia="仿宋_GB2312" w:cs="仿宋_GB2312"/>
          <w:sz w:val="32"/>
          <w:szCs w:val="32"/>
          <w:highlight w:val="none"/>
          <w:lang w:val="en-US" w:eastAsia="zh-CN"/>
        </w:rPr>
        <w:t>100</w:t>
      </w:r>
      <w:r>
        <w:rPr>
          <w:rFonts w:ascii="仿宋_GB2312" w:eastAsia="仿宋_GB2312" w:cs="仿宋_GB2312"/>
          <w:sz w:val="32"/>
          <w:szCs w:val="32"/>
          <w:highlight w:val="none"/>
        </w:rPr>
        <w:t>%</w:t>
      </w:r>
      <w:r>
        <w:rPr>
          <w:rFonts w:hint="eastAsia" w:ascii="仿宋_GB2312" w:eastAsia="仿宋_GB2312" w:cs="仿宋_GB2312"/>
          <w:color w:val="000000"/>
          <w:sz w:val="32"/>
          <w:szCs w:val="32"/>
          <w:highlight w:val="none"/>
          <w:lang w:eastAsia="zh-CN"/>
        </w:rPr>
        <w:t>，</w:t>
      </w:r>
      <w:r>
        <w:rPr>
          <w:rFonts w:hint="eastAsia" w:ascii="仿宋_GB2312" w:eastAsia="仿宋_GB2312" w:cs="仿宋_GB2312"/>
          <w:bCs/>
          <w:sz w:val="32"/>
          <w:szCs w:val="32"/>
          <w:highlight w:val="none"/>
          <w:lang w:val="en-US" w:eastAsia="zh-CN"/>
        </w:rPr>
        <w:t>决算数与预算数持平</w:t>
      </w:r>
      <w:r>
        <w:rPr>
          <w:rFonts w:hint="eastAsia" w:ascii="仿宋_GB2312" w:eastAsia="仿宋_GB2312" w:cs="仿宋_GB2312"/>
          <w:sz w:val="32"/>
          <w:szCs w:val="32"/>
          <w:highlight w:val="none"/>
        </w:rPr>
        <w:t>。</w:t>
      </w:r>
    </w:p>
    <w:p w14:paraId="6F613C2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s="仿宋_GB2312"/>
          <w:sz w:val="32"/>
          <w:szCs w:val="32"/>
        </w:rPr>
      </w:pPr>
      <w:r>
        <w:rPr>
          <w:rFonts w:hint="eastAsia" w:ascii="仿宋_GB2312" w:eastAsia="仿宋_GB2312" w:cs="仿宋_GB2312"/>
          <w:bCs/>
          <w:sz w:val="32"/>
          <w:szCs w:val="32"/>
          <w:highlight w:val="none"/>
          <w:lang w:val="en-US" w:eastAsia="zh-CN"/>
        </w:rPr>
        <w:t>16</w:t>
      </w:r>
      <w:r>
        <w:rPr>
          <w:rFonts w:ascii="仿宋_GB2312" w:eastAsia="仿宋_GB2312" w:cs="仿宋_GB2312"/>
          <w:bCs/>
          <w:sz w:val="32"/>
          <w:szCs w:val="32"/>
          <w:highlight w:val="none"/>
        </w:rPr>
        <w:t>.</w:t>
      </w:r>
      <w:r>
        <w:rPr>
          <w:rFonts w:hint="eastAsia" w:ascii="仿宋_GB2312" w:eastAsia="仿宋_GB2312" w:cs="仿宋_GB2312"/>
          <w:bCs/>
          <w:sz w:val="32"/>
          <w:szCs w:val="32"/>
          <w:highlight w:val="none"/>
        </w:rPr>
        <w:t>农林水支出（</w:t>
      </w:r>
      <w:r>
        <w:rPr>
          <w:rFonts w:hint="eastAsia" w:ascii="仿宋_GB2312" w:eastAsia="仿宋_GB2312" w:cs="仿宋_GB2312"/>
          <w:bCs/>
          <w:color w:val="000000"/>
          <w:sz w:val="32"/>
          <w:szCs w:val="32"/>
          <w:lang w:eastAsia="zh-CN"/>
        </w:rPr>
        <w:t>类</w:t>
      </w:r>
      <w:r>
        <w:rPr>
          <w:rFonts w:hint="eastAsia" w:ascii="仿宋_GB2312" w:eastAsia="仿宋_GB2312" w:cs="仿宋_GB2312"/>
          <w:bCs/>
          <w:sz w:val="32"/>
          <w:szCs w:val="32"/>
          <w:highlight w:val="none"/>
        </w:rPr>
        <w:t>）</w:t>
      </w:r>
      <w:r>
        <w:rPr>
          <w:rFonts w:hint="eastAsia" w:ascii="仿宋_GB2312" w:eastAsia="仿宋_GB2312" w:cs="仿宋_GB2312"/>
          <w:bCs/>
          <w:sz w:val="32"/>
          <w:szCs w:val="32"/>
          <w:highlight w:val="none"/>
          <w:lang w:val="en-US" w:eastAsia="zh-CN"/>
        </w:rPr>
        <w:t>巩固脱贫攻坚成果衔接乡村振兴</w:t>
      </w:r>
      <w:r>
        <w:rPr>
          <w:rFonts w:hint="eastAsia" w:ascii="仿宋_GB2312" w:eastAsia="仿宋_GB2312" w:cs="仿宋_GB2312"/>
          <w:bCs/>
          <w:sz w:val="32"/>
          <w:szCs w:val="32"/>
          <w:highlight w:val="none"/>
        </w:rPr>
        <w:t>（</w:t>
      </w:r>
      <w:r>
        <w:rPr>
          <w:rFonts w:hint="eastAsia" w:ascii="仿宋_GB2312" w:eastAsia="仿宋_GB2312" w:cs="仿宋_GB2312"/>
          <w:bCs/>
          <w:color w:val="000000"/>
          <w:sz w:val="32"/>
          <w:szCs w:val="32"/>
          <w:lang w:val="en-US" w:eastAsia="zh-CN"/>
        </w:rPr>
        <w:t>款</w:t>
      </w:r>
      <w:r>
        <w:rPr>
          <w:rFonts w:hint="eastAsia" w:ascii="仿宋_GB2312" w:eastAsia="仿宋_GB2312" w:cs="仿宋_GB2312"/>
          <w:bCs/>
          <w:sz w:val="32"/>
          <w:szCs w:val="32"/>
          <w:highlight w:val="none"/>
        </w:rPr>
        <w:t>）其他</w:t>
      </w:r>
      <w:r>
        <w:rPr>
          <w:rFonts w:hint="eastAsia" w:ascii="仿宋_GB2312" w:eastAsia="仿宋_GB2312" w:cs="仿宋_GB2312"/>
          <w:bCs/>
          <w:sz w:val="32"/>
          <w:szCs w:val="32"/>
          <w:highlight w:val="none"/>
          <w:lang w:val="en-US" w:eastAsia="zh-CN"/>
        </w:rPr>
        <w:t>巩固脱贫攻坚成果衔接乡村振</w:t>
      </w:r>
      <w:r>
        <w:rPr>
          <w:rFonts w:hint="eastAsia" w:ascii="仿宋_GB2312" w:eastAsia="仿宋_GB2312" w:cs="仿宋_GB2312"/>
          <w:bCs/>
          <w:sz w:val="32"/>
          <w:szCs w:val="32"/>
          <w:lang w:val="en-US" w:eastAsia="zh-CN"/>
        </w:rPr>
        <w:t>兴</w:t>
      </w:r>
      <w:r>
        <w:rPr>
          <w:rFonts w:hint="eastAsia" w:ascii="仿宋_GB2312" w:eastAsia="仿宋_GB2312" w:cs="仿宋_GB2312"/>
          <w:bCs/>
          <w:sz w:val="32"/>
          <w:szCs w:val="32"/>
        </w:rPr>
        <w:t>支出（</w:t>
      </w:r>
      <w:r>
        <w:rPr>
          <w:rFonts w:hint="eastAsia" w:ascii="仿宋_GB2312" w:eastAsia="仿宋_GB2312" w:cs="仿宋_GB2312"/>
          <w:bCs/>
          <w:sz w:val="32"/>
          <w:szCs w:val="32"/>
          <w:lang w:eastAsia="zh-CN"/>
        </w:rPr>
        <w:t>项</w:t>
      </w:r>
      <w:r>
        <w:rPr>
          <w:rFonts w:hint="eastAsia" w:ascii="仿宋_GB2312" w:eastAsia="仿宋_GB2312" w:cs="仿宋_GB2312"/>
          <w:bCs/>
          <w:sz w:val="32"/>
          <w:szCs w:val="32"/>
        </w:rPr>
        <w:t>）</w:t>
      </w:r>
      <w:r>
        <w:rPr>
          <w:rFonts w:hint="eastAsia" w:ascii="仿宋_GB2312" w:eastAsia="仿宋_GB2312" w:cs="仿宋_GB2312"/>
          <w:sz w:val="32"/>
          <w:szCs w:val="32"/>
        </w:rPr>
        <w:t>：支出决算为</w:t>
      </w:r>
      <w:r>
        <w:rPr>
          <w:rFonts w:hint="eastAsia" w:ascii="仿宋_GB2312" w:eastAsia="仿宋_GB2312" w:cs="仿宋_GB2312"/>
          <w:sz w:val="32"/>
          <w:szCs w:val="32"/>
          <w:lang w:val="en-US" w:eastAsia="zh-CN"/>
        </w:rPr>
        <w:t>5967.62</w:t>
      </w:r>
      <w:r>
        <w:rPr>
          <w:rFonts w:hint="eastAsia" w:ascii="仿宋_GB2312" w:eastAsia="仿宋_GB2312" w:cs="仿宋_GB2312"/>
          <w:sz w:val="32"/>
          <w:szCs w:val="32"/>
        </w:rPr>
        <w:t>万元，完成预算</w:t>
      </w:r>
      <w:r>
        <w:rPr>
          <w:rFonts w:hint="eastAsia" w:ascii="仿宋_GB2312" w:eastAsia="仿宋_GB2312" w:cs="仿宋_GB2312"/>
          <w:sz w:val="32"/>
          <w:szCs w:val="32"/>
          <w:lang w:val="en-US" w:eastAsia="zh-CN"/>
        </w:rPr>
        <w:t>100</w:t>
      </w:r>
      <w:r>
        <w:rPr>
          <w:rFonts w:ascii="仿宋_GB2312" w:eastAsia="仿宋_GB2312" w:cs="仿宋_GB2312"/>
          <w:sz w:val="32"/>
          <w:szCs w:val="32"/>
        </w:rPr>
        <w:t>%</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eastAsia" w:ascii="仿宋_GB2312" w:eastAsia="仿宋_GB2312" w:cs="仿宋_GB2312"/>
          <w:sz w:val="32"/>
          <w:szCs w:val="32"/>
        </w:rPr>
        <w:t>。</w:t>
      </w:r>
    </w:p>
    <w:p w14:paraId="75AFDB8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s="仿宋_GB2312"/>
          <w:bCs/>
          <w:sz w:val="32"/>
          <w:szCs w:val="32"/>
        </w:rPr>
      </w:pPr>
      <w:r>
        <w:rPr>
          <w:rFonts w:hint="eastAsia" w:ascii="仿宋_GB2312" w:eastAsia="仿宋_GB2312" w:cs="仿宋_GB2312"/>
          <w:bCs/>
          <w:sz w:val="32"/>
          <w:szCs w:val="32"/>
          <w:lang w:val="en-US" w:eastAsia="zh-CN"/>
        </w:rPr>
        <w:t>17</w:t>
      </w:r>
      <w:r>
        <w:rPr>
          <w:rFonts w:hint="eastAsia" w:ascii="仿宋_GB2312" w:eastAsia="仿宋_GB2312" w:cs="仿宋_GB2312"/>
          <w:bCs/>
          <w:sz w:val="32"/>
          <w:szCs w:val="32"/>
        </w:rPr>
        <w:t>.住房保障支出（</w:t>
      </w:r>
      <w:r>
        <w:rPr>
          <w:rFonts w:hint="eastAsia" w:ascii="仿宋_GB2312" w:eastAsia="仿宋_GB2312" w:cs="仿宋_GB2312"/>
          <w:bCs/>
          <w:color w:val="000000"/>
          <w:sz w:val="32"/>
          <w:szCs w:val="32"/>
          <w:lang w:eastAsia="zh-CN"/>
        </w:rPr>
        <w:t>类</w:t>
      </w:r>
      <w:r>
        <w:rPr>
          <w:rFonts w:hint="eastAsia" w:ascii="仿宋_GB2312" w:eastAsia="仿宋_GB2312" w:cs="仿宋_GB2312"/>
          <w:bCs/>
          <w:sz w:val="32"/>
          <w:szCs w:val="32"/>
        </w:rPr>
        <w:t>）住房改革支出（</w:t>
      </w:r>
      <w:r>
        <w:rPr>
          <w:rFonts w:hint="eastAsia" w:ascii="仿宋_GB2312" w:eastAsia="仿宋_GB2312" w:cs="仿宋_GB2312"/>
          <w:bCs/>
          <w:color w:val="000000"/>
          <w:sz w:val="32"/>
          <w:szCs w:val="32"/>
          <w:lang w:val="en-US" w:eastAsia="zh-CN"/>
        </w:rPr>
        <w:t>款</w:t>
      </w:r>
      <w:r>
        <w:rPr>
          <w:rFonts w:hint="eastAsia" w:ascii="仿宋_GB2312" w:eastAsia="仿宋_GB2312" w:cs="仿宋_GB2312"/>
          <w:bCs/>
          <w:sz w:val="32"/>
          <w:szCs w:val="32"/>
        </w:rPr>
        <w:t>）住房公积金（</w:t>
      </w:r>
      <w:r>
        <w:rPr>
          <w:rFonts w:hint="eastAsia" w:ascii="仿宋_GB2312" w:eastAsia="仿宋_GB2312" w:cs="仿宋_GB2312"/>
          <w:bCs/>
          <w:sz w:val="32"/>
          <w:szCs w:val="32"/>
          <w:lang w:eastAsia="zh-CN"/>
        </w:rPr>
        <w:t>项</w:t>
      </w:r>
      <w:r>
        <w:rPr>
          <w:rFonts w:hint="eastAsia" w:ascii="仿宋_GB2312" w:eastAsia="仿宋_GB2312" w:cs="仿宋_GB2312"/>
          <w:bCs/>
          <w:sz w:val="32"/>
          <w:szCs w:val="32"/>
        </w:rPr>
        <w:t>）：支出决算为</w:t>
      </w:r>
      <w:r>
        <w:rPr>
          <w:rFonts w:hint="eastAsia" w:ascii="仿宋_GB2312" w:eastAsia="仿宋_GB2312" w:cs="仿宋_GB2312"/>
          <w:bCs/>
          <w:sz w:val="32"/>
          <w:szCs w:val="32"/>
          <w:lang w:val="en-US" w:eastAsia="zh-CN"/>
        </w:rPr>
        <w:t>141.54</w:t>
      </w:r>
      <w:r>
        <w:rPr>
          <w:rFonts w:hint="eastAsia" w:ascii="仿宋_GB2312" w:eastAsia="仿宋_GB2312" w:cs="仿宋_GB2312"/>
          <w:bCs/>
          <w:sz w:val="32"/>
          <w:szCs w:val="32"/>
        </w:rPr>
        <w:t>万元，完成预算</w:t>
      </w:r>
      <w:r>
        <w:rPr>
          <w:rFonts w:ascii="仿宋_GB2312" w:eastAsia="仿宋_GB2312" w:cs="仿宋_GB2312"/>
          <w:bCs/>
          <w:sz w:val="32"/>
          <w:szCs w:val="32"/>
        </w:rPr>
        <w:t>100%</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eastAsia" w:ascii="仿宋_GB2312" w:eastAsia="仿宋_GB2312" w:cs="仿宋_GB2312"/>
          <w:bCs/>
          <w:sz w:val="32"/>
          <w:szCs w:val="32"/>
        </w:rPr>
        <w:t>。</w:t>
      </w:r>
    </w:p>
    <w:p w14:paraId="67EE3551">
      <w:pPr>
        <w:keepNext w:val="0"/>
        <w:keepLines w:val="0"/>
        <w:pageBreakBefore w:val="0"/>
        <w:widowControl w:val="0"/>
        <w:suppressLineNumbers w:val="0"/>
        <w:kinsoku/>
        <w:wordWrap/>
        <w:overflowPunct/>
        <w:topLinePunct w:val="0"/>
        <w:autoSpaceDE/>
        <w:autoSpaceDN/>
        <w:bidi w:val="0"/>
        <w:adjustRightInd/>
        <w:snapToGrid/>
        <w:spacing w:line="576" w:lineRule="exact"/>
        <w:ind w:left="0" w:firstLine="640" w:firstLineChars="200"/>
        <w:jc w:val="both"/>
        <w:textAlignment w:val="auto"/>
        <w:rPr>
          <w:rFonts w:hint="eastAsia"/>
        </w:rPr>
      </w:pPr>
      <w:r>
        <w:rPr>
          <w:rFonts w:hint="eastAsia" w:ascii="仿宋_GB2312" w:eastAsia="仿宋_GB2312" w:cs="仿宋_GB2312"/>
          <w:bCs/>
          <w:kern w:val="0"/>
          <w:sz w:val="32"/>
          <w:szCs w:val="32"/>
          <w:lang w:val="en-US" w:eastAsia="zh-CN"/>
        </w:rPr>
        <w:t>18</w:t>
      </w:r>
      <w:r>
        <w:rPr>
          <w:rFonts w:ascii="仿宋_GB2312" w:eastAsia="仿宋_GB2312" w:cs="仿宋_GB2312"/>
          <w:bCs/>
          <w:kern w:val="0"/>
          <w:sz w:val="32"/>
          <w:szCs w:val="32"/>
        </w:rPr>
        <w:t>.</w:t>
      </w:r>
      <w:r>
        <w:rPr>
          <w:rFonts w:hint="eastAsia" w:ascii="仿宋_GB2312" w:eastAsia="仿宋_GB2312" w:cs="仿宋_GB2312"/>
          <w:bCs/>
          <w:sz w:val="32"/>
          <w:szCs w:val="32"/>
        </w:rPr>
        <w:t>住房保障支出（</w:t>
      </w:r>
      <w:r>
        <w:rPr>
          <w:rFonts w:hint="eastAsia" w:ascii="仿宋_GB2312" w:eastAsia="仿宋_GB2312" w:cs="仿宋_GB2312"/>
          <w:bCs/>
          <w:color w:val="000000"/>
          <w:sz w:val="32"/>
          <w:szCs w:val="32"/>
          <w:lang w:eastAsia="zh-CN"/>
        </w:rPr>
        <w:t>类</w:t>
      </w:r>
      <w:r>
        <w:rPr>
          <w:rFonts w:hint="eastAsia" w:ascii="仿宋_GB2312" w:eastAsia="仿宋_GB2312" w:cs="仿宋_GB2312"/>
          <w:bCs/>
          <w:sz w:val="32"/>
          <w:szCs w:val="32"/>
        </w:rPr>
        <w:t>）住房改革支出（</w:t>
      </w:r>
      <w:r>
        <w:rPr>
          <w:rFonts w:hint="eastAsia" w:ascii="仿宋_GB2312" w:eastAsia="仿宋_GB2312" w:cs="仿宋_GB2312"/>
          <w:bCs/>
          <w:color w:val="000000"/>
          <w:sz w:val="32"/>
          <w:szCs w:val="32"/>
          <w:lang w:val="en-US" w:eastAsia="zh-CN"/>
        </w:rPr>
        <w:t>款</w:t>
      </w:r>
      <w:r>
        <w:rPr>
          <w:rFonts w:hint="eastAsia" w:ascii="仿宋_GB2312" w:eastAsia="仿宋_GB2312" w:cs="仿宋_GB2312"/>
          <w:bCs/>
          <w:sz w:val="32"/>
          <w:szCs w:val="32"/>
        </w:rPr>
        <w:t>）</w:t>
      </w:r>
      <w:r>
        <w:rPr>
          <w:rFonts w:hint="eastAsia" w:ascii="仿宋_GB2312" w:eastAsia="仿宋_GB2312" w:cs="仿宋_GB2312"/>
          <w:bCs/>
          <w:sz w:val="32"/>
          <w:szCs w:val="32"/>
          <w:lang w:val="en-US" w:eastAsia="zh-CN"/>
        </w:rPr>
        <w:t>购房补贴</w:t>
      </w:r>
      <w:r>
        <w:rPr>
          <w:rFonts w:hint="eastAsia" w:ascii="仿宋_GB2312" w:eastAsia="仿宋_GB2312" w:cs="仿宋_GB2312"/>
          <w:bCs/>
          <w:sz w:val="32"/>
          <w:szCs w:val="32"/>
        </w:rPr>
        <w:t>（</w:t>
      </w:r>
      <w:r>
        <w:rPr>
          <w:rFonts w:hint="eastAsia" w:ascii="仿宋_GB2312" w:eastAsia="仿宋_GB2312" w:cs="仿宋_GB2312"/>
          <w:bCs/>
          <w:sz w:val="32"/>
          <w:szCs w:val="32"/>
          <w:lang w:eastAsia="zh-CN"/>
        </w:rPr>
        <w:t>项</w:t>
      </w:r>
      <w:r>
        <w:rPr>
          <w:rFonts w:hint="eastAsia" w:ascii="仿宋_GB2312" w:eastAsia="仿宋_GB2312" w:cs="仿宋_GB2312"/>
          <w:bCs/>
          <w:sz w:val="32"/>
          <w:szCs w:val="32"/>
        </w:rPr>
        <w:t>）</w:t>
      </w:r>
      <w:r>
        <w:rPr>
          <w:rFonts w:ascii="仿宋_GB2312" w:eastAsia="仿宋_GB2312" w:cs="仿宋_GB2312"/>
          <w:bCs/>
          <w:kern w:val="0"/>
          <w:sz w:val="32"/>
          <w:szCs w:val="32"/>
        </w:rPr>
        <w:t>：支出决算为</w:t>
      </w:r>
      <w:r>
        <w:rPr>
          <w:rFonts w:hint="eastAsia" w:ascii="仿宋_GB2312" w:eastAsia="仿宋_GB2312" w:cs="仿宋_GB2312"/>
          <w:bCs/>
          <w:kern w:val="0"/>
          <w:sz w:val="32"/>
          <w:szCs w:val="32"/>
          <w:lang w:val="en-US" w:eastAsia="zh-CN"/>
        </w:rPr>
        <w:t>3.4</w:t>
      </w:r>
      <w:r>
        <w:rPr>
          <w:rFonts w:ascii="仿宋_GB2312" w:eastAsia="仿宋_GB2312" w:cs="仿宋_GB2312"/>
          <w:bCs/>
          <w:kern w:val="0"/>
          <w:sz w:val="32"/>
          <w:szCs w:val="32"/>
        </w:rPr>
        <w:t>万元，完成预算100%</w:t>
      </w:r>
      <w:r>
        <w:rPr>
          <w:rFonts w:hint="eastAsia" w:ascii="仿宋_GB2312" w:eastAsia="仿宋_GB2312" w:cs="仿宋_GB2312"/>
          <w:color w:val="000000"/>
          <w:sz w:val="32"/>
          <w:szCs w:val="32"/>
          <w:lang w:eastAsia="zh-CN"/>
        </w:rPr>
        <w:t>，</w:t>
      </w:r>
      <w:r>
        <w:rPr>
          <w:rFonts w:hint="eastAsia" w:ascii="仿宋_GB2312" w:eastAsia="仿宋_GB2312" w:cs="仿宋_GB2312"/>
          <w:bCs/>
          <w:sz w:val="32"/>
          <w:szCs w:val="32"/>
          <w:lang w:val="en-US" w:eastAsia="zh-CN"/>
        </w:rPr>
        <w:t>决算数与预算数持平</w:t>
      </w:r>
      <w:r>
        <w:rPr>
          <w:rFonts w:hint="eastAsia" w:ascii="仿宋_GB2312" w:eastAsia="仿宋_GB2312" w:cs="仿宋_GB2312"/>
          <w:bCs/>
          <w:kern w:val="0"/>
          <w:sz w:val="32"/>
          <w:szCs w:val="32"/>
          <w:lang w:eastAsia="zh-CN"/>
        </w:rPr>
        <w:t>。</w:t>
      </w:r>
    </w:p>
    <w:p w14:paraId="02413AD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仿宋_GB2312" w:eastAsia="仿宋_GB2312" w:cs="仿宋_GB2312"/>
          <w:bCs/>
          <w:kern w:val="2"/>
          <w:sz w:val="32"/>
          <w:szCs w:val="32"/>
          <w:lang w:val="en-US" w:eastAsia="zh-CN" w:bidi="ar-SA"/>
        </w:rPr>
      </w:pPr>
      <w:bookmarkStart w:id="75" w:name="_Toc24946"/>
      <w:bookmarkStart w:id="76" w:name="_Toc1310545216"/>
      <w:r>
        <w:rPr>
          <w:rFonts w:hint="eastAsia" w:ascii="黑体" w:hAnsi="Calibri" w:eastAsia="黑体" w:cs="Times New Roman"/>
          <w:color w:val="000000"/>
          <w:kern w:val="2"/>
          <w:sz w:val="32"/>
          <w:szCs w:val="32"/>
          <w:lang w:val="en-US" w:eastAsia="zh-CN" w:bidi="ar-SA"/>
        </w:rPr>
        <w:t>六、一般公共预算财政拨款基本支出决算情况说明  </w:t>
      </w:r>
      <w:r>
        <w:rPr>
          <w:rFonts w:hint="eastAsia" w:ascii="仿宋_GB2312" w:eastAsia="仿宋_GB2312" w:cs="仿宋_GB2312"/>
          <w:bCs/>
          <w:kern w:val="2"/>
          <w:sz w:val="32"/>
          <w:szCs w:val="32"/>
          <w:lang w:val="en-US" w:eastAsia="zh-CN" w:bidi="ar-SA"/>
        </w:rPr>
        <w:t> </w:t>
      </w:r>
      <w:bookmarkEnd w:id="75"/>
      <w:bookmarkEnd w:id="76"/>
    </w:p>
    <w:p w14:paraId="621C555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bCs/>
          <w:sz w:val="32"/>
          <w:szCs w:val="32"/>
          <w:lang w:val="en-US" w:eastAsia="zh-CN"/>
        </w:rPr>
      </w:pPr>
      <w:r>
        <w:rPr>
          <w:rFonts w:hint="eastAsia" w:ascii="仿宋_GB2312" w:eastAsia="仿宋_GB2312" w:cs="仿宋_GB2312"/>
          <w:bCs/>
          <w:kern w:val="2"/>
          <w:sz w:val="32"/>
          <w:szCs w:val="32"/>
          <w:lang w:val="en-US" w:eastAsia="zh-CN" w:bidi="ar-SA"/>
        </w:rPr>
        <w:t>2025年度一</w:t>
      </w:r>
      <w:r>
        <w:rPr>
          <w:rFonts w:hint="eastAsia" w:ascii="仿宋_GB2312" w:eastAsia="仿宋_GB2312" w:cs="仿宋_GB2312"/>
          <w:bCs/>
          <w:sz w:val="32"/>
          <w:szCs w:val="32"/>
          <w:lang w:val="en-US" w:eastAsia="zh-CN"/>
        </w:rPr>
        <w:t>般公共预算财政拨款基本支出2111.74万元，其中：</w:t>
      </w:r>
    </w:p>
    <w:p w14:paraId="34046BA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bCs/>
          <w:sz w:val="32"/>
          <w:szCs w:val="32"/>
          <w:lang w:val="en-US" w:eastAsia="zh-CN"/>
        </w:rPr>
      </w:pPr>
      <w:r>
        <w:rPr>
          <w:rFonts w:hint="eastAsia" w:ascii="仿宋_GB2312" w:eastAsia="仿宋_GB2312" w:cs="仿宋_GB2312"/>
          <w:bCs/>
          <w:sz w:val="32"/>
          <w:szCs w:val="32"/>
          <w:lang w:val="en-US" w:eastAsia="zh-CN"/>
        </w:rPr>
        <w:t>人员经费2007.91万元，主要包括：基本工资、津贴补贴、奖金、伙食补助费、绩效工资、机关事业单位基本养老保险缴费、职业年金缴费、其他社会保障缴费、其他工资福利支出、退休费、抚恤金、生活补助、医疗费补助、奖励金、住房公积金、其他对个人和家庭的补助支出等。</w:t>
      </w:r>
    </w:p>
    <w:p w14:paraId="058BD64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bCs/>
          <w:sz w:val="32"/>
          <w:szCs w:val="32"/>
          <w:lang w:val="en-US" w:eastAsia="zh-CN"/>
        </w:rPr>
      </w:pPr>
      <w:r>
        <w:rPr>
          <w:rFonts w:hint="eastAsia" w:ascii="仿宋_GB2312" w:eastAsia="仿宋_GB2312" w:cs="仿宋_GB2312"/>
          <w:bCs/>
          <w:sz w:val="32"/>
          <w:szCs w:val="32"/>
          <w:lang w:val="en-US" w:eastAsia="zh-CN"/>
        </w:rPr>
        <w:t>公用经费103.83万元，主要包括：办公费、印刷费、咨询费、手续费、水费、电费、邮电费、物业管理费、差旅费、维修（护）费、租赁费、会议费、培训费、公务接待费、劳务费、委托业务费、工会经费、福利费、残保金、公务用车运行维护费、其他交通费、税金及附加费用、其他商品和服务支出、办公设备购置、专用设备购置、信息网络及软件购置更新、其他资本性支出等。</w:t>
      </w:r>
    </w:p>
    <w:p w14:paraId="79A8496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黑体" w:hAnsi="Calibri" w:eastAsia="黑体" w:cs="Times New Roman"/>
          <w:color w:val="000000"/>
          <w:kern w:val="2"/>
          <w:sz w:val="32"/>
          <w:szCs w:val="32"/>
          <w:lang w:val="en-US" w:eastAsia="zh-CN" w:bidi="ar-SA"/>
        </w:rPr>
      </w:pPr>
      <w:bookmarkStart w:id="77" w:name="_Toc29783"/>
      <w:bookmarkStart w:id="78" w:name="_Toc28247"/>
      <w:bookmarkStart w:id="79" w:name="_Toc1176097061"/>
      <w:r>
        <w:rPr>
          <w:rFonts w:hint="eastAsia" w:ascii="黑体" w:hAnsi="Calibri" w:eastAsia="黑体" w:cs="Times New Roman"/>
          <w:color w:val="000000"/>
          <w:kern w:val="2"/>
          <w:sz w:val="32"/>
          <w:szCs w:val="32"/>
          <w:lang w:val="en-US" w:eastAsia="zh-CN" w:bidi="ar-SA"/>
        </w:rPr>
        <w:t>七、</w:t>
      </w:r>
      <w:bookmarkEnd w:id="77"/>
      <w:bookmarkEnd w:id="78"/>
      <w:r>
        <w:rPr>
          <w:rFonts w:hint="eastAsia" w:ascii="黑体" w:hAnsi="Calibri" w:eastAsia="黑体" w:cs="Times New Roman"/>
          <w:color w:val="000000"/>
          <w:kern w:val="2"/>
          <w:sz w:val="32"/>
          <w:szCs w:val="32"/>
          <w:lang w:val="en-US" w:eastAsia="zh-CN" w:bidi="ar-SA"/>
        </w:rPr>
        <w:t>财政拨款“三公”经费支出决算情况说明</w:t>
      </w:r>
      <w:bookmarkEnd w:id="79"/>
    </w:p>
    <w:p w14:paraId="770208A7">
      <w:pPr>
        <w:spacing w:line="600" w:lineRule="exact"/>
        <w:ind w:firstLine="643" w:firstLineChars="200"/>
        <w:outlineLvl w:val="2"/>
        <w:rPr>
          <w:rFonts w:hint="eastAsia" w:ascii="Times New Roman" w:hAnsi="Times New Roman" w:eastAsia="楷体_GB2312" w:cs="楷体_GB2312"/>
          <w:b/>
          <w:color w:val="auto"/>
          <w:sz w:val="32"/>
          <w:szCs w:val="32"/>
          <w:highlight w:val="none"/>
          <w:lang w:val="en-US" w:eastAsia="zh-CN"/>
        </w:rPr>
      </w:pPr>
      <w:bookmarkStart w:id="80" w:name="_Toc15377216"/>
      <w:r>
        <w:rPr>
          <w:rFonts w:hint="eastAsia" w:ascii="Times New Roman" w:hAnsi="Times New Roman" w:eastAsia="楷体_GB2312" w:cs="楷体_GB2312"/>
          <w:b/>
          <w:color w:val="auto"/>
          <w:sz w:val="32"/>
          <w:szCs w:val="32"/>
          <w:highlight w:val="none"/>
          <w:lang w:val="en-US" w:eastAsia="zh-CN"/>
        </w:rPr>
        <w:t>（一）财政拨款“三公”经费支出决算总体情况说明</w:t>
      </w:r>
      <w:bookmarkEnd w:id="80"/>
    </w:p>
    <w:p w14:paraId="2F938FF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s="仿宋_GB2312"/>
          <w:bCs/>
          <w:sz w:val="32"/>
          <w:szCs w:val="32"/>
          <w:highlight w:val="none"/>
          <w:lang w:val="en-US" w:eastAsia="zh-CN"/>
        </w:rPr>
      </w:pPr>
      <w:r>
        <w:rPr>
          <w:rFonts w:hint="eastAsia" w:ascii="仿宋_GB2312" w:eastAsia="仿宋_GB2312" w:cs="仿宋_GB2312"/>
          <w:bCs/>
          <w:sz w:val="32"/>
          <w:szCs w:val="32"/>
          <w:highlight w:val="none"/>
          <w:lang w:val="en-US" w:eastAsia="zh-CN"/>
        </w:rPr>
        <w:t>2025年度财政拨款“三公”经费支出决算为4.64万元，完成预算100%，与2024年度相比减少0.73万元，下降13.59%。主要原因是：</w:t>
      </w:r>
      <w:r>
        <w:rPr>
          <w:rFonts w:hint="eastAsia" w:ascii="仿宋_GB2312" w:eastAsia="仿宋_GB2312" w:cs="仿宋_GB2312"/>
          <w:bCs/>
          <w:kern w:val="2"/>
          <w:sz w:val="32"/>
          <w:szCs w:val="32"/>
          <w:highlight w:val="none"/>
          <w:lang w:val="en-US" w:eastAsia="zh-CN" w:bidi="ar-SA"/>
        </w:rPr>
        <w:t>单位机构改革、人员变动，接待人数、次数减少，相应经费</w:t>
      </w:r>
      <w:r>
        <w:rPr>
          <w:rFonts w:hint="eastAsia" w:ascii="仿宋_GB2312" w:eastAsia="仿宋_GB2312" w:cs="仿宋_GB2312"/>
          <w:bCs/>
          <w:sz w:val="32"/>
          <w:szCs w:val="32"/>
          <w:highlight w:val="none"/>
          <w:lang w:val="en-US" w:eastAsia="zh-CN"/>
        </w:rPr>
        <w:t>支出</w:t>
      </w:r>
      <w:r>
        <w:rPr>
          <w:rFonts w:hint="eastAsia" w:ascii="仿宋_GB2312" w:eastAsia="仿宋_GB2312" w:cs="仿宋_GB2312"/>
          <w:bCs/>
          <w:kern w:val="2"/>
          <w:sz w:val="32"/>
          <w:szCs w:val="32"/>
          <w:highlight w:val="none"/>
          <w:lang w:val="en-US" w:eastAsia="zh-CN" w:bidi="ar-SA"/>
        </w:rPr>
        <w:t>减少。</w:t>
      </w:r>
    </w:p>
    <w:p w14:paraId="3C970E6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81"/>
    </w:p>
    <w:p w14:paraId="604CDD9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bCs/>
          <w:sz w:val="32"/>
          <w:szCs w:val="32"/>
          <w:lang w:val="en-US" w:eastAsia="zh-CN"/>
        </w:rPr>
      </w:pPr>
      <w:r>
        <w:rPr>
          <w:rFonts w:hint="eastAsia" w:ascii="仿宋_GB2312" w:eastAsia="仿宋_GB2312" w:cs="仿宋_GB2312"/>
          <w:bCs/>
          <w:sz w:val="32"/>
          <w:szCs w:val="32"/>
          <w:highlight w:val="none"/>
          <w:lang w:val="en-US" w:eastAsia="zh-CN"/>
        </w:rPr>
        <w:t>2025年度财政拨款“三公”经费支出决算中，因公出国（境）费支出决算0万元，占0%；公务用车购置及运行维护</w:t>
      </w:r>
      <w:r>
        <w:rPr>
          <w:rFonts w:ascii="仿宋_GB2312" w:eastAsia="仿宋_GB2312" w:cs="仿宋_GB2312"/>
          <w:bCs/>
          <w:kern w:val="0"/>
          <w:sz w:val="32"/>
          <w:szCs w:val="32"/>
          <w:lang w:val="en-US" w:eastAsia="zh-CN"/>
        </w:rPr>
        <w:t>费支出决算</w:t>
      </w:r>
      <w:r>
        <w:rPr>
          <w:rFonts w:hint="eastAsia" w:ascii="仿宋_GB2312" w:eastAsia="仿宋_GB2312" w:cs="仿宋_GB2312"/>
          <w:bCs/>
          <w:kern w:val="0"/>
          <w:sz w:val="32"/>
          <w:szCs w:val="32"/>
          <w:lang w:val="en-US" w:eastAsia="zh-CN"/>
        </w:rPr>
        <w:t>4</w:t>
      </w:r>
      <w:r>
        <w:rPr>
          <w:rFonts w:ascii="仿宋_GB2312" w:eastAsia="仿宋_GB2312" w:cs="仿宋_GB2312"/>
          <w:bCs/>
          <w:kern w:val="0"/>
          <w:sz w:val="32"/>
          <w:szCs w:val="32"/>
          <w:lang w:val="en-US" w:eastAsia="zh-CN"/>
        </w:rPr>
        <w:t>万元，占</w:t>
      </w:r>
      <w:r>
        <w:rPr>
          <w:rFonts w:hint="eastAsia" w:ascii="仿宋_GB2312" w:eastAsia="仿宋_GB2312" w:cs="仿宋_GB2312"/>
          <w:bCs/>
          <w:kern w:val="0"/>
          <w:sz w:val="32"/>
          <w:szCs w:val="32"/>
          <w:lang w:val="en-US" w:eastAsia="zh-CN"/>
        </w:rPr>
        <w:t>86.21</w:t>
      </w:r>
      <w:r>
        <w:rPr>
          <w:rFonts w:ascii="仿宋_GB2312" w:eastAsia="仿宋_GB2312" w:cs="仿宋_GB2312"/>
          <w:bCs/>
          <w:kern w:val="0"/>
          <w:sz w:val="32"/>
          <w:szCs w:val="32"/>
        </w:rPr>
        <w:t>%；</w:t>
      </w:r>
      <w:r>
        <w:rPr>
          <w:rFonts w:hint="eastAsia" w:ascii="仿宋_GB2312" w:eastAsia="仿宋_GB2312" w:cs="仿宋_GB2312"/>
          <w:bCs/>
          <w:sz w:val="32"/>
          <w:szCs w:val="32"/>
          <w:lang w:val="en-US" w:eastAsia="zh-CN"/>
        </w:rPr>
        <w:t>公务接待费支出决算0.64万元，占13.79%。具体情况如下：</w:t>
      </w:r>
    </w:p>
    <w:p w14:paraId="178F66EC">
      <w:pPr>
        <w:pStyle w:val="3"/>
        <w:ind w:left="0" w:leftChars="0" w:firstLine="0" w:firstLineChars="0"/>
      </w:pPr>
      <w:r>
        <w:rPr>
          <w:rFonts w:hint="eastAsia"/>
          <w:lang w:val="en-US" w:eastAsia="zh-CN"/>
        </w:rPr>
        <w:t xml:space="preserve">    </w:t>
      </w:r>
      <w:r>
        <w:drawing>
          <wp:inline distT="0" distB="0" distL="114300" distR="114300">
            <wp:extent cx="4762500" cy="2388235"/>
            <wp:effectExtent l="4445" t="4445" r="14605" b="7620"/>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0BEC8B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bCs/>
          <w:kern w:val="2"/>
          <w:sz w:val="32"/>
          <w:szCs w:val="32"/>
          <w:lang w:val="en-US" w:eastAsia="zh-CN" w:bidi="ar-SA"/>
        </w:rPr>
      </w:pPr>
      <w:r>
        <w:rPr>
          <w:rFonts w:hint="eastAsia" w:ascii="仿宋_GB2312" w:eastAsia="仿宋_GB2312" w:cs="仿宋_GB2312"/>
          <w:bCs/>
          <w:kern w:val="2"/>
          <w:sz w:val="32"/>
          <w:szCs w:val="32"/>
          <w:lang w:val="en-US" w:eastAsia="zh-CN" w:bidi="ar-SA"/>
        </w:rPr>
        <w:t>1.因公出国（境）经费支出0万元，</w:t>
      </w:r>
      <w:r>
        <w:rPr>
          <w:rFonts w:hint="eastAsia" w:ascii="仿宋_GB2312" w:hAnsi="宋体" w:eastAsia="仿宋_GB2312" w:cs="仿宋_GB2312"/>
          <w:bCs/>
          <w:kern w:val="0"/>
          <w:sz w:val="32"/>
          <w:szCs w:val="32"/>
          <w:lang w:val="en-US" w:eastAsia="zh-CN" w:bidi="ar"/>
        </w:rPr>
        <w:t>完成预算0</w:t>
      </w:r>
      <w:r>
        <w:rPr>
          <w:rFonts w:hint="default" w:ascii="仿宋_GB2312" w:hAnsi="宋体" w:eastAsia="仿宋_GB2312" w:cs="仿宋_GB2312"/>
          <w:bCs/>
          <w:kern w:val="0"/>
          <w:sz w:val="32"/>
          <w:szCs w:val="32"/>
          <w:lang w:val="en-US" w:eastAsia="zh-CN" w:bidi="ar"/>
        </w:rPr>
        <w:t>%</w:t>
      </w:r>
      <w:r>
        <w:rPr>
          <w:rFonts w:hint="eastAsia" w:ascii="仿宋_GB2312" w:hAnsi="宋体" w:eastAsia="仿宋_GB2312" w:cs="仿宋_GB2312"/>
          <w:bCs/>
          <w:kern w:val="0"/>
          <w:sz w:val="32"/>
          <w:szCs w:val="32"/>
          <w:lang w:val="en-US" w:eastAsia="zh-CN" w:bidi="ar"/>
        </w:rPr>
        <w:t>。全年安排因公出国（境）团组0次，出国（境）0人。</w:t>
      </w:r>
    </w:p>
    <w:p w14:paraId="6885526E">
      <w:pPr>
        <w:keepNext w:val="0"/>
        <w:keepLines w:val="0"/>
        <w:pageBreakBefore w:val="0"/>
        <w:widowControl w:val="0"/>
        <w:suppressLineNumbers w:val="0"/>
        <w:kinsoku/>
        <w:wordWrap/>
        <w:overflowPunct/>
        <w:topLinePunct w:val="0"/>
        <w:autoSpaceDE/>
        <w:autoSpaceDN/>
        <w:bidi w:val="0"/>
        <w:adjustRightInd/>
        <w:snapToGrid/>
        <w:spacing w:line="576" w:lineRule="exact"/>
        <w:ind w:left="0" w:firstLine="640" w:firstLineChars="200"/>
        <w:jc w:val="both"/>
        <w:textAlignment w:val="auto"/>
        <w:rPr>
          <w:rFonts w:hint="eastAsia" w:ascii="仿宋_GB2312" w:eastAsia="仿宋_GB2312" w:cs="Times New Roman"/>
          <w:b w:val="0"/>
          <w:bCs/>
          <w:color w:val="000000"/>
          <w:kern w:val="2"/>
          <w:sz w:val="32"/>
          <w:szCs w:val="32"/>
          <w:lang w:eastAsia="zh-CN"/>
        </w:rPr>
      </w:pPr>
      <w:r>
        <w:rPr>
          <w:rFonts w:hint="eastAsia" w:ascii="仿宋_GB2312" w:eastAsia="仿宋_GB2312" w:cs="仿宋_GB2312"/>
          <w:bCs/>
          <w:kern w:val="2"/>
          <w:sz w:val="32"/>
          <w:szCs w:val="32"/>
          <w:lang w:val="en-US" w:eastAsia="zh-CN" w:bidi="ar-SA"/>
        </w:rPr>
        <w:t>2.公务用车购置及运行维护费支出4</w:t>
      </w:r>
      <w:r>
        <w:rPr>
          <w:rFonts w:hint="eastAsia" w:ascii="仿宋_GB2312" w:eastAsia="仿宋_GB2312" w:cs="仿宋_GB2312"/>
          <w:bCs/>
          <w:kern w:val="2"/>
          <w:sz w:val="32"/>
          <w:szCs w:val="32"/>
          <w:highlight w:val="none"/>
          <w:lang w:val="en-US" w:eastAsia="zh-CN" w:bidi="ar-SA"/>
        </w:rPr>
        <w:t>万元,完</w:t>
      </w:r>
      <w:r>
        <w:rPr>
          <w:rFonts w:hint="eastAsia" w:ascii="仿宋_GB2312" w:eastAsia="仿宋_GB2312" w:cs="仿宋_GB2312"/>
          <w:bCs/>
          <w:kern w:val="2"/>
          <w:sz w:val="32"/>
          <w:szCs w:val="32"/>
          <w:lang w:val="en-US" w:eastAsia="zh-CN" w:bidi="ar-SA"/>
        </w:rPr>
        <w:t>成预算100%</w:t>
      </w:r>
      <w:r>
        <w:rPr>
          <w:rFonts w:hint="eastAsia" w:ascii="仿宋_GB2312" w:eastAsia="仿宋_GB2312" w:cs="仿宋_GB2312"/>
          <w:color w:val="000000"/>
          <w:kern w:val="0"/>
          <w:sz w:val="32"/>
          <w:szCs w:val="32"/>
          <w:lang w:eastAsia="zh-CN"/>
        </w:rPr>
        <w:t>，</w:t>
      </w:r>
      <w:r>
        <w:rPr>
          <w:rFonts w:hint="eastAsia" w:ascii="仿宋_GB2312" w:hAnsi="宋体" w:eastAsia="仿宋_GB2312" w:cs="仿宋_GB2312"/>
          <w:bCs/>
          <w:kern w:val="0"/>
          <w:sz w:val="32"/>
          <w:szCs w:val="32"/>
          <w:lang w:val="en-US" w:eastAsia="zh-CN" w:bidi="ar"/>
        </w:rPr>
        <w:t>公务用车购置及运行维护费支出决算与2024年度相比持平。</w:t>
      </w:r>
    </w:p>
    <w:p w14:paraId="69492873">
      <w:pPr>
        <w:keepNext w:val="0"/>
        <w:keepLines w:val="0"/>
        <w:pageBreakBefore w:val="0"/>
        <w:widowControl w:val="0"/>
        <w:suppressLineNumbers w:val="0"/>
        <w:kinsoku/>
        <w:wordWrap/>
        <w:overflowPunct/>
        <w:topLinePunct w:val="0"/>
        <w:autoSpaceDE/>
        <w:autoSpaceDN/>
        <w:bidi w:val="0"/>
        <w:adjustRightInd/>
        <w:snapToGrid/>
        <w:spacing w:line="576" w:lineRule="exact"/>
        <w:ind w:left="0" w:firstLine="640" w:firstLineChars="200"/>
        <w:jc w:val="both"/>
        <w:textAlignment w:val="auto"/>
        <w:rPr>
          <w:rFonts w:hint="eastAsia" w:ascii="仿宋_GB2312" w:eastAsia="仿宋_GB2312"/>
          <w:color w:val="auto"/>
          <w:sz w:val="32"/>
          <w:szCs w:val="32"/>
          <w:highlight w:val="none"/>
        </w:rPr>
      </w:pPr>
      <w:r>
        <w:rPr>
          <w:rFonts w:ascii="仿宋_GB2312" w:eastAsia="仿宋_GB2312" w:cs="仿宋_GB2312"/>
          <w:color w:val="000000"/>
          <w:kern w:val="2"/>
          <w:sz w:val="32"/>
          <w:szCs w:val="32"/>
        </w:rPr>
        <w:t>截至</w:t>
      </w:r>
      <w:r>
        <w:rPr>
          <w:rFonts w:hint="eastAsia" w:ascii="仿宋_GB2312" w:eastAsia="仿宋_GB2312" w:cs="仿宋_GB2312"/>
          <w:color w:val="000000"/>
          <w:kern w:val="2"/>
          <w:sz w:val="32"/>
          <w:szCs w:val="32"/>
          <w:lang w:eastAsia="zh-CN"/>
        </w:rPr>
        <w:t>2025</w:t>
      </w:r>
      <w:r>
        <w:rPr>
          <w:rFonts w:ascii="仿宋_GB2312" w:eastAsia="仿宋_GB2312" w:cs="仿宋_GB2312"/>
          <w:color w:val="000000"/>
          <w:kern w:val="2"/>
          <w:sz w:val="32"/>
          <w:szCs w:val="32"/>
        </w:rPr>
        <w:t>年12月</w:t>
      </w:r>
      <w:r>
        <w:rPr>
          <w:rFonts w:hint="eastAsia" w:ascii="仿宋_GB2312" w:eastAsia="仿宋_GB2312" w:cs="仿宋_GB2312"/>
          <w:color w:val="000000"/>
          <w:kern w:val="2"/>
          <w:sz w:val="32"/>
          <w:szCs w:val="32"/>
          <w:lang w:val="en-US" w:eastAsia="zh-CN"/>
        </w:rPr>
        <w:t>31日</w:t>
      </w:r>
      <w:r>
        <w:rPr>
          <w:rFonts w:ascii="仿宋_GB2312" w:eastAsia="仿宋_GB2312" w:cs="仿宋_GB2312"/>
          <w:color w:val="000000"/>
          <w:kern w:val="2"/>
          <w:sz w:val="32"/>
          <w:szCs w:val="32"/>
        </w:rPr>
        <w:t>底，单位共有公务用车1辆，</w:t>
      </w:r>
      <w:r>
        <w:rPr>
          <w:rFonts w:hint="eastAsia" w:ascii="仿宋_GB2312" w:eastAsia="仿宋_GB2312"/>
          <w:color w:val="auto"/>
          <w:sz w:val="32"/>
          <w:szCs w:val="32"/>
          <w:highlight w:val="none"/>
        </w:rPr>
        <w:t>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辆、越野车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p>
    <w:p w14:paraId="5E61E0E3">
      <w:pPr>
        <w:keepNext w:val="0"/>
        <w:keepLines w:val="0"/>
        <w:pageBreakBefore w:val="0"/>
        <w:widowControl w:val="0"/>
        <w:suppressLineNumbers w:val="0"/>
        <w:kinsoku/>
        <w:wordWrap/>
        <w:overflowPunct/>
        <w:topLinePunct w:val="0"/>
        <w:autoSpaceDE/>
        <w:autoSpaceDN/>
        <w:bidi w:val="0"/>
        <w:adjustRightInd/>
        <w:snapToGrid/>
        <w:spacing w:line="576" w:lineRule="exact"/>
        <w:ind w:left="0" w:firstLine="640" w:firstLineChars="200"/>
        <w:jc w:val="both"/>
        <w:textAlignment w:val="auto"/>
        <w:rPr>
          <w:rFonts w:hint="eastAsia" w:ascii="仿宋_GB2312" w:eastAsia="仿宋_GB2312" w:cs="仿宋_GB2312"/>
          <w:bCs/>
          <w:kern w:val="2"/>
          <w:sz w:val="32"/>
          <w:szCs w:val="32"/>
          <w:lang w:val="en-US" w:eastAsia="zh-CN" w:bidi="ar-SA"/>
        </w:rPr>
      </w:pPr>
      <w:r>
        <w:rPr>
          <w:rFonts w:hint="eastAsia" w:ascii="仿宋_GB2312" w:eastAsia="仿宋_GB2312" w:cs="仿宋_GB2312"/>
          <w:bCs/>
          <w:sz w:val="32"/>
          <w:szCs w:val="32"/>
          <w:lang w:val="en-US" w:eastAsia="zh-CN"/>
        </w:rPr>
        <w:t>公务用车运行维护费支出4万元，</w:t>
      </w:r>
      <w:r>
        <w:rPr>
          <w:rFonts w:ascii="仿宋_GB2312" w:eastAsia="仿宋_GB2312" w:cs="仿宋_GB2312"/>
          <w:color w:val="000000"/>
          <w:kern w:val="0"/>
          <w:sz w:val="32"/>
          <w:szCs w:val="32"/>
          <w:highlight w:val="none"/>
        </w:rPr>
        <w:t>主要</w:t>
      </w:r>
      <w:r>
        <w:rPr>
          <w:rFonts w:hint="eastAsia" w:ascii="仿宋_GB2312" w:eastAsia="仿宋_GB2312" w:cs="仿宋_GB2312"/>
          <w:color w:val="000000"/>
          <w:kern w:val="0"/>
          <w:sz w:val="32"/>
          <w:szCs w:val="32"/>
          <w:highlight w:val="none"/>
          <w:lang w:eastAsia="zh-CN"/>
        </w:rPr>
        <w:t>用于：</w:t>
      </w:r>
      <w:r>
        <w:rPr>
          <w:rFonts w:hint="eastAsia" w:ascii="仿宋_GB2312" w:eastAsia="仿宋_GB2312" w:cs="仿宋_GB2312"/>
          <w:bCs/>
          <w:kern w:val="2"/>
          <w:sz w:val="32"/>
          <w:szCs w:val="32"/>
          <w:highlight w:val="none"/>
          <w:lang w:val="en-US" w:eastAsia="zh-CN" w:bidi="ar-SA"/>
        </w:rPr>
        <w:t>执行公务、开展农业农村相关业务工作</w:t>
      </w:r>
      <w:r>
        <w:rPr>
          <w:rFonts w:ascii="仿宋_GB2312" w:eastAsia="仿宋_GB2312" w:cs="仿宋_GB2312"/>
          <w:color w:val="000000"/>
          <w:kern w:val="0"/>
          <w:sz w:val="32"/>
          <w:szCs w:val="32"/>
          <w:highlight w:val="none"/>
        </w:rPr>
        <w:t>时</w:t>
      </w:r>
      <w:r>
        <w:rPr>
          <w:rFonts w:hint="eastAsia" w:ascii="仿宋_GB2312" w:eastAsia="仿宋_GB2312" w:cs="仿宋_GB2312"/>
          <w:color w:val="000000"/>
          <w:kern w:val="0"/>
          <w:sz w:val="32"/>
          <w:szCs w:val="32"/>
          <w:highlight w:val="none"/>
          <w:lang w:val="en-US" w:eastAsia="zh-CN"/>
        </w:rPr>
        <w:t>所</w:t>
      </w:r>
      <w:r>
        <w:rPr>
          <w:rFonts w:ascii="仿宋_GB2312" w:eastAsia="仿宋_GB2312" w:cs="仿宋_GB2312"/>
          <w:color w:val="000000"/>
          <w:kern w:val="0"/>
          <w:sz w:val="32"/>
          <w:szCs w:val="32"/>
          <w:highlight w:val="none"/>
        </w:rPr>
        <w:t>产生的公务用车燃料费、维修费、过路过桥费、保险费等</w:t>
      </w:r>
      <w:r>
        <w:rPr>
          <w:rFonts w:hint="eastAsia" w:ascii="仿宋_GB2312" w:eastAsia="仿宋_GB2312" w:cs="仿宋_GB2312"/>
          <w:bCs/>
          <w:sz w:val="32"/>
          <w:szCs w:val="32"/>
          <w:highlight w:val="none"/>
          <w:lang w:val="en-US" w:eastAsia="zh-CN"/>
        </w:rPr>
        <w:t>。</w:t>
      </w:r>
    </w:p>
    <w:p w14:paraId="3A95C6DE">
      <w:pPr>
        <w:pStyle w:val="1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76" w:lineRule="exact"/>
        <w:ind w:right="0" w:rightChars="0" w:firstLine="640" w:firstLineChars="200"/>
        <w:jc w:val="left"/>
        <w:textAlignment w:val="auto"/>
        <w:rPr>
          <w:rFonts w:hint="eastAsia" w:ascii="仿宋_GB2312" w:eastAsia="仿宋_GB2312" w:cs="仿宋_GB2312"/>
          <w:bCs/>
          <w:kern w:val="2"/>
          <w:sz w:val="32"/>
          <w:szCs w:val="32"/>
          <w:lang w:val="en-US" w:eastAsia="zh-CN" w:bidi="ar-SA"/>
        </w:rPr>
      </w:pPr>
      <w:r>
        <w:rPr>
          <w:rFonts w:hint="eastAsia" w:ascii="仿宋_GB2312" w:eastAsia="仿宋_GB2312" w:cs="仿宋_GB2312"/>
          <w:bCs/>
          <w:kern w:val="2"/>
          <w:sz w:val="32"/>
          <w:szCs w:val="32"/>
          <w:highlight w:val="none"/>
          <w:lang w:val="en-US" w:eastAsia="zh-CN" w:bidi="ar-SA"/>
        </w:rPr>
        <w:t>3.公务接待费支出0.64万元，完成预算100%。</w:t>
      </w:r>
      <w:r>
        <w:rPr>
          <w:rFonts w:hint="eastAsia" w:ascii="仿宋_GB2312" w:hAnsi="宋体" w:eastAsia="仿宋_GB2312" w:cs="仿宋_GB2312"/>
          <w:bCs/>
          <w:kern w:val="0"/>
          <w:sz w:val="32"/>
          <w:szCs w:val="32"/>
          <w:lang w:val="en-US" w:eastAsia="zh-CN" w:bidi="ar"/>
        </w:rPr>
        <w:t>公务接待费支出决算与2024年度相比</w:t>
      </w:r>
      <w:r>
        <w:rPr>
          <w:rFonts w:hint="eastAsia" w:ascii="仿宋_GB2312" w:eastAsia="仿宋_GB2312" w:cs="仿宋_GB2312"/>
          <w:bCs/>
          <w:sz w:val="32"/>
          <w:szCs w:val="32"/>
          <w:highlight w:val="none"/>
          <w:lang w:val="en-US" w:eastAsia="zh-CN"/>
        </w:rPr>
        <w:t>减少0.73万元，下降53.28%。主要原因是：</w:t>
      </w:r>
      <w:r>
        <w:rPr>
          <w:rFonts w:hint="eastAsia" w:ascii="仿宋_GB2312" w:eastAsia="仿宋_GB2312" w:cs="仿宋_GB2312"/>
          <w:bCs/>
          <w:kern w:val="2"/>
          <w:sz w:val="32"/>
          <w:szCs w:val="32"/>
          <w:highlight w:val="none"/>
          <w:lang w:val="en-US" w:eastAsia="zh-CN" w:bidi="ar-SA"/>
        </w:rPr>
        <w:t>单位机构改革、人员变动，接待人数、次数减少，相应经费</w:t>
      </w:r>
      <w:r>
        <w:rPr>
          <w:rFonts w:hint="eastAsia" w:ascii="仿宋_GB2312" w:eastAsia="仿宋_GB2312" w:cs="仿宋_GB2312"/>
          <w:bCs/>
          <w:sz w:val="32"/>
          <w:szCs w:val="32"/>
          <w:lang w:val="en-US" w:eastAsia="zh-CN"/>
        </w:rPr>
        <w:t>支出</w:t>
      </w:r>
      <w:r>
        <w:rPr>
          <w:rFonts w:hint="eastAsia" w:ascii="仿宋_GB2312" w:eastAsia="仿宋_GB2312" w:cs="仿宋_GB2312"/>
          <w:bCs/>
          <w:kern w:val="2"/>
          <w:sz w:val="32"/>
          <w:szCs w:val="32"/>
          <w:highlight w:val="none"/>
          <w:lang w:val="en-US" w:eastAsia="zh-CN" w:bidi="ar-SA"/>
        </w:rPr>
        <w:t>减少。</w:t>
      </w:r>
      <w:r>
        <w:rPr>
          <w:rFonts w:hint="eastAsia" w:ascii="仿宋_GB2312" w:eastAsia="仿宋_GB2312" w:cs="仿宋_GB2312"/>
          <w:bCs/>
          <w:kern w:val="2"/>
          <w:sz w:val="32"/>
          <w:szCs w:val="32"/>
          <w:lang w:val="en-US" w:eastAsia="zh-CN" w:bidi="ar-SA"/>
        </w:rPr>
        <w:t>其中：</w:t>
      </w:r>
    </w:p>
    <w:p w14:paraId="1CEF9BCF">
      <w:pPr>
        <w:pStyle w:val="1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76" w:lineRule="exact"/>
        <w:ind w:right="0" w:rightChars="0" w:firstLine="640" w:firstLineChars="200"/>
        <w:jc w:val="left"/>
        <w:textAlignment w:val="auto"/>
        <w:rPr>
          <w:rFonts w:hint="eastAsia" w:ascii="仿宋_GB2312" w:eastAsia="仿宋_GB2312" w:cs="仿宋_GB2312"/>
          <w:bCs/>
          <w:kern w:val="2"/>
          <w:sz w:val="32"/>
          <w:szCs w:val="32"/>
          <w:lang w:val="en-US" w:eastAsia="zh-CN" w:bidi="ar-SA"/>
        </w:rPr>
      </w:pPr>
      <w:r>
        <w:rPr>
          <w:rFonts w:hint="eastAsia" w:ascii="仿宋_GB2312" w:eastAsia="仿宋_GB2312" w:cs="仿宋_GB2312"/>
          <w:bCs/>
          <w:kern w:val="2"/>
          <w:sz w:val="32"/>
          <w:szCs w:val="32"/>
          <w:lang w:val="en-US" w:eastAsia="zh-CN" w:bidi="ar-SA"/>
        </w:rPr>
        <w:t>国内公务接待支出0.64万元，主要用于执行公务、开展农业农村相关业务工作开支的用餐费。国内公务接待15批次，77人次（不包括陪同人员），共计支出0.64万元，</w:t>
      </w:r>
      <w:r>
        <w:rPr>
          <w:rFonts w:hint="default" w:ascii="仿宋_GB2312" w:hAnsi="宋体" w:eastAsia="仿宋_GB2312" w:cs="仿宋_GB2312"/>
          <w:bCs/>
          <w:kern w:val="0"/>
          <w:sz w:val="32"/>
          <w:szCs w:val="32"/>
          <w:highlight w:val="none"/>
          <w:lang w:val="en-US" w:eastAsia="zh-CN" w:bidi="ar"/>
        </w:rPr>
        <w:t>具体内容包括：</w:t>
      </w:r>
      <w:r>
        <w:rPr>
          <w:rFonts w:hint="eastAsia" w:ascii="仿宋_GB2312" w:hAnsi="宋体" w:eastAsia="仿宋_GB2312" w:cs="仿宋_GB2312"/>
          <w:bCs/>
          <w:kern w:val="0"/>
          <w:sz w:val="32"/>
          <w:szCs w:val="32"/>
          <w:highlight w:val="none"/>
          <w:lang w:val="en-US" w:eastAsia="zh-CN" w:bidi="ar"/>
        </w:rPr>
        <w:t>开展玉米大豆引进试验、农村闲置宅基地调研、羌脆李调研、开展特色水果管理学习、两委换届省级回头看等工作</w:t>
      </w:r>
      <w:r>
        <w:rPr>
          <w:rFonts w:hint="eastAsia" w:ascii="仿宋_GB2312" w:eastAsia="仿宋_GB2312" w:cs="仿宋_GB2312"/>
          <w:bCs/>
          <w:kern w:val="2"/>
          <w:sz w:val="32"/>
          <w:szCs w:val="32"/>
          <w:lang w:val="en-US" w:eastAsia="zh-CN" w:bidi="ar-SA"/>
        </w:rPr>
        <w:t>。</w:t>
      </w:r>
    </w:p>
    <w:p w14:paraId="2A53324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bCs/>
          <w:kern w:val="2"/>
          <w:sz w:val="32"/>
          <w:szCs w:val="32"/>
          <w:lang w:val="en-US" w:eastAsia="zh-CN" w:bidi="ar-SA"/>
        </w:rPr>
      </w:pPr>
      <w:r>
        <w:rPr>
          <w:rFonts w:hint="eastAsia" w:ascii="仿宋_GB2312" w:eastAsia="仿宋_GB2312" w:cs="仿宋_GB2312" w:hAnsiTheme="minorEastAsia"/>
          <w:bCs/>
          <w:kern w:val="0"/>
          <w:sz w:val="32"/>
          <w:szCs w:val="32"/>
          <w:highlight w:val="none"/>
          <w:lang w:val="en-US" w:eastAsia="zh-CN" w:bidi="ar"/>
        </w:rPr>
        <w:t>外事接待支出</w:t>
      </w:r>
      <w:r>
        <w:rPr>
          <w:rFonts w:hint="eastAsia" w:ascii="仿宋_GB2312" w:eastAsia="仿宋_GB2312" w:cs="仿宋_GB2312"/>
          <w:bCs/>
          <w:kern w:val="0"/>
          <w:sz w:val="32"/>
          <w:szCs w:val="32"/>
          <w:highlight w:val="none"/>
          <w:lang w:val="en-US" w:eastAsia="zh-CN" w:bidi="ar"/>
        </w:rPr>
        <w:t>0</w:t>
      </w:r>
      <w:r>
        <w:rPr>
          <w:rFonts w:hint="eastAsia" w:ascii="仿宋_GB2312" w:eastAsia="仿宋_GB2312" w:cs="仿宋_GB2312" w:hAnsiTheme="minorEastAsia"/>
          <w:bCs/>
          <w:kern w:val="0"/>
          <w:sz w:val="32"/>
          <w:szCs w:val="32"/>
          <w:highlight w:val="none"/>
          <w:lang w:val="en-US" w:eastAsia="zh-CN" w:bidi="ar"/>
        </w:rPr>
        <w:t>万元</w:t>
      </w:r>
      <w:r>
        <w:rPr>
          <w:rFonts w:hint="eastAsia" w:ascii="仿宋_GB2312" w:hAnsi="仿宋_GB2312" w:eastAsia="仿宋_GB2312" w:cs="仿宋_GB2312"/>
          <w:color w:val="auto"/>
          <w:kern w:val="2"/>
          <w:sz w:val="32"/>
          <w:szCs w:val="32"/>
          <w:highlight w:val="none"/>
          <w:lang w:val="en-US" w:eastAsia="zh-CN" w:bidi="ar-SA"/>
        </w:rPr>
        <w:t>。</w:t>
      </w:r>
      <w:bookmarkStart w:id="82" w:name="_Toc16050"/>
      <w:bookmarkEnd w:id="82"/>
      <w:bookmarkStart w:id="83" w:name="_Toc23724"/>
      <w:bookmarkEnd w:id="83"/>
      <w:bookmarkStart w:id="84" w:name="_Toc12004"/>
      <w:bookmarkEnd w:id="84"/>
      <w:bookmarkStart w:id="85" w:name="_Toc3373"/>
      <w:bookmarkEnd w:id="85"/>
      <w:bookmarkStart w:id="86" w:name="_Toc13741"/>
      <w:bookmarkEnd w:id="86"/>
      <w:bookmarkStart w:id="87" w:name="_Toc19710"/>
      <w:bookmarkEnd w:id="87"/>
    </w:p>
    <w:p w14:paraId="24D7C0F2">
      <w:pPr>
        <w:pStyle w:val="25"/>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outlineLvl w:val="1"/>
        <w:rPr>
          <w:rFonts w:hint="eastAsia" w:ascii="黑体" w:eastAsia="黑体" w:cs="Times New Roman"/>
          <w:color w:val="000000"/>
          <w:sz w:val="32"/>
          <w:szCs w:val="32"/>
          <w:lang w:val="en-US" w:eastAsia="zh-CN"/>
        </w:rPr>
      </w:pPr>
      <w:bookmarkStart w:id="88" w:name="_Toc19284"/>
      <w:bookmarkStart w:id="89" w:name="_Toc1292893019"/>
      <w:r>
        <w:rPr>
          <w:rFonts w:hint="eastAsia" w:ascii="黑体" w:eastAsia="黑体" w:cs="Times New Roman"/>
          <w:color w:val="000000"/>
          <w:sz w:val="32"/>
          <w:szCs w:val="32"/>
          <w:lang w:val="en-US" w:eastAsia="zh-CN"/>
        </w:rPr>
        <w:t>八、政府性基金预算支出决算情况说明</w:t>
      </w:r>
      <w:bookmarkEnd w:id="88"/>
      <w:bookmarkEnd w:id="89"/>
    </w:p>
    <w:p w14:paraId="0A60DEE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s="仿宋_GB2312"/>
          <w:bCs/>
          <w:kern w:val="2"/>
          <w:sz w:val="32"/>
          <w:szCs w:val="32"/>
          <w:highlight w:val="none"/>
          <w:lang w:val="en-US" w:eastAsia="zh-CN" w:bidi="ar-SA"/>
        </w:rPr>
      </w:pPr>
      <w:r>
        <w:rPr>
          <w:rFonts w:hint="eastAsia" w:ascii="仿宋_GB2312" w:eastAsia="仿宋_GB2312" w:cs="仿宋_GB2312"/>
          <w:bCs/>
          <w:kern w:val="2"/>
          <w:sz w:val="32"/>
          <w:szCs w:val="32"/>
          <w:lang w:val="en-US" w:eastAsia="zh-CN" w:bidi="ar-SA"/>
        </w:rPr>
        <w:t>2025年度政府性基金预算财政拨款支出1161.71万元，</w:t>
      </w:r>
      <w:r>
        <w:rPr>
          <w:rFonts w:hint="eastAsia" w:ascii="仿宋_GB2312" w:eastAsia="仿宋_GB2312" w:cs="仿宋_GB2312"/>
          <w:color w:val="000000"/>
          <w:kern w:val="0"/>
          <w:sz w:val="32"/>
          <w:szCs w:val="32"/>
        </w:rPr>
        <w:t>完成预算100%。</w:t>
      </w:r>
      <w:r>
        <w:rPr>
          <w:rFonts w:hint="eastAsia" w:ascii="仿宋_GB2312" w:eastAsia="仿宋_GB2312" w:cs="仿宋_GB2312"/>
          <w:bCs/>
          <w:kern w:val="2"/>
          <w:sz w:val="32"/>
          <w:szCs w:val="32"/>
          <w:lang w:val="en-US" w:eastAsia="zh-CN" w:bidi="ar-SA"/>
        </w:rPr>
        <w:t>与2024年度</w:t>
      </w:r>
      <w:r>
        <w:rPr>
          <w:rFonts w:hint="eastAsia" w:ascii="Times New Roman" w:hAnsi="Times New Roman" w:eastAsia="仿宋_GB2312" w:cs="仿宋_GB2312"/>
          <w:color w:val="auto"/>
          <w:kern w:val="2"/>
          <w:sz w:val="32"/>
          <w:szCs w:val="32"/>
          <w:highlight w:val="none"/>
          <w:lang w:val="en-US" w:eastAsia="zh-CN" w:bidi="ar-SA"/>
        </w:rPr>
        <w:t>相比，政府性基金预算财政拨款支出</w:t>
      </w:r>
      <w:r>
        <w:rPr>
          <w:rFonts w:hint="eastAsia" w:ascii="仿宋_GB2312" w:eastAsia="仿宋_GB2312" w:cs="仿宋_GB2312"/>
          <w:bCs/>
          <w:kern w:val="2"/>
          <w:sz w:val="32"/>
          <w:szCs w:val="32"/>
          <w:lang w:val="en-US" w:eastAsia="zh-CN" w:bidi="ar-SA"/>
        </w:rPr>
        <w:t>增</w:t>
      </w:r>
      <w:r>
        <w:rPr>
          <w:rFonts w:hint="eastAsia" w:ascii="仿宋_GB2312" w:eastAsia="仿宋_GB2312" w:cs="仿宋_GB2312"/>
          <w:color w:val="000000"/>
          <w:kern w:val="0"/>
          <w:sz w:val="32"/>
          <w:szCs w:val="32"/>
          <w:lang w:val="en-US" w:eastAsia="zh-CN"/>
        </w:rPr>
        <w:t>加1161.7</w:t>
      </w:r>
      <w:r>
        <w:rPr>
          <w:rFonts w:hint="eastAsia" w:ascii="仿宋_GB2312" w:eastAsia="仿宋_GB2312" w:cs="仿宋_GB2312"/>
          <w:color w:val="000000"/>
          <w:kern w:val="0"/>
          <w:sz w:val="32"/>
          <w:szCs w:val="32"/>
          <w:highlight w:val="none"/>
          <w:lang w:val="en-US" w:eastAsia="zh-CN"/>
        </w:rPr>
        <w:t>1万元，增长100%。</w:t>
      </w:r>
      <w:r>
        <w:rPr>
          <w:rFonts w:hint="eastAsia" w:ascii="Times New Roman" w:hAnsi="Times New Roman" w:eastAsia="仿宋_GB2312" w:cs="仿宋_GB2312"/>
          <w:color w:val="auto"/>
          <w:kern w:val="2"/>
          <w:sz w:val="32"/>
          <w:szCs w:val="32"/>
          <w:highlight w:val="none"/>
          <w:lang w:val="en-US" w:eastAsia="zh-CN" w:bidi="ar-SA"/>
        </w:rPr>
        <w:t>主要变动原因是：增加了</w:t>
      </w:r>
      <w:r>
        <w:rPr>
          <w:rFonts w:hint="eastAsia" w:ascii="仿宋_GB2312" w:eastAsia="仿宋_GB2312" w:cs="仿宋_GB2312"/>
          <w:bCs/>
          <w:color w:val="000000"/>
          <w:sz w:val="32"/>
          <w:szCs w:val="32"/>
          <w:highlight w:val="none"/>
          <w:lang w:val="en-US" w:eastAsia="zh-CN"/>
        </w:rPr>
        <w:t>其他国有土地使用权出让、</w:t>
      </w:r>
      <w:r>
        <w:rPr>
          <w:rFonts w:hint="eastAsia" w:ascii="仿宋_GB2312" w:eastAsia="仿宋_GB2312" w:cs="仿宋_GB2312"/>
          <w:bCs/>
          <w:color w:val="000000"/>
          <w:sz w:val="32"/>
          <w:szCs w:val="32"/>
          <w:highlight w:val="none"/>
        </w:rPr>
        <w:t>农业土地开发资金安排</w:t>
      </w:r>
      <w:r>
        <w:rPr>
          <w:rFonts w:hint="eastAsia" w:ascii="仿宋_GB2312" w:eastAsia="仿宋_GB2312" w:cs="仿宋_GB2312"/>
          <w:bCs/>
          <w:color w:val="000000"/>
          <w:sz w:val="32"/>
          <w:szCs w:val="32"/>
          <w:highlight w:val="none"/>
          <w:lang w:eastAsia="zh-CN"/>
        </w:rPr>
        <w:t>、</w:t>
      </w:r>
      <w:r>
        <w:rPr>
          <w:rFonts w:hint="eastAsia" w:ascii="仿宋_GB2312" w:eastAsia="仿宋_GB2312" w:cs="仿宋_GB2312"/>
          <w:bCs/>
          <w:color w:val="000000"/>
          <w:sz w:val="32"/>
          <w:szCs w:val="32"/>
          <w:highlight w:val="none"/>
        </w:rPr>
        <w:t>超长期特别国债安排</w:t>
      </w:r>
      <w:r>
        <w:rPr>
          <w:rFonts w:hint="eastAsia" w:ascii="仿宋_GB2312" w:eastAsia="仿宋_GB2312" w:cs="仿宋_GB2312"/>
          <w:bCs/>
          <w:color w:val="000000"/>
          <w:sz w:val="32"/>
          <w:szCs w:val="32"/>
          <w:highlight w:val="none"/>
          <w:lang w:eastAsia="zh-CN"/>
        </w:rPr>
        <w:t>的</w:t>
      </w:r>
      <w:r>
        <w:rPr>
          <w:rFonts w:hint="eastAsia" w:ascii="仿宋_GB2312" w:eastAsia="仿宋_GB2312" w:cs="仿宋_GB2312"/>
          <w:bCs/>
          <w:color w:val="000000"/>
          <w:sz w:val="32"/>
          <w:szCs w:val="32"/>
          <w:highlight w:val="none"/>
          <w:lang w:val="en-US" w:eastAsia="zh-CN"/>
        </w:rPr>
        <w:t>制造业等项目</w:t>
      </w:r>
      <w:r>
        <w:rPr>
          <w:rFonts w:hint="eastAsia" w:ascii="仿宋_GB2312" w:eastAsia="仿宋_GB2312" w:cs="仿宋_GB2312"/>
          <w:bCs/>
          <w:color w:val="000000"/>
          <w:sz w:val="32"/>
          <w:szCs w:val="32"/>
          <w:highlight w:val="none"/>
        </w:rPr>
        <w:t>支出</w:t>
      </w:r>
      <w:r>
        <w:rPr>
          <w:rFonts w:hint="eastAsia" w:ascii="仿宋_GB2312" w:eastAsia="仿宋_GB2312" w:cs="仿宋_GB2312"/>
          <w:color w:val="000000"/>
          <w:sz w:val="32"/>
          <w:szCs w:val="32"/>
          <w:highlight w:val="none"/>
        </w:rPr>
        <w:t>。</w:t>
      </w:r>
      <w:bookmarkStart w:id="90" w:name="_Toc15780"/>
    </w:p>
    <w:p w14:paraId="26F68CB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黑体" w:eastAsia="黑体" w:cs="Times New Roman"/>
          <w:color w:val="000000"/>
          <w:sz w:val="32"/>
          <w:szCs w:val="32"/>
          <w:lang w:val="en-US" w:eastAsia="zh-CN"/>
        </w:rPr>
      </w:pPr>
      <w:bookmarkStart w:id="91" w:name="_Toc177992136"/>
      <w:r>
        <w:rPr>
          <w:rFonts w:hint="eastAsia" w:ascii="黑体" w:eastAsia="黑体" w:cs="Times New Roman"/>
          <w:color w:val="000000"/>
          <w:sz w:val="32"/>
          <w:szCs w:val="32"/>
          <w:lang w:val="en-US" w:eastAsia="zh-CN"/>
        </w:rPr>
        <w:t>九、国有资本经营预算支出决算情况说明</w:t>
      </w:r>
      <w:bookmarkEnd w:id="90"/>
      <w:bookmarkEnd w:id="91"/>
    </w:p>
    <w:p w14:paraId="7FF9FDF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bCs/>
          <w:kern w:val="2"/>
          <w:sz w:val="32"/>
          <w:szCs w:val="32"/>
          <w:lang w:val="en-US" w:eastAsia="zh-CN" w:bidi="ar-SA"/>
        </w:rPr>
      </w:pPr>
      <w:r>
        <w:rPr>
          <w:rFonts w:hint="eastAsia" w:ascii="仿宋_GB2312" w:eastAsia="仿宋_GB2312" w:cs="仿宋_GB2312"/>
          <w:bCs/>
          <w:kern w:val="2"/>
          <w:sz w:val="32"/>
          <w:szCs w:val="32"/>
          <w:lang w:val="en-US" w:eastAsia="zh-CN" w:bidi="ar-SA"/>
        </w:rPr>
        <w:t>2025年度国有资本经营预算财政拨款支出0万元。 </w:t>
      </w:r>
    </w:p>
    <w:p w14:paraId="29799FB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黑体" w:eastAsia="黑体" w:cs="Times New Roman"/>
          <w:color w:val="000000"/>
          <w:sz w:val="32"/>
          <w:szCs w:val="32"/>
        </w:rPr>
      </w:pPr>
      <w:bookmarkStart w:id="92" w:name="_Toc32147"/>
      <w:bookmarkStart w:id="93" w:name="_Toc326356283"/>
      <w:bookmarkStart w:id="94" w:name="_Toc6454"/>
      <w:r>
        <w:rPr>
          <w:rFonts w:hint="eastAsia" w:ascii="黑体" w:eastAsia="黑体" w:cs="Times New Roman"/>
          <w:color w:val="000000"/>
          <w:sz w:val="32"/>
          <w:szCs w:val="32"/>
        </w:rPr>
        <w:t>十、其他重要事项的情况说明</w:t>
      </w:r>
      <w:bookmarkEnd w:id="92"/>
      <w:bookmarkEnd w:id="93"/>
      <w:bookmarkEnd w:id="94"/>
    </w:p>
    <w:p w14:paraId="65B69948">
      <w:pPr>
        <w:spacing w:line="600" w:lineRule="exact"/>
        <w:ind w:firstLine="643" w:firstLineChars="200"/>
        <w:outlineLvl w:val="2"/>
        <w:rPr>
          <w:rFonts w:hint="eastAsia" w:ascii="Times New Roman" w:hAnsi="Times New Roman" w:eastAsia="楷体_GB2312" w:cs="楷体_GB2312"/>
          <w:b/>
          <w:color w:val="auto"/>
          <w:sz w:val="32"/>
          <w:szCs w:val="32"/>
          <w:highlight w:val="none"/>
          <w:lang w:val="en-US" w:eastAsia="zh-CN"/>
        </w:rPr>
      </w:pPr>
      <w:bookmarkStart w:id="95" w:name="_Toc25595"/>
      <w:bookmarkStart w:id="96" w:name="_Toc4392"/>
      <w:r>
        <w:rPr>
          <w:rFonts w:hint="eastAsia" w:ascii="Times New Roman" w:hAnsi="Times New Roman" w:eastAsia="楷体_GB2312" w:cs="楷体_GB2312"/>
          <w:b/>
          <w:color w:val="auto"/>
          <w:sz w:val="32"/>
          <w:szCs w:val="32"/>
          <w:highlight w:val="none"/>
          <w:lang w:val="en-US" w:eastAsia="zh-CN"/>
        </w:rPr>
        <w:t>（一）机关运行经费支出情况</w:t>
      </w:r>
      <w:bookmarkEnd w:id="95"/>
      <w:bookmarkEnd w:id="96"/>
    </w:p>
    <w:p w14:paraId="1A55CAE3">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eastAsia="仿宋_GB2312" w:cs="仿宋_GB2312"/>
          <w:bCs/>
          <w:kern w:val="2"/>
          <w:sz w:val="32"/>
          <w:szCs w:val="32"/>
          <w:lang w:val="en-US" w:eastAsia="zh-CN" w:bidi="ar-SA"/>
        </w:rPr>
      </w:pPr>
      <w:r>
        <w:rPr>
          <w:rFonts w:hint="eastAsia" w:ascii="仿宋_GB2312" w:eastAsia="仿宋_GB2312" w:cs="仿宋_GB2312"/>
          <w:bCs/>
          <w:kern w:val="2"/>
          <w:sz w:val="32"/>
          <w:szCs w:val="32"/>
          <w:highlight w:val="none"/>
          <w:lang w:val="en-US" w:eastAsia="zh-CN" w:bidi="ar-SA"/>
        </w:rPr>
        <w:t>2025年度茂县科学技术和农业畜牧局机关运行经费支出37.57万元，与2024年度相比增加9.06万元，增长31.78%。主要原因是：单位机构改革、人员增加，相应机关运行经费基数调整，机关运行经费增加。</w:t>
      </w:r>
    </w:p>
    <w:p w14:paraId="1EE46D35">
      <w:pPr>
        <w:spacing w:line="600" w:lineRule="exact"/>
        <w:ind w:firstLine="643" w:firstLineChars="200"/>
        <w:outlineLvl w:val="2"/>
        <w:rPr>
          <w:rFonts w:hint="eastAsia" w:ascii="Times New Roman" w:hAnsi="Times New Roman" w:eastAsia="楷体_GB2312" w:cs="楷体_GB2312"/>
          <w:b/>
          <w:color w:val="auto"/>
          <w:sz w:val="32"/>
          <w:szCs w:val="32"/>
          <w:highlight w:val="none"/>
          <w:lang w:val="en-US" w:eastAsia="zh-CN"/>
        </w:rPr>
      </w:pPr>
      <w:bookmarkStart w:id="97" w:name="_Toc5402"/>
      <w:bookmarkStart w:id="98" w:name="_Toc25292"/>
      <w:r>
        <w:rPr>
          <w:rFonts w:hint="eastAsia" w:ascii="Times New Roman" w:hAnsi="Times New Roman" w:eastAsia="楷体_GB2312" w:cs="楷体_GB2312"/>
          <w:b/>
          <w:color w:val="auto"/>
          <w:sz w:val="32"/>
          <w:szCs w:val="32"/>
          <w:highlight w:val="none"/>
          <w:lang w:val="en-US" w:eastAsia="zh-CN"/>
        </w:rPr>
        <w:t>（二）政府采购支出情况</w:t>
      </w:r>
      <w:bookmarkEnd w:id="97"/>
      <w:bookmarkEnd w:id="98"/>
    </w:p>
    <w:p w14:paraId="3A086FA5">
      <w:pPr>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textAlignment w:val="auto"/>
        <w:rPr>
          <w:rFonts w:hint="eastAsia" w:ascii="仿宋_GB2312" w:eastAsia="仿宋_GB2312" w:cs="仿宋_GB2312"/>
          <w:bCs/>
          <w:kern w:val="2"/>
          <w:sz w:val="32"/>
          <w:szCs w:val="32"/>
          <w:highlight w:val="none"/>
          <w:lang w:val="en-US" w:eastAsia="zh-CN" w:bidi="ar-SA"/>
        </w:rPr>
      </w:pPr>
      <w:bookmarkStart w:id="99" w:name="_Toc29989"/>
      <w:bookmarkStart w:id="100" w:name="_Toc24169"/>
      <w:r>
        <w:rPr>
          <w:rFonts w:hint="eastAsia" w:ascii="仿宋_GB2312" w:eastAsia="仿宋_GB2312" w:cs="仿宋_GB2312"/>
          <w:bCs/>
          <w:kern w:val="2"/>
          <w:sz w:val="32"/>
          <w:szCs w:val="32"/>
          <w:highlight w:val="none"/>
          <w:lang w:val="en-US" w:eastAsia="zh-CN" w:bidi="ar-SA"/>
        </w:rPr>
        <w:t>2025年度茂县科学技术和农业畜牧局（本级）政府采购支出总额1406.07万元，其中：政府采购货物支出1102.06万元、政府采购工程支出304.01万元、政府采购服务支出0万元。主要用于采购增雨防雹炮、杀虫灯、肥料、产业轨道及机头、管道、实验器材、办公电脑等以及项目开展所需设施设备等。授予中小企业合同金额1406.07万元，占政府采购支出总额的100%，授予小微企业合同金额0万元，占政府采购支出总额的0%。</w:t>
      </w:r>
    </w:p>
    <w:p w14:paraId="1C63770F">
      <w:pPr>
        <w:spacing w:line="600" w:lineRule="exact"/>
        <w:ind w:firstLine="643" w:firstLineChars="200"/>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（三）国有资产占有使用情况</w:t>
      </w:r>
      <w:bookmarkEnd w:id="99"/>
      <w:bookmarkEnd w:id="100"/>
    </w:p>
    <w:p w14:paraId="6F63690B">
      <w:pPr>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textAlignment w:val="auto"/>
        <w:rPr>
          <w:rFonts w:hint="eastAsia" w:ascii="仿宋_GB2312" w:eastAsia="仿宋_GB2312" w:cs="仿宋_GB2312"/>
          <w:bCs/>
          <w:kern w:val="2"/>
          <w:sz w:val="32"/>
          <w:szCs w:val="32"/>
          <w:highlight w:val="none"/>
          <w:lang w:val="en-US" w:eastAsia="zh-CN" w:bidi="ar-SA"/>
        </w:rPr>
      </w:pPr>
      <w:r>
        <w:rPr>
          <w:rFonts w:hint="eastAsia" w:ascii="仿宋_GB2312" w:eastAsia="仿宋_GB2312" w:cs="仿宋_GB2312"/>
          <w:bCs/>
          <w:kern w:val="2"/>
          <w:sz w:val="32"/>
          <w:szCs w:val="32"/>
          <w:highlight w:val="none"/>
          <w:lang w:val="en-US" w:eastAsia="zh-CN" w:bidi="ar-SA"/>
        </w:rPr>
        <w:t>截至2025年12月31日，茂县科学技术和农业畜牧局共有车辆3辆，其中：应急保障用车2辆、执法执勤用车1辆，主要是用于：部门职工出差、下基层开展农业农村和乡村振兴相关工作。</w:t>
      </w:r>
      <w:bookmarkStart w:id="101" w:name="_Toc19772"/>
      <w:bookmarkStart w:id="102" w:name="_Toc3943"/>
    </w:p>
    <w:p w14:paraId="08E4853E">
      <w:pPr>
        <w:spacing w:line="600" w:lineRule="exact"/>
        <w:ind w:firstLine="643" w:firstLineChars="200"/>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（四）预算绩效管理情况</w:t>
      </w:r>
      <w:bookmarkEnd w:id="101"/>
      <w:bookmarkEnd w:id="102"/>
    </w:p>
    <w:p w14:paraId="54A3BA59">
      <w:pPr>
        <w:pStyle w:val="3"/>
        <w:keepNext w:val="0"/>
        <w:keepLines w:val="0"/>
        <w:pageBreakBefore w:val="0"/>
        <w:widowControl w:val="0"/>
        <w:numPr>
          <w:ilvl w:val="0"/>
          <w:numId w:val="0"/>
        </w:numPr>
        <w:kinsoku/>
        <w:wordWrap/>
        <w:overflowPunct/>
        <w:topLinePunct w:val="0"/>
        <w:autoSpaceDE/>
        <w:autoSpaceDN/>
        <w:bidi w:val="0"/>
        <w:adjustRightInd/>
        <w:snapToGrid/>
        <w:spacing w:after="0" w:line="576" w:lineRule="exact"/>
        <w:ind w:right="0" w:rightChars="0" w:firstLine="640" w:firstLineChars="200"/>
        <w:jc w:val="both"/>
        <w:textAlignment w:val="auto"/>
        <w:outlineLvl w:val="2"/>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eastAsia="zh-CN"/>
        </w:rPr>
        <w:t>根据预算绩效管理要求，本部门在</w:t>
      </w:r>
      <w:r>
        <w:rPr>
          <w:rFonts w:hint="eastAsia" w:ascii="仿宋_GB2312" w:hAnsi="Times New Roman" w:eastAsia="仿宋_GB2312" w:cs="Times New Roman"/>
          <w:color w:val="auto"/>
          <w:sz w:val="32"/>
          <w:szCs w:val="32"/>
          <w:highlight w:val="none"/>
          <w:lang w:val="en-US" w:eastAsia="zh-CN"/>
        </w:rPr>
        <w:t>2025年度</w:t>
      </w:r>
      <w:r>
        <w:rPr>
          <w:rFonts w:hint="eastAsia" w:ascii="仿宋_GB2312" w:eastAsia="仿宋_GB2312" w:cs="仿宋_GB2312"/>
          <w:bCs/>
          <w:kern w:val="2"/>
          <w:sz w:val="32"/>
          <w:szCs w:val="32"/>
          <w:highlight w:val="none"/>
          <w:lang w:val="en-US" w:eastAsia="zh-CN" w:bidi="ar-SA"/>
        </w:rPr>
        <w:t>组织对：茂县2025年基层农技推广体系改革与建设项目、</w:t>
      </w:r>
      <w:r>
        <w:rPr>
          <w:rFonts w:hint="eastAsia" w:ascii="仿宋_GB2312" w:hAnsi="仿宋" w:eastAsia="仿宋_GB2312" w:cs="宋体"/>
          <w:color w:val="000000"/>
          <w:kern w:val="0"/>
          <w:sz w:val="32"/>
          <w:szCs w:val="32"/>
          <w:shd w:val="clear" w:color="auto" w:fill="FFFFFF"/>
          <w:lang w:val="en-US" w:eastAsia="zh-CN"/>
        </w:rPr>
        <w:t>茂县2025年</w:t>
      </w:r>
      <w:r>
        <w:rPr>
          <w:rFonts w:hint="eastAsia" w:ascii="仿宋_GB2312" w:eastAsia="仿宋_GB2312" w:cs="仿宋_GB2312"/>
          <w:bCs/>
          <w:kern w:val="2"/>
          <w:sz w:val="32"/>
          <w:szCs w:val="32"/>
          <w:highlight w:val="none"/>
          <w:lang w:val="en-US" w:eastAsia="zh-CN" w:bidi="ar-SA"/>
        </w:rPr>
        <w:t>高素质农民培育项目、农业生产及生态环境重大指标监测防控、土门镇太安村中药材基地示范提升改造项目、沙坝镇2025年三龙富锶特色果蔬现代农业园区建</w:t>
      </w:r>
      <w:r>
        <w:rPr>
          <w:rFonts w:hint="eastAsia" w:ascii="仿宋_GB2312" w:eastAsia="仿宋_GB2312" w:cs="仿宋_GB2312"/>
          <w:bCs/>
          <w:kern w:val="2"/>
          <w:sz w:val="32"/>
          <w:szCs w:val="32"/>
          <w:lang w:val="en-US" w:eastAsia="zh-CN" w:bidi="ar-SA"/>
        </w:rPr>
        <w:t>设项目、茂县粮经复合现代农业园区省星级奖补项目</w:t>
      </w:r>
      <w:r>
        <w:rPr>
          <w:rFonts w:hint="eastAsia" w:ascii="仿宋_GB2312" w:eastAsia="仿宋_GB2312" w:cs="仿宋_GB2312"/>
          <w:bCs/>
          <w:kern w:val="2"/>
          <w:sz w:val="32"/>
          <w:szCs w:val="32"/>
          <w:highlight w:val="none"/>
          <w:lang w:val="en-US" w:eastAsia="zh-CN" w:bidi="ar-SA"/>
        </w:rPr>
        <w:t>、对口援建--2025年茂县乡村振兴示范项目、2024年阿坝州应用技术研究与开发项目茂县企业项目等80个项目开展了预算事前绩效评估，对80个项目编制了绩效目标，预算执行过程中，选取8个项目开展绩效监控，组织对46个项目开展支出绩效自评，详见第</w:t>
      </w:r>
      <w:r>
        <w:rPr>
          <w:rFonts w:hint="eastAsia" w:ascii="仿宋_GB2312" w:hAnsi="Times New Roman" w:eastAsia="仿宋_GB2312" w:cs="Times New Roman"/>
          <w:color w:val="auto"/>
          <w:sz w:val="32"/>
          <w:szCs w:val="32"/>
          <w:highlight w:val="none"/>
          <w:lang w:val="en-US" w:eastAsia="zh-CN"/>
        </w:rPr>
        <w:t>四部分附件。</w:t>
      </w:r>
    </w:p>
    <w:p w14:paraId="0DA003DE">
      <w:pPr>
        <w:pStyle w:val="3"/>
        <w:keepNext w:val="0"/>
        <w:keepLines w:val="0"/>
        <w:pageBreakBefore w:val="0"/>
        <w:widowControl w:val="0"/>
        <w:numPr>
          <w:ilvl w:val="0"/>
          <w:numId w:val="0"/>
        </w:numPr>
        <w:kinsoku/>
        <w:wordWrap/>
        <w:overflowPunct/>
        <w:topLinePunct w:val="0"/>
        <w:autoSpaceDE/>
        <w:autoSpaceDN/>
        <w:bidi w:val="0"/>
        <w:adjustRightInd/>
        <w:snapToGrid/>
        <w:spacing w:after="0" w:line="576" w:lineRule="exact"/>
        <w:ind w:right="0" w:rightChars="0" w:firstLine="640" w:firstLineChars="200"/>
        <w:jc w:val="both"/>
        <w:textAlignment w:val="auto"/>
        <w:outlineLvl w:val="2"/>
        <w:rPr>
          <w:rFonts w:hint="eastAsia" w:ascii="仿宋_GB2312" w:hAnsi="Times New Roman" w:eastAsia="仿宋_GB2312" w:cs="Times New Roman"/>
          <w:color w:val="auto"/>
          <w:sz w:val="32"/>
          <w:szCs w:val="32"/>
          <w:highlight w:val="none"/>
          <w:lang w:val="en-US" w:eastAsia="zh-CN"/>
        </w:rPr>
      </w:pPr>
    </w:p>
    <w:p w14:paraId="7FB8742A">
      <w:pPr>
        <w:pStyle w:val="3"/>
        <w:keepNext w:val="0"/>
        <w:keepLines w:val="0"/>
        <w:pageBreakBefore w:val="0"/>
        <w:widowControl w:val="0"/>
        <w:numPr>
          <w:ilvl w:val="0"/>
          <w:numId w:val="0"/>
        </w:numPr>
        <w:kinsoku/>
        <w:wordWrap/>
        <w:overflowPunct/>
        <w:topLinePunct w:val="0"/>
        <w:autoSpaceDE/>
        <w:autoSpaceDN/>
        <w:bidi w:val="0"/>
        <w:adjustRightInd/>
        <w:snapToGrid/>
        <w:spacing w:after="0" w:line="576" w:lineRule="exact"/>
        <w:ind w:right="0" w:rightChars="0" w:firstLine="640" w:firstLineChars="200"/>
        <w:jc w:val="both"/>
        <w:textAlignment w:val="auto"/>
        <w:outlineLvl w:val="2"/>
        <w:rPr>
          <w:rFonts w:hint="eastAsia" w:ascii="仿宋_GB2312" w:hAnsi="Times New Roman" w:eastAsia="仿宋_GB2312" w:cs="Times New Roman"/>
          <w:color w:val="auto"/>
          <w:sz w:val="32"/>
          <w:szCs w:val="32"/>
          <w:highlight w:val="none"/>
          <w:lang w:val="en-US" w:eastAsia="zh-CN"/>
        </w:rPr>
      </w:pPr>
    </w:p>
    <w:p w14:paraId="4C10A139">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jc w:val="center"/>
        <w:textAlignment w:val="auto"/>
        <w:outlineLvl w:val="0"/>
        <w:rPr>
          <w:rFonts w:hint="eastAsia" w:ascii="黑体" w:eastAsia="黑体" w:cs="Times New Roman"/>
          <w:b w:val="0"/>
          <w:sz w:val="44"/>
          <w:szCs w:val="44"/>
          <w:lang w:bidi="ar-SA"/>
        </w:rPr>
      </w:pPr>
      <w:bookmarkStart w:id="103" w:name="_Toc26817"/>
      <w:bookmarkStart w:id="104" w:name="_Toc174256438"/>
      <w:bookmarkStart w:id="105" w:name="_Toc26290"/>
      <w:bookmarkStart w:id="106" w:name="_Toc11481"/>
      <w:r>
        <w:rPr>
          <w:rFonts w:hint="eastAsia" w:ascii="黑体" w:eastAsia="黑体" w:cs="Times New Roman"/>
          <w:b w:val="0"/>
          <w:sz w:val="44"/>
          <w:szCs w:val="44"/>
          <w:lang w:val="en-US" w:eastAsia="zh-CN" w:bidi="ar-SA"/>
        </w:rPr>
        <w:t xml:space="preserve">第三部分  </w:t>
      </w:r>
      <w:r>
        <w:rPr>
          <w:rFonts w:hint="eastAsia" w:ascii="黑体" w:eastAsia="黑体" w:cs="Times New Roman"/>
          <w:b w:val="0"/>
          <w:sz w:val="44"/>
          <w:szCs w:val="44"/>
          <w:lang w:bidi="ar-SA"/>
        </w:rPr>
        <w:t>名词解释</w:t>
      </w:r>
      <w:bookmarkEnd w:id="103"/>
      <w:bookmarkEnd w:id="104"/>
      <w:bookmarkEnd w:id="105"/>
      <w:bookmarkEnd w:id="106"/>
    </w:p>
    <w:p w14:paraId="3663C9C2">
      <w:pPr>
        <w:pStyle w:val="26"/>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outlineLvl w:val="2"/>
        <w:rPr>
          <w:rFonts w:ascii="仿宋_GB2312" w:eastAsia="仿宋_GB2312"/>
          <w:sz w:val="32"/>
          <w:szCs w:val="32"/>
        </w:rPr>
      </w:pPr>
      <w:r>
        <w:rPr>
          <w:rFonts w:ascii="仿宋_GB2312" w:eastAsia="仿宋_GB2312"/>
          <w:sz w:val="32"/>
          <w:szCs w:val="32"/>
        </w:rPr>
        <w:t>1.财政拨款收入：指单位从同级财政部门取得的财政预算资金。</w:t>
      </w:r>
    </w:p>
    <w:p w14:paraId="59DD6D65">
      <w:pPr>
        <w:pStyle w:val="26"/>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outlineLvl w:val="2"/>
        <w:rPr>
          <w:rFonts w:ascii="仿宋_GB2312" w:eastAsia="仿宋_GB2312"/>
          <w:sz w:val="32"/>
          <w:szCs w:val="32"/>
        </w:rPr>
      </w:pPr>
      <w:r>
        <w:rPr>
          <w:rFonts w:ascii="仿宋_GB2312" w:eastAsia="仿宋_GB2312"/>
          <w:sz w:val="32"/>
          <w:szCs w:val="32"/>
        </w:rPr>
        <w:t>2.事业收入：指事业单位开展专业业务活动及辅助活动取得的收入。</w:t>
      </w:r>
    </w:p>
    <w:p w14:paraId="0187C385">
      <w:pPr>
        <w:pStyle w:val="26"/>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outlineLvl w:val="2"/>
        <w:rPr>
          <w:rFonts w:hint="eastAsia" w:ascii="仿宋_GB2312" w:eastAsia="仿宋_GB2312"/>
          <w:sz w:val="32"/>
          <w:szCs w:val="32"/>
          <w:lang w:eastAsia="zh-CN"/>
        </w:rPr>
      </w:pPr>
      <w:r>
        <w:rPr>
          <w:rFonts w:ascii="仿宋_GB2312" w:eastAsia="仿宋_GB2312"/>
          <w:sz w:val="32"/>
          <w:szCs w:val="32"/>
        </w:rPr>
        <w:t>3.经营收入：指事业单位在专业业务活动及其辅助活动之外开展非独立核算经营活动取得的收入</w:t>
      </w:r>
      <w:r>
        <w:rPr>
          <w:rFonts w:hint="eastAsia" w:ascii="仿宋_GB2312" w:eastAsia="仿宋_GB2312"/>
          <w:sz w:val="32"/>
          <w:szCs w:val="32"/>
          <w:lang w:eastAsia="zh-CN"/>
        </w:rPr>
        <w:t>。</w:t>
      </w:r>
    </w:p>
    <w:p w14:paraId="69DC8F53">
      <w:pPr>
        <w:pStyle w:val="26"/>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outlineLvl w:val="2"/>
        <w:rPr>
          <w:rFonts w:ascii="仿宋_GB2312" w:eastAsia="仿宋_GB2312"/>
          <w:sz w:val="32"/>
          <w:szCs w:val="32"/>
        </w:rPr>
      </w:pPr>
      <w:r>
        <w:rPr>
          <w:rFonts w:ascii="仿宋_GB2312" w:eastAsia="仿宋_GB2312"/>
          <w:sz w:val="32"/>
          <w:szCs w:val="32"/>
        </w:rPr>
        <w:t>4.其他收入：指单位取得的除上述收入以外的各项收入。</w:t>
      </w:r>
    </w:p>
    <w:p w14:paraId="0F483B9C">
      <w:pPr>
        <w:pStyle w:val="26"/>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outlineLvl w:val="2"/>
        <w:rPr>
          <w:rFonts w:ascii="仿宋_GB2312" w:eastAsia="仿宋_GB2312"/>
          <w:sz w:val="32"/>
          <w:szCs w:val="32"/>
        </w:rPr>
      </w:pPr>
      <w:r>
        <w:rPr>
          <w:rFonts w:ascii="仿宋_GB2312" w:eastAsia="仿宋_GB2312"/>
          <w:sz w:val="32"/>
          <w:szCs w:val="32"/>
        </w:rPr>
        <w:t>5.使用非财政拨款结余：指事业单位使用以前年度积累的非财政拨款结余弥补当年收支差额的金额。</w:t>
      </w:r>
    </w:p>
    <w:p w14:paraId="23F01337">
      <w:pPr>
        <w:pStyle w:val="26"/>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outlineLvl w:val="2"/>
        <w:rPr>
          <w:rFonts w:ascii="仿宋_GB2312" w:eastAsia="仿宋_GB2312"/>
          <w:sz w:val="32"/>
          <w:szCs w:val="32"/>
        </w:rPr>
      </w:pPr>
      <w:r>
        <w:rPr>
          <w:rFonts w:ascii="仿宋_GB2312" w:eastAsia="仿宋_GB2312"/>
          <w:sz w:val="32"/>
          <w:szCs w:val="32"/>
        </w:rPr>
        <w:t>6.年初结转和结余：指以前年度尚未完成、结转到本年按有关规定继续使用的资金。</w:t>
      </w:r>
    </w:p>
    <w:p w14:paraId="07653C8C">
      <w:pPr>
        <w:pStyle w:val="26"/>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outlineLvl w:val="2"/>
        <w:rPr>
          <w:rFonts w:ascii="仿宋_GB2312" w:eastAsia="仿宋_GB2312"/>
          <w:sz w:val="32"/>
          <w:szCs w:val="32"/>
        </w:rPr>
      </w:pPr>
      <w:r>
        <w:rPr>
          <w:rFonts w:ascii="仿宋_GB2312" w:eastAsia="仿宋_GB2312"/>
          <w:sz w:val="32"/>
          <w:szCs w:val="32"/>
        </w:rPr>
        <w:t>7.结余分配：指事业单位按照会计制度规定缴纳的所得税、提取的专用结余以及转入非财政拨款结余的金额等。</w:t>
      </w:r>
    </w:p>
    <w:p w14:paraId="258DF813">
      <w:pPr>
        <w:pStyle w:val="26"/>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outlineLvl w:val="2"/>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lang w:val="en-US" w:eastAsia="zh-CN"/>
        </w:rPr>
        <w:t>.</w:t>
      </w:r>
      <w:r>
        <w:rPr>
          <w:rFonts w:ascii="仿宋_GB2312" w:eastAsia="仿宋_GB2312"/>
          <w:sz w:val="32"/>
          <w:szCs w:val="32"/>
        </w:rPr>
        <w:t>年末结转和结余：指单位按有关规定结转到下年或以后年度继续使用的资金。</w:t>
      </w:r>
    </w:p>
    <w:p w14:paraId="2FDE4230">
      <w:pPr>
        <w:pStyle w:val="26"/>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outlineLvl w:val="2"/>
        <w:rPr>
          <w:rFonts w:ascii="仿宋_GB2312" w:eastAsia="仿宋_GB2312"/>
          <w:sz w:val="32"/>
          <w:szCs w:val="32"/>
          <w:highlight w:val="none"/>
        </w:rPr>
      </w:pPr>
      <w:r>
        <w:rPr>
          <w:rFonts w:hint="eastAsia" w:ascii="仿宋_GB2312" w:eastAsia="仿宋_GB2312"/>
          <w:sz w:val="32"/>
          <w:szCs w:val="32"/>
          <w:lang w:val="en-US" w:eastAsia="zh-CN"/>
        </w:rPr>
        <w:t>9.</w:t>
      </w:r>
      <w:r>
        <w:rPr>
          <w:rFonts w:hint="eastAsia" w:ascii="仿宋_GB2312" w:eastAsia="仿宋_GB2312"/>
          <w:sz w:val="32"/>
          <w:szCs w:val="32"/>
        </w:rPr>
        <w:t>科</w:t>
      </w:r>
      <w:r>
        <w:rPr>
          <w:rFonts w:hint="eastAsia" w:ascii="仿宋_GB2312" w:eastAsia="仿宋_GB2312"/>
          <w:sz w:val="32"/>
          <w:szCs w:val="32"/>
          <w:highlight w:val="none"/>
        </w:rPr>
        <w:t>学技术支出（</w:t>
      </w:r>
      <w:r>
        <w:rPr>
          <w:rFonts w:hint="eastAsia" w:ascii="仿宋_GB2312" w:eastAsia="仿宋_GB2312"/>
          <w:sz w:val="32"/>
          <w:szCs w:val="32"/>
          <w:highlight w:val="none"/>
          <w:lang w:val="en-US" w:eastAsia="zh-CN"/>
        </w:rPr>
        <w:t>类</w:t>
      </w:r>
      <w:r>
        <w:rPr>
          <w:rFonts w:hint="eastAsia" w:ascii="仿宋_GB2312" w:eastAsia="仿宋_GB2312"/>
          <w:sz w:val="32"/>
          <w:szCs w:val="32"/>
          <w:highlight w:val="none"/>
        </w:rPr>
        <w:t>）科学技术管理事物（</w:t>
      </w:r>
      <w:r>
        <w:rPr>
          <w:rFonts w:hint="eastAsia" w:ascii="仿宋_GB2312" w:eastAsia="仿宋_GB2312"/>
          <w:sz w:val="32"/>
          <w:szCs w:val="32"/>
          <w:highlight w:val="none"/>
          <w:lang w:val="en-US" w:eastAsia="zh-CN"/>
        </w:rPr>
        <w:t>款</w:t>
      </w:r>
      <w:r>
        <w:rPr>
          <w:rFonts w:hint="eastAsia" w:ascii="仿宋_GB2312" w:eastAsia="仿宋_GB2312"/>
          <w:sz w:val="32"/>
          <w:szCs w:val="32"/>
          <w:highlight w:val="none"/>
        </w:rPr>
        <w:t>）其他科学技术管理事物支出（</w:t>
      </w:r>
      <w:r>
        <w:rPr>
          <w:rFonts w:hint="eastAsia" w:ascii="仿宋_GB2312" w:eastAsia="仿宋_GB2312"/>
          <w:sz w:val="32"/>
          <w:szCs w:val="32"/>
          <w:highlight w:val="none"/>
          <w:lang w:val="en-US" w:eastAsia="zh-CN"/>
        </w:rPr>
        <w:t>项</w:t>
      </w:r>
      <w:r>
        <w:rPr>
          <w:rFonts w:hint="eastAsia" w:ascii="仿宋_GB2312" w:eastAsia="仿宋_GB2312"/>
          <w:sz w:val="32"/>
          <w:szCs w:val="32"/>
          <w:highlight w:val="none"/>
        </w:rPr>
        <w:t>）：指反应其他用于科学技术管理事物方面的支出。</w:t>
      </w:r>
    </w:p>
    <w:p w14:paraId="09FDA2EA">
      <w:pPr>
        <w:pStyle w:val="26"/>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outlineLvl w:val="2"/>
        <w:rPr>
          <w:rFonts w:ascii="仿宋_GB2312" w:eastAsia="仿宋_GB2312"/>
          <w:sz w:val="32"/>
          <w:szCs w:val="32"/>
        </w:rPr>
      </w:pPr>
      <w:r>
        <w:rPr>
          <w:rFonts w:hint="eastAsia" w:ascii="仿宋_GB2312" w:eastAsia="仿宋_GB2312"/>
          <w:sz w:val="32"/>
          <w:szCs w:val="32"/>
          <w:lang w:val="en-US" w:eastAsia="zh-CN"/>
        </w:rPr>
        <w:t>10.</w:t>
      </w:r>
      <w:r>
        <w:rPr>
          <w:rFonts w:hint="eastAsia" w:ascii="仿宋_GB2312" w:eastAsia="仿宋_GB2312"/>
          <w:sz w:val="32"/>
          <w:szCs w:val="32"/>
        </w:rPr>
        <w:t>科学技术支出（</w:t>
      </w:r>
      <w:r>
        <w:rPr>
          <w:rFonts w:hint="eastAsia" w:ascii="仿宋_GB2312" w:eastAsia="仿宋_GB2312"/>
          <w:sz w:val="32"/>
          <w:szCs w:val="32"/>
          <w:lang w:val="en-US" w:eastAsia="zh-CN"/>
        </w:rPr>
        <w:t>类</w:t>
      </w:r>
      <w:r>
        <w:rPr>
          <w:rFonts w:hint="eastAsia" w:ascii="仿宋_GB2312" w:eastAsia="仿宋_GB2312"/>
          <w:sz w:val="32"/>
          <w:szCs w:val="32"/>
        </w:rPr>
        <w:t>）技术研究与开发（</w:t>
      </w:r>
      <w:r>
        <w:rPr>
          <w:rFonts w:hint="eastAsia" w:ascii="仿宋_GB2312" w:eastAsia="仿宋_GB2312"/>
          <w:sz w:val="32"/>
          <w:szCs w:val="32"/>
          <w:lang w:val="en-US" w:eastAsia="zh-CN"/>
        </w:rPr>
        <w:t>款</w:t>
      </w:r>
      <w:r>
        <w:rPr>
          <w:rFonts w:hint="eastAsia" w:ascii="仿宋_GB2312" w:eastAsia="仿宋_GB2312"/>
          <w:sz w:val="32"/>
          <w:szCs w:val="32"/>
        </w:rPr>
        <w:t>）科技成果转化与扩散（</w:t>
      </w:r>
      <w:r>
        <w:rPr>
          <w:rFonts w:hint="eastAsia" w:ascii="仿宋_GB2312" w:eastAsia="仿宋_GB2312"/>
          <w:sz w:val="32"/>
          <w:szCs w:val="32"/>
          <w:lang w:val="en-US" w:eastAsia="zh-CN"/>
        </w:rPr>
        <w:t>项</w:t>
      </w:r>
      <w:r>
        <w:rPr>
          <w:rFonts w:hint="eastAsia" w:ascii="仿宋_GB2312" w:eastAsia="仿宋_GB2312"/>
          <w:sz w:val="32"/>
          <w:szCs w:val="32"/>
        </w:rPr>
        <w:t>）：指反映促进科技成果转化为实现生产力的应用、推广和引导性支出，以及基本建设支出中用于支持企业科技自主创新的支出。</w:t>
      </w:r>
    </w:p>
    <w:p w14:paraId="58F51786">
      <w:pPr>
        <w:pStyle w:val="26"/>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outlineLvl w:val="2"/>
        <w:rPr>
          <w:rFonts w:hint="eastAsia" w:ascii="仿宋_GB2312" w:eastAsia="仿宋_GB2312"/>
          <w:sz w:val="32"/>
          <w:szCs w:val="32"/>
          <w:lang w:val="en-US" w:eastAsia="zh-CN"/>
        </w:rPr>
      </w:pPr>
      <w:r>
        <w:rPr>
          <w:rFonts w:hint="eastAsia" w:ascii="仿宋_GB2312" w:eastAsia="仿宋_GB2312"/>
          <w:sz w:val="32"/>
          <w:szCs w:val="32"/>
          <w:lang w:val="en-US" w:eastAsia="zh-CN"/>
        </w:rPr>
        <w:t>11.</w:t>
      </w:r>
      <w:r>
        <w:rPr>
          <w:rFonts w:hint="eastAsia" w:ascii="仿宋_GB2312" w:eastAsia="仿宋_GB2312"/>
          <w:sz w:val="32"/>
          <w:szCs w:val="32"/>
        </w:rPr>
        <w:t>科学技术支出（</w:t>
      </w:r>
      <w:r>
        <w:rPr>
          <w:rFonts w:hint="eastAsia" w:ascii="仿宋_GB2312" w:eastAsia="仿宋_GB2312"/>
          <w:sz w:val="32"/>
          <w:szCs w:val="32"/>
          <w:lang w:val="en-US" w:eastAsia="zh-CN"/>
        </w:rPr>
        <w:t>类</w:t>
      </w:r>
      <w:r>
        <w:rPr>
          <w:rFonts w:hint="eastAsia" w:ascii="仿宋_GB2312" w:eastAsia="仿宋_GB2312"/>
          <w:sz w:val="32"/>
          <w:szCs w:val="32"/>
        </w:rPr>
        <w:t>）其他科学技术支出（</w:t>
      </w:r>
      <w:r>
        <w:rPr>
          <w:rFonts w:hint="eastAsia" w:ascii="仿宋_GB2312" w:eastAsia="仿宋_GB2312"/>
          <w:sz w:val="32"/>
          <w:szCs w:val="32"/>
          <w:lang w:val="en-US" w:eastAsia="zh-CN"/>
        </w:rPr>
        <w:t>款</w:t>
      </w:r>
      <w:r>
        <w:rPr>
          <w:rFonts w:hint="eastAsia" w:ascii="仿宋_GB2312" w:eastAsia="仿宋_GB2312"/>
          <w:sz w:val="32"/>
          <w:szCs w:val="32"/>
        </w:rPr>
        <w:t>）其他</w:t>
      </w:r>
      <w:r>
        <w:rPr>
          <w:rFonts w:hint="eastAsia" w:ascii="仿宋_GB2312" w:eastAsia="仿宋_GB2312"/>
          <w:sz w:val="32"/>
          <w:szCs w:val="32"/>
          <w:lang w:val="en-US" w:eastAsia="zh-CN"/>
        </w:rPr>
        <w:t>科学技术支出（项）：指反映其他科学技术方面的支出。</w:t>
      </w:r>
    </w:p>
    <w:p w14:paraId="7E391B8A">
      <w:pPr>
        <w:pStyle w:val="26"/>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outlineLvl w:val="2"/>
        <w:rPr>
          <w:rFonts w:hint="eastAsia" w:ascii="仿宋_GB2312" w:eastAsia="仿宋_GB2312"/>
          <w:sz w:val="32"/>
          <w:szCs w:val="32"/>
          <w:lang w:val="en-US" w:eastAsia="zh-CN"/>
        </w:rPr>
      </w:pPr>
      <w:r>
        <w:rPr>
          <w:rFonts w:hint="eastAsia" w:ascii="仿宋_GB2312" w:eastAsia="仿宋_GB2312"/>
          <w:sz w:val="32"/>
          <w:szCs w:val="32"/>
          <w:lang w:val="en-US" w:eastAsia="zh-CN"/>
        </w:rPr>
        <w:t>12.社会保障和就业支出（类）行政事业单位退休（款）机关事业单位基本养老保险缴费支出（项）：指反映机关事业单位实施养老保险制度由单位缴纳的基本养老保险支出。</w:t>
      </w:r>
    </w:p>
    <w:p w14:paraId="1E335D50">
      <w:pPr>
        <w:pStyle w:val="26"/>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outlineLvl w:val="2"/>
        <w:rPr>
          <w:rFonts w:hint="eastAsia" w:ascii="仿宋_GB2312" w:eastAsia="仿宋_GB2312"/>
          <w:sz w:val="32"/>
          <w:szCs w:val="32"/>
          <w:lang w:val="en-US" w:eastAsia="zh-CN"/>
        </w:rPr>
      </w:pPr>
      <w:r>
        <w:rPr>
          <w:rFonts w:hint="eastAsia" w:ascii="仿宋_GB2312" w:eastAsia="仿宋_GB2312"/>
          <w:sz w:val="32"/>
          <w:szCs w:val="32"/>
          <w:lang w:val="en-US" w:eastAsia="zh-CN"/>
        </w:rPr>
        <w:t>13.社会保障和就业支出（类）行政事业单位退休（款）机关事业单位职业年金缴费支出（项）：指反映机关事业单位实施养老保险制度由单位实际缴纳的职业年金支出。</w:t>
      </w:r>
    </w:p>
    <w:p w14:paraId="6901E05B">
      <w:pPr>
        <w:pStyle w:val="26"/>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outlineLvl w:val="2"/>
        <w:rPr>
          <w:rFonts w:hint="eastAsia" w:ascii="仿宋_GB2312" w:eastAsia="仿宋_GB2312"/>
          <w:sz w:val="32"/>
          <w:szCs w:val="32"/>
          <w:lang w:val="en-US" w:eastAsia="zh-CN"/>
        </w:rPr>
      </w:pPr>
      <w:r>
        <w:rPr>
          <w:rFonts w:hint="eastAsia" w:ascii="仿宋_GB2312" w:eastAsia="仿宋_GB2312"/>
          <w:sz w:val="32"/>
          <w:szCs w:val="32"/>
          <w:lang w:val="en-US" w:eastAsia="zh-CN"/>
        </w:rPr>
        <w:t>14.卫生健康支出（类）行政事业单位医疗（款）行政单位医疗（项）：指反映财政部门集中安排的行政单位基本医疗保险缴费经费，未参加医疗保险的行政单位的公费医疗经费，按国家规定享受离休人员、红军老战士待遇人员的医疗经费。</w:t>
      </w:r>
    </w:p>
    <w:p w14:paraId="319A4868">
      <w:pPr>
        <w:pStyle w:val="26"/>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outlineLvl w:val="2"/>
        <w:rPr>
          <w:rFonts w:hint="eastAsia" w:ascii="仿宋_GB2312" w:eastAsia="仿宋_GB2312"/>
          <w:sz w:val="32"/>
          <w:szCs w:val="32"/>
          <w:lang w:val="en-US" w:eastAsia="zh-CN"/>
        </w:rPr>
      </w:pPr>
      <w:r>
        <w:rPr>
          <w:rFonts w:hint="eastAsia" w:ascii="仿宋_GB2312" w:eastAsia="仿宋_GB2312"/>
          <w:sz w:val="32"/>
          <w:szCs w:val="32"/>
          <w:lang w:val="en-US" w:eastAsia="zh-CN"/>
        </w:rPr>
        <w:t>15.卫生健康支出（类）行政事业单位医疗（款）事业单位医疗（项）：指事业单位用于缴纳单位基本医疗保险支出。</w:t>
      </w:r>
    </w:p>
    <w:p w14:paraId="1278316B">
      <w:pPr>
        <w:pStyle w:val="26"/>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outlineLvl w:val="2"/>
        <w:rPr>
          <w:rFonts w:hint="eastAsia" w:ascii="仿宋_GB2312" w:eastAsia="仿宋_GB2312"/>
          <w:sz w:val="32"/>
          <w:szCs w:val="32"/>
          <w:lang w:val="en-US" w:eastAsia="zh-CN"/>
        </w:rPr>
      </w:pPr>
      <w:r>
        <w:rPr>
          <w:rFonts w:hint="eastAsia" w:ascii="仿宋_GB2312" w:eastAsia="仿宋_GB2312"/>
          <w:sz w:val="32"/>
          <w:szCs w:val="32"/>
          <w:lang w:val="en-US" w:eastAsia="zh-CN"/>
        </w:rPr>
        <w:t>16.农林水支出（类）农业（款）行政运行（项）：指反映行政单位（包括实行公务员管理的事业单位）的基本支出。</w:t>
      </w:r>
    </w:p>
    <w:p w14:paraId="4D325A7D">
      <w:pPr>
        <w:pStyle w:val="26"/>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outlineLvl w:val="2"/>
        <w:rPr>
          <w:rFonts w:hint="eastAsia" w:ascii="仿宋_GB2312" w:eastAsia="仿宋_GB2312"/>
          <w:sz w:val="32"/>
          <w:szCs w:val="32"/>
          <w:lang w:val="en-US" w:eastAsia="zh-CN"/>
        </w:rPr>
      </w:pPr>
      <w:r>
        <w:rPr>
          <w:rFonts w:hint="eastAsia" w:ascii="仿宋_GB2312" w:eastAsia="仿宋_GB2312"/>
          <w:sz w:val="32"/>
          <w:szCs w:val="32"/>
          <w:lang w:val="en-US" w:eastAsia="zh-CN"/>
        </w:rPr>
        <w:t>17.农林水支出（类）农业（款）事业运行（项）：反映用于农业事业单位基本支出，事业单位设施、系统运行与资产维护等方面的支出。</w:t>
      </w:r>
    </w:p>
    <w:p w14:paraId="3A776B1E">
      <w:pPr>
        <w:pStyle w:val="26"/>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outlineLvl w:val="2"/>
        <w:rPr>
          <w:rFonts w:hint="eastAsia" w:ascii="仿宋_GB2312" w:eastAsia="仿宋_GB2312"/>
          <w:sz w:val="32"/>
          <w:szCs w:val="32"/>
          <w:highlight w:val="none"/>
          <w:lang w:val="en-US" w:eastAsia="zh-CN"/>
        </w:rPr>
      </w:pPr>
      <w:r>
        <w:rPr>
          <w:rFonts w:hint="eastAsia" w:ascii="仿宋_GB2312" w:eastAsia="仿宋_GB2312"/>
          <w:sz w:val="32"/>
          <w:szCs w:val="32"/>
          <w:lang w:val="en-US" w:eastAsia="zh-CN"/>
        </w:rPr>
        <w:t>18.农林水支出（类）农业（款）其他农业支出（项）：指反映除上述项目以</w:t>
      </w:r>
      <w:r>
        <w:rPr>
          <w:rFonts w:hint="eastAsia" w:ascii="仿宋_GB2312" w:eastAsia="仿宋_GB2312"/>
          <w:sz w:val="32"/>
          <w:szCs w:val="32"/>
          <w:highlight w:val="none"/>
          <w:lang w:val="en-US" w:eastAsia="zh-CN"/>
        </w:rPr>
        <w:t>外其他用于农业方面的支出。</w:t>
      </w:r>
    </w:p>
    <w:p w14:paraId="130586D1">
      <w:pPr>
        <w:pStyle w:val="26"/>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outlineLvl w:val="2"/>
        <w:rPr>
          <w:rFonts w:ascii="仿宋_GB2312" w:eastAsia="仿宋_GB2312" w:cs="仿宋_GB2312"/>
          <w:kern w:val="0"/>
          <w:sz w:val="32"/>
          <w:szCs w:val="32"/>
          <w:highlight w:val="none"/>
        </w:rPr>
      </w:pPr>
      <w:r>
        <w:rPr>
          <w:rFonts w:hint="eastAsia" w:ascii="仿宋_GB2312" w:eastAsia="仿宋_GB2312"/>
          <w:sz w:val="32"/>
          <w:szCs w:val="32"/>
          <w:highlight w:val="none"/>
          <w:lang w:val="en-US" w:eastAsia="zh-CN"/>
        </w:rPr>
        <w:t>19.</w:t>
      </w:r>
      <w:r>
        <w:rPr>
          <w:rFonts w:ascii="仿宋_GB2312" w:eastAsia="仿宋_GB2312" w:cs="仿宋_GB2312"/>
          <w:kern w:val="0"/>
          <w:sz w:val="32"/>
          <w:szCs w:val="32"/>
          <w:highlight w:val="none"/>
        </w:rPr>
        <w:t>农林水支出（</w:t>
      </w:r>
      <w:r>
        <w:rPr>
          <w:rFonts w:hint="eastAsia" w:ascii="仿宋_GB2312" w:eastAsia="仿宋_GB2312"/>
          <w:sz w:val="32"/>
          <w:szCs w:val="32"/>
          <w:highlight w:val="none"/>
          <w:lang w:val="en-US" w:eastAsia="zh-CN"/>
        </w:rPr>
        <w:t>类</w:t>
      </w:r>
      <w:r>
        <w:rPr>
          <w:rFonts w:ascii="仿宋_GB2312" w:eastAsia="仿宋_GB2312" w:cs="仿宋_GB2312"/>
          <w:kern w:val="0"/>
          <w:sz w:val="32"/>
          <w:szCs w:val="32"/>
          <w:highlight w:val="none"/>
        </w:rPr>
        <w:t>）</w:t>
      </w:r>
      <w:r>
        <w:rPr>
          <w:rFonts w:hint="eastAsia" w:ascii="仿宋_GB2312" w:eastAsia="仿宋_GB2312" w:cs="仿宋_GB2312"/>
          <w:bCs/>
          <w:sz w:val="32"/>
          <w:szCs w:val="32"/>
          <w:highlight w:val="none"/>
          <w:lang w:val="en-US" w:eastAsia="zh-CN"/>
        </w:rPr>
        <w:t>巩固脱贫攻坚成果衔接乡村振兴</w:t>
      </w:r>
      <w:r>
        <w:rPr>
          <w:rFonts w:hint="eastAsia" w:ascii="仿宋_GB2312" w:eastAsia="仿宋_GB2312" w:cs="仿宋_GB2312"/>
          <w:bCs/>
          <w:sz w:val="32"/>
          <w:szCs w:val="32"/>
          <w:highlight w:val="none"/>
        </w:rPr>
        <w:t>（</w:t>
      </w:r>
      <w:r>
        <w:rPr>
          <w:rFonts w:hint="eastAsia" w:ascii="仿宋_GB2312" w:eastAsia="仿宋_GB2312"/>
          <w:sz w:val="32"/>
          <w:szCs w:val="32"/>
          <w:highlight w:val="none"/>
          <w:lang w:val="en-US" w:eastAsia="zh-CN"/>
        </w:rPr>
        <w:t>款</w:t>
      </w:r>
      <w:r>
        <w:rPr>
          <w:rFonts w:hint="eastAsia" w:ascii="仿宋_GB2312" w:eastAsia="仿宋_GB2312" w:cs="仿宋_GB2312"/>
          <w:bCs/>
          <w:sz w:val="32"/>
          <w:szCs w:val="32"/>
          <w:highlight w:val="none"/>
        </w:rPr>
        <w:t>）</w:t>
      </w:r>
      <w:r>
        <w:rPr>
          <w:rFonts w:ascii="仿宋_GB2312" w:eastAsia="仿宋_GB2312" w:cs="仿宋_GB2312"/>
          <w:kern w:val="0"/>
          <w:sz w:val="32"/>
          <w:szCs w:val="32"/>
          <w:highlight w:val="none"/>
        </w:rPr>
        <w:t>农村基础设施建设（</w:t>
      </w:r>
      <w:r>
        <w:rPr>
          <w:rFonts w:hint="eastAsia" w:ascii="仿宋_GB2312" w:eastAsia="仿宋_GB2312"/>
          <w:sz w:val="32"/>
          <w:szCs w:val="32"/>
          <w:highlight w:val="none"/>
          <w:lang w:val="en-US" w:eastAsia="zh-CN"/>
        </w:rPr>
        <w:t>项</w:t>
      </w:r>
      <w:r>
        <w:rPr>
          <w:rFonts w:ascii="仿宋_GB2312" w:eastAsia="仿宋_GB2312" w:cs="仿宋_GB2312"/>
          <w:kern w:val="0"/>
          <w:sz w:val="32"/>
          <w:szCs w:val="32"/>
          <w:highlight w:val="none"/>
        </w:rPr>
        <w:t>）：指反映用于农村贫困地区乡村道路、住房、基本农田、水利设施、人</w:t>
      </w:r>
      <w:r>
        <w:rPr>
          <w:rFonts w:hint="eastAsia" w:ascii="仿宋_GB2312" w:eastAsia="仿宋_GB2312" w:cs="仿宋_GB2312"/>
          <w:kern w:val="0"/>
          <w:sz w:val="32"/>
          <w:szCs w:val="32"/>
          <w:highlight w:val="none"/>
          <w:lang w:eastAsia="zh-CN"/>
        </w:rPr>
        <w:t>畜</w:t>
      </w:r>
      <w:r>
        <w:rPr>
          <w:rFonts w:ascii="仿宋_GB2312" w:eastAsia="仿宋_GB2312" w:cs="仿宋_GB2312"/>
          <w:kern w:val="0"/>
          <w:sz w:val="32"/>
          <w:szCs w:val="32"/>
          <w:highlight w:val="none"/>
        </w:rPr>
        <w:t>饮水、生态环境保护等生产生活条件改善方面的支出。</w:t>
      </w:r>
    </w:p>
    <w:p w14:paraId="231206C1">
      <w:pPr>
        <w:pStyle w:val="26"/>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outlineLvl w:val="2"/>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20.农林水支出（类）巩固脱贫攻坚成果衔接乡村振兴（款）生产发展（项）：指反映用于农村贫困地区发展种植业、养殖业、畜牧业、农副产品加工、林果地建设等生产发展项目以及相关技术推广等方面的项目支出。</w:t>
      </w:r>
    </w:p>
    <w:p w14:paraId="733F9D87">
      <w:pPr>
        <w:pStyle w:val="26"/>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outlineLvl w:val="2"/>
        <w:rPr>
          <w:rFonts w:hint="eastAsia" w:ascii="仿宋_GB2312" w:eastAsia="仿宋_GB2312"/>
          <w:sz w:val="32"/>
          <w:szCs w:val="32"/>
          <w:lang w:val="en-US" w:eastAsia="zh-CN"/>
        </w:rPr>
      </w:pPr>
      <w:r>
        <w:rPr>
          <w:rFonts w:hint="eastAsia" w:ascii="仿宋_GB2312" w:eastAsia="仿宋_GB2312"/>
          <w:sz w:val="32"/>
          <w:szCs w:val="32"/>
          <w:highlight w:val="none"/>
          <w:lang w:val="en-US" w:eastAsia="zh-CN"/>
        </w:rPr>
        <w:t>21.农林水支出（类）巩固脱贫攻坚成果衔接</w:t>
      </w:r>
      <w:r>
        <w:rPr>
          <w:rFonts w:hint="eastAsia" w:ascii="仿宋_GB2312" w:eastAsia="仿宋_GB2312"/>
          <w:sz w:val="32"/>
          <w:szCs w:val="32"/>
          <w:lang w:val="en-US" w:eastAsia="zh-CN"/>
        </w:rPr>
        <w:t>乡村振兴（款）</w:t>
      </w:r>
      <w:r>
        <w:rPr>
          <w:rFonts w:hint="eastAsia" w:ascii="仿宋_GB2312" w:eastAsia="仿宋_GB2312" w:cs="仿宋_GB2312"/>
          <w:bCs/>
          <w:sz w:val="32"/>
          <w:szCs w:val="32"/>
        </w:rPr>
        <w:t>其</w:t>
      </w:r>
      <w:r>
        <w:rPr>
          <w:rFonts w:hint="eastAsia" w:ascii="仿宋_GB2312" w:eastAsia="仿宋_GB2312" w:cs="仿宋_GB2312"/>
          <w:bCs/>
          <w:sz w:val="32"/>
          <w:szCs w:val="32"/>
          <w:highlight w:val="none"/>
        </w:rPr>
        <w:t>他</w:t>
      </w:r>
      <w:r>
        <w:rPr>
          <w:rFonts w:hint="eastAsia" w:ascii="仿宋_GB2312" w:eastAsia="仿宋_GB2312" w:cs="仿宋_GB2312"/>
          <w:bCs/>
          <w:sz w:val="32"/>
          <w:szCs w:val="32"/>
          <w:highlight w:val="none"/>
          <w:lang w:val="en-US" w:eastAsia="zh-CN"/>
        </w:rPr>
        <w:t>巩固脱贫攻坚成果衔接乡村振兴</w:t>
      </w:r>
      <w:r>
        <w:rPr>
          <w:rFonts w:hint="eastAsia" w:ascii="仿宋_GB2312" w:eastAsia="仿宋_GB2312" w:cs="仿宋_GB2312"/>
          <w:bCs/>
          <w:sz w:val="32"/>
          <w:szCs w:val="32"/>
          <w:highlight w:val="none"/>
        </w:rPr>
        <w:t>支出</w:t>
      </w:r>
      <w:r>
        <w:rPr>
          <w:rFonts w:hint="eastAsia" w:ascii="仿宋_GB2312" w:eastAsia="仿宋_GB2312"/>
          <w:sz w:val="32"/>
          <w:szCs w:val="32"/>
          <w:highlight w:val="none"/>
          <w:lang w:val="en-US" w:eastAsia="zh-CN"/>
        </w:rPr>
        <w:t>（项）：指反映除上述项目以外其他用于乡</w:t>
      </w:r>
      <w:r>
        <w:rPr>
          <w:rFonts w:hint="eastAsia" w:ascii="仿宋_GB2312" w:eastAsia="仿宋_GB2312"/>
          <w:sz w:val="32"/>
          <w:szCs w:val="32"/>
          <w:lang w:val="en-US" w:eastAsia="zh-CN"/>
        </w:rPr>
        <w:t>村振兴方面的支出。</w:t>
      </w:r>
    </w:p>
    <w:p w14:paraId="33490B7A">
      <w:pPr>
        <w:pStyle w:val="26"/>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outlineLvl w:val="2"/>
        <w:rPr>
          <w:rFonts w:hint="eastAsia" w:ascii="仿宋_GB2312" w:eastAsia="仿宋_GB2312"/>
          <w:sz w:val="32"/>
          <w:szCs w:val="32"/>
          <w:lang w:val="en-US" w:eastAsia="zh-CN"/>
        </w:rPr>
      </w:pPr>
      <w:r>
        <w:rPr>
          <w:rFonts w:hint="eastAsia" w:ascii="仿宋_GB2312" w:eastAsia="仿宋_GB2312"/>
          <w:sz w:val="32"/>
          <w:szCs w:val="32"/>
          <w:lang w:val="en-US" w:eastAsia="zh-CN"/>
        </w:rPr>
        <w:t>22.农林水支出（类）其他农林水支出（款）其他农林水支出（项）：指反映除化解债务支出以外其他用于农林水方面的支出。</w:t>
      </w:r>
    </w:p>
    <w:p w14:paraId="64EC3C99">
      <w:pPr>
        <w:pStyle w:val="26"/>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outlineLvl w:val="2"/>
        <w:rPr>
          <w:rFonts w:hint="eastAsia" w:ascii="仿宋_GB2312" w:eastAsia="仿宋_GB2312"/>
          <w:sz w:val="32"/>
          <w:szCs w:val="32"/>
          <w:lang w:val="en-US" w:eastAsia="zh-CN"/>
        </w:rPr>
      </w:pPr>
      <w:r>
        <w:rPr>
          <w:rFonts w:hint="eastAsia" w:ascii="仿宋_GB2312" w:eastAsia="仿宋_GB2312"/>
          <w:sz w:val="32"/>
          <w:szCs w:val="32"/>
          <w:lang w:val="en-US" w:eastAsia="zh-CN"/>
        </w:rPr>
        <w:t>23.住房保障支出（类）住房改革支出（款）住房公积金（项）：指反映行政事业单位按人力资源和社会保障部、财政部规定的基本工资和津贴补贴以及规定比例为职工缴纳的住房公积金。</w:t>
      </w:r>
    </w:p>
    <w:p w14:paraId="58B9A2A3">
      <w:pPr>
        <w:pStyle w:val="26"/>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outlineLvl w:val="2"/>
        <w:rPr>
          <w:rFonts w:hint="eastAsia" w:ascii="仿宋_GB2312" w:eastAsia="仿宋_GB2312"/>
          <w:sz w:val="32"/>
          <w:szCs w:val="32"/>
          <w:highlight w:val="none"/>
          <w:lang w:val="en-US" w:eastAsia="zh-CN"/>
        </w:rPr>
      </w:pPr>
      <w:r>
        <w:rPr>
          <w:rFonts w:hint="eastAsia" w:ascii="仿宋_GB2312" w:eastAsia="仿宋_GB2312"/>
          <w:sz w:val="32"/>
          <w:szCs w:val="32"/>
          <w:lang w:val="en-US" w:eastAsia="zh-CN"/>
        </w:rPr>
        <w:t>24.住房保障支出（类）住房改革支出（款）购房补贴（项）：指反映按房改政策规定，行政事业单位向符合条件职工（含离退休人员）、军队（含武警）</w:t>
      </w:r>
      <w:r>
        <w:rPr>
          <w:rFonts w:hint="eastAsia" w:ascii="仿宋_GB2312" w:eastAsia="仿宋_GB2312"/>
          <w:sz w:val="32"/>
          <w:szCs w:val="32"/>
          <w:highlight w:val="none"/>
          <w:lang w:val="en-US" w:eastAsia="zh-CN"/>
        </w:rPr>
        <w:t>向转役复原离退休人员发放的用于购买住房的补贴。</w:t>
      </w:r>
    </w:p>
    <w:p w14:paraId="249C08EB">
      <w:pPr>
        <w:pStyle w:val="26"/>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outlineLvl w:val="2"/>
        <w:rPr>
          <w:rFonts w:hint="eastAsia" w:ascii="仿宋_GB2312" w:eastAsia="仿宋_GB2312"/>
          <w:sz w:val="32"/>
          <w:szCs w:val="32"/>
          <w:lang w:val="en-US" w:eastAsia="zh-CN"/>
        </w:rPr>
      </w:pPr>
      <w:r>
        <w:rPr>
          <w:rFonts w:hint="eastAsia" w:ascii="仿宋_GB2312" w:eastAsia="仿宋_GB2312"/>
          <w:sz w:val="32"/>
          <w:szCs w:val="32"/>
          <w:lang w:val="en-US" w:eastAsia="zh-CN"/>
        </w:rPr>
        <w:t>25.其他支出（类）其他支出（款）其他支出（项）：指反映上述项目以为其他不能划分到具体功能科目中的支出项目。</w:t>
      </w:r>
    </w:p>
    <w:p w14:paraId="6C2D2A98">
      <w:pPr>
        <w:pStyle w:val="26"/>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outlineLvl w:val="2"/>
        <w:rPr>
          <w:rFonts w:hint="eastAsia" w:ascii="仿宋_GB2312" w:eastAsia="仿宋_GB2312"/>
          <w:sz w:val="32"/>
          <w:szCs w:val="32"/>
          <w:lang w:val="en-US" w:eastAsia="zh-CN"/>
        </w:rPr>
      </w:pPr>
      <w:r>
        <w:rPr>
          <w:rFonts w:hint="eastAsia" w:ascii="仿宋_GB2312" w:eastAsia="仿宋_GB2312"/>
          <w:sz w:val="32"/>
          <w:szCs w:val="32"/>
          <w:lang w:val="en-US" w:eastAsia="zh-CN"/>
        </w:rPr>
        <w:t>26.基本支出：指为保障机构正常运转、完成日常工作任务而发生的人员支出和公用支出。</w:t>
      </w:r>
    </w:p>
    <w:p w14:paraId="27022248">
      <w:pPr>
        <w:pStyle w:val="26"/>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outlineLvl w:val="2"/>
        <w:rPr>
          <w:rFonts w:hint="eastAsia" w:ascii="仿宋_GB2312" w:eastAsia="仿宋_GB2312"/>
          <w:sz w:val="32"/>
          <w:szCs w:val="32"/>
          <w:lang w:val="en-US" w:eastAsia="zh-CN"/>
        </w:rPr>
      </w:pPr>
      <w:r>
        <w:rPr>
          <w:rFonts w:hint="eastAsia" w:ascii="仿宋_GB2312" w:eastAsia="仿宋_GB2312"/>
          <w:sz w:val="32"/>
          <w:szCs w:val="32"/>
          <w:lang w:val="en-US" w:eastAsia="zh-CN"/>
        </w:rPr>
        <w:t>27.项目支出：指在基本支出之外为完成特定行政任务和事业发展目标所发生的支出。</w:t>
      </w:r>
    </w:p>
    <w:p w14:paraId="10FBDE9F">
      <w:pPr>
        <w:pStyle w:val="26"/>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outlineLvl w:val="2"/>
        <w:rPr>
          <w:rFonts w:hint="eastAsia" w:ascii="仿宋_GB2312" w:eastAsia="仿宋_GB2312"/>
          <w:sz w:val="32"/>
          <w:szCs w:val="32"/>
          <w:lang w:val="en-US" w:eastAsia="zh-CN"/>
        </w:rPr>
      </w:pPr>
      <w:r>
        <w:rPr>
          <w:rFonts w:hint="eastAsia" w:ascii="仿宋_GB2312" w:eastAsia="仿宋_GB2312"/>
          <w:sz w:val="32"/>
          <w:szCs w:val="32"/>
          <w:lang w:val="en-US" w:eastAsia="zh-CN"/>
        </w:rPr>
        <w:t>28.“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02BC009">
      <w:pPr>
        <w:pStyle w:val="26"/>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outlineLvl w:val="2"/>
        <w:rPr>
          <w:rFonts w:hint="eastAsia" w:ascii="仿宋_GB2312" w:eastAsia="仿宋_GB2312"/>
          <w:sz w:val="32"/>
          <w:szCs w:val="32"/>
          <w:lang w:val="en-US" w:eastAsia="zh-CN"/>
        </w:rPr>
      </w:pPr>
      <w:r>
        <w:rPr>
          <w:rFonts w:hint="eastAsia" w:ascii="仿宋_GB2312" w:eastAsia="仿宋_GB2312"/>
          <w:sz w:val="32"/>
          <w:szCs w:val="32"/>
          <w:lang w:val="en-US" w:eastAsia="zh-CN"/>
        </w:rPr>
        <w:t>29.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426DAE1">
      <w:pPr>
        <w:pStyle w:val="26"/>
        <w:spacing w:line="576" w:lineRule="exact"/>
        <w:ind w:firstLine="640" w:firstLineChars="200"/>
        <w:rPr>
          <w:rFonts w:hint="eastAsia" w:ascii="仿宋_GB2312" w:eastAsia="仿宋_GB2312" w:cs="仿宋_GB2312"/>
          <w:color w:val="auto"/>
          <w:sz w:val="32"/>
          <w:szCs w:val="32"/>
        </w:rPr>
      </w:pPr>
    </w:p>
    <w:p w14:paraId="5C1B2FD7">
      <w:pPr>
        <w:pStyle w:val="16"/>
        <w:keepNext w:val="0"/>
        <w:keepLines w:val="0"/>
        <w:pageBreakBefore w:val="0"/>
        <w:widowControl/>
        <w:suppressLineNumbers w:val="0"/>
        <w:kinsoku/>
        <w:wordWrap/>
        <w:overflowPunct/>
        <w:topLinePunct w:val="0"/>
        <w:bidi w:val="0"/>
        <w:spacing w:line="576" w:lineRule="exact"/>
        <w:textAlignment w:val="auto"/>
      </w:pPr>
    </w:p>
    <w:p w14:paraId="1C9E7811">
      <w:pPr>
        <w:pStyle w:val="16"/>
        <w:keepNext w:val="0"/>
        <w:keepLines w:val="0"/>
        <w:pageBreakBefore w:val="0"/>
        <w:widowControl/>
        <w:suppressLineNumbers w:val="0"/>
        <w:kinsoku/>
        <w:wordWrap/>
        <w:overflowPunct/>
        <w:topLinePunct w:val="0"/>
        <w:bidi w:val="0"/>
        <w:spacing w:line="576" w:lineRule="exact"/>
        <w:textAlignment w:val="auto"/>
      </w:pPr>
    </w:p>
    <w:p w14:paraId="0645EF6A">
      <w:pPr>
        <w:pStyle w:val="16"/>
        <w:keepNext w:val="0"/>
        <w:keepLines w:val="0"/>
        <w:pageBreakBefore w:val="0"/>
        <w:widowControl/>
        <w:suppressLineNumbers w:val="0"/>
        <w:kinsoku/>
        <w:wordWrap/>
        <w:overflowPunct/>
        <w:topLinePunct w:val="0"/>
        <w:bidi w:val="0"/>
        <w:spacing w:line="576" w:lineRule="exact"/>
        <w:textAlignment w:val="auto"/>
        <w:rPr>
          <w:rFonts w:hint="eastAsia" w:ascii="黑体" w:hAnsi="黑体" w:eastAsia="黑体"/>
          <w:color w:val="auto"/>
          <w:sz w:val="44"/>
          <w:szCs w:val="44"/>
          <w:highlight w:val="none"/>
        </w:rPr>
      </w:pPr>
      <w:bookmarkStart w:id="107" w:name="_Toc15396614"/>
    </w:p>
    <w:p w14:paraId="055BB1F0">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jc w:val="center"/>
        <w:textAlignment w:val="auto"/>
        <w:outlineLvl w:val="0"/>
        <w:rPr>
          <w:rFonts w:hint="eastAsia" w:ascii="黑体" w:eastAsia="黑体" w:cs="Times New Roman"/>
          <w:b w:val="0"/>
          <w:sz w:val="44"/>
          <w:szCs w:val="44"/>
          <w:lang w:val="en-US" w:eastAsia="zh-CN" w:bidi="ar-SA"/>
        </w:rPr>
      </w:pPr>
      <w:bookmarkStart w:id="108" w:name="_Toc359649168"/>
      <w:r>
        <w:rPr>
          <w:rFonts w:hint="eastAsia" w:ascii="黑体" w:eastAsia="黑体" w:cs="Times New Roman"/>
          <w:b w:val="0"/>
          <w:sz w:val="44"/>
          <w:szCs w:val="44"/>
          <w:lang w:val="en-US" w:eastAsia="zh-CN" w:bidi="ar-SA"/>
        </w:rPr>
        <w:t>第四部分 附件</w:t>
      </w:r>
      <w:bookmarkEnd w:id="107"/>
      <w:bookmarkEnd w:id="108"/>
    </w:p>
    <w:p w14:paraId="147EBB56">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firstLine="880" w:firstLineChars="200"/>
        <w:jc w:val="center"/>
        <w:textAlignment w:val="auto"/>
        <w:outlineLvl w:val="9"/>
        <w:rPr>
          <w:rFonts w:hint="eastAsia" w:ascii="黑体" w:hAnsi="黑体" w:eastAsia="黑体" w:cs="Times New Roman"/>
          <w:color w:val="auto"/>
          <w:sz w:val="44"/>
          <w:szCs w:val="44"/>
          <w:highlight w:val="none"/>
          <w:lang w:val="en-US" w:eastAsia="zh-CN"/>
        </w:rPr>
      </w:pPr>
      <w:bookmarkStart w:id="109" w:name="_Toc15165"/>
      <w:bookmarkStart w:id="110" w:name="_Toc7855"/>
      <w:bookmarkStart w:id="111" w:name="_Toc9130"/>
      <w:bookmarkStart w:id="112" w:name="_Toc13039"/>
      <w:bookmarkStart w:id="113" w:name="_Toc7045"/>
      <w:r>
        <w:rPr>
          <w:rFonts w:hint="eastAsia" w:ascii="黑体" w:hAnsi="黑体" w:eastAsia="黑体" w:cs="Times New Roman"/>
          <w:color w:val="auto"/>
          <w:sz w:val="44"/>
          <w:szCs w:val="44"/>
          <w:highlight w:val="none"/>
        </w:rPr>
        <w:t>附件</w:t>
      </w:r>
      <w:bookmarkEnd w:id="109"/>
      <w:r>
        <w:rPr>
          <w:rFonts w:hint="eastAsia" w:ascii="黑体" w:hAnsi="黑体" w:eastAsia="黑体" w:cs="Times New Roman"/>
          <w:color w:val="auto"/>
          <w:sz w:val="44"/>
          <w:szCs w:val="44"/>
          <w:highlight w:val="none"/>
          <w:lang w:val="en-US" w:eastAsia="zh-CN"/>
        </w:rPr>
        <w:t>1：部</w:t>
      </w:r>
      <w:r>
        <w:rPr>
          <w:rFonts w:hint="eastAsia" w:ascii="黑体" w:hAnsi="黑体" w:eastAsia="黑体" w:cs="Times New Roman"/>
          <w:color w:val="auto"/>
          <w:sz w:val="44"/>
          <w:szCs w:val="44"/>
          <w:highlight w:val="none"/>
        </w:rPr>
        <w:t>门整体</w:t>
      </w:r>
      <w:r>
        <w:rPr>
          <w:rFonts w:hint="eastAsia" w:ascii="黑体" w:hAnsi="黑体" w:eastAsia="黑体" w:cs="Times New Roman"/>
          <w:color w:val="auto"/>
          <w:sz w:val="44"/>
          <w:szCs w:val="44"/>
          <w:highlight w:val="none"/>
          <w:lang w:val="en-US" w:eastAsia="zh-CN"/>
        </w:rPr>
        <w:t>支出</w:t>
      </w:r>
      <w:r>
        <w:rPr>
          <w:rFonts w:hint="eastAsia" w:ascii="黑体" w:hAnsi="黑体" w:eastAsia="黑体" w:cs="Times New Roman"/>
          <w:color w:val="auto"/>
          <w:sz w:val="44"/>
          <w:szCs w:val="44"/>
          <w:highlight w:val="none"/>
        </w:rPr>
        <w:t>绩效</w:t>
      </w:r>
      <w:r>
        <w:rPr>
          <w:rFonts w:hint="eastAsia" w:ascii="黑体" w:hAnsi="黑体" w:eastAsia="黑体" w:cs="Times New Roman"/>
          <w:color w:val="auto"/>
          <w:sz w:val="44"/>
          <w:szCs w:val="44"/>
          <w:highlight w:val="none"/>
          <w:lang w:val="en-US" w:eastAsia="zh-CN"/>
        </w:rPr>
        <w:t>评价</w:t>
      </w:r>
      <w:r>
        <w:rPr>
          <w:rFonts w:hint="eastAsia" w:ascii="黑体" w:hAnsi="黑体" w:eastAsia="黑体" w:cs="Times New Roman"/>
          <w:color w:val="auto"/>
          <w:sz w:val="44"/>
          <w:szCs w:val="44"/>
          <w:highlight w:val="none"/>
        </w:rPr>
        <w:t>报告</w:t>
      </w:r>
    </w:p>
    <w:bookmarkEnd w:id="110"/>
    <w:p w14:paraId="64728747">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firstLine="880" w:firstLineChars="200"/>
        <w:jc w:val="center"/>
        <w:textAlignment w:val="auto"/>
        <w:outlineLvl w:val="9"/>
        <w:rPr>
          <w:rFonts w:hint="eastAsia" w:ascii="黑体" w:hAnsi="黑体" w:eastAsia="黑体" w:cs="Times New Roman"/>
          <w:color w:val="auto"/>
          <w:sz w:val="44"/>
          <w:szCs w:val="44"/>
          <w:highlight w:val="none"/>
        </w:rPr>
      </w:pPr>
      <w:bookmarkStart w:id="114" w:name="_Toc31621"/>
      <w:r>
        <w:rPr>
          <w:rFonts w:hint="eastAsia" w:ascii="黑体" w:hAnsi="黑体" w:eastAsia="黑体" w:cs="Times New Roman"/>
          <w:color w:val="auto"/>
          <w:sz w:val="44"/>
          <w:szCs w:val="44"/>
          <w:highlight w:val="none"/>
        </w:rPr>
        <w:t>茂县科学技术和农业畜牧局</w:t>
      </w:r>
    </w:p>
    <w:p w14:paraId="5E0A4841">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firstLine="880" w:firstLineChars="200"/>
        <w:jc w:val="center"/>
        <w:textAlignment w:val="auto"/>
        <w:outlineLvl w:val="9"/>
        <w:rPr>
          <w:rFonts w:hint="eastAsia" w:ascii="黑体" w:hAnsi="黑体" w:eastAsia="黑体" w:cs="Times New Roman"/>
          <w:color w:val="auto"/>
          <w:sz w:val="44"/>
          <w:szCs w:val="44"/>
          <w:highlight w:val="none"/>
          <w:lang w:val="en-US" w:eastAsia="zh-CN"/>
        </w:rPr>
      </w:pPr>
      <w:r>
        <w:rPr>
          <w:rFonts w:hint="eastAsia" w:ascii="黑体" w:hAnsi="黑体" w:eastAsia="黑体" w:cs="Times New Roman"/>
          <w:color w:val="auto"/>
          <w:sz w:val="44"/>
          <w:szCs w:val="44"/>
          <w:highlight w:val="none"/>
        </w:rPr>
        <w:t>202</w:t>
      </w:r>
      <w:r>
        <w:rPr>
          <w:rFonts w:hint="eastAsia" w:ascii="黑体" w:hAnsi="黑体" w:eastAsia="黑体" w:cs="Times New Roman"/>
          <w:color w:val="auto"/>
          <w:sz w:val="44"/>
          <w:szCs w:val="44"/>
          <w:highlight w:val="none"/>
          <w:lang w:val="en-US" w:eastAsia="zh-CN"/>
        </w:rPr>
        <w:t>5</w:t>
      </w:r>
      <w:r>
        <w:rPr>
          <w:rFonts w:hint="eastAsia" w:ascii="黑体" w:hAnsi="黑体" w:eastAsia="黑体" w:cs="Times New Roman"/>
          <w:color w:val="auto"/>
          <w:sz w:val="44"/>
          <w:szCs w:val="44"/>
          <w:highlight w:val="none"/>
        </w:rPr>
        <w:t>年</w:t>
      </w:r>
      <w:r>
        <w:rPr>
          <w:rFonts w:hint="eastAsia" w:ascii="黑体" w:hAnsi="黑体" w:eastAsia="黑体" w:cs="Times New Roman"/>
          <w:color w:val="auto"/>
          <w:sz w:val="44"/>
          <w:szCs w:val="44"/>
          <w:highlight w:val="none"/>
          <w:lang w:val="en-US" w:eastAsia="zh-CN"/>
        </w:rPr>
        <w:t>部门</w:t>
      </w:r>
      <w:r>
        <w:rPr>
          <w:rFonts w:hint="eastAsia" w:ascii="黑体" w:hAnsi="黑体" w:eastAsia="黑体" w:cs="Times New Roman"/>
          <w:color w:val="auto"/>
          <w:sz w:val="44"/>
          <w:szCs w:val="44"/>
          <w:highlight w:val="none"/>
        </w:rPr>
        <w:t>整体支出绩效</w:t>
      </w:r>
      <w:r>
        <w:rPr>
          <w:rFonts w:hint="eastAsia" w:ascii="黑体" w:hAnsi="黑体" w:eastAsia="黑体" w:cs="Times New Roman"/>
          <w:color w:val="auto"/>
          <w:sz w:val="44"/>
          <w:szCs w:val="44"/>
          <w:highlight w:val="none"/>
          <w:lang w:val="en-US" w:eastAsia="zh-CN"/>
        </w:rPr>
        <w:t>评价</w:t>
      </w:r>
      <w:r>
        <w:rPr>
          <w:rFonts w:hint="eastAsia" w:ascii="黑体" w:hAnsi="黑体" w:eastAsia="黑体" w:cs="Times New Roman"/>
          <w:color w:val="auto"/>
          <w:sz w:val="44"/>
          <w:szCs w:val="44"/>
          <w:highlight w:val="none"/>
        </w:rPr>
        <w:t>报告</w:t>
      </w:r>
    </w:p>
    <w:p w14:paraId="3BFFDE80">
      <w:pPr>
        <w:widowControl/>
        <w:adjustRightInd w:val="0"/>
        <w:snapToGrid w:val="0"/>
        <w:spacing w:line="578" w:lineRule="exact"/>
        <w:ind w:firstLine="640" w:firstLineChars="200"/>
        <w:contextualSpacing/>
        <w:jc w:val="left"/>
        <w:outlineLvl w:val="9"/>
        <w:rPr>
          <w:rFonts w:ascii="Times New Roman" w:hAnsi="Times New Roman" w:eastAsia="仿宋_GB2312" w:cs="Times New Roman"/>
          <w:sz w:val="32"/>
          <w:szCs w:val="32"/>
        </w:rPr>
      </w:pPr>
      <w:r>
        <w:rPr>
          <w:rFonts w:hint="eastAsia" w:ascii="Times New Roman" w:hAnsi="Times New Roman" w:eastAsia="黑体" w:cs="Times New Roman"/>
          <w:color w:val="000000"/>
          <w:kern w:val="0"/>
          <w:sz w:val="32"/>
          <w:szCs w:val="32"/>
          <w:shd w:val="clear" w:color="auto" w:fill="FFFFFF"/>
          <w:lang w:val="zh-CN"/>
        </w:rPr>
        <w:t>一、</w:t>
      </w:r>
      <w:r>
        <w:rPr>
          <w:rFonts w:ascii="Times New Roman" w:hAnsi="Times New Roman" w:eastAsia="黑体" w:cs="Times New Roman"/>
          <w:color w:val="000000"/>
          <w:kern w:val="0"/>
          <w:sz w:val="32"/>
          <w:szCs w:val="32"/>
          <w:shd w:val="clear" w:color="auto" w:fill="FFFFFF"/>
          <w:lang w:val="zh-CN"/>
        </w:rPr>
        <w:t>部门基本情况</w:t>
      </w:r>
    </w:p>
    <w:p w14:paraId="221A29D2">
      <w:pPr>
        <w:widowControl/>
        <w:adjustRightInd w:val="0"/>
        <w:snapToGrid w:val="0"/>
        <w:spacing w:line="578" w:lineRule="exact"/>
        <w:ind w:firstLine="643" w:firstLineChars="200"/>
        <w:contextualSpacing/>
        <w:jc w:val="left"/>
        <w:outlineLvl w:val="9"/>
        <w:rPr>
          <w:rFonts w:ascii="Times New Roman" w:hAnsi="Times New Roman" w:eastAsia="楷体_GB2312" w:cs="Times New Roman"/>
          <w:b/>
          <w:bCs/>
          <w:color w:val="000000"/>
          <w:kern w:val="0"/>
          <w:sz w:val="32"/>
          <w:szCs w:val="32"/>
          <w:shd w:val="clear" w:color="auto" w:fill="FFFFFF"/>
          <w:lang w:val="zh-CN"/>
        </w:rPr>
      </w:pPr>
      <w:r>
        <w:rPr>
          <w:rFonts w:hint="eastAsia" w:ascii="Times New Roman" w:hAnsi="Times New Roman" w:eastAsia="楷体_GB2312" w:cs="Times New Roman"/>
          <w:b/>
          <w:bCs/>
          <w:color w:val="000000"/>
          <w:kern w:val="0"/>
          <w:sz w:val="32"/>
          <w:szCs w:val="32"/>
          <w:shd w:val="clear" w:color="auto" w:fill="FFFFFF"/>
          <w:lang w:val="zh-CN"/>
        </w:rPr>
        <w:t>（一）</w:t>
      </w:r>
      <w:r>
        <w:rPr>
          <w:rFonts w:ascii="Times New Roman" w:hAnsi="Times New Roman" w:eastAsia="楷体_GB2312" w:cs="Times New Roman"/>
          <w:b/>
          <w:bCs/>
          <w:color w:val="000000"/>
          <w:kern w:val="0"/>
          <w:sz w:val="32"/>
          <w:szCs w:val="32"/>
          <w:shd w:val="clear" w:color="auto" w:fill="FFFFFF"/>
          <w:lang w:val="zh-CN"/>
        </w:rPr>
        <w:t>机构组成</w:t>
      </w:r>
    </w:p>
    <w:p w14:paraId="57FBC57C">
      <w:pPr>
        <w:widowControl/>
        <w:adjustRightInd w:val="0"/>
        <w:snapToGrid w:val="0"/>
        <w:spacing w:line="578" w:lineRule="exact"/>
        <w:ind w:firstLine="640" w:firstLineChars="200"/>
        <w:contextualSpacing/>
        <w:jc w:val="left"/>
        <w:outlineLvl w:val="9"/>
        <w:rPr>
          <w:rFonts w:hint="eastAsia" w:ascii="仿宋_GB2312" w:hAnsi="仿宋" w:eastAsia="仿宋_GB2312" w:cs="宋体"/>
          <w:kern w:val="0"/>
          <w:sz w:val="32"/>
          <w:szCs w:val="32"/>
        </w:rPr>
      </w:pPr>
      <w:r>
        <w:rPr>
          <w:rFonts w:hint="eastAsia" w:ascii="仿宋_GB2312" w:hAnsi="仿宋" w:eastAsia="仿宋_GB2312" w:cs="宋体"/>
          <w:kern w:val="0"/>
          <w:sz w:val="32"/>
          <w:szCs w:val="32"/>
        </w:rPr>
        <w:t>茂县科学技术和农业畜牧局</w:t>
      </w:r>
      <w:r>
        <w:rPr>
          <w:rFonts w:hint="eastAsia" w:ascii="仿宋_GB2312" w:hAnsi="仿宋" w:eastAsia="仿宋_GB2312" w:cs="宋体"/>
          <w:kern w:val="0"/>
          <w:sz w:val="32"/>
          <w:szCs w:val="32"/>
          <w:lang w:val="en-US" w:eastAsia="zh-CN"/>
        </w:rPr>
        <w:t>属于一级决算部门有</w:t>
      </w:r>
      <w:r>
        <w:rPr>
          <w:rFonts w:hint="eastAsia" w:ascii="仿宋_GB2312" w:hAnsi="仿宋" w:eastAsia="仿宋_GB2312" w:cs="宋体"/>
          <w:kern w:val="0"/>
          <w:sz w:val="32"/>
          <w:szCs w:val="32"/>
        </w:rPr>
        <w:t>6个内设机构：办公室、农业生产股、畜牧兽医股、乡村振兴推进股、计划投资与财务股、科技和品牌创建股。</w:t>
      </w:r>
    </w:p>
    <w:p w14:paraId="0829E51F">
      <w:pPr>
        <w:widowControl w:val="0"/>
        <w:shd w:val="clear" w:color="auto" w:fill="FFFFFF"/>
        <w:spacing w:beforeAutospacing="0" w:afterAutospacing="0" w:line="540" w:lineRule="exact"/>
        <w:ind w:firstLine="643" w:firstLineChars="200"/>
        <w:jc w:val="both"/>
        <w:outlineLvl w:val="9"/>
        <w:rPr>
          <w:rFonts w:hint="eastAsia" w:ascii="Times New Roman" w:hAnsi="Times New Roman" w:eastAsia="楷体_GB2312" w:cs="Times New Roman"/>
          <w:b/>
          <w:bCs/>
          <w:color w:val="000000"/>
          <w:kern w:val="0"/>
          <w:sz w:val="32"/>
          <w:szCs w:val="32"/>
          <w:shd w:val="clear" w:color="auto" w:fill="FFFFFF"/>
          <w:lang w:val="zh-CN" w:eastAsia="zh-CN" w:bidi="ar-SA"/>
        </w:rPr>
      </w:pPr>
      <w:r>
        <w:rPr>
          <w:rFonts w:hint="eastAsia" w:ascii="Times New Roman" w:hAnsi="Times New Roman" w:eastAsia="楷体_GB2312" w:cs="Times New Roman"/>
          <w:b/>
          <w:bCs/>
          <w:color w:val="000000"/>
          <w:kern w:val="0"/>
          <w:sz w:val="32"/>
          <w:szCs w:val="32"/>
          <w:shd w:val="clear" w:color="auto" w:fill="FFFFFF"/>
          <w:lang w:val="zh-CN" w:eastAsia="zh-CN" w:bidi="ar-SA"/>
        </w:rPr>
        <w:t>（二）机构职能</w:t>
      </w:r>
    </w:p>
    <w:p w14:paraId="6708A72F">
      <w:pPr>
        <w:widowControl w:val="0"/>
        <w:shd w:val="clear" w:color="auto" w:fill="FFFFFF"/>
        <w:spacing w:beforeAutospacing="0" w:afterAutospacing="0" w:line="540" w:lineRule="exact"/>
        <w:ind w:firstLine="640" w:firstLineChars="200"/>
        <w:jc w:val="both"/>
        <w:outlineLvl w:val="9"/>
        <w:rPr>
          <w:rFonts w:ascii="仿宋_GB2312" w:hAnsi="仿宋" w:eastAsia="仿宋_GB2312" w:cs="Times New Roman"/>
          <w:kern w:val="2"/>
          <w:sz w:val="32"/>
          <w:szCs w:val="32"/>
          <w:u w:val="single"/>
          <w:lang w:val="en-US" w:eastAsia="zh-CN" w:bidi="ar-SA"/>
        </w:rPr>
      </w:pPr>
      <w:bookmarkStart w:id="169" w:name="_GoBack"/>
      <w:r>
        <w:rPr>
          <w:rFonts w:hint="eastAsia" w:ascii="仿宋_GB2312" w:hAnsi="仿宋" w:eastAsia="仿宋_GB2312" w:cs="仿宋_GB2312"/>
          <w:sz w:val="32"/>
          <w:szCs w:val="32"/>
          <w:lang w:val="en-US" w:eastAsia="zh-CN"/>
        </w:rPr>
        <w:t>1.</w:t>
      </w:r>
      <w:bookmarkEnd w:id="169"/>
      <w:r>
        <w:rPr>
          <w:rFonts w:hint="eastAsia" w:ascii="仿宋_GB2312" w:hAnsi="仿宋" w:eastAsia="仿宋_GB2312" w:cs="仿宋_GB2312"/>
          <w:kern w:val="2"/>
          <w:sz w:val="32"/>
          <w:szCs w:val="32"/>
          <w:lang w:val="en-US" w:eastAsia="zh-CN" w:bidi="ar-SA"/>
        </w:rPr>
        <w:t>组织实施全县重大科技专项，组织参与国家、省州重大科技专项。统筹关键共性技术、前沿引领技术、现代工程技术、颠覆性技术研发和创新，牵头组织重大技术攻关和科技成果应用示范。</w:t>
      </w:r>
    </w:p>
    <w:p w14:paraId="29A9CB78">
      <w:pPr>
        <w:widowControl w:val="0"/>
        <w:shd w:val="clear" w:color="auto" w:fill="FFFFFF"/>
        <w:spacing w:beforeAutospacing="0" w:afterAutospacing="0" w:line="540" w:lineRule="exact"/>
        <w:ind w:firstLine="640" w:firstLineChars="200"/>
        <w:jc w:val="both"/>
        <w:outlineLvl w:val="9"/>
        <w:rPr>
          <w:rFonts w:ascii="仿宋_GB2312" w:hAnsi="仿宋" w:eastAsia="仿宋_GB2312" w:cs="Times New Roman"/>
          <w:kern w:val="2"/>
          <w:sz w:val="32"/>
          <w:szCs w:val="32"/>
          <w:lang w:val="en-US" w:eastAsia="zh-CN" w:bidi="ar-SA"/>
        </w:rPr>
      </w:pPr>
      <w:r>
        <w:rPr>
          <w:rFonts w:hint="eastAsia" w:ascii="仿宋_GB2312" w:hAnsi="仿宋" w:eastAsia="仿宋_GB2312" w:cs="仿宋_GB2312"/>
          <w:sz w:val="32"/>
          <w:szCs w:val="32"/>
          <w:lang w:val="en-US" w:eastAsia="zh-CN"/>
        </w:rPr>
        <w:t>2.</w:t>
      </w:r>
      <w:r>
        <w:rPr>
          <w:rFonts w:hint="eastAsia" w:ascii="仿宋_GB2312" w:hAnsi="仿宋" w:eastAsia="仿宋_GB2312" w:cs="仿宋_GB2312"/>
          <w:kern w:val="2"/>
          <w:sz w:val="32"/>
          <w:szCs w:val="32"/>
          <w:lang w:val="en-US" w:eastAsia="zh-CN" w:bidi="ar-SA"/>
        </w:rPr>
        <w:t>会同有关部门制定科技人才队伍建设规划，建立健全科技人才评价和激励机制，组织实施科技人才计划，推动科技创新人才队伍建设。</w:t>
      </w:r>
    </w:p>
    <w:p w14:paraId="156F0FC9">
      <w:pPr>
        <w:widowControl w:val="0"/>
        <w:shd w:val="clear" w:color="auto" w:fill="FFFFFF"/>
        <w:spacing w:beforeAutospacing="0" w:afterAutospacing="0" w:line="540" w:lineRule="exact"/>
        <w:ind w:firstLine="640" w:firstLineChars="200"/>
        <w:jc w:val="both"/>
        <w:outlineLvl w:val="9"/>
        <w:rPr>
          <w:rFonts w:ascii="仿宋_GB2312" w:hAnsi="仿宋" w:eastAsia="仿宋_GB2312" w:cs="Times New Roman"/>
          <w:kern w:val="2"/>
          <w:sz w:val="32"/>
          <w:szCs w:val="32"/>
          <w:lang w:val="en-US" w:eastAsia="zh-CN" w:bidi="ar-SA"/>
        </w:rPr>
      </w:pPr>
      <w:r>
        <w:rPr>
          <w:rFonts w:hint="eastAsia" w:ascii="仿宋_GB2312" w:hAnsi="仿宋" w:eastAsia="仿宋_GB2312" w:cs="仿宋_GB2312"/>
          <w:sz w:val="32"/>
          <w:szCs w:val="32"/>
          <w:lang w:val="en-US" w:eastAsia="zh-CN"/>
        </w:rPr>
        <w:t>3.</w:t>
      </w:r>
      <w:r>
        <w:rPr>
          <w:rFonts w:hint="eastAsia" w:ascii="仿宋_GB2312" w:hAnsi="仿宋" w:eastAsia="仿宋_GB2312" w:cs="仿宋_GB2312"/>
          <w:kern w:val="2"/>
          <w:sz w:val="32"/>
          <w:szCs w:val="32"/>
          <w:lang w:val="en-US" w:eastAsia="zh-CN" w:bidi="ar-SA"/>
        </w:rPr>
        <w:t>统筹研究和组织实施全县“三农”工作的发展战略、中长期规划、重大政策。贯彻执行国家有关种植业、畜牧业（草原牧业）、渔业、农业机械化、农垦等农业领域工作的法律法规、政策以及省、州、县关于“三农”工作方面的决策部署。</w:t>
      </w:r>
    </w:p>
    <w:p w14:paraId="15B33159">
      <w:pPr>
        <w:widowControl w:val="0"/>
        <w:shd w:val="clear" w:color="auto" w:fill="FFFFFF"/>
        <w:spacing w:beforeAutospacing="0" w:afterAutospacing="0" w:line="540" w:lineRule="exact"/>
        <w:ind w:firstLine="640" w:firstLineChars="200"/>
        <w:jc w:val="both"/>
        <w:outlineLvl w:val="9"/>
        <w:rPr>
          <w:rFonts w:ascii="仿宋_GB2312" w:hAnsi="仿宋" w:eastAsia="仿宋_GB2312" w:cs="Times New Roman"/>
          <w:kern w:val="2"/>
          <w:sz w:val="32"/>
          <w:szCs w:val="32"/>
          <w:lang w:val="en-US" w:eastAsia="zh-CN" w:bidi="ar-SA"/>
        </w:rPr>
      </w:pPr>
      <w:r>
        <w:rPr>
          <w:rFonts w:hint="eastAsia" w:ascii="仿宋_GB2312" w:hAnsi="仿宋" w:eastAsia="仿宋_GB2312" w:cs="仿宋_GB2312"/>
          <w:sz w:val="32"/>
          <w:szCs w:val="32"/>
          <w:lang w:val="en-US" w:eastAsia="zh-CN"/>
        </w:rPr>
        <w:t>4.</w:t>
      </w:r>
      <w:r>
        <w:rPr>
          <w:rFonts w:hint="eastAsia" w:ascii="仿宋_GB2312" w:hAnsi="仿宋" w:eastAsia="仿宋_GB2312" w:cs="仿宋_GB2312"/>
          <w:kern w:val="2"/>
          <w:sz w:val="32"/>
          <w:szCs w:val="32"/>
          <w:lang w:val="en-US" w:eastAsia="zh-CN" w:bidi="ar-SA"/>
        </w:rPr>
        <w:t>统筹实施乡村振兴战略，牵头组织改善全县农村人居环境。统筹推动发展农村社会事业、农村公共服务、农村文化、农村基础设施和乡村治理。指导农业遗产的保护传承和开发利用。指导农村精神文明和优秀农耕文化建设。</w:t>
      </w:r>
    </w:p>
    <w:p w14:paraId="0F7ED6D5">
      <w:pPr>
        <w:spacing w:line="540" w:lineRule="exact"/>
        <w:ind w:firstLine="640" w:firstLineChars="200"/>
        <w:outlineLvl w:val="9"/>
        <w:rPr>
          <w:rFonts w:hint="eastAsia" w:ascii="仿宋_GB2312" w:hAnsi="仿宋" w:eastAsia="仿宋_GB2312" w:cs="仿宋_GB2312"/>
          <w:sz w:val="32"/>
          <w:szCs w:val="32"/>
        </w:rPr>
      </w:pPr>
      <w:r>
        <w:rPr>
          <w:rFonts w:hint="eastAsia" w:ascii="仿宋_GB2312" w:hAnsi="仿宋" w:eastAsia="仿宋_GB2312" w:cs="仿宋_GB2312"/>
          <w:sz w:val="32"/>
          <w:szCs w:val="32"/>
        </w:rPr>
        <w:t>5.深化全县农村经济体制改革和巩固完善农村基本经营制度。负责农民承包地、农村宅基地管理和改革有关工作。负责农村集体产权制度改革，指导农村集体经济组织发展、集体资产和财务管理工作。拟订农业产业化经营的发展规划并组织实施，指导农民合作经济组织、农业社会化服务体系、新型农业经营主体建设与发展。指导、监督减轻农民负担工作。</w:t>
      </w:r>
    </w:p>
    <w:p w14:paraId="0637E20E">
      <w:pPr>
        <w:spacing w:line="540" w:lineRule="exact"/>
        <w:ind w:firstLine="640" w:firstLineChars="200"/>
        <w:outlineLvl w:val="9"/>
        <w:rPr>
          <w:rFonts w:hint="eastAsia" w:ascii="仿宋_GB2312" w:hAnsi="仿宋" w:eastAsia="仿宋_GB2312" w:cs="仿宋_GB2312"/>
          <w:sz w:val="32"/>
          <w:szCs w:val="32"/>
        </w:rPr>
      </w:pPr>
      <w:r>
        <w:rPr>
          <w:rFonts w:hint="eastAsia" w:ascii="仿宋_GB2312" w:hAnsi="仿宋" w:eastAsia="仿宋_GB2312" w:cs="仿宋_GB2312"/>
          <w:sz w:val="32"/>
          <w:szCs w:val="32"/>
        </w:rPr>
        <w:t>6.负责全县农产品质量安全监督管理。组织开展农产品质量安全监测、追溯、风险评估。发布有关农产品质量安全状况信</w:t>
      </w:r>
      <w:r>
        <w:rPr>
          <w:rFonts w:hint="eastAsia" w:ascii="仿宋_GB2312" w:hAnsi="仿宋" w:eastAsia="仿宋_GB2312" w:cs="仿宋_GB2312"/>
          <w:sz w:val="32"/>
          <w:szCs w:val="32"/>
          <w:highlight w:val="none"/>
        </w:rPr>
        <w:t>息</w:t>
      </w:r>
      <w:r>
        <w:rPr>
          <w:rFonts w:hint="eastAsia" w:ascii="仿宋_GB2312" w:hAnsi="仿宋" w:eastAsia="仿宋_GB2312" w:cs="仿宋_GB2312"/>
          <w:sz w:val="32"/>
          <w:szCs w:val="32"/>
          <w:highlight w:val="none"/>
          <w:lang w:eastAsia="zh-CN"/>
        </w:rPr>
        <w:t>、</w:t>
      </w:r>
      <w:r>
        <w:rPr>
          <w:rFonts w:hint="eastAsia" w:ascii="仿宋_GB2312" w:hAnsi="仿宋" w:eastAsia="仿宋_GB2312" w:cs="仿宋_GB2312"/>
          <w:sz w:val="32"/>
          <w:szCs w:val="32"/>
          <w:highlight w:val="none"/>
        </w:rPr>
        <w:t>指导农业检验检测体系建设。依法组织实施符合安全标准的农产</w:t>
      </w:r>
      <w:r>
        <w:rPr>
          <w:rFonts w:hint="eastAsia" w:ascii="仿宋_GB2312" w:hAnsi="仿宋" w:eastAsia="仿宋_GB2312" w:cs="仿宋_GB2312"/>
          <w:sz w:val="32"/>
          <w:szCs w:val="32"/>
        </w:rPr>
        <w:t>品生产基地认定、产品认证、农产品地理标志登记保护和监督管理。</w:t>
      </w:r>
    </w:p>
    <w:p w14:paraId="4D295714">
      <w:pPr>
        <w:spacing w:line="540" w:lineRule="exact"/>
        <w:ind w:firstLine="640" w:firstLineChars="200"/>
        <w:outlineLvl w:val="9"/>
        <w:rPr>
          <w:rFonts w:hint="eastAsia" w:ascii="仿宋_GB2312" w:hAnsi="仿宋" w:eastAsia="仿宋_GB2312" w:cs="仿宋_GB2312"/>
          <w:sz w:val="32"/>
          <w:szCs w:val="32"/>
        </w:rPr>
      </w:pPr>
      <w:r>
        <w:rPr>
          <w:rFonts w:hint="eastAsia" w:ascii="仿宋_GB2312" w:hAnsi="仿宋" w:eastAsia="仿宋_GB2312" w:cs="仿宋_GB2312"/>
          <w:sz w:val="32"/>
          <w:szCs w:val="32"/>
        </w:rPr>
        <w:t>7.负责全县有关农业生产资料和农业投入品的监督管理。组织农业生产资料市场体系建设，承担农作物种子（种苗）、食用菌种、饲草良种、种畜禽、水产苗种、农药、兽药、饲料、饲料添加剂等农业生产资料的监督管理职责，牵头负责“瘦肉精”监督管理工作。监督管理兽医医疗器械、肥料。会同有关部门监督实施农业生产资料国家标准。组织兽医医政、兽药药政药检工作，负责执业兽医和畜禽屠宰行业管理。</w:t>
      </w:r>
    </w:p>
    <w:p w14:paraId="4201C01F">
      <w:pPr>
        <w:spacing w:line="540" w:lineRule="exact"/>
        <w:ind w:firstLine="640"/>
        <w:outlineLvl w:val="9"/>
        <w:rPr>
          <w:rFonts w:hint="eastAsia" w:ascii="仿宋_GB2312" w:hAnsi="仿宋" w:eastAsia="仿宋_GB2312" w:cs="仿宋_GB2312"/>
          <w:sz w:val="32"/>
          <w:szCs w:val="32"/>
        </w:rPr>
      </w:pPr>
      <w:r>
        <w:rPr>
          <w:rFonts w:hint="eastAsia" w:ascii="仿宋_GB2312" w:hAnsi="仿宋" w:eastAsia="仿宋_GB2312" w:cs="仿宋_GB2312"/>
          <w:sz w:val="32"/>
          <w:szCs w:val="32"/>
        </w:rPr>
        <w:t>8.负责全县农业防灾减灾、农作物重大病虫害防治工作。指导动植物防疫检疫体系建设，组织监督管理县内动植物防疫检疫工作，发布疫情并组织扑灭。组织植物检疫性有害生物普查。牵头管理外来农业物种。监测、核查、发布农业灾情，组织种子、种苗、化肥、兽药等农业生产救灾物资的储备和调拨，提出生产救灾资金安排建议，指导紧急救灾和灾后生产恢复。</w:t>
      </w:r>
    </w:p>
    <w:p w14:paraId="49211C2B">
      <w:pPr>
        <w:spacing w:line="540" w:lineRule="exact"/>
        <w:ind w:firstLine="640"/>
        <w:outlineLvl w:val="9"/>
        <w:rPr>
          <w:rFonts w:hint="eastAsia" w:ascii="仿宋_GB2312" w:hAnsi="仿宋" w:eastAsia="仿宋_GB2312" w:cs="仿宋_GB2312"/>
          <w:sz w:val="32"/>
          <w:szCs w:val="32"/>
        </w:rPr>
      </w:pPr>
      <w:r>
        <w:rPr>
          <w:rFonts w:hint="eastAsia" w:ascii="仿宋_GB2312" w:hAnsi="仿宋" w:eastAsia="仿宋_GB2312" w:cs="仿宋_GB2312"/>
          <w:sz w:val="32"/>
          <w:szCs w:val="32"/>
        </w:rPr>
        <w:t>9.负责全县农田建设管理。拟订农田建设发展规划，提出农田建设项目需求建议。负责全县农田建设管理、高标准农田建设和耕地质量管理。编制农业综合开发涉及农田建设项目、农田整治项目、农田水利建设项目的计划，并组织实施和管理。</w:t>
      </w:r>
    </w:p>
    <w:p w14:paraId="2298272D">
      <w:pPr>
        <w:spacing w:line="540" w:lineRule="exact"/>
        <w:ind w:firstLine="640"/>
        <w:outlineLvl w:val="9"/>
        <w:rPr>
          <w:rFonts w:ascii="仿宋_GB2312" w:hAnsi="仿宋" w:eastAsia="仿宋_GB2312" w:cs="Times New Roman"/>
          <w:sz w:val="32"/>
          <w:szCs w:val="32"/>
        </w:rPr>
      </w:pPr>
      <w:r>
        <w:rPr>
          <w:rFonts w:hint="eastAsia" w:ascii="仿宋_GB2312" w:hAnsi="仿宋" w:eastAsia="仿宋_GB2312" w:cs="仿宋_GB2312"/>
          <w:sz w:val="32"/>
          <w:szCs w:val="32"/>
        </w:rPr>
        <w:t>10.负责职责范围内的安全生产、生态环境保护、审批服务便民化等工作。</w:t>
      </w:r>
    </w:p>
    <w:p w14:paraId="2EACB41F">
      <w:pPr>
        <w:spacing w:line="540" w:lineRule="exact"/>
        <w:ind w:firstLine="640"/>
        <w:outlineLvl w:val="9"/>
        <w:rPr>
          <w:rFonts w:hint="eastAsia" w:ascii="仿宋_GB2312" w:hAnsi="仿宋" w:eastAsia="仿宋_GB2312" w:cs="仿宋_GB2312"/>
          <w:sz w:val="32"/>
          <w:szCs w:val="32"/>
        </w:rPr>
      </w:pPr>
      <w:r>
        <w:rPr>
          <w:rFonts w:hint="eastAsia" w:ascii="仿宋_GB2312" w:hAnsi="仿宋" w:eastAsia="仿宋_GB2312" w:cs="仿宋_GB2312"/>
          <w:sz w:val="32"/>
          <w:szCs w:val="32"/>
        </w:rPr>
        <w:t>11.完成县委、县政府交办的其他任务。</w:t>
      </w:r>
    </w:p>
    <w:p w14:paraId="65084B6F">
      <w:pPr>
        <w:widowControl w:val="0"/>
        <w:shd w:val="clear" w:color="auto" w:fill="FFFFFF"/>
        <w:spacing w:beforeAutospacing="0" w:afterAutospacing="0" w:line="540" w:lineRule="exact"/>
        <w:ind w:firstLine="643" w:firstLineChars="200"/>
        <w:jc w:val="both"/>
        <w:outlineLvl w:val="9"/>
        <w:rPr>
          <w:rFonts w:hint="eastAsia" w:ascii="Times New Roman" w:hAnsi="Times New Roman" w:eastAsia="楷体_GB2312" w:cs="Times New Roman"/>
          <w:b/>
          <w:bCs/>
          <w:color w:val="000000"/>
          <w:kern w:val="0"/>
          <w:sz w:val="32"/>
          <w:szCs w:val="32"/>
          <w:shd w:val="clear" w:color="auto" w:fill="FFFFFF"/>
          <w:lang w:val="zh-CN" w:eastAsia="zh-CN" w:bidi="ar-SA"/>
        </w:rPr>
      </w:pPr>
      <w:r>
        <w:rPr>
          <w:rFonts w:hint="eastAsia" w:ascii="Times New Roman" w:hAnsi="Times New Roman" w:eastAsia="楷体_GB2312" w:cs="Times New Roman"/>
          <w:b/>
          <w:bCs/>
          <w:color w:val="000000"/>
          <w:kern w:val="0"/>
          <w:sz w:val="32"/>
          <w:szCs w:val="32"/>
          <w:shd w:val="clear" w:color="auto" w:fill="FFFFFF"/>
          <w:lang w:val="zh-CN" w:eastAsia="zh-CN" w:bidi="ar-SA"/>
        </w:rPr>
        <w:t>（三）人员概况</w:t>
      </w:r>
    </w:p>
    <w:p w14:paraId="31CFB10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ascii="Times New Roman" w:hAnsi="Times New Roman" w:eastAsia="仿宋_GB2312" w:cs="Times New Roman"/>
          <w:sz w:val="32"/>
        </w:rPr>
      </w:pPr>
      <w:r>
        <w:rPr>
          <w:rFonts w:hint="eastAsia" w:ascii="仿宋_GB2312" w:hAnsi="仿宋_GB2312" w:eastAsia="仿宋_GB2312" w:cs="仿宋_GB2312"/>
          <w:color w:val="000000"/>
          <w:sz w:val="32"/>
          <w:szCs w:val="32"/>
        </w:rPr>
        <w:t>20</w:t>
      </w:r>
      <w:r>
        <w:rPr>
          <w:rFonts w:hint="eastAsia" w:ascii="仿宋_GB2312" w:hAnsi="仿宋_GB2312" w:eastAsia="仿宋_GB2312" w:cs="仿宋_GB2312"/>
          <w:color w:val="000000"/>
          <w:sz w:val="32"/>
          <w:szCs w:val="32"/>
          <w:lang w:val="en-US" w:eastAsia="zh-CN"/>
        </w:rPr>
        <w:t>25</w:t>
      </w:r>
      <w:r>
        <w:rPr>
          <w:rFonts w:hint="eastAsia" w:ascii="仿宋_GB2312" w:hAnsi="仿宋_GB2312" w:eastAsia="仿宋_GB2312" w:cs="仿宋_GB2312"/>
          <w:color w:val="000000"/>
          <w:sz w:val="32"/>
          <w:szCs w:val="32"/>
        </w:rPr>
        <w:t>年茂县科学技术和农业畜牧局</w:t>
      </w:r>
      <w:r>
        <w:rPr>
          <w:rFonts w:hint="eastAsia" w:ascii="仿宋_GB2312" w:hAnsi="宋体" w:eastAsia="仿宋_GB2312" w:cs="宋体"/>
          <w:color w:val="000000"/>
          <w:kern w:val="0"/>
          <w:sz w:val="32"/>
          <w:szCs w:val="32"/>
        </w:rPr>
        <w:t>总编</w:t>
      </w:r>
      <w:r>
        <w:rPr>
          <w:rFonts w:hint="eastAsia" w:ascii="仿宋_GB2312" w:hAnsi="宋体" w:eastAsia="仿宋_GB2312" w:cs="宋体"/>
          <w:color w:val="000000"/>
          <w:kern w:val="0"/>
          <w:sz w:val="32"/>
          <w:szCs w:val="32"/>
          <w:highlight w:val="none"/>
        </w:rPr>
        <w:t>制</w:t>
      </w:r>
      <w:r>
        <w:rPr>
          <w:rFonts w:hint="eastAsia" w:ascii="仿宋_GB2312" w:hAnsi="宋体" w:eastAsia="仿宋_GB2312" w:cs="宋体"/>
          <w:color w:val="000000"/>
          <w:kern w:val="0"/>
          <w:sz w:val="32"/>
          <w:szCs w:val="32"/>
          <w:highlight w:val="none"/>
          <w:lang w:val="en-US" w:eastAsia="zh-CN"/>
        </w:rPr>
        <w:t>79</w:t>
      </w:r>
      <w:r>
        <w:rPr>
          <w:rFonts w:hint="eastAsia" w:ascii="仿宋_GB2312" w:hAnsi="宋体" w:eastAsia="仿宋_GB2312" w:cs="宋体"/>
          <w:color w:val="000000"/>
          <w:kern w:val="0"/>
          <w:sz w:val="32"/>
          <w:szCs w:val="32"/>
          <w:highlight w:val="none"/>
        </w:rPr>
        <w:t>名</w:t>
      </w:r>
      <w:r>
        <w:rPr>
          <w:rFonts w:hint="eastAsia" w:ascii="仿宋_GB2312" w:hAnsi="宋体" w:eastAsia="仿宋_GB2312" w:cs="宋体"/>
          <w:color w:val="000000"/>
          <w:kern w:val="0"/>
          <w:sz w:val="32"/>
          <w:szCs w:val="32"/>
          <w:highlight w:val="none"/>
          <w:lang w:eastAsia="zh-CN"/>
        </w:rPr>
        <w:t>。</w:t>
      </w:r>
      <w:r>
        <w:rPr>
          <w:rFonts w:hint="eastAsia" w:ascii="仿宋_GB2312" w:hAnsi="仿宋_GB2312" w:eastAsia="仿宋_GB2312" w:cs="仿宋_GB2312"/>
          <w:sz w:val="32"/>
          <w:szCs w:val="32"/>
          <w:highlight w:val="none"/>
        </w:rPr>
        <w:t>其</w:t>
      </w:r>
      <w:r>
        <w:rPr>
          <w:rFonts w:hint="eastAsia" w:ascii="仿宋_GB2312" w:hAnsi="仿宋_GB2312" w:eastAsia="仿宋_GB2312" w:cs="仿宋_GB2312"/>
          <w:sz w:val="32"/>
          <w:szCs w:val="32"/>
        </w:rPr>
        <w:t>中：行政编制</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名，参照公务员法管理的事业人员</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工勤人员</w:t>
      </w:r>
      <w:r>
        <w:rPr>
          <w:rFonts w:hint="eastAsia" w:ascii="仿宋_GB2312" w:hAnsi="仿宋_GB2312" w:eastAsia="仿宋_GB2312" w:cs="仿宋_GB2312"/>
          <w:sz w:val="32"/>
          <w:szCs w:val="32"/>
          <w:lang w:val="en-US" w:eastAsia="zh-CN"/>
        </w:rPr>
        <w:t>编制18</w:t>
      </w:r>
      <w:r>
        <w:rPr>
          <w:rFonts w:hint="eastAsia" w:ascii="仿宋_GB2312" w:hAnsi="仿宋_GB2312" w:eastAsia="仿宋_GB2312" w:cs="仿宋_GB2312"/>
          <w:sz w:val="32"/>
          <w:szCs w:val="32"/>
        </w:rPr>
        <w:t>名，事业编制</w:t>
      </w:r>
      <w:r>
        <w:rPr>
          <w:rFonts w:hint="eastAsia" w:ascii="仿宋_GB2312" w:hAnsi="仿宋_GB2312" w:eastAsia="仿宋_GB2312" w:cs="仿宋_GB2312"/>
          <w:sz w:val="32"/>
          <w:szCs w:val="32"/>
          <w:lang w:val="en-US" w:eastAsia="zh-CN"/>
        </w:rPr>
        <w:t>49</w:t>
      </w:r>
      <w:r>
        <w:rPr>
          <w:rFonts w:hint="eastAsia" w:ascii="仿宋_GB2312" w:hAnsi="仿宋_GB2312" w:eastAsia="仿宋_GB2312" w:cs="仿宋_GB2312"/>
          <w:sz w:val="32"/>
          <w:szCs w:val="32"/>
        </w:rPr>
        <w:t>名。在职人员总数</w:t>
      </w:r>
      <w:r>
        <w:rPr>
          <w:rFonts w:hint="eastAsia" w:ascii="仿宋_GB2312" w:hAnsi="仿宋_GB2312" w:eastAsia="仿宋_GB2312" w:cs="仿宋_GB2312"/>
          <w:sz w:val="32"/>
          <w:szCs w:val="32"/>
          <w:lang w:val="en-US" w:eastAsia="zh-CN"/>
        </w:rPr>
        <w:t>79</w:t>
      </w:r>
      <w:r>
        <w:rPr>
          <w:rFonts w:hint="eastAsia" w:ascii="仿宋_GB2312" w:hAnsi="仿宋_GB2312" w:eastAsia="仿宋_GB2312" w:cs="仿宋_GB2312"/>
          <w:sz w:val="32"/>
          <w:szCs w:val="32"/>
        </w:rPr>
        <w:t>名，其中：行政人员1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名</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参照公务员法管理的事业人员</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工勤人员</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名；事业</w:t>
      </w:r>
      <w:r>
        <w:rPr>
          <w:rFonts w:hint="eastAsia" w:ascii="仿宋" w:hAnsi="仿宋" w:eastAsia="仿宋" w:cs="仿宋"/>
          <w:sz w:val="32"/>
          <w:szCs w:val="32"/>
        </w:rPr>
        <w:t>人员</w:t>
      </w:r>
      <w:r>
        <w:rPr>
          <w:rFonts w:hint="eastAsia" w:ascii="仿宋" w:hAnsi="仿宋" w:eastAsia="仿宋" w:cs="仿宋"/>
          <w:sz w:val="32"/>
          <w:szCs w:val="32"/>
          <w:lang w:val="en-US" w:eastAsia="zh-CN"/>
        </w:rPr>
        <w:t>49</w:t>
      </w:r>
      <w:r>
        <w:rPr>
          <w:rFonts w:hint="eastAsia" w:ascii="仿宋" w:hAnsi="仿宋" w:eastAsia="仿宋" w:cs="仿宋"/>
          <w:sz w:val="32"/>
          <w:szCs w:val="32"/>
        </w:rPr>
        <w:t>名；编外长期聘用人员3名，退休人员</w:t>
      </w:r>
      <w:r>
        <w:rPr>
          <w:rFonts w:hint="eastAsia" w:ascii="仿宋" w:hAnsi="仿宋" w:eastAsia="仿宋" w:cs="仿宋"/>
          <w:sz w:val="32"/>
          <w:szCs w:val="32"/>
          <w:lang w:val="en-US" w:eastAsia="zh-CN"/>
        </w:rPr>
        <w:t>57</w:t>
      </w:r>
      <w:r>
        <w:rPr>
          <w:rFonts w:hint="eastAsia" w:ascii="仿宋" w:hAnsi="仿宋" w:eastAsia="仿宋" w:cs="仿宋"/>
          <w:sz w:val="32"/>
          <w:szCs w:val="32"/>
        </w:rPr>
        <w:t>人</w:t>
      </w:r>
      <w:r>
        <w:rPr>
          <w:rFonts w:hint="eastAsia" w:ascii="仿宋_GB2312" w:hAnsi="宋体" w:eastAsia="仿宋_GB2312" w:cs="宋体"/>
          <w:color w:val="000000"/>
          <w:kern w:val="0"/>
          <w:sz w:val="32"/>
          <w:szCs w:val="32"/>
        </w:rPr>
        <w:t>。</w:t>
      </w:r>
    </w:p>
    <w:p w14:paraId="5C4DA3A0">
      <w:pPr>
        <w:widowControl/>
        <w:adjustRightInd w:val="0"/>
        <w:snapToGrid w:val="0"/>
        <w:spacing w:line="578" w:lineRule="exact"/>
        <w:ind w:firstLine="640" w:firstLineChars="200"/>
        <w:contextualSpacing/>
        <w:jc w:val="left"/>
        <w:outlineLvl w:val="9"/>
        <w:rPr>
          <w:rFonts w:hint="eastAsia" w:ascii="Times New Roman" w:hAnsi="Times New Roman" w:eastAsia="黑体" w:cs="Times New Roman"/>
          <w:color w:val="000000"/>
          <w:kern w:val="0"/>
          <w:sz w:val="32"/>
          <w:szCs w:val="32"/>
          <w:shd w:val="clear" w:color="auto" w:fill="FFFFFF"/>
          <w:lang w:val="zh-CN"/>
        </w:rPr>
      </w:pPr>
      <w:r>
        <w:rPr>
          <w:rFonts w:hint="eastAsia" w:ascii="Times New Roman" w:hAnsi="Times New Roman" w:eastAsia="黑体" w:cs="Times New Roman"/>
          <w:color w:val="000000"/>
          <w:kern w:val="0"/>
          <w:sz w:val="32"/>
          <w:szCs w:val="32"/>
          <w:shd w:val="clear" w:color="auto" w:fill="FFFFFF"/>
          <w:lang w:val="zh-CN"/>
        </w:rPr>
        <w:t>二、部门资金收支情况</w:t>
      </w:r>
    </w:p>
    <w:p w14:paraId="4EB72D93">
      <w:pPr>
        <w:widowControl/>
        <w:adjustRightInd w:val="0"/>
        <w:snapToGrid w:val="0"/>
        <w:spacing w:line="540" w:lineRule="exact"/>
        <w:ind w:firstLine="720"/>
        <w:jc w:val="left"/>
        <w:outlineLvl w:val="9"/>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（一）</w:t>
      </w:r>
      <w:r>
        <w:rPr>
          <w:rFonts w:hint="eastAsia" w:ascii="Times New Roman" w:hAnsi="Times New Roman" w:eastAsia="楷体_GB2312" w:cs="Times New Roman"/>
          <w:b/>
          <w:bCs/>
          <w:color w:val="000000"/>
          <w:kern w:val="0"/>
          <w:sz w:val="32"/>
          <w:szCs w:val="32"/>
          <w:shd w:val="clear" w:color="auto" w:fill="FFFFFF"/>
          <w:lang w:val="zh-CN"/>
        </w:rPr>
        <w:t>收入情况</w:t>
      </w:r>
    </w:p>
    <w:p w14:paraId="50E3C5D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cs="仿宋_GB2312"/>
          <w:sz w:val="32"/>
          <w:szCs w:val="32"/>
        </w:rPr>
      </w:pPr>
      <w:r>
        <w:rPr>
          <w:rFonts w:hint="eastAsia" w:ascii="仿宋_GB2312" w:eastAsia="仿宋_GB2312" w:cs="仿宋_GB2312"/>
          <w:kern w:val="0"/>
          <w:sz w:val="32"/>
          <w:szCs w:val="32"/>
          <w:lang w:eastAsia="zh-CN"/>
        </w:rPr>
        <w:t>2025</w:t>
      </w:r>
      <w:r>
        <w:rPr>
          <w:rFonts w:ascii="仿宋_GB2312" w:eastAsia="仿宋_GB2312" w:cs="仿宋_GB2312"/>
          <w:kern w:val="0"/>
          <w:sz w:val="32"/>
          <w:szCs w:val="32"/>
        </w:rPr>
        <w:t>年</w:t>
      </w:r>
      <w:r>
        <w:rPr>
          <w:rFonts w:hint="eastAsia" w:ascii="仿宋_GB2312" w:eastAsia="仿宋_GB2312" w:cs="仿宋_GB2312"/>
          <w:kern w:val="0"/>
          <w:sz w:val="32"/>
          <w:szCs w:val="32"/>
          <w:lang w:val="en-US" w:eastAsia="zh-CN"/>
        </w:rPr>
        <w:t>度</w:t>
      </w:r>
      <w:r>
        <w:rPr>
          <w:rFonts w:ascii="仿宋_GB2312" w:eastAsia="仿宋_GB2312" w:cs="仿宋_GB2312"/>
          <w:kern w:val="0"/>
          <w:sz w:val="32"/>
          <w:szCs w:val="32"/>
        </w:rPr>
        <w:t>本年收入合计</w:t>
      </w:r>
      <w:r>
        <w:rPr>
          <w:rFonts w:hint="eastAsia" w:ascii="仿宋_GB2312" w:eastAsia="仿宋_GB2312" w:cs="仿宋_GB2312"/>
          <w:kern w:val="0"/>
          <w:sz w:val="32"/>
          <w:szCs w:val="32"/>
          <w:lang w:val="en-US" w:eastAsia="zh-CN"/>
        </w:rPr>
        <w:t>14289.64</w:t>
      </w:r>
      <w:r>
        <w:rPr>
          <w:rFonts w:ascii="仿宋_GB2312" w:eastAsia="仿宋_GB2312" w:cs="仿宋_GB2312"/>
          <w:kern w:val="0"/>
          <w:sz w:val="32"/>
          <w:szCs w:val="32"/>
        </w:rPr>
        <w:t>万元，一般公共预算财政拨款收入</w:t>
      </w:r>
      <w:r>
        <w:rPr>
          <w:rFonts w:hint="eastAsia" w:ascii="仿宋_GB2312" w:eastAsia="仿宋_GB2312" w:cs="仿宋_GB2312"/>
          <w:kern w:val="0"/>
          <w:sz w:val="32"/>
          <w:szCs w:val="32"/>
          <w:lang w:val="en-US" w:eastAsia="zh-CN"/>
        </w:rPr>
        <w:t>13107.93</w:t>
      </w:r>
      <w:r>
        <w:rPr>
          <w:rFonts w:ascii="仿宋_GB2312" w:eastAsia="仿宋_GB2312" w:cs="仿宋_GB2312"/>
          <w:kern w:val="0"/>
          <w:sz w:val="32"/>
          <w:szCs w:val="32"/>
        </w:rPr>
        <w:t>万元，占</w:t>
      </w:r>
      <w:r>
        <w:rPr>
          <w:rFonts w:hint="eastAsia" w:ascii="仿宋_GB2312" w:eastAsia="仿宋_GB2312" w:cs="仿宋_GB2312"/>
          <w:kern w:val="0"/>
          <w:sz w:val="32"/>
          <w:szCs w:val="32"/>
          <w:lang w:val="en-US" w:eastAsia="zh-CN"/>
        </w:rPr>
        <w:t>91.73</w:t>
      </w:r>
      <w:r>
        <w:rPr>
          <w:rFonts w:ascii="仿宋_GB2312" w:eastAsia="仿宋_GB2312" w:cs="仿宋_GB2312"/>
          <w:kern w:val="0"/>
          <w:sz w:val="32"/>
          <w:szCs w:val="32"/>
        </w:rPr>
        <w:t>%</w:t>
      </w:r>
      <w:r>
        <w:rPr>
          <w:rFonts w:hint="eastAsia" w:ascii="仿宋_GB2312" w:eastAsia="仿宋_GB2312" w:cs="仿宋_GB2312"/>
          <w:kern w:val="0"/>
          <w:sz w:val="32"/>
          <w:szCs w:val="32"/>
          <w:lang w:eastAsia="zh-CN"/>
        </w:rPr>
        <w:t>；</w:t>
      </w:r>
      <w:r>
        <w:rPr>
          <w:rFonts w:hint="eastAsia" w:ascii="仿宋" w:eastAsia="仿宋" w:cs="Times New Roman"/>
          <w:color w:val="000000"/>
          <w:sz w:val="32"/>
          <w:szCs w:val="32"/>
          <w:lang w:val="en-US" w:eastAsia="zh-CN"/>
        </w:rPr>
        <w:t>政府性基金预算</w:t>
      </w:r>
      <w:r>
        <w:rPr>
          <w:rFonts w:hint="eastAsia" w:ascii="仿宋_GB2312" w:eastAsia="仿宋_GB2312" w:cs="仿宋_GB2312"/>
          <w:sz w:val="32"/>
          <w:szCs w:val="32"/>
        </w:rPr>
        <w:t>财政拨款收入</w:t>
      </w:r>
      <w:r>
        <w:rPr>
          <w:rFonts w:hint="eastAsia" w:ascii="仿宋_GB2312" w:eastAsia="仿宋_GB2312" w:cs="仿宋_GB2312"/>
          <w:sz w:val="32"/>
          <w:szCs w:val="32"/>
          <w:lang w:val="en-US" w:eastAsia="zh-CN"/>
        </w:rPr>
        <w:t>1161.71</w:t>
      </w:r>
      <w:r>
        <w:rPr>
          <w:rFonts w:hint="eastAsia" w:ascii="仿宋_GB2312" w:eastAsia="仿宋_GB2312" w:cs="仿宋_GB2312"/>
          <w:sz w:val="32"/>
          <w:szCs w:val="32"/>
        </w:rPr>
        <w:t>万元，</w:t>
      </w:r>
      <w:r>
        <w:rPr>
          <w:rFonts w:hint="eastAsia" w:ascii="仿宋_GB2312" w:eastAsia="仿宋_GB2312" w:cs="仿宋_GB2312"/>
          <w:kern w:val="0"/>
          <w:sz w:val="32"/>
          <w:szCs w:val="32"/>
          <w:lang w:eastAsia="zh-CN"/>
        </w:rPr>
        <w:t>占</w:t>
      </w:r>
      <w:r>
        <w:rPr>
          <w:rFonts w:hint="eastAsia" w:ascii="仿宋_GB2312" w:eastAsia="仿宋_GB2312" w:cs="仿宋_GB2312"/>
          <w:kern w:val="0"/>
          <w:sz w:val="32"/>
          <w:szCs w:val="32"/>
          <w:lang w:val="en-US" w:eastAsia="zh-CN"/>
        </w:rPr>
        <w:t>8.13</w:t>
      </w:r>
      <w:r>
        <w:rPr>
          <w:rFonts w:hint="eastAsia" w:ascii="仿宋_GB2312" w:eastAsia="仿宋_GB2312" w:cs="仿宋_GB2312"/>
          <w:kern w:val="0"/>
          <w:sz w:val="32"/>
          <w:szCs w:val="32"/>
          <w:lang w:eastAsia="zh-CN"/>
        </w:rPr>
        <w:t>%；其他</w:t>
      </w:r>
      <w:r>
        <w:rPr>
          <w:rFonts w:hint="eastAsia" w:ascii="仿宋_GB2312" w:eastAsia="仿宋_GB2312" w:cs="仿宋_GB2312"/>
          <w:kern w:val="0"/>
          <w:sz w:val="32"/>
          <w:szCs w:val="32"/>
          <w:lang w:val="en-US" w:eastAsia="zh-CN"/>
        </w:rPr>
        <w:t>预算</w:t>
      </w:r>
      <w:r>
        <w:rPr>
          <w:rFonts w:hint="eastAsia" w:ascii="仿宋_GB2312" w:eastAsia="仿宋_GB2312" w:cs="仿宋_GB2312"/>
          <w:kern w:val="0"/>
          <w:sz w:val="32"/>
          <w:szCs w:val="32"/>
          <w:lang w:eastAsia="zh-CN"/>
        </w:rPr>
        <w:t>财政拨款收入</w:t>
      </w:r>
      <w:r>
        <w:rPr>
          <w:rFonts w:hint="eastAsia" w:ascii="仿宋_GB2312" w:eastAsia="仿宋_GB2312" w:cs="仿宋_GB2312"/>
          <w:kern w:val="0"/>
          <w:sz w:val="32"/>
          <w:szCs w:val="32"/>
          <w:lang w:val="en-US" w:eastAsia="zh-CN"/>
        </w:rPr>
        <w:t>20</w:t>
      </w:r>
      <w:r>
        <w:rPr>
          <w:rFonts w:hint="eastAsia" w:ascii="仿宋_GB2312" w:eastAsia="仿宋_GB2312" w:cs="仿宋_GB2312"/>
          <w:kern w:val="0"/>
          <w:sz w:val="32"/>
          <w:szCs w:val="32"/>
          <w:lang w:eastAsia="zh-CN"/>
        </w:rPr>
        <w:t>万元，占</w:t>
      </w:r>
      <w:r>
        <w:rPr>
          <w:rFonts w:hint="eastAsia" w:ascii="仿宋_GB2312" w:eastAsia="仿宋_GB2312" w:cs="仿宋_GB2312"/>
          <w:kern w:val="0"/>
          <w:sz w:val="32"/>
          <w:szCs w:val="32"/>
          <w:lang w:val="en-US" w:eastAsia="zh-CN"/>
        </w:rPr>
        <w:t>0.14</w:t>
      </w:r>
      <w:r>
        <w:rPr>
          <w:rFonts w:hint="eastAsia" w:ascii="仿宋_GB2312" w:eastAsia="仿宋_GB2312" w:cs="仿宋_GB2312"/>
          <w:kern w:val="0"/>
          <w:sz w:val="32"/>
          <w:szCs w:val="32"/>
          <w:lang w:eastAsia="zh-CN"/>
        </w:rPr>
        <w:t>%。</w:t>
      </w:r>
    </w:p>
    <w:p w14:paraId="4AF6A675">
      <w:pPr>
        <w:widowControl/>
        <w:numPr>
          <w:ilvl w:val="0"/>
          <w:numId w:val="1"/>
        </w:numPr>
        <w:adjustRightInd w:val="0"/>
        <w:snapToGrid w:val="0"/>
        <w:spacing w:line="540" w:lineRule="exact"/>
        <w:ind w:firstLine="720"/>
        <w:jc w:val="left"/>
        <w:outlineLvl w:val="9"/>
        <w:rPr>
          <w:rFonts w:ascii="Times New Roman" w:hAnsi="Times New Roman" w:eastAsia="楷体_GB2312" w:cs="Times New Roman"/>
          <w:b/>
          <w:bCs/>
          <w:color w:val="000000"/>
          <w:kern w:val="0"/>
          <w:sz w:val="32"/>
          <w:szCs w:val="32"/>
          <w:shd w:val="clear" w:color="auto" w:fill="FFFFFF"/>
          <w:lang w:val="zh-CN"/>
        </w:rPr>
      </w:pPr>
      <w:r>
        <w:rPr>
          <w:rFonts w:hint="eastAsia" w:ascii="Times New Roman" w:hAnsi="Times New Roman" w:eastAsia="楷体_GB2312" w:cs="Times New Roman"/>
          <w:b/>
          <w:bCs/>
          <w:color w:val="000000"/>
          <w:kern w:val="0"/>
          <w:sz w:val="32"/>
          <w:szCs w:val="32"/>
          <w:shd w:val="clear" w:color="auto" w:fill="FFFFFF"/>
          <w:lang w:val="zh-CN"/>
        </w:rPr>
        <w:t>支出情况</w:t>
      </w:r>
    </w:p>
    <w:p w14:paraId="5AEB6311">
      <w:pPr>
        <w:widowControl/>
        <w:numPr>
          <w:ilvl w:val="0"/>
          <w:numId w:val="0"/>
        </w:numPr>
        <w:adjustRightInd w:val="0"/>
        <w:snapToGrid w:val="0"/>
        <w:spacing w:line="540" w:lineRule="exact"/>
        <w:ind w:firstLine="640" w:firstLineChars="200"/>
        <w:jc w:val="both"/>
        <w:outlineLvl w:val="9"/>
        <w:rPr>
          <w:rFonts w:ascii="Times New Roman" w:hAnsi="Times New Roman" w:eastAsia="仿宋_GB2312" w:cs="Times New Roman"/>
          <w:sz w:val="32"/>
          <w:szCs w:val="32"/>
          <w:highlight w:val="none"/>
          <w:lang w:val="zh-CN"/>
        </w:rPr>
      </w:pPr>
      <w:r>
        <w:rPr>
          <w:rFonts w:hint="eastAsia" w:ascii="仿宋_GB2312" w:hAnsi="仿宋_GB2312" w:eastAsia="仿宋_GB2312" w:cs="仿宋_GB2312"/>
          <w:color w:val="000000"/>
          <w:sz w:val="32"/>
          <w:szCs w:val="32"/>
          <w:highlight w:val="none"/>
        </w:rPr>
        <w:t>20</w:t>
      </w:r>
      <w:r>
        <w:rPr>
          <w:rFonts w:hint="eastAsia" w:ascii="仿宋_GB2312" w:hAnsi="仿宋_GB2312" w:eastAsia="仿宋_GB2312" w:cs="仿宋_GB2312"/>
          <w:color w:val="000000"/>
          <w:sz w:val="32"/>
          <w:szCs w:val="32"/>
          <w:highlight w:val="none"/>
          <w:lang w:val="en-US" w:eastAsia="zh-CN"/>
        </w:rPr>
        <w:t>25</w:t>
      </w:r>
      <w:r>
        <w:rPr>
          <w:rFonts w:hint="eastAsia" w:ascii="仿宋_GB2312" w:hAnsi="仿宋_GB2312" w:eastAsia="仿宋_GB2312" w:cs="仿宋_GB2312"/>
          <w:color w:val="000000"/>
          <w:sz w:val="32"/>
          <w:szCs w:val="32"/>
          <w:highlight w:val="none"/>
        </w:rPr>
        <w:t>年部门总支出</w:t>
      </w:r>
      <w:r>
        <w:rPr>
          <w:rFonts w:hint="eastAsia" w:ascii="仿宋_GB2312" w:hAnsi="仿宋" w:eastAsia="仿宋_GB2312" w:cs="宋体"/>
          <w:color w:val="000000"/>
          <w:kern w:val="0"/>
          <w:sz w:val="32"/>
          <w:szCs w:val="32"/>
          <w:highlight w:val="none"/>
          <w:shd w:val="clear" w:color="auto" w:fill="FFFFFF"/>
          <w:lang w:val="en-US" w:eastAsia="zh-CN"/>
        </w:rPr>
        <w:t>14286.61</w:t>
      </w:r>
      <w:r>
        <w:rPr>
          <w:rFonts w:hint="eastAsia" w:ascii="仿宋_GB2312" w:hAnsi="仿宋_GB2312" w:eastAsia="仿宋_GB2312" w:cs="仿宋_GB2312"/>
          <w:color w:val="000000"/>
          <w:sz w:val="32"/>
          <w:szCs w:val="32"/>
          <w:highlight w:val="none"/>
        </w:rPr>
        <w:t>万元，其中：基本支出</w:t>
      </w:r>
      <w:r>
        <w:rPr>
          <w:rFonts w:hint="eastAsia" w:ascii="仿宋_GB2312" w:hAnsi="仿宋_GB2312" w:eastAsia="仿宋_GB2312" w:cs="仿宋_GB2312"/>
          <w:color w:val="000000"/>
          <w:sz w:val="32"/>
          <w:szCs w:val="32"/>
          <w:highlight w:val="none"/>
          <w:lang w:val="en-US" w:eastAsia="zh-CN"/>
        </w:rPr>
        <w:t>2111.74</w:t>
      </w:r>
      <w:r>
        <w:rPr>
          <w:rFonts w:hint="eastAsia" w:ascii="仿宋_GB2312" w:hAnsi="仿宋_GB2312" w:eastAsia="仿宋_GB2312" w:cs="仿宋_GB2312"/>
          <w:color w:val="000000"/>
          <w:sz w:val="32"/>
          <w:szCs w:val="32"/>
          <w:highlight w:val="none"/>
        </w:rPr>
        <w:t>万元，占总支出的</w:t>
      </w:r>
      <w:r>
        <w:rPr>
          <w:rFonts w:hint="eastAsia" w:ascii="仿宋_GB2312" w:hAnsi="仿宋_GB2312" w:eastAsia="仿宋_GB2312" w:cs="仿宋_GB2312"/>
          <w:color w:val="000000"/>
          <w:sz w:val="32"/>
          <w:szCs w:val="32"/>
          <w:highlight w:val="none"/>
          <w:lang w:val="en-US" w:eastAsia="zh-CN"/>
        </w:rPr>
        <w:t>14.78</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szCs w:val="32"/>
          <w:highlight w:val="none"/>
          <w:lang w:val="en-US" w:eastAsia="zh-CN"/>
        </w:rPr>
        <w:t>；</w:t>
      </w:r>
      <w:r>
        <w:rPr>
          <w:rFonts w:hint="eastAsia" w:ascii="仿宋_GB2312" w:hAnsi="仿宋_GB2312" w:eastAsia="仿宋_GB2312" w:cs="仿宋_GB2312"/>
          <w:color w:val="000000"/>
          <w:sz w:val="32"/>
          <w:szCs w:val="32"/>
          <w:highlight w:val="none"/>
        </w:rPr>
        <w:t>项目支出</w:t>
      </w:r>
      <w:r>
        <w:rPr>
          <w:rFonts w:hint="eastAsia" w:ascii="仿宋_GB2312" w:hAnsi="仿宋_GB2312" w:eastAsia="仿宋_GB2312" w:cs="仿宋_GB2312"/>
          <w:color w:val="000000"/>
          <w:sz w:val="32"/>
          <w:szCs w:val="32"/>
          <w:highlight w:val="none"/>
          <w:lang w:val="en-US" w:eastAsia="zh-CN"/>
        </w:rPr>
        <w:t>12174.86</w:t>
      </w:r>
      <w:r>
        <w:rPr>
          <w:rFonts w:hint="eastAsia" w:ascii="仿宋_GB2312" w:hAnsi="仿宋_GB2312" w:eastAsia="仿宋_GB2312" w:cs="仿宋_GB2312"/>
          <w:color w:val="000000"/>
          <w:sz w:val="32"/>
          <w:szCs w:val="32"/>
          <w:highlight w:val="none"/>
        </w:rPr>
        <w:t>万元，占总支出的</w:t>
      </w:r>
      <w:r>
        <w:rPr>
          <w:rFonts w:hint="eastAsia" w:ascii="仿宋_GB2312" w:hAnsi="仿宋_GB2312" w:eastAsia="仿宋_GB2312" w:cs="仿宋_GB2312"/>
          <w:color w:val="000000"/>
          <w:sz w:val="32"/>
          <w:szCs w:val="32"/>
          <w:highlight w:val="none"/>
          <w:lang w:val="en-US" w:eastAsia="zh-CN"/>
        </w:rPr>
        <w:t>85.22</w:t>
      </w:r>
      <w:r>
        <w:rPr>
          <w:rFonts w:hint="eastAsia" w:ascii="仿宋_GB2312" w:hAnsi="仿宋_GB2312" w:eastAsia="仿宋_GB2312" w:cs="仿宋_GB2312"/>
          <w:color w:val="000000"/>
          <w:sz w:val="32"/>
          <w:szCs w:val="32"/>
          <w:highlight w:val="none"/>
        </w:rPr>
        <w:t>％。</w:t>
      </w:r>
    </w:p>
    <w:p w14:paraId="7AB09616">
      <w:pPr>
        <w:widowControl/>
        <w:numPr>
          <w:ilvl w:val="0"/>
          <w:numId w:val="1"/>
        </w:numPr>
        <w:adjustRightInd w:val="0"/>
        <w:snapToGrid w:val="0"/>
        <w:spacing w:line="540" w:lineRule="exact"/>
        <w:ind w:firstLine="720"/>
        <w:jc w:val="left"/>
        <w:outlineLvl w:val="9"/>
        <w:rPr>
          <w:rFonts w:hint="default" w:ascii="Times New Roman" w:hAnsi="Times New Roman" w:eastAsia="楷体_GB2312" w:cs="Times New Roman"/>
          <w:b/>
          <w:bCs/>
          <w:color w:val="000000"/>
          <w:kern w:val="0"/>
          <w:sz w:val="32"/>
          <w:szCs w:val="32"/>
          <w:shd w:val="clear" w:color="auto" w:fill="FFFFFF"/>
          <w:lang w:val="en-US" w:eastAsia="zh-CN"/>
        </w:rPr>
      </w:pPr>
      <w:r>
        <w:rPr>
          <w:rFonts w:hint="eastAsia" w:ascii="Times New Roman" w:hAnsi="Times New Roman" w:eastAsia="楷体_GB2312" w:cs="Times New Roman"/>
          <w:b/>
          <w:bCs/>
          <w:color w:val="000000"/>
          <w:kern w:val="0"/>
          <w:sz w:val="32"/>
          <w:szCs w:val="32"/>
          <w:shd w:val="clear" w:color="auto" w:fill="FFFFFF"/>
          <w:lang w:val="zh-CN"/>
        </w:rPr>
        <w:t>结余分配和结转结余情况</w:t>
      </w:r>
    </w:p>
    <w:p w14:paraId="41560B1D">
      <w:pPr>
        <w:widowControl/>
        <w:adjustRightInd w:val="0"/>
        <w:snapToGrid w:val="0"/>
        <w:spacing w:line="560" w:lineRule="exact"/>
        <w:ind w:firstLine="640" w:firstLineChars="200"/>
        <w:contextualSpacing/>
        <w:jc w:val="left"/>
        <w:outlineLvl w:val="9"/>
        <w:rPr>
          <w:rFonts w:ascii="仿宋_GB2312" w:hAnsi="宋体" w:eastAsia="仿宋_GB2312" w:cs="宋体"/>
          <w:color w:val="000000"/>
          <w:kern w:val="0"/>
          <w:sz w:val="32"/>
          <w:szCs w:val="32"/>
          <w:shd w:val="clear" w:color="auto" w:fill="FFFFFF"/>
          <w:lang w:val="zh-CN"/>
        </w:rPr>
      </w:pPr>
      <w:r>
        <w:rPr>
          <w:rFonts w:ascii="仿宋_GB2312" w:hAnsi="宋体" w:eastAsia="仿宋_GB2312" w:cs="宋体"/>
          <w:color w:val="000000"/>
          <w:kern w:val="0"/>
          <w:sz w:val="32"/>
          <w:szCs w:val="32"/>
          <w:shd w:val="clear" w:color="auto" w:fill="FFFFFF"/>
        </w:rPr>
        <w:t>202</w:t>
      </w:r>
      <w:r>
        <w:rPr>
          <w:rFonts w:hint="eastAsia" w:ascii="仿宋_GB2312" w:hAnsi="宋体" w:eastAsia="仿宋_GB2312" w:cs="宋体"/>
          <w:color w:val="000000"/>
          <w:kern w:val="0"/>
          <w:sz w:val="32"/>
          <w:szCs w:val="32"/>
          <w:shd w:val="clear" w:color="auto" w:fill="FFFFFF"/>
          <w:lang w:val="en-US" w:eastAsia="zh-CN"/>
        </w:rPr>
        <w:t>5</w:t>
      </w:r>
      <w:r>
        <w:rPr>
          <w:rFonts w:hint="eastAsia" w:ascii="仿宋_GB2312" w:hAnsi="宋体" w:eastAsia="仿宋_GB2312" w:cs="宋体"/>
          <w:color w:val="000000"/>
          <w:kern w:val="0"/>
          <w:sz w:val="32"/>
          <w:szCs w:val="32"/>
          <w:shd w:val="clear" w:color="auto" w:fill="FFFFFF"/>
        </w:rPr>
        <w:t>年茂县</w:t>
      </w:r>
      <w:r>
        <w:rPr>
          <w:rFonts w:hint="eastAsia" w:ascii="仿宋_GB2312" w:hAnsi="宋体" w:eastAsia="仿宋_GB2312" w:cs="宋体"/>
          <w:color w:val="000000"/>
          <w:kern w:val="0"/>
          <w:sz w:val="32"/>
          <w:szCs w:val="32"/>
          <w:shd w:val="clear" w:color="auto" w:fill="FFFFFF"/>
          <w:lang w:val="en-US" w:eastAsia="zh-CN"/>
        </w:rPr>
        <w:t>科学技术和农业畜牧局</w:t>
      </w:r>
      <w:r>
        <w:rPr>
          <w:rFonts w:hint="eastAsia" w:ascii="仿宋_GB2312" w:hAnsi="宋体" w:eastAsia="仿宋_GB2312" w:cs="宋体"/>
          <w:color w:val="000000"/>
          <w:kern w:val="0"/>
          <w:sz w:val="32"/>
          <w:szCs w:val="32"/>
          <w:shd w:val="clear" w:color="auto" w:fill="FFFFFF"/>
        </w:rPr>
        <w:t>结余分配和结转结余资金</w:t>
      </w:r>
      <w:r>
        <w:rPr>
          <w:rFonts w:hint="eastAsia" w:ascii="仿宋_GB2312" w:hAnsi="宋体" w:eastAsia="仿宋_GB2312" w:cs="宋体"/>
          <w:color w:val="000000"/>
          <w:kern w:val="0"/>
          <w:sz w:val="32"/>
          <w:szCs w:val="32"/>
          <w:shd w:val="clear" w:color="auto" w:fill="FFFFFF"/>
          <w:lang w:val="en-US" w:eastAsia="zh-CN"/>
        </w:rPr>
        <w:t>3.03万元</w:t>
      </w:r>
      <w:r>
        <w:rPr>
          <w:rFonts w:hint="eastAsia" w:ascii="仿宋_GB2312" w:hAnsi="宋体" w:eastAsia="仿宋_GB2312" w:cs="宋体"/>
          <w:color w:val="000000"/>
          <w:kern w:val="0"/>
          <w:sz w:val="32"/>
          <w:szCs w:val="32"/>
          <w:shd w:val="clear" w:color="auto" w:fill="FFFFFF"/>
        </w:rPr>
        <w:t>。</w:t>
      </w:r>
    </w:p>
    <w:p w14:paraId="021AAA92">
      <w:pPr>
        <w:widowControl/>
        <w:adjustRightInd w:val="0"/>
        <w:snapToGrid w:val="0"/>
        <w:spacing w:line="578" w:lineRule="exact"/>
        <w:ind w:firstLine="640" w:firstLineChars="200"/>
        <w:contextualSpacing/>
        <w:jc w:val="left"/>
        <w:outlineLvl w:val="9"/>
        <w:rPr>
          <w:rFonts w:ascii="Times New Roman" w:hAnsi="Times New Roman" w:eastAsia="黑体" w:cs="Times New Roman"/>
          <w:color w:val="000000"/>
          <w:kern w:val="0"/>
          <w:sz w:val="32"/>
          <w:szCs w:val="32"/>
          <w:highlight w:val="none"/>
          <w:shd w:val="clear" w:color="auto" w:fill="FFFFFF"/>
        </w:rPr>
      </w:pPr>
      <w:r>
        <w:rPr>
          <w:rFonts w:ascii="Times New Roman" w:hAnsi="Times New Roman" w:eastAsia="黑体" w:cs="Times New Roman"/>
          <w:color w:val="000000"/>
          <w:kern w:val="0"/>
          <w:sz w:val="32"/>
          <w:szCs w:val="32"/>
          <w:highlight w:val="none"/>
          <w:shd w:val="clear" w:color="auto" w:fill="FFFFFF"/>
        </w:rPr>
        <w:t>三、部门预算绩效分析</w:t>
      </w:r>
    </w:p>
    <w:p w14:paraId="4F383F96">
      <w:pPr>
        <w:adjustRightInd w:val="0"/>
        <w:snapToGrid w:val="0"/>
        <w:spacing w:line="578" w:lineRule="exact"/>
        <w:ind w:firstLine="643" w:firstLineChars="200"/>
        <w:contextualSpacing/>
        <w:jc w:val="left"/>
        <w:outlineLvl w:val="9"/>
        <w:rPr>
          <w:rFonts w:ascii="Times New Roman" w:hAnsi="Times New Roman" w:eastAsia="仿宋_GB2312" w:cs="Times New Roman"/>
          <w:color w:val="000000"/>
          <w:kern w:val="0"/>
          <w:sz w:val="32"/>
          <w:szCs w:val="32"/>
          <w:highlight w:val="none"/>
          <w:shd w:val="clear" w:color="auto" w:fill="FFFFFF"/>
          <w:lang w:val="zh-CN"/>
        </w:rPr>
      </w:pPr>
      <w:r>
        <w:rPr>
          <w:rFonts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ascii="Times New Roman" w:hAnsi="Times New Roman" w:eastAsia="楷体_GB2312" w:cs="Times New Roman"/>
          <w:b/>
          <w:bCs/>
          <w:color w:val="000000"/>
          <w:kern w:val="0"/>
          <w:sz w:val="32"/>
          <w:szCs w:val="32"/>
          <w:highlight w:val="none"/>
          <w:shd w:val="clear" w:color="auto" w:fill="FFFFFF"/>
          <w:lang w:val="zh-CN"/>
        </w:rPr>
        <w:t>总体绩效分析</w:t>
      </w:r>
    </w:p>
    <w:p w14:paraId="06E772A1">
      <w:pPr>
        <w:adjustRightInd w:val="0"/>
        <w:snapToGrid w:val="0"/>
        <w:spacing w:line="578" w:lineRule="exact"/>
        <w:ind w:firstLine="640" w:firstLineChars="200"/>
        <w:contextualSpacing/>
        <w:jc w:val="both"/>
        <w:outlineLvl w:val="9"/>
        <w:rPr>
          <w:rFonts w:hint="eastAsia" w:ascii="仿宋_GB2312" w:hAnsi="Times New Roman" w:eastAsia="仿宋_GB2312" w:cs="Times New Roman"/>
          <w:color w:val="000000"/>
          <w:kern w:val="0"/>
          <w:sz w:val="32"/>
          <w:szCs w:val="32"/>
          <w:highlight w:val="none"/>
          <w:shd w:val="clear" w:color="auto" w:fill="FFFFFF"/>
          <w:lang w:val="zh-CN"/>
        </w:rPr>
      </w:pPr>
      <w:r>
        <w:rPr>
          <w:rFonts w:hint="eastAsia" w:ascii="楷体_GB2312" w:hAnsi="楷体_GB2312" w:eastAsia="楷体_GB2312" w:cs="楷体_GB2312"/>
          <w:color w:val="000000"/>
          <w:kern w:val="0"/>
          <w:sz w:val="32"/>
          <w:szCs w:val="32"/>
          <w:highlight w:val="none"/>
          <w:shd w:val="clear" w:color="auto" w:fill="FFFFFF"/>
        </w:rPr>
        <w:t>1.</w:t>
      </w:r>
      <w:r>
        <w:rPr>
          <w:rFonts w:hint="eastAsia" w:ascii="楷体_GB2312" w:hAnsi="楷体_GB2312" w:eastAsia="楷体_GB2312" w:cs="楷体_GB2312"/>
          <w:color w:val="000000"/>
          <w:kern w:val="0"/>
          <w:sz w:val="32"/>
          <w:szCs w:val="32"/>
          <w:highlight w:val="none"/>
          <w:shd w:val="clear" w:color="auto" w:fill="FFFFFF"/>
          <w:lang w:val="zh-CN"/>
        </w:rPr>
        <w:t>履职效能。</w:t>
      </w:r>
      <w:r>
        <w:rPr>
          <w:rFonts w:hint="eastAsia" w:ascii="仿宋_GB2312" w:hAnsi="Times New Roman" w:eastAsia="仿宋_GB2312" w:cs="Times New Roman"/>
          <w:color w:val="000000"/>
          <w:kern w:val="0"/>
          <w:sz w:val="32"/>
          <w:szCs w:val="32"/>
          <w:highlight w:val="none"/>
          <w:shd w:val="clear" w:color="auto" w:fill="FFFFFF"/>
          <w:lang w:val="zh-CN"/>
        </w:rPr>
        <w:t>本年度，本部门围绕核心职能目标，重点推进了以下</w:t>
      </w:r>
      <w:r>
        <w:rPr>
          <w:rFonts w:hint="eastAsia" w:ascii="仿宋_GB2312" w:hAnsi="Times New Roman" w:eastAsia="仿宋_GB2312" w:cs="Times New Roman"/>
          <w:color w:val="000000"/>
          <w:kern w:val="0"/>
          <w:sz w:val="32"/>
          <w:szCs w:val="32"/>
          <w:highlight w:val="none"/>
          <w:shd w:val="clear" w:color="auto" w:fill="FFFFFF"/>
          <w:lang w:val="en-US" w:eastAsia="zh-CN"/>
        </w:rPr>
        <w:t>几</w:t>
      </w:r>
      <w:r>
        <w:rPr>
          <w:rFonts w:hint="eastAsia" w:ascii="仿宋_GB2312" w:hAnsi="Times New Roman" w:eastAsia="仿宋_GB2312" w:cs="Times New Roman"/>
          <w:color w:val="000000"/>
          <w:kern w:val="0"/>
          <w:sz w:val="32"/>
          <w:szCs w:val="32"/>
          <w:highlight w:val="none"/>
          <w:shd w:val="clear" w:color="auto" w:fill="FFFFFF"/>
          <w:lang w:val="zh-CN"/>
        </w:rPr>
        <w:t>个方面的工作：</w:t>
      </w:r>
      <w:r>
        <w:rPr>
          <w:rFonts w:hint="eastAsia" w:ascii="仿宋_GB2312" w:hAnsi="Times New Roman" w:eastAsia="仿宋_GB2312" w:cs="仿宋_GB2312"/>
          <w:color w:val="auto"/>
          <w:sz w:val="32"/>
          <w:szCs w:val="32"/>
          <w:lang w:val="en-US" w:eastAsia="zh-CN"/>
        </w:rPr>
        <w:t>落实党建和党风廉政建设主体责任，稳定农村经济运行，落实粮食安全和耕地保护党政同责。耕地保护</w:t>
      </w:r>
      <w:r>
        <w:rPr>
          <w:rFonts w:hint="eastAsia" w:ascii="仿宋_GB2312" w:hAnsi="Times New Roman" w:eastAsia="仿宋_GB2312" w:cs="仿宋_GB2312"/>
          <w:color w:val="auto"/>
          <w:sz w:val="32"/>
          <w:szCs w:val="32"/>
        </w:rPr>
        <w:t>以补贴的方式，通过一卡通平台直接发放到农户“社保卡”中，202</w:t>
      </w:r>
      <w:r>
        <w:rPr>
          <w:rFonts w:hint="eastAsia" w:ascii="仿宋_GB2312" w:hAnsi="Times New Roman" w:eastAsia="仿宋_GB2312" w:cs="仿宋_GB2312"/>
          <w:color w:val="auto"/>
          <w:sz w:val="32"/>
          <w:szCs w:val="32"/>
          <w:lang w:val="en-US" w:eastAsia="zh-CN"/>
        </w:rPr>
        <w:t>5</w:t>
      </w:r>
      <w:r>
        <w:rPr>
          <w:rFonts w:hint="eastAsia" w:ascii="仿宋_GB2312" w:hAnsi="Times New Roman" w:eastAsia="仿宋_GB2312" w:cs="仿宋_GB2312"/>
          <w:color w:val="auto"/>
          <w:sz w:val="32"/>
          <w:szCs w:val="32"/>
        </w:rPr>
        <w:t>年</w:t>
      </w:r>
      <w:r>
        <w:rPr>
          <w:rFonts w:hint="eastAsia" w:ascii="仿宋_GB2312" w:hAnsi="Times New Roman" w:eastAsia="仿宋_GB2312" w:cs="仿宋_GB2312"/>
          <w:color w:val="auto"/>
          <w:sz w:val="32"/>
          <w:szCs w:val="32"/>
          <w:lang w:eastAsia="zh-CN"/>
        </w:rPr>
        <w:t>下达补贴资金</w:t>
      </w:r>
      <w:r>
        <w:rPr>
          <w:rFonts w:hint="eastAsia" w:ascii="仿宋_GB2312" w:hAnsi="Times New Roman" w:eastAsia="仿宋_GB2312" w:cs="仿宋_GB2312"/>
          <w:color w:val="auto"/>
          <w:sz w:val="32"/>
          <w:szCs w:val="32"/>
          <w:lang w:val="en-US" w:eastAsia="zh-CN"/>
        </w:rPr>
        <w:t>574.79万元，</w:t>
      </w:r>
      <w:r>
        <w:rPr>
          <w:rFonts w:hint="eastAsia" w:ascii="仿宋_GB2312" w:hAnsi="Times New Roman" w:eastAsia="仿宋_GB2312" w:cs="仿宋_GB2312"/>
          <w:color w:val="auto"/>
          <w:sz w:val="32"/>
          <w:szCs w:val="32"/>
        </w:rPr>
        <w:t>全县补贴面积</w:t>
      </w:r>
      <w:r>
        <w:rPr>
          <w:rFonts w:hint="eastAsia" w:ascii="仿宋_GB2312" w:hAnsi="Times New Roman" w:eastAsia="仿宋_GB2312" w:cs="仿宋_GB2312"/>
          <w:color w:val="auto"/>
          <w:sz w:val="32"/>
          <w:szCs w:val="32"/>
          <w:lang w:val="en-US" w:eastAsia="zh-CN"/>
        </w:rPr>
        <w:t>94975.98</w:t>
      </w:r>
      <w:r>
        <w:rPr>
          <w:rFonts w:hint="eastAsia" w:ascii="仿宋_GB2312" w:hAnsi="Times New Roman" w:eastAsia="仿宋_GB2312" w:cs="仿宋_GB2312"/>
          <w:color w:val="auto"/>
          <w:sz w:val="32"/>
          <w:szCs w:val="32"/>
        </w:rPr>
        <w:t>亩</w:t>
      </w:r>
      <w:r>
        <w:rPr>
          <w:rFonts w:hint="eastAsia" w:ascii="仿宋_GB2312" w:hAnsi="Times New Roman" w:eastAsia="仿宋_GB2312" w:cs="仿宋_GB2312"/>
          <w:color w:val="auto"/>
          <w:sz w:val="32"/>
          <w:szCs w:val="32"/>
          <w:lang w:eastAsia="zh-CN"/>
        </w:rPr>
        <w:t>。</w:t>
      </w:r>
      <w:r>
        <w:rPr>
          <w:rFonts w:hint="eastAsia" w:ascii="仿宋_GB2312" w:hAnsi="Times New Roman" w:eastAsia="仿宋_GB2312" w:cs="仿宋_GB2312"/>
          <w:color w:val="auto"/>
          <w:sz w:val="32"/>
          <w:szCs w:val="32"/>
          <w:lang w:val="en-US" w:eastAsia="zh-CN"/>
        </w:rPr>
        <w:t>加强生猪供给保障，扎实推进宜居宜业和美乡村建设</w:t>
      </w:r>
      <w:r>
        <w:rPr>
          <w:rFonts w:hint="eastAsia" w:ascii="仿宋_GB2312" w:hAnsi="Times New Roman" w:eastAsia="仿宋_GB2312" w:cs="仿宋_GB2312"/>
          <w:color w:val="auto"/>
          <w:sz w:val="32"/>
          <w:szCs w:val="32"/>
          <w:highlight w:val="none"/>
          <w:lang w:val="en-US" w:eastAsia="zh-CN"/>
        </w:rPr>
        <w:t>，</w:t>
      </w:r>
      <w:r>
        <w:rPr>
          <w:rFonts w:hint="eastAsia" w:ascii="仿宋_GB2312" w:hAnsi="Times New Roman" w:eastAsia="仿宋_GB2312" w:cs="仿宋_GB2312"/>
          <w:color w:val="auto"/>
          <w:sz w:val="32"/>
          <w:szCs w:val="32"/>
          <w:highlight w:val="none"/>
          <w:lang w:eastAsia="zh-CN"/>
        </w:rPr>
        <w:t>创建“宜居宜业·和美乡村”</w:t>
      </w:r>
      <w:r>
        <w:rPr>
          <w:rFonts w:hint="eastAsia" w:ascii="仿宋_GB2312" w:hAnsi="Times New Roman" w:eastAsia="仿宋_GB2312" w:cs="仿宋_GB2312"/>
          <w:color w:val="auto"/>
          <w:sz w:val="32"/>
          <w:szCs w:val="32"/>
          <w:lang w:eastAsia="zh-CN"/>
        </w:rPr>
        <w:t>6个。</w:t>
      </w:r>
      <w:r>
        <w:rPr>
          <w:rFonts w:hint="eastAsia" w:ascii="仿宋_GB2312" w:hAnsi="Times New Roman" w:eastAsia="仿宋_GB2312" w:cs="仿宋_GB2312"/>
          <w:color w:val="auto"/>
          <w:sz w:val="32"/>
          <w:szCs w:val="32"/>
          <w:lang w:val="en-US" w:eastAsia="zh-CN"/>
        </w:rPr>
        <w:t>有序推进现代农业园区建设，完成</w:t>
      </w:r>
      <w:r>
        <w:rPr>
          <w:rFonts w:hint="eastAsia" w:ascii="仿宋_GB2312" w:hAnsi="Times New Roman" w:eastAsia="仿宋_GB2312" w:cs="仿宋_GB2312"/>
          <w:color w:val="auto"/>
          <w:sz w:val="32"/>
          <w:szCs w:val="32"/>
        </w:rPr>
        <w:t>现代农业园区培育工作</w:t>
      </w:r>
      <w:r>
        <w:rPr>
          <w:rFonts w:hint="eastAsia" w:ascii="仿宋_GB2312" w:hAnsi="Times New Roman" w:eastAsia="仿宋_GB2312" w:cs="仿宋_GB2312"/>
          <w:color w:val="auto"/>
          <w:sz w:val="32"/>
          <w:szCs w:val="32"/>
          <w:lang w:eastAsia="zh-CN"/>
        </w:rPr>
        <w:t>。</w:t>
      </w:r>
      <w:r>
        <w:rPr>
          <w:rFonts w:hint="eastAsia" w:ascii="仿宋_GB2312" w:hAnsi="Times New Roman" w:eastAsia="仿宋_GB2312" w:cs="仿宋_GB2312"/>
          <w:color w:val="auto"/>
          <w:sz w:val="32"/>
          <w:szCs w:val="32"/>
          <w:lang w:val="en-US" w:eastAsia="zh-CN"/>
        </w:rPr>
        <w:t>做强农产品品牌建设，强化农产品质量安全监管，抓严抓实科技创新服务工作，创新培育新型农业经营主体，抓好新品种引种试验示范推广，</w:t>
      </w:r>
      <w:r>
        <w:rPr>
          <w:rFonts w:hint="eastAsia" w:ascii="仿宋_GB2312" w:hAnsi="Times New Roman" w:eastAsia="仿宋_GB2312" w:cs="仿宋_GB2312"/>
          <w:color w:val="auto"/>
          <w:sz w:val="32"/>
          <w:szCs w:val="32"/>
          <w:lang w:eastAsia="zh-CN"/>
        </w:rPr>
        <w:t>防返贫监测及帮扶情况，</w:t>
      </w:r>
      <w:r>
        <w:rPr>
          <w:rFonts w:hint="eastAsia" w:ascii="仿宋_GB2312" w:hAnsi="Times New Roman" w:eastAsia="仿宋_GB2312" w:cs="仿宋_GB2312"/>
          <w:color w:val="auto"/>
          <w:sz w:val="32"/>
          <w:szCs w:val="32"/>
          <w:lang w:val="en-US" w:eastAsia="zh-CN"/>
        </w:rPr>
        <w:t>保障重点项目建设</w:t>
      </w:r>
      <w:r>
        <w:rPr>
          <w:rFonts w:hint="eastAsia" w:ascii="仿宋_GB2312" w:hAnsi="Times New Roman" w:eastAsia="仿宋_GB2312" w:cs="仿宋_GB2312"/>
          <w:color w:val="auto"/>
          <w:sz w:val="32"/>
          <w:szCs w:val="32"/>
          <w:highlight w:val="none"/>
          <w:lang w:val="en-US" w:eastAsia="zh-CN"/>
        </w:rPr>
        <w:t>常态化推进长江十年禁渔，大力推进生态环境保护工作，加强政策法规制定与宣传，组织专业技术人员对农民进行农药使用技术的培训，建立农药使用监测点，加强农膜地膜回收处置，畜禽粪污资源化利用。扎实抓好安全生产工作</w:t>
      </w:r>
      <w:r>
        <w:rPr>
          <w:rFonts w:hint="eastAsia" w:ascii="仿宋_GB2312" w:hAnsi="Times New Roman" w:eastAsia="仿宋_GB2312" w:cs="Times New Roman"/>
          <w:color w:val="000000"/>
          <w:kern w:val="0"/>
          <w:sz w:val="32"/>
          <w:szCs w:val="32"/>
          <w:highlight w:val="none"/>
          <w:shd w:val="clear" w:color="auto" w:fill="FFFFFF"/>
          <w:lang w:val="zh-CN"/>
        </w:rPr>
        <w:t>。</w:t>
      </w:r>
    </w:p>
    <w:p w14:paraId="746F7879">
      <w:pPr>
        <w:widowControl/>
        <w:adjustRightInd w:val="0"/>
        <w:snapToGrid w:val="0"/>
        <w:spacing w:line="560" w:lineRule="exact"/>
        <w:ind w:firstLine="640" w:firstLineChars="200"/>
        <w:contextualSpacing/>
        <w:jc w:val="left"/>
        <w:outlineLvl w:val="9"/>
        <w:rPr>
          <w:rFonts w:hint="eastAsia" w:ascii="仿宋_GB2312" w:hAnsi="仿宋" w:eastAsia="仿宋_GB2312" w:cs="宋体"/>
          <w:color w:val="000000"/>
          <w:kern w:val="0"/>
          <w:sz w:val="32"/>
          <w:szCs w:val="32"/>
          <w:highlight w:val="none"/>
          <w:shd w:val="clear" w:color="auto" w:fill="FFFFFF"/>
          <w:lang w:val="zh-CN"/>
        </w:rPr>
      </w:pPr>
      <w:r>
        <w:rPr>
          <w:rFonts w:hint="eastAsia" w:ascii="楷体_GB2312" w:hAnsi="楷体_GB2312" w:eastAsia="楷体_GB2312" w:cs="楷体_GB2312"/>
          <w:color w:val="000000"/>
          <w:kern w:val="0"/>
          <w:sz w:val="32"/>
          <w:szCs w:val="32"/>
          <w:highlight w:val="none"/>
          <w:shd w:val="clear" w:color="auto" w:fill="FFFFFF"/>
        </w:rPr>
        <w:t>2.</w:t>
      </w:r>
      <w:r>
        <w:rPr>
          <w:rFonts w:ascii="楷体_GB2312" w:hAnsi="楷体_GB2312" w:eastAsia="楷体_GB2312" w:cs="楷体_GB2312"/>
          <w:color w:val="000000"/>
          <w:kern w:val="0"/>
          <w:sz w:val="32"/>
          <w:szCs w:val="32"/>
          <w:highlight w:val="none"/>
          <w:shd w:val="clear" w:color="auto" w:fill="FFFFFF"/>
          <w:lang w:val="zh-CN"/>
        </w:rPr>
        <w:t>预算管理</w:t>
      </w:r>
      <w:r>
        <w:rPr>
          <w:rFonts w:hint="eastAsia" w:ascii="楷体_GB2312" w:hAnsi="楷体_GB2312" w:eastAsia="楷体_GB2312" w:cs="楷体_GB2312"/>
          <w:color w:val="000000"/>
          <w:kern w:val="0"/>
          <w:sz w:val="32"/>
          <w:szCs w:val="32"/>
          <w:highlight w:val="none"/>
          <w:shd w:val="clear" w:color="auto" w:fill="FFFFFF"/>
          <w:lang w:val="zh-CN"/>
        </w:rPr>
        <w:t>。</w:t>
      </w:r>
      <w:r>
        <w:rPr>
          <w:rFonts w:hint="eastAsia" w:ascii="Times New Roman" w:hAnsi="Times New Roman" w:eastAsia="仿宋_GB2312" w:cs="Times New Roman"/>
          <w:color w:val="000000"/>
          <w:kern w:val="0"/>
          <w:sz w:val="32"/>
          <w:szCs w:val="32"/>
          <w:highlight w:val="none"/>
          <w:shd w:val="clear" w:color="auto" w:fill="FFFFFF"/>
          <w:lang w:val="zh-CN"/>
        </w:rPr>
        <w:t>本</w:t>
      </w:r>
      <w:r>
        <w:rPr>
          <w:rFonts w:hint="eastAsia" w:ascii="仿宋_GB2312" w:hAnsi="Times New Roman" w:eastAsia="仿宋_GB2312" w:cs="Times New Roman"/>
          <w:color w:val="000000"/>
          <w:kern w:val="0"/>
          <w:sz w:val="32"/>
          <w:szCs w:val="32"/>
          <w:highlight w:val="none"/>
          <w:shd w:val="clear" w:color="auto" w:fill="FFFFFF"/>
          <w:lang w:val="zh-CN"/>
        </w:rPr>
        <w:t>部门严格按照要求编制年初部门预算，</w:t>
      </w:r>
      <w:r>
        <w:rPr>
          <w:rFonts w:hint="eastAsia" w:ascii="仿宋_GB2312" w:hAnsi="Times New Roman" w:eastAsia="仿宋_GB2312" w:cs="Times New Roman"/>
          <w:color w:val="000000"/>
          <w:kern w:val="0"/>
          <w:sz w:val="32"/>
          <w:szCs w:val="32"/>
          <w:shd w:val="clear" w:color="auto" w:fill="FFFFFF"/>
          <w:lang w:val="zh-CN"/>
        </w:rPr>
        <w:t>确保预算编制的科学性和准确性。202</w:t>
      </w:r>
      <w:r>
        <w:rPr>
          <w:rFonts w:hint="eastAsia" w:ascii="仿宋_GB2312" w:hAnsi="Times New Roman" w:eastAsia="仿宋_GB2312" w:cs="Times New Roman"/>
          <w:color w:val="000000"/>
          <w:kern w:val="0"/>
          <w:sz w:val="32"/>
          <w:szCs w:val="32"/>
          <w:shd w:val="clear" w:color="auto" w:fill="FFFFFF"/>
          <w:lang w:val="en-US" w:eastAsia="zh-CN"/>
        </w:rPr>
        <w:t>5</w:t>
      </w:r>
      <w:r>
        <w:rPr>
          <w:rFonts w:hint="eastAsia" w:ascii="仿宋_GB2312" w:hAnsi="Times New Roman" w:eastAsia="仿宋_GB2312" w:cs="Times New Roman"/>
          <w:color w:val="000000"/>
          <w:kern w:val="0"/>
          <w:sz w:val="32"/>
          <w:szCs w:val="32"/>
          <w:shd w:val="clear" w:color="auto" w:fill="FFFFFF"/>
          <w:lang w:val="zh-CN"/>
        </w:rPr>
        <w:t>年本部门无统筹自有收入资金。本部门严控 “三公”经费、培训费、差旅费、办公设备购置费等一般性支出，202</w:t>
      </w:r>
      <w:r>
        <w:rPr>
          <w:rFonts w:hint="eastAsia" w:ascii="仿宋_GB2312" w:hAnsi="Times New Roman" w:eastAsia="仿宋_GB2312" w:cs="Times New Roman"/>
          <w:color w:val="000000"/>
          <w:kern w:val="0"/>
          <w:sz w:val="32"/>
          <w:szCs w:val="32"/>
          <w:shd w:val="clear" w:color="auto" w:fill="FFFFFF"/>
          <w:lang w:val="en-US" w:eastAsia="zh-CN"/>
        </w:rPr>
        <w:t>5</w:t>
      </w:r>
      <w:r>
        <w:rPr>
          <w:rFonts w:hint="eastAsia" w:ascii="仿宋_GB2312" w:hAnsi="Times New Roman" w:eastAsia="仿宋_GB2312" w:cs="Times New Roman"/>
          <w:color w:val="000000"/>
          <w:kern w:val="0"/>
          <w:sz w:val="32"/>
          <w:szCs w:val="32"/>
          <w:shd w:val="clear" w:color="auto" w:fill="FFFFFF"/>
          <w:lang w:val="zh-CN"/>
        </w:rPr>
        <w:t>年1至6月、1至1</w:t>
      </w:r>
      <w:r>
        <w:rPr>
          <w:rFonts w:hint="eastAsia" w:ascii="仿宋_GB2312" w:hAnsi="Times New Roman" w:eastAsia="仿宋_GB2312" w:cs="Times New Roman"/>
          <w:color w:val="000000"/>
          <w:kern w:val="0"/>
          <w:sz w:val="32"/>
          <w:szCs w:val="32"/>
          <w:shd w:val="clear" w:color="auto" w:fill="FFFFFF"/>
          <w:lang w:val="en-US" w:eastAsia="zh-CN"/>
        </w:rPr>
        <w:t>2</w:t>
      </w:r>
      <w:r>
        <w:rPr>
          <w:rFonts w:hint="eastAsia" w:ascii="仿宋_GB2312" w:hAnsi="Times New Roman" w:eastAsia="仿宋_GB2312" w:cs="Times New Roman"/>
          <w:color w:val="000000"/>
          <w:kern w:val="0"/>
          <w:sz w:val="32"/>
          <w:szCs w:val="32"/>
          <w:shd w:val="clear" w:color="auto" w:fill="FFFFFF"/>
          <w:lang w:val="zh-CN"/>
        </w:rPr>
        <w:t>月预算执行情况良好，202</w:t>
      </w:r>
      <w:r>
        <w:rPr>
          <w:rFonts w:hint="eastAsia" w:ascii="仿宋_GB2312" w:hAnsi="Times New Roman" w:eastAsia="仿宋_GB2312" w:cs="Times New Roman"/>
          <w:color w:val="000000"/>
          <w:kern w:val="0"/>
          <w:sz w:val="32"/>
          <w:szCs w:val="32"/>
          <w:shd w:val="clear" w:color="auto" w:fill="FFFFFF"/>
          <w:lang w:val="en-US" w:eastAsia="zh-CN"/>
        </w:rPr>
        <w:t>5</w:t>
      </w:r>
      <w:r>
        <w:rPr>
          <w:rFonts w:hint="eastAsia" w:ascii="仿宋_GB2312" w:hAnsi="Times New Roman" w:eastAsia="仿宋_GB2312" w:cs="Times New Roman"/>
          <w:color w:val="000000"/>
          <w:kern w:val="0"/>
          <w:sz w:val="32"/>
          <w:szCs w:val="32"/>
          <w:shd w:val="clear" w:color="auto" w:fill="FFFFFF"/>
          <w:lang w:val="zh-CN"/>
        </w:rPr>
        <w:t>年部门整体预算</w:t>
      </w:r>
      <w:r>
        <w:rPr>
          <w:rFonts w:hint="eastAsia" w:ascii="仿宋_GB2312" w:hAnsi="宋体" w:eastAsia="仿宋_GB2312" w:cs="宋体"/>
          <w:color w:val="000000"/>
          <w:kern w:val="0"/>
          <w:sz w:val="32"/>
          <w:szCs w:val="32"/>
          <w:shd w:val="clear" w:color="auto" w:fill="FFFFFF"/>
        </w:rPr>
        <w:t>结转结余资金</w:t>
      </w:r>
      <w:r>
        <w:rPr>
          <w:rFonts w:hint="eastAsia" w:ascii="仿宋_GB2312" w:hAnsi="宋体" w:eastAsia="仿宋_GB2312" w:cs="宋体"/>
          <w:color w:val="000000"/>
          <w:kern w:val="0"/>
          <w:sz w:val="32"/>
          <w:szCs w:val="32"/>
          <w:shd w:val="clear" w:color="auto" w:fill="FFFFFF"/>
          <w:lang w:val="en-US" w:eastAsia="zh-CN"/>
        </w:rPr>
        <w:t>3.03万元</w:t>
      </w:r>
      <w:r>
        <w:rPr>
          <w:rFonts w:hint="eastAsia" w:ascii="仿宋_GB2312" w:hAnsi="宋体" w:eastAsia="仿宋_GB2312" w:cs="宋体"/>
          <w:color w:val="000000"/>
          <w:kern w:val="0"/>
          <w:sz w:val="32"/>
          <w:szCs w:val="32"/>
          <w:shd w:val="clear" w:color="auto" w:fill="FFFFFF"/>
        </w:rPr>
        <w:t>。</w:t>
      </w:r>
      <w:r>
        <w:rPr>
          <w:rFonts w:hint="eastAsia" w:ascii="仿宋_GB2312" w:hAnsi="仿宋" w:eastAsia="仿宋_GB2312" w:cs="宋体"/>
          <w:color w:val="000000"/>
          <w:kern w:val="0"/>
          <w:sz w:val="32"/>
          <w:szCs w:val="32"/>
          <w:highlight w:val="none"/>
          <w:shd w:val="clear" w:color="auto" w:fill="FFFFFF"/>
          <w:lang w:val="zh-CN"/>
        </w:rPr>
        <w:t>20</w:t>
      </w:r>
      <w:r>
        <w:rPr>
          <w:rFonts w:hint="eastAsia" w:ascii="仿宋_GB2312" w:hAnsi="仿宋" w:eastAsia="仿宋_GB2312" w:cs="宋体"/>
          <w:color w:val="000000"/>
          <w:kern w:val="0"/>
          <w:sz w:val="32"/>
          <w:szCs w:val="32"/>
          <w:highlight w:val="none"/>
          <w:shd w:val="clear" w:color="auto" w:fill="FFFFFF"/>
          <w:lang w:val="en-US" w:eastAsia="zh-CN"/>
        </w:rPr>
        <w:t>25</w:t>
      </w:r>
      <w:r>
        <w:rPr>
          <w:rFonts w:hint="eastAsia" w:ascii="仿宋_GB2312" w:hAnsi="仿宋" w:eastAsia="仿宋_GB2312" w:cs="宋体"/>
          <w:color w:val="000000"/>
          <w:kern w:val="0"/>
          <w:sz w:val="32"/>
          <w:szCs w:val="32"/>
          <w:highlight w:val="none"/>
          <w:shd w:val="clear" w:color="auto" w:fill="FFFFFF"/>
          <w:lang w:val="zh-CN"/>
        </w:rPr>
        <w:t>年本部门按照县财政局相关股室的要求按时报表、对账，完成本部门财务管理、预决算组织、编报、审核工作。</w:t>
      </w:r>
    </w:p>
    <w:p w14:paraId="7ABE902A">
      <w:pPr>
        <w:widowControl/>
        <w:adjustRightInd w:val="0"/>
        <w:snapToGrid w:val="0"/>
        <w:spacing w:line="540" w:lineRule="exact"/>
        <w:ind w:firstLine="720"/>
        <w:jc w:val="left"/>
        <w:outlineLvl w:val="9"/>
        <w:rPr>
          <w:rFonts w:hint="eastAsia" w:ascii="仿宋_GB2312" w:hAnsi="仿宋" w:eastAsia="仿宋_GB2312" w:cs="宋体"/>
          <w:color w:val="000000"/>
          <w:kern w:val="0"/>
          <w:sz w:val="32"/>
          <w:szCs w:val="32"/>
          <w:shd w:val="clear" w:color="auto" w:fill="FFFFFF"/>
          <w:lang w:val="zh-CN"/>
        </w:rPr>
      </w:pPr>
      <w:r>
        <w:rPr>
          <w:rFonts w:hint="eastAsia" w:ascii="楷体_GB2312" w:hAnsi="楷体_GB2312" w:eastAsia="楷体_GB2312" w:cs="楷体_GB2312"/>
          <w:color w:val="000000"/>
          <w:kern w:val="0"/>
          <w:sz w:val="32"/>
          <w:szCs w:val="32"/>
          <w:highlight w:val="none"/>
          <w:shd w:val="clear" w:color="auto" w:fill="FFFFFF"/>
        </w:rPr>
        <w:t>3.</w:t>
      </w:r>
      <w:r>
        <w:rPr>
          <w:rFonts w:ascii="楷体_GB2312" w:hAnsi="楷体_GB2312" w:eastAsia="楷体_GB2312" w:cs="楷体_GB2312"/>
          <w:color w:val="000000"/>
          <w:kern w:val="0"/>
          <w:sz w:val="32"/>
          <w:szCs w:val="32"/>
          <w:highlight w:val="none"/>
          <w:shd w:val="clear" w:color="auto" w:fill="FFFFFF"/>
          <w:lang w:val="zh-CN"/>
        </w:rPr>
        <w:t>财务管理</w:t>
      </w:r>
      <w:r>
        <w:rPr>
          <w:rFonts w:hint="eastAsia" w:ascii="楷体_GB2312" w:hAnsi="楷体_GB2312" w:eastAsia="楷体_GB2312" w:cs="楷体_GB2312"/>
          <w:color w:val="000000"/>
          <w:kern w:val="0"/>
          <w:sz w:val="32"/>
          <w:szCs w:val="32"/>
          <w:highlight w:val="none"/>
          <w:shd w:val="clear" w:color="auto" w:fill="FFFFFF"/>
          <w:lang w:val="zh-CN"/>
        </w:rPr>
        <w:t>。</w:t>
      </w:r>
      <w:r>
        <w:rPr>
          <w:rFonts w:hint="eastAsia" w:ascii="仿宋_GB2312" w:hAnsi="仿宋" w:eastAsia="仿宋_GB2312" w:cs="宋体"/>
          <w:color w:val="000000"/>
          <w:kern w:val="0"/>
          <w:sz w:val="32"/>
          <w:szCs w:val="32"/>
          <w:highlight w:val="none"/>
          <w:shd w:val="clear" w:color="auto" w:fill="FFFFFF"/>
          <w:lang w:val="zh-CN"/>
        </w:rPr>
        <w:t>本部门严格按照《事业部门会计制度》等行业的相关财务制度</w:t>
      </w:r>
      <w:r>
        <w:rPr>
          <w:rFonts w:hint="eastAsia" w:ascii="仿宋_GB2312" w:hAnsi="仿宋" w:eastAsia="仿宋_GB2312" w:cs="宋体"/>
          <w:color w:val="000000"/>
          <w:kern w:val="0"/>
          <w:sz w:val="32"/>
          <w:szCs w:val="32"/>
          <w:shd w:val="clear" w:color="auto" w:fill="FFFFFF"/>
          <w:lang w:val="zh-CN"/>
        </w:rPr>
        <w:t>执行部门支出及设置会计账簿、会计凭证、财务会计报告，加强票据审批报销管理，规范会计核算和账务处理。按要求在规定的时间内，对本部门的预算和决算进行了公开。本部门建立了严格的财务管理制度、由会计专人负责预决算报表录制、编报、审核工作。按照中央和省项目资金管理要求，建立健全资金管理制度，对项目资金实行专户存储、分项核算、按内容分别设明细账、专款专用、封闭运行。项目资金的发放由村公示、</w:t>
      </w:r>
      <w:r>
        <w:rPr>
          <w:rFonts w:hint="eastAsia" w:ascii="仿宋_GB2312" w:hAnsi="仿宋" w:eastAsia="仿宋_GB2312" w:cs="宋体"/>
          <w:color w:val="000000"/>
          <w:kern w:val="0"/>
          <w:sz w:val="32"/>
          <w:szCs w:val="32"/>
          <w:shd w:val="clear" w:color="auto" w:fill="FFFFFF"/>
          <w:lang w:val="en-US" w:eastAsia="zh-CN"/>
        </w:rPr>
        <w:t>镇</w:t>
      </w:r>
      <w:r>
        <w:rPr>
          <w:rFonts w:hint="eastAsia" w:ascii="仿宋_GB2312" w:hAnsi="仿宋" w:eastAsia="仿宋_GB2312" w:cs="宋体"/>
          <w:color w:val="000000"/>
          <w:kern w:val="0"/>
          <w:sz w:val="32"/>
          <w:szCs w:val="32"/>
          <w:shd w:val="clear" w:color="auto" w:fill="FFFFFF"/>
          <w:lang w:val="zh-CN"/>
        </w:rPr>
        <w:t>审查、项目责任人签字、县财政审核、县信用联社或农业银行以“一卡通”形式兑现农户，纪委监察进行监督，切实加强资金使用监督管理，确保资金使用安全，发挥最大效益。在全县项目资金兑现过程中，没有出现骗取、套取、挤占挪用、虚列支出、贪污或其他违规违纪使用资金的现象。</w:t>
      </w:r>
      <w:r>
        <w:rPr>
          <w:rFonts w:hint="eastAsia" w:ascii="仿宋_GB2312" w:hAnsi="楷体_GB2312" w:eastAsia="仿宋_GB2312" w:cs="楷体_GB2312"/>
          <w:color w:val="000000"/>
          <w:kern w:val="0"/>
          <w:sz w:val="32"/>
          <w:szCs w:val="32"/>
          <w:shd w:val="clear" w:color="auto" w:fill="FFFFFF"/>
          <w:lang w:val="zh-CN"/>
        </w:rPr>
        <w:t>本部门</w:t>
      </w:r>
      <w:r>
        <w:rPr>
          <w:rFonts w:hint="eastAsia" w:ascii="Times New Roman" w:hAnsi="Times New Roman" w:eastAsia="仿宋_GB2312" w:cs="Times New Roman"/>
          <w:color w:val="000000"/>
          <w:kern w:val="0"/>
          <w:sz w:val="32"/>
          <w:szCs w:val="32"/>
          <w:shd w:val="clear" w:color="auto" w:fill="FFFFFF"/>
          <w:lang w:val="zh-CN"/>
        </w:rPr>
        <w:t>财务管理制度健全，财务岗位设置合理，资金使用规范</w:t>
      </w:r>
      <w:r>
        <w:rPr>
          <w:rFonts w:hint="eastAsia" w:ascii="仿宋_GB2312" w:hAnsi="Times New Roman" w:eastAsia="仿宋_GB2312" w:cs="Times New Roman"/>
          <w:color w:val="000000"/>
          <w:kern w:val="0"/>
          <w:sz w:val="32"/>
          <w:szCs w:val="32"/>
          <w:shd w:val="clear" w:color="auto" w:fill="FFFFFF"/>
          <w:lang w:val="zh-CN"/>
        </w:rPr>
        <w:t>。</w:t>
      </w:r>
    </w:p>
    <w:p w14:paraId="2988091E">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jc w:val="left"/>
        <w:textAlignment w:val="auto"/>
        <w:outlineLvl w:val="9"/>
        <w:rPr>
          <w:rFonts w:ascii="仿宋_GB2312" w:hAnsi="楷体_GB2312" w:eastAsia="仿宋_GB2312" w:cs="楷体_GB2312"/>
          <w:color w:val="000000"/>
          <w:kern w:val="0"/>
          <w:sz w:val="32"/>
          <w:szCs w:val="32"/>
          <w:shd w:val="clear" w:color="auto" w:fill="FFFFFF"/>
        </w:rPr>
      </w:pPr>
      <w:r>
        <w:rPr>
          <w:rFonts w:hint="eastAsia" w:ascii="楷体_GB2312" w:hAnsi="楷体_GB2312" w:eastAsia="楷体_GB2312" w:cs="楷体_GB2312"/>
          <w:color w:val="000000"/>
          <w:kern w:val="0"/>
          <w:sz w:val="32"/>
          <w:szCs w:val="32"/>
          <w:highlight w:val="none"/>
          <w:shd w:val="clear" w:color="auto" w:fill="FFFFFF"/>
        </w:rPr>
        <w:t>4.</w:t>
      </w:r>
      <w:r>
        <w:rPr>
          <w:rFonts w:ascii="楷体_GB2312" w:hAnsi="楷体_GB2312" w:eastAsia="楷体_GB2312" w:cs="楷体_GB2312"/>
          <w:color w:val="000000"/>
          <w:kern w:val="0"/>
          <w:sz w:val="32"/>
          <w:szCs w:val="32"/>
          <w:highlight w:val="none"/>
          <w:shd w:val="clear" w:color="auto" w:fill="FFFFFF"/>
          <w:lang w:val="zh-CN"/>
        </w:rPr>
        <w:t>资产管理</w:t>
      </w:r>
      <w:r>
        <w:rPr>
          <w:rFonts w:hint="eastAsia" w:ascii="楷体_GB2312" w:hAnsi="楷体_GB2312" w:eastAsia="楷体_GB2312" w:cs="楷体_GB2312"/>
          <w:color w:val="000000"/>
          <w:kern w:val="0"/>
          <w:sz w:val="32"/>
          <w:szCs w:val="32"/>
          <w:highlight w:val="none"/>
          <w:shd w:val="clear" w:color="auto" w:fill="FFFFFF"/>
          <w:lang w:val="zh-CN"/>
        </w:rPr>
        <w:t>。</w:t>
      </w:r>
      <w:r>
        <w:rPr>
          <w:rFonts w:hint="eastAsia" w:ascii="仿宋_GB2312" w:hAnsi="Times New Roman" w:eastAsia="仿宋_GB2312" w:cs="Times New Roman"/>
          <w:color w:val="000000"/>
          <w:kern w:val="0"/>
          <w:sz w:val="32"/>
          <w:szCs w:val="32"/>
          <w:shd w:val="clear" w:color="auto" w:fill="FFFFFF"/>
          <w:lang w:val="zh-CN"/>
        </w:rPr>
        <w:t>人均资产变化率、资产利用率等指标表现稳定，</w:t>
      </w:r>
      <w:r>
        <w:rPr>
          <w:rFonts w:hint="eastAsia" w:ascii="仿宋_GB2312" w:hAnsi="楷体_GB2312" w:eastAsia="仿宋_GB2312" w:cs="楷体_GB2312"/>
          <w:color w:val="000000"/>
          <w:kern w:val="0"/>
          <w:sz w:val="32"/>
          <w:szCs w:val="32"/>
          <w:shd w:val="clear" w:color="auto" w:fill="FFFFFF"/>
        </w:rPr>
        <w:t>无闲置一年以上资产</w:t>
      </w:r>
      <w:r>
        <w:rPr>
          <w:rFonts w:hint="eastAsia" w:ascii="仿宋_GB2312" w:hAnsi="Times New Roman" w:eastAsia="仿宋_GB2312" w:cs="Times New Roman"/>
          <w:color w:val="000000"/>
          <w:kern w:val="0"/>
          <w:sz w:val="32"/>
          <w:szCs w:val="32"/>
          <w:shd w:val="clear" w:color="auto" w:fill="FFFFFF"/>
          <w:lang w:val="zh-CN"/>
        </w:rPr>
        <w:t>。</w:t>
      </w:r>
    </w:p>
    <w:p w14:paraId="1652F804">
      <w:pPr>
        <w:adjustRightInd w:val="0"/>
        <w:snapToGrid w:val="0"/>
        <w:spacing w:line="578" w:lineRule="exact"/>
        <w:ind w:firstLine="640" w:firstLineChars="200"/>
        <w:contextualSpacing/>
        <w:jc w:val="both"/>
        <w:outlineLvl w:val="9"/>
        <w:rPr>
          <w:rFonts w:ascii="楷体_GB2312" w:hAnsi="楷体_GB2312" w:eastAsia="楷体_GB2312" w:cs="楷体_GB2312"/>
          <w:color w:val="000000"/>
          <w:kern w:val="0"/>
          <w:sz w:val="32"/>
          <w:szCs w:val="32"/>
          <w:highlight w:val="yellow"/>
          <w:shd w:val="clear" w:color="auto" w:fill="FFFFFF"/>
          <w:lang w:val="zh-CN"/>
        </w:rPr>
      </w:pPr>
      <w:r>
        <w:rPr>
          <w:rFonts w:hint="eastAsia" w:ascii="楷体_GB2312" w:hAnsi="楷体_GB2312" w:eastAsia="楷体_GB2312" w:cs="楷体_GB2312"/>
          <w:color w:val="000000"/>
          <w:kern w:val="0"/>
          <w:sz w:val="32"/>
          <w:szCs w:val="32"/>
          <w:highlight w:val="none"/>
          <w:shd w:val="clear" w:color="auto" w:fill="FFFFFF"/>
        </w:rPr>
        <w:t>5.</w:t>
      </w:r>
      <w:r>
        <w:rPr>
          <w:rFonts w:ascii="楷体_GB2312" w:hAnsi="楷体_GB2312" w:eastAsia="楷体_GB2312" w:cs="楷体_GB2312"/>
          <w:color w:val="000000"/>
          <w:kern w:val="0"/>
          <w:sz w:val="32"/>
          <w:szCs w:val="32"/>
          <w:highlight w:val="none"/>
          <w:shd w:val="clear" w:color="auto" w:fill="FFFFFF"/>
          <w:lang w:val="zh-CN"/>
        </w:rPr>
        <w:t>采购管理</w:t>
      </w:r>
      <w:r>
        <w:rPr>
          <w:rFonts w:hint="eastAsia" w:ascii="楷体_GB2312" w:hAnsi="楷体_GB2312" w:eastAsia="楷体_GB2312" w:cs="楷体_GB2312"/>
          <w:color w:val="000000"/>
          <w:kern w:val="0"/>
          <w:sz w:val="32"/>
          <w:szCs w:val="32"/>
          <w:highlight w:val="none"/>
          <w:shd w:val="clear" w:color="auto" w:fill="FFFFFF"/>
          <w:lang w:val="zh-CN"/>
        </w:rPr>
        <w:t>。</w:t>
      </w:r>
      <w:r>
        <w:rPr>
          <w:rFonts w:hint="eastAsia" w:ascii="仿宋_GB2312" w:hAnsi="仿宋" w:eastAsia="仿宋_GB2312" w:cs="宋体"/>
          <w:color w:val="000000"/>
          <w:kern w:val="0"/>
          <w:sz w:val="32"/>
          <w:szCs w:val="32"/>
          <w:shd w:val="clear" w:color="auto" w:fill="FFFFFF"/>
          <w:lang w:val="zh-CN"/>
        </w:rPr>
        <w:t>涉及政府采购的本部门严格按政府采购制度执行，</w:t>
      </w:r>
      <w:r>
        <w:rPr>
          <w:rFonts w:hint="default" w:ascii="Times New Roman" w:hAnsi="Times New Roman" w:eastAsia="仿宋_GB2312" w:cs="Times New Roman"/>
          <w:color w:val="000000"/>
          <w:kern w:val="0"/>
          <w:sz w:val="32"/>
          <w:szCs w:val="32"/>
          <w:shd w:val="clear" w:color="auto" w:fill="FFFFFF"/>
          <w:lang w:val="zh-CN" w:eastAsia="zh-CN"/>
        </w:rPr>
        <w:t>采购流程规范，采购效率高，做到公开、公平、公正。</w:t>
      </w:r>
      <w:r>
        <w:rPr>
          <w:rFonts w:hint="eastAsia" w:ascii="仿宋_GB2312" w:hAnsi="仿宋" w:eastAsia="仿宋_GB2312" w:cs="宋体"/>
          <w:color w:val="000000"/>
          <w:kern w:val="0"/>
          <w:sz w:val="32"/>
          <w:szCs w:val="32"/>
          <w:shd w:val="clear" w:color="auto" w:fill="FFFFFF"/>
          <w:lang w:val="zh-CN"/>
        </w:rPr>
        <w:t>在采购办公用品时严格按照文件精神，项目预算资金在限额标准以上的都通过填报《茂县政府采购计划申请表》向</w:t>
      </w:r>
      <w:r>
        <w:rPr>
          <w:rFonts w:hint="eastAsia" w:ascii="仿宋_GB2312" w:hAnsi="仿宋" w:eastAsia="仿宋_GB2312" w:cs="宋体"/>
          <w:color w:val="000000"/>
          <w:kern w:val="0"/>
          <w:sz w:val="32"/>
          <w:szCs w:val="32"/>
          <w:highlight w:val="none"/>
          <w:shd w:val="clear" w:color="auto" w:fill="FFFFFF"/>
          <w:lang w:val="zh-CN"/>
        </w:rPr>
        <w:t>县财政局</w:t>
      </w:r>
      <w:r>
        <w:rPr>
          <w:rFonts w:hint="eastAsia" w:ascii="仿宋_GB2312" w:hAnsi="仿宋" w:eastAsia="仿宋_GB2312" w:cs="宋体"/>
          <w:color w:val="000000"/>
          <w:kern w:val="0"/>
          <w:sz w:val="32"/>
          <w:szCs w:val="32"/>
          <w:shd w:val="clear" w:color="auto" w:fill="FFFFFF"/>
          <w:lang w:val="zh-CN"/>
        </w:rPr>
        <w:t>申请，经审核批准后在组织实施。项目预算资金在限额标准以下的都通过填报《茂县政府采购备案表》经备案后</w:t>
      </w:r>
      <w:r>
        <w:rPr>
          <w:rFonts w:hint="eastAsia" w:ascii="仿宋_GB2312" w:hAnsi="仿宋" w:eastAsia="仿宋_GB2312" w:cs="宋体"/>
          <w:color w:val="000000"/>
          <w:kern w:val="0"/>
          <w:sz w:val="32"/>
          <w:szCs w:val="32"/>
          <w:shd w:val="clear" w:color="auto" w:fill="FFFFFF"/>
          <w:lang w:val="en-US" w:eastAsia="zh-CN"/>
        </w:rPr>
        <w:t>再</w:t>
      </w:r>
      <w:r>
        <w:rPr>
          <w:rFonts w:hint="eastAsia" w:ascii="仿宋_GB2312" w:hAnsi="仿宋" w:eastAsia="仿宋_GB2312" w:cs="宋体"/>
          <w:color w:val="000000"/>
          <w:kern w:val="0"/>
          <w:sz w:val="32"/>
          <w:szCs w:val="32"/>
          <w:shd w:val="clear" w:color="auto" w:fill="FFFFFF"/>
          <w:lang w:val="zh-CN"/>
        </w:rPr>
        <w:t>进行采购。</w:t>
      </w:r>
    </w:p>
    <w:p w14:paraId="4531AA24">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eastAsia" w:ascii="仿宋_GB2312" w:hAnsi="仿宋" w:eastAsia="仿宋_GB2312" w:cs="宋体"/>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（二）部门预算项目绩效分析</w:t>
      </w:r>
    </w:p>
    <w:p w14:paraId="5B9A7363">
      <w:pPr>
        <w:adjustRightInd w:val="0"/>
        <w:snapToGrid w:val="0"/>
        <w:spacing w:line="578" w:lineRule="exact"/>
        <w:ind w:firstLine="640" w:firstLineChars="200"/>
        <w:contextualSpacing/>
        <w:jc w:val="both"/>
        <w:outlineLvl w:val="9"/>
        <w:rPr>
          <w:rFonts w:hint="eastAsia" w:ascii="仿宋_GB2312" w:hAnsi="仿宋" w:eastAsia="仿宋_GB2312" w:cs="宋体"/>
          <w:color w:val="000000"/>
          <w:kern w:val="0"/>
          <w:sz w:val="32"/>
          <w:szCs w:val="32"/>
          <w:shd w:val="clear" w:color="auto" w:fill="FFFFFF"/>
          <w:lang w:val="zh-CN"/>
        </w:rPr>
      </w:pPr>
      <w:r>
        <w:rPr>
          <w:rFonts w:hint="eastAsia" w:ascii="仿宋_GB2312" w:hAnsi="仿宋" w:eastAsia="仿宋_GB2312" w:cs="宋体"/>
          <w:color w:val="000000"/>
          <w:kern w:val="0"/>
          <w:sz w:val="32"/>
          <w:szCs w:val="32"/>
          <w:shd w:val="clear" w:color="auto" w:fill="FFFFFF"/>
          <w:lang w:val="zh-CN"/>
        </w:rPr>
        <w:t>常年项目绩效分析。该类项目总数</w:t>
      </w:r>
      <w:r>
        <w:rPr>
          <w:rFonts w:hint="eastAsia" w:ascii="仿宋_GB2312" w:hAnsi="仿宋" w:eastAsia="仿宋_GB2312" w:cs="宋体"/>
          <w:color w:val="000000"/>
          <w:kern w:val="0"/>
          <w:sz w:val="32"/>
          <w:szCs w:val="32"/>
          <w:shd w:val="clear" w:color="auto" w:fill="FFFFFF"/>
          <w:lang w:val="en-US" w:eastAsia="zh-CN"/>
        </w:rPr>
        <w:t>0</w:t>
      </w:r>
      <w:r>
        <w:rPr>
          <w:rFonts w:hint="eastAsia" w:ascii="仿宋_GB2312" w:hAnsi="仿宋" w:eastAsia="仿宋_GB2312" w:cs="宋体"/>
          <w:color w:val="000000"/>
          <w:kern w:val="0"/>
          <w:sz w:val="32"/>
          <w:szCs w:val="32"/>
          <w:shd w:val="clear" w:color="auto" w:fill="FFFFFF"/>
          <w:lang w:val="zh-CN"/>
        </w:rPr>
        <w:t>个，涉及预算总金额</w:t>
      </w:r>
      <w:r>
        <w:rPr>
          <w:rFonts w:hint="eastAsia" w:ascii="仿宋_GB2312" w:hAnsi="仿宋" w:eastAsia="仿宋_GB2312" w:cs="宋体"/>
          <w:color w:val="000000"/>
          <w:kern w:val="0"/>
          <w:sz w:val="32"/>
          <w:szCs w:val="32"/>
          <w:shd w:val="clear" w:color="auto" w:fill="FFFFFF"/>
          <w:lang w:val="en-US" w:eastAsia="zh-CN"/>
        </w:rPr>
        <w:t>0</w:t>
      </w:r>
      <w:r>
        <w:rPr>
          <w:rFonts w:hint="eastAsia" w:ascii="仿宋_GB2312" w:hAnsi="仿宋" w:eastAsia="仿宋_GB2312" w:cs="宋体"/>
          <w:color w:val="000000"/>
          <w:kern w:val="0"/>
          <w:sz w:val="32"/>
          <w:szCs w:val="32"/>
          <w:shd w:val="clear" w:color="auto" w:fill="FFFFFF"/>
          <w:lang w:val="zh-CN"/>
        </w:rPr>
        <w:t>万元，1—12月预算执行总体进度为</w:t>
      </w:r>
      <w:r>
        <w:rPr>
          <w:rFonts w:hint="eastAsia" w:ascii="仿宋_GB2312" w:hAnsi="仿宋" w:eastAsia="仿宋_GB2312" w:cs="宋体"/>
          <w:color w:val="000000"/>
          <w:kern w:val="0"/>
          <w:sz w:val="32"/>
          <w:szCs w:val="32"/>
          <w:shd w:val="clear" w:color="auto" w:fill="FFFFFF"/>
          <w:lang w:val="en-US" w:eastAsia="zh-CN"/>
        </w:rPr>
        <w:t>0</w:t>
      </w:r>
      <w:r>
        <w:rPr>
          <w:rFonts w:hint="eastAsia" w:ascii="仿宋_GB2312" w:hAnsi="仿宋" w:eastAsia="仿宋_GB2312" w:cs="宋体"/>
          <w:color w:val="000000"/>
          <w:kern w:val="0"/>
          <w:sz w:val="32"/>
          <w:szCs w:val="32"/>
          <w:shd w:val="clear" w:color="auto" w:fill="FFFFFF"/>
          <w:lang w:val="zh-CN"/>
        </w:rPr>
        <w:t>%，其中：预算结余率大于10%的项目共计</w:t>
      </w:r>
      <w:r>
        <w:rPr>
          <w:rFonts w:hint="eastAsia" w:ascii="仿宋_GB2312" w:hAnsi="仿宋" w:eastAsia="仿宋_GB2312" w:cs="宋体"/>
          <w:color w:val="000000"/>
          <w:kern w:val="0"/>
          <w:sz w:val="32"/>
          <w:szCs w:val="32"/>
          <w:shd w:val="clear" w:color="auto" w:fill="FFFFFF"/>
          <w:lang w:val="en-US" w:eastAsia="zh-CN"/>
        </w:rPr>
        <w:t>0</w:t>
      </w:r>
      <w:r>
        <w:rPr>
          <w:rFonts w:hint="eastAsia" w:ascii="仿宋_GB2312" w:hAnsi="仿宋" w:eastAsia="仿宋_GB2312" w:cs="宋体"/>
          <w:color w:val="000000"/>
          <w:kern w:val="0"/>
          <w:sz w:val="32"/>
          <w:szCs w:val="32"/>
          <w:shd w:val="clear" w:color="auto" w:fill="FFFFFF"/>
          <w:lang w:val="zh-CN"/>
        </w:rPr>
        <w:t>个。</w:t>
      </w:r>
    </w:p>
    <w:p w14:paraId="231FD882">
      <w:pPr>
        <w:adjustRightInd w:val="0"/>
        <w:snapToGrid w:val="0"/>
        <w:spacing w:line="578" w:lineRule="exact"/>
        <w:ind w:firstLine="640" w:firstLineChars="200"/>
        <w:contextualSpacing/>
        <w:jc w:val="both"/>
        <w:outlineLvl w:val="9"/>
        <w:rPr>
          <w:rFonts w:hint="eastAsia" w:ascii="仿宋_GB2312" w:hAnsi="仿宋" w:eastAsia="仿宋_GB2312" w:cs="宋体"/>
          <w:color w:val="000000"/>
          <w:kern w:val="0"/>
          <w:sz w:val="32"/>
          <w:szCs w:val="32"/>
          <w:shd w:val="clear" w:color="auto" w:fill="FFFFFF"/>
          <w:lang w:val="zh-CN"/>
        </w:rPr>
      </w:pPr>
      <w:r>
        <w:rPr>
          <w:rFonts w:hint="eastAsia" w:ascii="仿宋_GB2312" w:hAnsi="仿宋" w:eastAsia="仿宋_GB2312" w:cs="宋体"/>
          <w:color w:val="000000"/>
          <w:kern w:val="0"/>
          <w:sz w:val="32"/>
          <w:szCs w:val="32"/>
          <w:shd w:val="clear" w:color="auto" w:fill="FFFFFF"/>
          <w:lang w:val="zh-CN"/>
        </w:rPr>
        <w:t>阶段（一次性）项目绩效分析。该类项目总数</w:t>
      </w:r>
      <w:r>
        <w:rPr>
          <w:rFonts w:hint="eastAsia" w:ascii="仿宋_GB2312" w:hAnsi="仿宋" w:eastAsia="仿宋_GB2312" w:cs="宋体"/>
          <w:color w:val="000000"/>
          <w:kern w:val="0"/>
          <w:sz w:val="32"/>
          <w:szCs w:val="32"/>
          <w:shd w:val="clear" w:color="auto" w:fill="FFFFFF"/>
          <w:lang w:val="en-US" w:eastAsia="zh-CN"/>
        </w:rPr>
        <w:t>80</w:t>
      </w:r>
      <w:r>
        <w:rPr>
          <w:rFonts w:hint="eastAsia" w:ascii="仿宋_GB2312" w:hAnsi="仿宋" w:eastAsia="仿宋_GB2312" w:cs="宋体"/>
          <w:color w:val="000000"/>
          <w:kern w:val="0"/>
          <w:sz w:val="32"/>
          <w:szCs w:val="32"/>
          <w:shd w:val="clear" w:color="auto" w:fill="FFFFFF"/>
          <w:lang w:val="zh-CN"/>
        </w:rPr>
        <w:t>个，涉及预算总金额</w:t>
      </w:r>
      <w:r>
        <w:rPr>
          <w:rFonts w:hint="eastAsia" w:ascii="仿宋_GB2312" w:hAnsi="仿宋" w:eastAsia="仿宋_GB2312" w:cs="宋体"/>
          <w:color w:val="000000"/>
          <w:kern w:val="0"/>
          <w:sz w:val="32"/>
          <w:szCs w:val="32"/>
          <w:shd w:val="clear" w:color="auto" w:fill="FFFFFF"/>
          <w:lang w:val="en-US" w:eastAsia="zh-CN"/>
        </w:rPr>
        <w:t>10781.49</w:t>
      </w:r>
      <w:r>
        <w:rPr>
          <w:rFonts w:hint="eastAsia" w:ascii="仿宋_GB2312" w:hAnsi="仿宋" w:eastAsia="仿宋_GB2312" w:cs="宋体"/>
          <w:color w:val="000000"/>
          <w:kern w:val="0"/>
          <w:sz w:val="32"/>
          <w:szCs w:val="32"/>
          <w:shd w:val="clear" w:color="auto" w:fill="FFFFFF"/>
          <w:lang w:val="zh-CN"/>
        </w:rPr>
        <w:t>万元，1—12月预算执行总体进度为</w:t>
      </w:r>
      <w:r>
        <w:rPr>
          <w:rFonts w:hint="eastAsia" w:ascii="仿宋_GB2312" w:hAnsi="仿宋" w:eastAsia="仿宋_GB2312" w:cs="宋体"/>
          <w:color w:val="000000"/>
          <w:kern w:val="0"/>
          <w:sz w:val="32"/>
          <w:szCs w:val="32"/>
          <w:shd w:val="clear" w:color="auto" w:fill="FFFFFF"/>
          <w:lang w:val="en-US" w:eastAsia="zh-CN"/>
        </w:rPr>
        <w:t>100</w:t>
      </w:r>
      <w:r>
        <w:rPr>
          <w:rFonts w:hint="eastAsia" w:ascii="仿宋_GB2312" w:hAnsi="仿宋" w:eastAsia="仿宋_GB2312" w:cs="宋体"/>
          <w:color w:val="000000"/>
          <w:kern w:val="0"/>
          <w:sz w:val="32"/>
          <w:szCs w:val="32"/>
          <w:shd w:val="clear" w:color="auto" w:fill="FFFFFF"/>
          <w:lang w:val="zh-CN"/>
        </w:rPr>
        <w:t>%，其中：预算结余率大于10%的项目共计</w:t>
      </w:r>
      <w:r>
        <w:rPr>
          <w:rFonts w:hint="eastAsia" w:ascii="仿宋_GB2312" w:hAnsi="仿宋" w:eastAsia="仿宋_GB2312" w:cs="宋体"/>
          <w:color w:val="000000"/>
          <w:kern w:val="0"/>
          <w:sz w:val="32"/>
          <w:szCs w:val="32"/>
          <w:shd w:val="clear" w:color="auto" w:fill="FFFFFF"/>
          <w:lang w:val="en-US" w:eastAsia="zh-CN"/>
        </w:rPr>
        <w:t>0</w:t>
      </w:r>
      <w:r>
        <w:rPr>
          <w:rFonts w:hint="eastAsia" w:ascii="仿宋_GB2312" w:hAnsi="仿宋" w:eastAsia="仿宋_GB2312" w:cs="宋体"/>
          <w:color w:val="000000"/>
          <w:kern w:val="0"/>
          <w:sz w:val="32"/>
          <w:szCs w:val="32"/>
          <w:shd w:val="clear" w:color="auto" w:fill="FFFFFF"/>
          <w:lang w:val="zh-CN"/>
        </w:rPr>
        <w:t>个。</w:t>
      </w:r>
    </w:p>
    <w:p w14:paraId="038F9224">
      <w:pPr>
        <w:numPr>
          <w:ilvl w:val="0"/>
          <w:numId w:val="0"/>
        </w:numPr>
        <w:adjustRightInd w:val="0"/>
        <w:snapToGrid w:val="0"/>
        <w:spacing w:line="578" w:lineRule="exact"/>
        <w:ind w:firstLine="640" w:firstLineChars="200"/>
        <w:contextualSpacing/>
        <w:jc w:val="left"/>
        <w:outlineLvl w:val="9"/>
        <w:rPr>
          <w:rFonts w:hint="eastAsia" w:ascii="仿宋_GB2312" w:hAnsi="Times New Roman" w:eastAsia="仿宋_GB2312" w:cs="Times New Roman"/>
          <w:color w:val="000000"/>
          <w:kern w:val="0"/>
          <w:sz w:val="32"/>
          <w:szCs w:val="32"/>
          <w:highlight w:val="none"/>
          <w:shd w:val="clear" w:color="auto" w:fill="FFFFFF"/>
          <w:lang w:val="zh-CN"/>
        </w:rPr>
      </w:pPr>
      <w:r>
        <w:rPr>
          <w:rFonts w:hint="eastAsia" w:ascii="楷体_GB2312" w:hAnsi="楷体_GB2312" w:eastAsia="楷体_GB2312" w:cs="楷体_GB2312"/>
          <w:color w:val="000000"/>
          <w:kern w:val="0"/>
          <w:sz w:val="32"/>
          <w:szCs w:val="32"/>
          <w:highlight w:val="none"/>
          <w:shd w:val="clear" w:color="auto" w:fill="FFFFFF"/>
          <w:lang w:val="en-US" w:eastAsia="zh-CN"/>
        </w:rPr>
        <w:t>1.</w:t>
      </w:r>
      <w:r>
        <w:rPr>
          <w:rFonts w:hint="eastAsia" w:ascii="楷体_GB2312" w:hAnsi="楷体_GB2312" w:eastAsia="楷体_GB2312" w:cs="楷体_GB2312"/>
          <w:color w:val="000000"/>
          <w:kern w:val="0"/>
          <w:sz w:val="32"/>
          <w:szCs w:val="32"/>
          <w:highlight w:val="none"/>
          <w:shd w:val="clear" w:color="auto" w:fill="FFFFFF"/>
          <w:lang w:val="zh-CN"/>
        </w:rPr>
        <w:t>项目决策。</w:t>
      </w:r>
      <w:r>
        <w:rPr>
          <w:rFonts w:hint="eastAsia" w:ascii="仿宋_GB2312" w:hAnsi="Times New Roman" w:eastAsia="仿宋_GB2312" w:cs="Times New Roman"/>
          <w:color w:val="000000"/>
          <w:kern w:val="0"/>
          <w:sz w:val="32"/>
          <w:szCs w:val="32"/>
          <w:highlight w:val="none"/>
          <w:shd w:val="clear" w:color="auto" w:fill="FFFFFF"/>
          <w:lang w:val="zh-CN"/>
        </w:rPr>
        <w:t>决策程序规范，目标设置合理，</w:t>
      </w:r>
      <w:r>
        <w:rPr>
          <w:rFonts w:hint="default" w:ascii="Times New Roman" w:hAnsi="Times New Roman" w:eastAsia="仿宋_GB2312" w:cs="Times New Roman"/>
          <w:color w:val="auto"/>
          <w:kern w:val="0"/>
          <w:sz w:val="32"/>
          <w:szCs w:val="32"/>
          <w:shd w:val="clear" w:color="auto" w:fill="FFFFFF"/>
          <w:lang w:val="zh-CN"/>
        </w:rPr>
        <w:t>待资金下达后，再撰写项目事前评估报告，</w:t>
      </w:r>
      <w:r>
        <w:rPr>
          <w:rFonts w:hint="eastAsia" w:ascii="仿宋_GB2312" w:hAnsi="Times New Roman" w:eastAsia="仿宋_GB2312" w:cs="Times New Roman"/>
          <w:color w:val="000000"/>
          <w:kern w:val="0"/>
          <w:sz w:val="32"/>
          <w:szCs w:val="32"/>
          <w:highlight w:val="none"/>
          <w:shd w:val="clear" w:color="auto" w:fill="FFFFFF"/>
          <w:lang w:val="zh-CN"/>
        </w:rPr>
        <w:t>及</w:t>
      </w:r>
      <w:r>
        <w:rPr>
          <w:rFonts w:hint="eastAsia" w:ascii="仿宋_GB2312" w:hAnsi="Times New Roman" w:eastAsia="仿宋_GB2312" w:cs="Times New Roman"/>
          <w:color w:val="000000"/>
          <w:kern w:val="0"/>
          <w:sz w:val="32"/>
          <w:szCs w:val="32"/>
          <w:highlight w:val="none"/>
          <w:shd w:val="clear" w:color="auto" w:fill="FFFFFF"/>
          <w:lang w:val="en-US" w:eastAsia="zh-CN"/>
        </w:rPr>
        <w:t>时</w:t>
      </w:r>
      <w:r>
        <w:rPr>
          <w:rFonts w:hint="eastAsia" w:ascii="仿宋_GB2312" w:hAnsi="Times New Roman" w:eastAsia="仿宋_GB2312" w:cs="Times New Roman"/>
          <w:color w:val="000000"/>
          <w:kern w:val="0"/>
          <w:sz w:val="32"/>
          <w:szCs w:val="32"/>
          <w:highlight w:val="none"/>
          <w:shd w:val="clear" w:color="auto" w:fill="FFFFFF"/>
          <w:lang w:val="zh-CN"/>
        </w:rPr>
        <w:t>项目入库。</w:t>
      </w:r>
    </w:p>
    <w:p w14:paraId="62770955">
      <w:pPr>
        <w:numPr>
          <w:ilvl w:val="0"/>
          <w:numId w:val="0"/>
        </w:numPr>
        <w:adjustRightInd w:val="0"/>
        <w:snapToGrid w:val="0"/>
        <w:spacing w:line="578" w:lineRule="exact"/>
        <w:ind w:firstLine="640" w:firstLineChars="200"/>
        <w:contextualSpacing/>
        <w:jc w:val="left"/>
        <w:outlineLvl w:val="9"/>
        <w:rPr>
          <w:rFonts w:hint="eastAsia" w:ascii="Times New Roman" w:hAnsi="Times New Roman" w:eastAsia="仿宋_GB2312" w:cs="Times New Roman"/>
          <w:color w:val="000000"/>
          <w:kern w:val="0"/>
          <w:sz w:val="32"/>
          <w:szCs w:val="32"/>
          <w:highlight w:val="none"/>
          <w:shd w:val="clear" w:color="auto" w:fill="FFFFFF"/>
          <w:lang w:val="zh-CN"/>
        </w:rPr>
      </w:pPr>
      <w:r>
        <w:rPr>
          <w:rFonts w:hint="eastAsia" w:ascii="楷体_GB2312" w:hAnsi="楷体_GB2312" w:eastAsia="楷体_GB2312" w:cs="楷体_GB2312"/>
          <w:color w:val="000000"/>
          <w:kern w:val="0"/>
          <w:sz w:val="32"/>
          <w:szCs w:val="32"/>
          <w:highlight w:val="none"/>
          <w:shd w:val="clear" w:color="auto" w:fill="FFFFFF"/>
          <w:lang w:val="en-US" w:eastAsia="zh-CN"/>
        </w:rPr>
        <w:t>2.</w:t>
      </w:r>
      <w:r>
        <w:rPr>
          <w:rFonts w:hint="eastAsia" w:ascii="楷体_GB2312" w:hAnsi="楷体_GB2312" w:eastAsia="楷体_GB2312" w:cs="楷体_GB2312"/>
          <w:color w:val="000000"/>
          <w:kern w:val="0"/>
          <w:sz w:val="32"/>
          <w:szCs w:val="32"/>
          <w:highlight w:val="none"/>
          <w:shd w:val="clear" w:color="auto" w:fill="FFFFFF"/>
          <w:lang w:val="zh-CN"/>
        </w:rPr>
        <w:t>项目执行</w:t>
      </w:r>
    </w:p>
    <w:p w14:paraId="3785235B">
      <w:pPr>
        <w:adjustRightInd w:val="0"/>
        <w:snapToGrid w:val="0"/>
        <w:spacing w:line="578" w:lineRule="exact"/>
        <w:ind w:firstLine="640" w:firstLineChars="200"/>
        <w:contextualSpacing/>
        <w:jc w:val="both"/>
        <w:outlineLvl w:val="9"/>
        <w:rPr>
          <w:rFonts w:hint="eastAsia" w:ascii="仿宋_GB2312" w:hAnsi="仿宋" w:eastAsia="仿宋_GB2312" w:cs="宋体"/>
          <w:color w:val="000000"/>
          <w:kern w:val="0"/>
          <w:sz w:val="32"/>
          <w:szCs w:val="32"/>
          <w:shd w:val="clear" w:color="auto" w:fill="FFFFFF"/>
          <w:lang w:val="en-US" w:eastAsia="zh-CN"/>
        </w:rPr>
      </w:pPr>
      <w:r>
        <w:rPr>
          <w:rFonts w:hint="eastAsia" w:ascii="仿宋_GB2312" w:hAnsi="仿宋" w:eastAsia="仿宋_GB2312" w:cs="宋体"/>
          <w:color w:val="000000"/>
          <w:kern w:val="0"/>
          <w:sz w:val="32"/>
          <w:szCs w:val="32"/>
          <w:shd w:val="clear" w:color="auto" w:fill="FFFFFF"/>
          <w:lang w:val="en-US" w:eastAsia="zh-CN"/>
        </w:rPr>
        <w:t>茂县2025年基层农技推广体系改革与建设项目：调整后</w:t>
      </w:r>
      <w:r>
        <w:rPr>
          <w:rFonts w:hint="default" w:ascii="仿宋_GB2312" w:hAnsi="仿宋" w:eastAsia="仿宋_GB2312" w:cs="宋体"/>
          <w:color w:val="000000"/>
          <w:kern w:val="0"/>
          <w:sz w:val="32"/>
          <w:szCs w:val="32"/>
          <w:shd w:val="clear" w:color="auto" w:fill="FFFFFF"/>
          <w:lang w:val="en-US" w:eastAsia="zh-CN"/>
        </w:rPr>
        <w:t>预算数</w:t>
      </w:r>
      <w:r>
        <w:rPr>
          <w:rFonts w:hint="eastAsia" w:ascii="仿宋_GB2312" w:hAnsi="仿宋" w:eastAsia="仿宋_GB2312" w:cs="宋体"/>
          <w:color w:val="000000"/>
          <w:kern w:val="0"/>
          <w:sz w:val="32"/>
          <w:szCs w:val="32"/>
          <w:shd w:val="clear" w:color="auto" w:fill="FFFFFF"/>
          <w:lang w:val="en-US" w:eastAsia="zh-CN"/>
        </w:rPr>
        <w:t>42.44</w:t>
      </w:r>
      <w:r>
        <w:rPr>
          <w:rFonts w:hint="default" w:ascii="仿宋_GB2312" w:hAnsi="仿宋" w:eastAsia="仿宋_GB2312" w:cs="宋体"/>
          <w:color w:val="000000"/>
          <w:kern w:val="0"/>
          <w:sz w:val="32"/>
          <w:szCs w:val="32"/>
          <w:shd w:val="clear" w:color="auto" w:fill="FFFFFF"/>
          <w:lang w:val="en-US" w:eastAsia="zh-CN"/>
        </w:rPr>
        <w:t>万元，支付数</w:t>
      </w:r>
      <w:r>
        <w:rPr>
          <w:rFonts w:hint="eastAsia" w:ascii="仿宋_GB2312" w:hAnsi="仿宋" w:eastAsia="仿宋_GB2312" w:cs="宋体"/>
          <w:color w:val="000000"/>
          <w:kern w:val="0"/>
          <w:sz w:val="32"/>
          <w:szCs w:val="32"/>
          <w:shd w:val="clear" w:color="auto" w:fill="FFFFFF"/>
          <w:lang w:val="en-US" w:eastAsia="zh-CN"/>
        </w:rPr>
        <w:t>42.44</w:t>
      </w:r>
      <w:r>
        <w:rPr>
          <w:rFonts w:hint="default" w:ascii="仿宋_GB2312" w:hAnsi="仿宋" w:eastAsia="仿宋_GB2312" w:cs="宋体"/>
          <w:color w:val="000000"/>
          <w:kern w:val="0"/>
          <w:sz w:val="32"/>
          <w:szCs w:val="32"/>
          <w:shd w:val="clear" w:color="auto" w:fill="FFFFFF"/>
          <w:lang w:val="en-US" w:eastAsia="zh-CN"/>
        </w:rPr>
        <w:t>万元，执行进度100%。</w:t>
      </w:r>
    </w:p>
    <w:p w14:paraId="499CAC2A">
      <w:pPr>
        <w:adjustRightInd w:val="0"/>
        <w:snapToGrid w:val="0"/>
        <w:spacing w:line="578" w:lineRule="exact"/>
        <w:ind w:firstLine="640" w:firstLineChars="200"/>
        <w:contextualSpacing/>
        <w:jc w:val="both"/>
        <w:outlineLvl w:val="9"/>
        <w:rPr>
          <w:rFonts w:hint="default" w:ascii="仿宋_GB2312" w:hAnsi="仿宋" w:eastAsia="仿宋_GB2312" w:cs="宋体"/>
          <w:color w:val="000000"/>
          <w:kern w:val="0"/>
          <w:sz w:val="32"/>
          <w:szCs w:val="32"/>
          <w:shd w:val="clear" w:color="auto" w:fill="FFFFFF"/>
          <w:lang w:val="en-US" w:eastAsia="zh-CN"/>
        </w:rPr>
      </w:pPr>
      <w:r>
        <w:rPr>
          <w:rFonts w:hint="eastAsia" w:ascii="仿宋_GB2312" w:hAnsi="仿宋" w:eastAsia="仿宋_GB2312" w:cs="宋体"/>
          <w:color w:val="000000"/>
          <w:kern w:val="0"/>
          <w:sz w:val="32"/>
          <w:szCs w:val="32"/>
          <w:shd w:val="clear" w:color="auto" w:fill="FFFFFF"/>
          <w:lang w:val="en-US" w:eastAsia="zh-CN"/>
        </w:rPr>
        <w:t>茂县2025年高素质农民培育项目：调整后</w:t>
      </w:r>
      <w:r>
        <w:rPr>
          <w:rFonts w:hint="default" w:ascii="仿宋_GB2312" w:hAnsi="仿宋" w:eastAsia="仿宋_GB2312" w:cs="宋体"/>
          <w:color w:val="000000"/>
          <w:kern w:val="0"/>
          <w:sz w:val="32"/>
          <w:szCs w:val="32"/>
          <w:shd w:val="clear" w:color="auto" w:fill="FFFFFF"/>
          <w:lang w:val="en-US" w:eastAsia="zh-CN"/>
        </w:rPr>
        <w:t>预算数</w:t>
      </w:r>
      <w:r>
        <w:rPr>
          <w:rFonts w:hint="eastAsia" w:ascii="仿宋_GB2312" w:hAnsi="仿宋" w:eastAsia="仿宋_GB2312" w:cs="宋体"/>
          <w:color w:val="000000"/>
          <w:kern w:val="0"/>
          <w:sz w:val="32"/>
          <w:szCs w:val="32"/>
          <w:shd w:val="clear" w:color="auto" w:fill="FFFFFF"/>
          <w:lang w:val="en-US" w:eastAsia="zh-CN"/>
        </w:rPr>
        <w:t>9.28</w:t>
      </w:r>
      <w:r>
        <w:rPr>
          <w:rFonts w:hint="default" w:ascii="仿宋_GB2312" w:hAnsi="仿宋" w:eastAsia="仿宋_GB2312" w:cs="宋体"/>
          <w:color w:val="000000"/>
          <w:kern w:val="0"/>
          <w:sz w:val="32"/>
          <w:szCs w:val="32"/>
          <w:shd w:val="clear" w:color="auto" w:fill="FFFFFF"/>
          <w:lang w:val="en-US" w:eastAsia="zh-CN"/>
        </w:rPr>
        <w:t>万元，支付数</w:t>
      </w:r>
      <w:r>
        <w:rPr>
          <w:rFonts w:hint="eastAsia" w:ascii="仿宋_GB2312" w:hAnsi="仿宋" w:eastAsia="仿宋_GB2312" w:cs="宋体"/>
          <w:color w:val="000000"/>
          <w:kern w:val="0"/>
          <w:sz w:val="32"/>
          <w:szCs w:val="32"/>
          <w:shd w:val="clear" w:color="auto" w:fill="FFFFFF"/>
          <w:lang w:val="en-US" w:eastAsia="zh-CN"/>
        </w:rPr>
        <w:t>9.28</w:t>
      </w:r>
      <w:r>
        <w:rPr>
          <w:rFonts w:hint="default" w:ascii="仿宋_GB2312" w:hAnsi="仿宋" w:eastAsia="仿宋_GB2312" w:cs="宋体"/>
          <w:color w:val="000000"/>
          <w:kern w:val="0"/>
          <w:sz w:val="32"/>
          <w:szCs w:val="32"/>
          <w:shd w:val="clear" w:color="auto" w:fill="FFFFFF"/>
          <w:lang w:val="en-US" w:eastAsia="zh-CN"/>
        </w:rPr>
        <w:t>万元，执行进度100%。</w:t>
      </w:r>
    </w:p>
    <w:p w14:paraId="53AAFFA3">
      <w:pPr>
        <w:adjustRightInd w:val="0"/>
        <w:snapToGrid w:val="0"/>
        <w:spacing w:line="578" w:lineRule="exact"/>
        <w:ind w:firstLine="640" w:firstLineChars="200"/>
        <w:contextualSpacing/>
        <w:jc w:val="both"/>
        <w:outlineLvl w:val="9"/>
        <w:rPr>
          <w:rFonts w:hint="default" w:ascii="仿宋_GB2312" w:hAnsi="仿宋" w:eastAsia="仿宋_GB2312" w:cs="宋体"/>
          <w:color w:val="000000"/>
          <w:kern w:val="0"/>
          <w:sz w:val="32"/>
          <w:szCs w:val="32"/>
          <w:shd w:val="clear" w:color="auto" w:fill="FFFFFF"/>
          <w:lang w:val="en-US" w:eastAsia="zh-CN"/>
        </w:rPr>
      </w:pPr>
      <w:r>
        <w:rPr>
          <w:rFonts w:hint="eastAsia" w:ascii="仿宋_GB2312" w:hAnsi="仿宋" w:eastAsia="仿宋_GB2312" w:cs="宋体"/>
          <w:color w:val="000000"/>
          <w:kern w:val="0"/>
          <w:sz w:val="32"/>
          <w:szCs w:val="32"/>
          <w:shd w:val="clear" w:color="auto" w:fill="FFFFFF"/>
          <w:lang w:val="en-US" w:eastAsia="zh-CN"/>
        </w:rPr>
        <w:t>农业生产及生态环境重大指标监测防控项目：调整后</w:t>
      </w:r>
      <w:r>
        <w:rPr>
          <w:rFonts w:hint="default" w:ascii="仿宋_GB2312" w:hAnsi="仿宋" w:eastAsia="仿宋_GB2312" w:cs="宋体"/>
          <w:color w:val="000000"/>
          <w:kern w:val="0"/>
          <w:sz w:val="32"/>
          <w:szCs w:val="32"/>
          <w:shd w:val="clear" w:color="auto" w:fill="FFFFFF"/>
          <w:lang w:val="en-US" w:eastAsia="zh-CN"/>
        </w:rPr>
        <w:t>预算数</w:t>
      </w:r>
      <w:r>
        <w:rPr>
          <w:rFonts w:hint="eastAsia" w:ascii="仿宋_GB2312" w:hAnsi="仿宋" w:eastAsia="仿宋_GB2312" w:cs="宋体"/>
          <w:color w:val="000000"/>
          <w:kern w:val="0"/>
          <w:sz w:val="32"/>
          <w:szCs w:val="32"/>
          <w:shd w:val="clear" w:color="auto" w:fill="FFFFFF"/>
          <w:lang w:val="en-US" w:eastAsia="zh-CN"/>
        </w:rPr>
        <w:t>9</w:t>
      </w:r>
      <w:r>
        <w:rPr>
          <w:rFonts w:hint="default" w:ascii="仿宋_GB2312" w:hAnsi="仿宋" w:eastAsia="仿宋_GB2312" w:cs="宋体"/>
          <w:color w:val="000000"/>
          <w:kern w:val="0"/>
          <w:sz w:val="32"/>
          <w:szCs w:val="32"/>
          <w:shd w:val="clear" w:color="auto" w:fill="FFFFFF"/>
          <w:lang w:val="en-US" w:eastAsia="zh-CN"/>
        </w:rPr>
        <w:t>万元，支付数</w:t>
      </w:r>
      <w:r>
        <w:rPr>
          <w:rFonts w:hint="eastAsia" w:ascii="仿宋_GB2312" w:hAnsi="仿宋" w:eastAsia="仿宋_GB2312" w:cs="宋体"/>
          <w:color w:val="000000"/>
          <w:kern w:val="0"/>
          <w:sz w:val="32"/>
          <w:szCs w:val="32"/>
          <w:shd w:val="clear" w:color="auto" w:fill="FFFFFF"/>
          <w:lang w:val="en-US" w:eastAsia="zh-CN"/>
        </w:rPr>
        <w:t>9</w:t>
      </w:r>
      <w:r>
        <w:rPr>
          <w:rFonts w:hint="default" w:ascii="仿宋_GB2312" w:hAnsi="仿宋" w:eastAsia="仿宋_GB2312" w:cs="宋体"/>
          <w:color w:val="000000"/>
          <w:kern w:val="0"/>
          <w:sz w:val="32"/>
          <w:szCs w:val="32"/>
          <w:shd w:val="clear" w:color="auto" w:fill="FFFFFF"/>
          <w:lang w:val="en-US" w:eastAsia="zh-CN"/>
        </w:rPr>
        <w:t>万元，执行进度100%。</w:t>
      </w:r>
    </w:p>
    <w:p w14:paraId="4768364B">
      <w:pPr>
        <w:adjustRightInd w:val="0"/>
        <w:snapToGrid w:val="0"/>
        <w:spacing w:line="578" w:lineRule="exact"/>
        <w:ind w:firstLine="640" w:firstLineChars="200"/>
        <w:contextualSpacing/>
        <w:jc w:val="both"/>
        <w:outlineLvl w:val="9"/>
        <w:rPr>
          <w:rFonts w:hint="default" w:ascii="仿宋_GB2312" w:hAnsi="仿宋" w:eastAsia="仿宋_GB2312" w:cs="宋体"/>
          <w:color w:val="000000"/>
          <w:kern w:val="0"/>
          <w:sz w:val="32"/>
          <w:szCs w:val="32"/>
          <w:shd w:val="clear" w:color="auto" w:fill="FFFFFF"/>
          <w:lang w:val="en-US" w:eastAsia="zh-CN"/>
        </w:rPr>
      </w:pPr>
      <w:r>
        <w:rPr>
          <w:rFonts w:hint="eastAsia" w:ascii="仿宋_GB2312" w:hAnsi="仿宋" w:eastAsia="仿宋_GB2312" w:cs="宋体"/>
          <w:color w:val="000000"/>
          <w:kern w:val="0"/>
          <w:sz w:val="32"/>
          <w:szCs w:val="32"/>
          <w:shd w:val="clear" w:color="auto" w:fill="FFFFFF"/>
          <w:lang w:val="en-US" w:eastAsia="zh-CN"/>
        </w:rPr>
        <w:t>土门镇太安村中药材基地示范提升改造项目：调整后</w:t>
      </w:r>
      <w:r>
        <w:rPr>
          <w:rFonts w:hint="default" w:ascii="仿宋_GB2312" w:hAnsi="仿宋" w:eastAsia="仿宋_GB2312" w:cs="宋体"/>
          <w:color w:val="000000"/>
          <w:kern w:val="0"/>
          <w:sz w:val="32"/>
          <w:szCs w:val="32"/>
          <w:shd w:val="clear" w:color="auto" w:fill="FFFFFF"/>
          <w:lang w:val="en-US" w:eastAsia="zh-CN"/>
        </w:rPr>
        <w:t>预算数</w:t>
      </w:r>
      <w:r>
        <w:rPr>
          <w:rFonts w:hint="eastAsia" w:ascii="仿宋_GB2312" w:hAnsi="仿宋" w:eastAsia="仿宋_GB2312" w:cs="宋体"/>
          <w:color w:val="000000"/>
          <w:kern w:val="0"/>
          <w:sz w:val="32"/>
          <w:szCs w:val="32"/>
          <w:shd w:val="clear" w:color="auto" w:fill="FFFFFF"/>
          <w:lang w:val="en-US" w:eastAsia="zh-CN"/>
        </w:rPr>
        <w:t>237.59</w:t>
      </w:r>
      <w:r>
        <w:rPr>
          <w:rFonts w:hint="default" w:ascii="仿宋_GB2312" w:hAnsi="仿宋" w:eastAsia="仿宋_GB2312" w:cs="宋体"/>
          <w:color w:val="000000"/>
          <w:kern w:val="0"/>
          <w:sz w:val="32"/>
          <w:szCs w:val="32"/>
          <w:shd w:val="clear" w:color="auto" w:fill="FFFFFF"/>
          <w:lang w:val="en-US" w:eastAsia="zh-CN"/>
        </w:rPr>
        <w:t>万元，支付数</w:t>
      </w:r>
      <w:r>
        <w:rPr>
          <w:rFonts w:hint="eastAsia" w:ascii="仿宋_GB2312" w:hAnsi="仿宋" w:eastAsia="仿宋_GB2312" w:cs="宋体"/>
          <w:color w:val="000000"/>
          <w:kern w:val="0"/>
          <w:sz w:val="32"/>
          <w:szCs w:val="32"/>
          <w:shd w:val="clear" w:color="auto" w:fill="FFFFFF"/>
          <w:lang w:val="en-US" w:eastAsia="zh-CN"/>
        </w:rPr>
        <w:t>237.59</w:t>
      </w:r>
      <w:r>
        <w:rPr>
          <w:rFonts w:hint="default" w:ascii="仿宋_GB2312" w:hAnsi="仿宋" w:eastAsia="仿宋_GB2312" w:cs="宋体"/>
          <w:color w:val="000000"/>
          <w:kern w:val="0"/>
          <w:sz w:val="32"/>
          <w:szCs w:val="32"/>
          <w:shd w:val="clear" w:color="auto" w:fill="FFFFFF"/>
          <w:lang w:val="en-US" w:eastAsia="zh-CN"/>
        </w:rPr>
        <w:t>万元，执行进度100%。</w:t>
      </w:r>
    </w:p>
    <w:p w14:paraId="7C793847">
      <w:pPr>
        <w:adjustRightInd w:val="0"/>
        <w:snapToGrid w:val="0"/>
        <w:spacing w:line="578" w:lineRule="exact"/>
        <w:ind w:firstLine="640" w:firstLineChars="200"/>
        <w:contextualSpacing/>
        <w:jc w:val="both"/>
        <w:outlineLvl w:val="9"/>
        <w:rPr>
          <w:rFonts w:hint="default" w:ascii="仿宋_GB2312" w:hAnsi="仿宋" w:eastAsia="仿宋_GB2312" w:cs="宋体"/>
          <w:color w:val="000000"/>
          <w:kern w:val="0"/>
          <w:sz w:val="32"/>
          <w:szCs w:val="32"/>
          <w:shd w:val="clear" w:color="auto" w:fill="FFFFFF"/>
          <w:lang w:val="en-US" w:eastAsia="zh-CN"/>
        </w:rPr>
      </w:pPr>
      <w:r>
        <w:rPr>
          <w:rFonts w:hint="eastAsia" w:ascii="仿宋_GB2312" w:hAnsi="仿宋" w:eastAsia="仿宋_GB2312" w:cs="宋体"/>
          <w:color w:val="000000"/>
          <w:kern w:val="0"/>
          <w:sz w:val="32"/>
          <w:szCs w:val="32"/>
          <w:shd w:val="clear" w:color="auto" w:fill="FFFFFF"/>
          <w:lang w:val="en-US" w:eastAsia="zh-CN"/>
        </w:rPr>
        <w:t>沙坝镇2025年三龙富锶特色果蔬现代农业园区建设项目：调整后</w:t>
      </w:r>
      <w:r>
        <w:rPr>
          <w:rFonts w:hint="default" w:ascii="仿宋_GB2312" w:hAnsi="仿宋" w:eastAsia="仿宋_GB2312" w:cs="宋体"/>
          <w:color w:val="000000"/>
          <w:kern w:val="0"/>
          <w:sz w:val="32"/>
          <w:szCs w:val="32"/>
          <w:shd w:val="clear" w:color="auto" w:fill="FFFFFF"/>
          <w:lang w:val="en-US" w:eastAsia="zh-CN"/>
        </w:rPr>
        <w:t>预算数</w:t>
      </w:r>
      <w:r>
        <w:rPr>
          <w:rFonts w:hint="eastAsia" w:ascii="仿宋_GB2312" w:hAnsi="仿宋" w:eastAsia="仿宋_GB2312" w:cs="宋体"/>
          <w:color w:val="000000"/>
          <w:kern w:val="0"/>
          <w:sz w:val="32"/>
          <w:szCs w:val="32"/>
          <w:shd w:val="clear" w:color="auto" w:fill="FFFFFF"/>
          <w:lang w:val="en-US" w:eastAsia="zh-CN"/>
        </w:rPr>
        <w:t>372.49</w:t>
      </w:r>
      <w:r>
        <w:rPr>
          <w:rFonts w:hint="default" w:ascii="仿宋_GB2312" w:hAnsi="仿宋" w:eastAsia="仿宋_GB2312" w:cs="宋体"/>
          <w:color w:val="000000"/>
          <w:kern w:val="0"/>
          <w:sz w:val="32"/>
          <w:szCs w:val="32"/>
          <w:shd w:val="clear" w:color="auto" w:fill="FFFFFF"/>
          <w:lang w:val="en-US" w:eastAsia="zh-CN"/>
        </w:rPr>
        <w:t>万元，支付数</w:t>
      </w:r>
      <w:r>
        <w:rPr>
          <w:rFonts w:hint="eastAsia" w:ascii="仿宋_GB2312" w:hAnsi="仿宋" w:eastAsia="仿宋_GB2312" w:cs="宋体"/>
          <w:color w:val="000000"/>
          <w:kern w:val="0"/>
          <w:sz w:val="32"/>
          <w:szCs w:val="32"/>
          <w:shd w:val="clear" w:color="auto" w:fill="FFFFFF"/>
          <w:lang w:val="en-US" w:eastAsia="zh-CN"/>
        </w:rPr>
        <w:t>372.49</w:t>
      </w:r>
      <w:r>
        <w:rPr>
          <w:rFonts w:hint="default" w:ascii="仿宋_GB2312" w:hAnsi="仿宋" w:eastAsia="仿宋_GB2312" w:cs="宋体"/>
          <w:color w:val="000000"/>
          <w:kern w:val="0"/>
          <w:sz w:val="32"/>
          <w:szCs w:val="32"/>
          <w:shd w:val="clear" w:color="auto" w:fill="FFFFFF"/>
          <w:lang w:val="en-US" w:eastAsia="zh-CN"/>
        </w:rPr>
        <w:t>万元，执行进度100%。</w:t>
      </w:r>
    </w:p>
    <w:p w14:paraId="6C62A86B">
      <w:pPr>
        <w:adjustRightInd w:val="0"/>
        <w:snapToGrid w:val="0"/>
        <w:spacing w:line="578" w:lineRule="exact"/>
        <w:ind w:firstLine="640" w:firstLineChars="200"/>
        <w:contextualSpacing/>
        <w:jc w:val="both"/>
        <w:outlineLvl w:val="9"/>
        <w:rPr>
          <w:rFonts w:hint="default" w:ascii="仿宋_GB2312" w:hAnsi="仿宋" w:eastAsia="仿宋_GB2312" w:cs="宋体"/>
          <w:color w:val="000000"/>
          <w:kern w:val="0"/>
          <w:sz w:val="32"/>
          <w:szCs w:val="32"/>
          <w:shd w:val="clear" w:color="auto" w:fill="FFFFFF"/>
          <w:lang w:val="en-US" w:eastAsia="zh-CN"/>
        </w:rPr>
      </w:pPr>
      <w:r>
        <w:rPr>
          <w:rFonts w:hint="eastAsia" w:ascii="仿宋_GB2312" w:hAnsi="仿宋" w:eastAsia="仿宋_GB2312" w:cs="宋体"/>
          <w:color w:val="000000"/>
          <w:kern w:val="0"/>
          <w:sz w:val="32"/>
          <w:szCs w:val="32"/>
          <w:shd w:val="clear" w:color="auto" w:fill="FFFFFF"/>
          <w:lang w:val="en-US" w:eastAsia="zh-CN"/>
        </w:rPr>
        <w:t>茂县粮经复合现代农业园区省星级奖补项目：调整后</w:t>
      </w:r>
      <w:r>
        <w:rPr>
          <w:rFonts w:hint="default" w:ascii="仿宋_GB2312" w:hAnsi="仿宋" w:eastAsia="仿宋_GB2312" w:cs="宋体"/>
          <w:color w:val="000000"/>
          <w:kern w:val="0"/>
          <w:sz w:val="32"/>
          <w:szCs w:val="32"/>
          <w:shd w:val="clear" w:color="auto" w:fill="FFFFFF"/>
          <w:lang w:val="en-US" w:eastAsia="zh-CN"/>
        </w:rPr>
        <w:t>预算数</w:t>
      </w:r>
      <w:r>
        <w:rPr>
          <w:rFonts w:hint="eastAsia" w:ascii="仿宋_GB2312" w:hAnsi="仿宋" w:eastAsia="仿宋_GB2312" w:cs="宋体"/>
          <w:color w:val="000000"/>
          <w:kern w:val="0"/>
          <w:sz w:val="32"/>
          <w:szCs w:val="32"/>
          <w:shd w:val="clear" w:color="auto" w:fill="FFFFFF"/>
          <w:lang w:val="en-US" w:eastAsia="zh-CN"/>
        </w:rPr>
        <w:t>1000</w:t>
      </w:r>
      <w:r>
        <w:rPr>
          <w:rFonts w:hint="default" w:ascii="仿宋_GB2312" w:hAnsi="仿宋" w:eastAsia="仿宋_GB2312" w:cs="宋体"/>
          <w:color w:val="000000"/>
          <w:kern w:val="0"/>
          <w:sz w:val="32"/>
          <w:szCs w:val="32"/>
          <w:shd w:val="clear" w:color="auto" w:fill="FFFFFF"/>
          <w:lang w:val="en-US" w:eastAsia="zh-CN"/>
        </w:rPr>
        <w:t>万元，支付数</w:t>
      </w:r>
      <w:r>
        <w:rPr>
          <w:rFonts w:hint="eastAsia" w:ascii="仿宋_GB2312" w:hAnsi="仿宋" w:eastAsia="仿宋_GB2312" w:cs="宋体"/>
          <w:color w:val="000000"/>
          <w:kern w:val="0"/>
          <w:sz w:val="32"/>
          <w:szCs w:val="32"/>
          <w:shd w:val="clear" w:color="auto" w:fill="FFFFFF"/>
          <w:lang w:val="en-US" w:eastAsia="zh-CN"/>
        </w:rPr>
        <w:t>713.17</w:t>
      </w:r>
      <w:r>
        <w:rPr>
          <w:rFonts w:hint="default" w:ascii="仿宋_GB2312" w:hAnsi="仿宋" w:eastAsia="仿宋_GB2312" w:cs="宋体"/>
          <w:color w:val="000000"/>
          <w:kern w:val="0"/>
          <w:sz w:val="32"/>
          <w:szCs w:val="32"/>
          <w:shd w:val="clear" w:color="auto" w:fill="FFFFFF"/>
          <w:lang w:val="en-US" w:eastAsia="zh-CN"/>
        </w:rPr>
        <w:t>万元，执行进度</w:t>
      </w:r>
      <w:r>
        <w:rPr>
          <w:rFonts w:hint="eastAsia" w:ascii="仿宋_GB2312" w:hAnsi="仿宋" w:eastAsia="仿宋_GB2312" w:cs="宋体"/>
          <w:color w:val="000000"/>
          <w:kern w:val="0"/>
          <w:sz w:val="32"/>
          <w:szCs w:val="32"/>
          <w:shd w:val="clear" w:color="auto" w:fill="FFFFFF"/>
          <w:lang w:val="en-US" w:eastAsia="zh-CN"/>
        </w:rPr>
        <w:t>71.32</w:t>
      </w:r>
      <w:r>
        <w:rPr>
          <w:rFonts w:hint="default" w:ascii="仿宋_GB2312" w:hAnsi="仿宋" w:eastAsia="仿宋_GB2312" w:cs="宋体"/>
          <w:color w:val="000000"/>
          <w:kern w:val="0"/>
          <w:sz w:val="32"/>
          <w:szCs w:val="32"/>
          <w:shd w:val="clear" w:color="auto" w:fill="FFFFFF"/>
          <w:lang w:val="en-US" w:eastAsia="zh-CN"/>
        </w:rPr>
        <w:t>%</w:t>
      </w:r>
      <w:r>
        <w:rPr>
          <w:rFonts w:hint="eastAsia" w:ascii="仿宋_GB2312" w:hAnsi="仿宋" w:eastAsia="仿宋_GB2312" w:cs="宋体"/>
          <w:color w:val="000000"/>
          <w:kern w:val="0"/>
          <w:sz w:val="32"/>
          <w:szCs w:val="32"/>
          <w:shd w:val="clear" w:color="auto" w:fill="FFFFFF"/>
          <w:lang w:val="en-US" w:eastAsia="zh-CN"/>
        </w:rPr>
        <w:t>，结余资金待方案确定后进行再安排使用。</w:t>
      </w:r>
    </w:p>
    <w:p w14:paraId="4BAEE568">
      <w:pPr>
        <w:adjustRightInd w:val="0"/>
        <w:snapToGrid w:val="0"/>
        <w:spacing w:line="578" w:lineRule="exact"/>
        <w:ind w:firstLine="640" w:firstLineChars="200"/>
        <w:contextualSpacing/>
        <w:jc w:val="both"/>
        <w:outlineLvl w:val="9"/>
        <w:rPr>
          <w:rFonts w:hint="default" w:ascii="仿宋_GB2312" w:hAnsi="仿宋" w:eastAsia="仿宋_GB2312" w:cs="宋体"/>
          <w:color w:val="000000"/>
          <w:kern w:val="0"/>
          <w:sz w:val="32"/>
          <w:szCs w:val="32"/>
          <w:shd w:val="clear" w:color="auto" w:fill="FFFFFF"/>
          <w:lang w:val="en-US" w:eastAsia="zh-CN"/>
        </w:rPr>
      </w:pPr>
      <w:r>
        <w:rPr>
          <w:rFonts w:hint="eastAsia" w:ascii="仿宋_GB2312" w:hAnsi="仿宋" w:eastAsia="仿宋_GB2312" w:cs="宋体"/>
          <w:color w:val="000000"/>
          <w:kern w:val="0"/>
          <w:sz w:val="32"/>
          <w:szCs w:val="32"/>
          <w:shd w:val="clear" w:color="auto" w:fill="FFFFFF"/>
          <w:lang w:val="en-US" w:eastAsia="zh-CN"/>
        </w:rPr>
        <w:t>对口援建--2025年茂县乡村振兴示范项目：调整后</w:t>
      </w:r>
      <w:r>
        <w:rPr>
          <w:rFonts w:hint="default" w:ascii="仿宋_GB2312" w:hAnsi="仿宋" w:eastAsia="仿宋_GB2312" w:cs="宋体"/>
          <w:color w:val="000000"/>
          <w:kern w:val="0"/>
          <w:sz w:val="32"/>
          <w:szCs w:val="32"/>
          <w:shd w:val="clear" w:color="auto" w:fill="FFFFFF"/>
          <w:lang w:val="en-US" w:eastAsia="zh-CN"/>
        </w:rPr>
        <w:t>预算数</w:t>
      </w:r>
      <w:r>
        <w:rPr>
          <w:rFonts w:hint="eastAsia" w:ascii="仿宋_GB2312" w:hAnsi="仿宋" w:eastAsia="仿宋_GB2312" w:cs="宋体"/>
          <w:color w:val="000000"/>
          <w:kern w:val="0"/>
          <w:sz w:val="32"/>
          <w:szCs w:val="32"/>
          <w:shd w:val="clear" w:color="auto" w:fill="FFFFFF"/>
          <w:lang w:val="en-US" w:eastAsia="zh-CN"/>
        </w:rPr>
        <w:t>802.83</w:t>
      </w:r>
      <w:r>
        <w:rPr>
          <w:rFonts w:hint="default" w:ascii="仿宋_GB2312" w:hAnsi="仿宋" w:eastAsia="仿宋_GB2312" w:cs="宋体"/>
          <w:color w:val="000000"/>
          <w:kern w:val="0"/>
          <w:sz w:val="32"/>
          <w:szCs w:val="32"/>
          <w:shd w:val="clear" w:color="auto" w:fill="FFFFFF"/>
          <w:lang w:val="en-US" w:eastAsia="zh-CN"/>
        </w:rPr>
        <w:t>万元，支付数</w:t>
      </w:r>
      <w:r>
        <w:rPr>
          <w:rFonts w:hint="eastAsia" w:ascii="仿宋_GB2312" w:hAnsi="仿宋" w:eastAsia="仿宋_GB2312" w:cs="宋体"/>
          <w:color w:val="000000"/>
          <w:kern w:val="0"/>
          <w:sz w:val="32"/>
          <w:szCs w:val="32"/>
          <w:shd w:val="clear" w:color="auto" w:fill="FFFFFF"/>
          <w:lang w:val="en-US" w:eastAsia="zh-CN"/>
        </w:rPr>
        <w:t>802.83</w:t>
      </w:r>
      <w:r>
        <w:rPr>
          <w:rFonts w:hint="default" w:ascii="仿宋_GB2312" w:hAnsi="仿宋" w:eastAsia="仿宋_GB2312" w:cs="宋体"/>
          <w:color w:val="000000"/>
          <w:kern w:val="0"/>
          <w:sz w:val="32"/>
          <w:szCs w:val="32"/>
          <w:shd w:val="clear" w:color="auto" w:fill="FFFFFF"/>
          <w:lang w:val="en-US" w:eastAsia="zh-CN"/>
        </w:rPr>
        <w:t>万元，执行进度100%。</w:t>
      </w:r>
    </w:p>
    <w:p w14:paraId="604651C5">
      <w:pPr>
        <w:adjustRightInd w:val="0"/>
        <w:snapToGrid w:val="0"/>
        <w:spacing w:line="578" w:lineRule="exact"/>
        <w:ind w:firstLine="640" w:firstLineChars="200"/>
        <w:contextualSpacing/>
        <w:jc w:val="both"/>
        <w:outlineLvl w:val="9"/>
        <w:rPr>
          <w:rFonts w:hint="default" w:ascii="仿宋_GB2312" w:hAnsi="仿宋" w:eastAsia="仿宋_GB2312" w:cs="宋体"/>
          <w:color w:val="000000"/>
          <w:kern w:val="0"/>
          <w:sz w:val="32"/>
          <w:szCs w:val="32"/>
          <w:shd w:val="clear" w:color="auto" w:fill="FFFFFF"/>
          <w:lang w:val="en-US" w:eastAsia="zh-CN"/>
        </w:rPr>
      </w:pPr>
      <w:r>
        <w:rPr>
          <w:rFonts w:hint="eastAsia" w:ascii="仿宋_GB2312" w:hAnsi="仿宋" w:eastAsia="仿宋_GB2312" w:cs="宋体"/>
          <w:color w:val="000000"/>
          <w:kern w:val="0"/>
          <w:sz w:val="32"/>
          <w:szCs w:val="32"/>
          <w:shd w:val="clear" w:color="auto" w:fill="FFFFFF"/>
          <w:lang w:val="en-US" w:eastAsia="zh-CN"/>
        </w:rPr>
        <w:t>2024年阿坝州应用技术研究与开发项目茂县企业项目：</w:t>
      </w:r>
      <w:r>
        <w:rPr>
          <w:rFonts w:hint="default" w:ascii="仿宋_GB2312" w:hAnsi="仿宋" w:eastAsia="仿宋_GB2312" w:cs="宋体"/>
          <w:color w:val="000000"/>
          <w:kern w:val="0"/>
          <w:sz w:val="32"/>
          <w:szCs w:val="32"/>
          <w:shd w:val="clear" w:color="auto" w:fill="FFFFFF"/>
          <w:lang w:val="en-US" w:eastAsia="zh-CN"/>
        </w:rPr>
        <w:t>预算数</w:t>
      </w:r>
      <w:r>
        <w:rPr>
          <w:rFonts w:hint="eastAsia" w:ascii="仿宋_GB2312" w:hAnsi="仿宋" w:eastAsia="仿宋_GB2312" w:cs="宋体"/>
          <w:color w:val="000000"/>
          <w:kern w:val="0"/>
          <w:sz w:val="32"/>
          <w:szCs w:val="32"/>
          <w:shd w:val="clear" w:color="auto" w:fill="FFFFFF"/>
          <w:lang w:val="en-US" w:eastAsia="zh-CN"/>
        </w:rPr>
        <w:t>165</w:t>
      </w:r>
      <w:r>
        <w:rPr>
          <w:rFonts w:hint="default" w:ascii="仿宋_GB2312" w:hAnsi="仿宋" w:eastAsia="仿宋_GB2312" w:cs="宋体"/>
          <w:color w:val="000000"/>
          <w:kern w:val="0"/>
          <w:sz w:val="32"/>
          <w:szCs w:val="32"/>
          <w:shd w:val="clear" w:color="auto" w:fill="FFFFFF"/>
          <w:lang w:val="en-US" w:eastAsia="zh-CN"/>
        </w:rPr>
        <w:t>万元，支付数</w:t>
      </w:r>
      <w:r>
        <w:rPr>
          <w:rFonts w:hint="eastAsia" w:ascii="仿宋_GB2312" w:hAnsi="仿宋" w:eastAsia="仿宋_GB2312" w:cs="宋体"/>
          <w:color w:val="000000"/>
          <w:kern w:val="0"/>
          <w:sz w:val="32"/>
          <w:szCs w:val="32"/>
          <w:shd w:val="clear" w:color="auto" w:fill="FFFFFF"/>
          <w:lang w:val="en-US" w:eastAsia="zh-CN"/>
        </w:rPr>
        <w:t>165</w:t>
      </w:r>
      <w:r>
        <w:rPr>
          <w:rFonts w:hint="default" w:ascii="仿宋_GB2312" w:hAnsi="仿宋" w:eastAsia="仿宋_GB2312" w:cs="宋体"/>
          <w:color w:val="000000"/>
          <w:kern w:val="0"/>
          <w:sz w:val="32"/>
          <w:szCs w:val="32"/>
          <w:shd w:val="clear" w:color="auto" w:fill="FFFFFF"/>
          <w:lang w:val="en-US" w:eastAsia="zh-CN"/>
        </w:rPr>
        <w:t>万元，执行进度100%。</w:t>
      </w:r>
    </w:p>
    <w:p w14:paraId="7B1499C5">
      <w:pPr>
        <w:adjustRightInd w:val="0"/>
        <w:snapToGrid w:val="0"/>
        <w:spacing w:line="578" w:lineRule="exact"/>
        <w:ind w:firstLine="640" w:firstLineChars="200"/>
        <w:contextualSpacing/>
        <w:jc w:val="left"/>
        <w:outlineLvl w:val="9"/>
        <w:rPr>
          <w:rFonts w:ascii="楷体_GB2312" w:hAnsi="楷体_GB2312" w:eastAsia="楷体_GB2312" w:cs="楷体_GB2312"/>
          <w:color w:val="000000"/>
          <w:kern w:val="0"/>
          <w:sz w:val="32"/>
          <w:szCs w:val="32"/>
          <w:highlight w:val="none"/>
          <w:shd w:val="clear" w:color="auto" w:fill="FFFFFF"/>
          <w:lang w:val="zh-CN"/>
        </w:rPr>
      </w:pPr>
      <w:r>
        <w:rPr>
          <w:rFonts w:hint="eastAsia" w:ascii="楷体_GB2312" w:hAnsi="楷体_GB2312" w:eastAsia="楷体_GB2312" w:cs="楷体_GB2312"/>
          <w:color w:val="000000"/>
          <w:kern w:val="0"/>
          <w:sz w:val="32"/>
          <w:szCs w:val="32"/>
          <w:highlight w:val="none"/>
          <w:shd w:val="clear" w:color="auto" w:fill="FFFFFF"/>
        </w:rPr>
        <w:t>3.</w:t>
      </w:r>
      <w:r>
        <w:rPr>
          <w:rFonts w:hint="eastAsia" w:ascii="楷体_GB2312" w:hAnsi="楷体_GB2312" w:eastAsia="楷体_GB2312" w:cs="楷体_GB2312"/>
          <w:color w:val="000000"/>
          <w:kern w:val="0"/>
          <w:sz w:val="32"/>
          <w:szCs w:val="32"/>
          <w:highlight w:val="none"/>
          <w:shd w:val="clear" w:color="auto" w:fill="FFFFFF"/>
          <w:lang w:val="zh-CN"/>
        </w:rPr>
        <w:t>目标实现。</w:t>
      </w:r>
      <w:r>
        <w:rPr>
          <w:rFonts w:hint="eastAsia" w:ascii="仿宋_GB2312" w:hAnsi="Times New Roman" w:eastAsia="仿宋_GB2312" w:cs="Times New Roman"/>
          <w:color w:val="000000"/>
          <w:kern w:val="0"/>
          <w:sz w:val="32"/>
          <w:szCs w:val="32"/>
          <w:highlight w:val="none"/>
          <w:shd w:val="clear" w:color="auto" w:fill="FFFFFF"/>
          <w:lang w:val="zh-CN"/>
        </w:rPr>
        <w:t>目标完成情况良好，未出现偏离情况，实现效果显著。</w:t>
      </w:r>
    </w:p>
    <w:p w14:paraId="547F6FFC">
      <w:pPr>
        <w:adjustRightInd w:val="0"/>
        <w:snapToGrid w:val="0"/>
        <w:spacing w:line="578" w:lineRule="exact"/>
        <w:ind w:firstLine="640" w:firstLineChars="200"/>
        <w:contextualSpacing/>
        <w:jc w:val="left"/>
        <w:outlineLvl w:val="9"/>
        <w:rPr>
          <w:rFonts w:ascii="仿宋_GB2312" w:hAnsi="Times New Roman" w:eastAsia="仿宋_GB2312" w:cs="Times New Roman"/>
          <w:color w:val="333333"/>
          <w:sz w:val="32"/>
          <w:szCs w:val="32"/>
          <w:lang w:bidi="ar"/>
        </w:rPr>
      </w:pPr>
      <w:r>
        <w:rPr>
          <w:rFonts w:hint="eastAsia" w:ascii="仿宋_GB2312" w:hAnsi="Times New Roman" w:eastAsia="仿宋_GB2312" w:cs="Times New Roman"/>
          <w:sz w:val="32"/>
          <w:szCs w:val="32"/>
        </w:rPr>
        <w:t>本部门202</w:t>
      </w:r>
      <w:r>
        <w:rPr>
          <w:rFonts w:hint="eastAsia" w:ascii="仿宋_GB2312" w:hAnsi="Times New Roman" w:eastAsia="仿宋_GB2312" w:cs="Times New Roman"/>
          <w:sz w:val="32"/>
          <w:szCs w:val="32"/>
          <w:lang w:val="en-US" w:eastAsia="zh-CN"/>
        </w:rPr>
        <w:t>5</w:t>
      </w:r>
      <w:r>
        <w:rPr>
          <w:rFonts w:hint="eastAsia" w:ascii="仿宋_GB2312" w:hAnsi="Times New Roman" w:eastAsia="仿宋_GB2312" w:cs="Times New Roman"/>
          <w:sz w:val="32"/>
          <w:szCs w:val="32"/>
        </w:rPr>
        <w:t>年度不涉及国有资本经营预算、社会保险基金预算。</w:t>
      </w:r>
    </w:p>
    <w:p w14:paraId="74AB1A17">
      <w:pPr>
        <w:numPr>
          <w:ilvl w:val="0"/>
          <w:numId w:val="0"/>
        </w:numPr>
        <w:snapToGrid w:val="0"/>
        <w:spacing w:line="600" w:lineRule="exact"/>
        <w:ind w:firstLine="643" w:firstLineChars="200"/>
        <w:outlineLvl w:val="9"/>
        <w:rPr>
          <w:rFonts w:hint="eastAsia" w:ascii="Times New Roman" w:hAnsi="Times New Roman" w:eastAsia="楷体_GB2312" w:cs="Times New Roman"/>
          <w:b/>
          <w:bCs/>
          <w:sz w:val="32"/>
          <w:szCs w:val="32"/>
          <w:lang w:val="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default"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p>
    <w:p w14:paraId="17B3599C">
      <w:pPr>
        <w:numPr>
          <w:ilvl w:val="0"/>
          <w:numId w:val="0"/>
        </w:numPr>
        <w:snapToGrid w:val="0"/>
        <w:spacing w:line="600" w:lineRule="exact"/>
        <w:ind w:firstLine="640" w:firstLineChars="200"/>
        <w:outlineLvl w:val="9"/>
        <w:rPr>
          <w:rFonts w:ascii="仿宋_GB2312" w:hAnsi="仿宋_GB2312" w:eastAsia="仿宋_GB2312" w:cs="仿宋_GB2312"/>
          <w:b/>
          <w:sz w:val="32"/>
          <w:szCs w:val="32"/>
        </w:rPr>
      </w:pPr>
      <w:r>
        <w:rPr>
          <w:rFonts w:hint="eastAsia" w:ascii="仿宋_GB2312" w:hAnsi="仿宋" w:eastAsia="仿宋_GB2312" w:cs="Times New Roman"/>
          <w:sz w:val="32"/>
        </w:rPr>
        <w:t>内部应用情况：已将绩效结果作为部门内部考核的重要依据，促进了部门整体绩效的提升。</w:t>
      </w:r>
      <w:r>
        <w:rPr>
          <w:rFonts w:hint="eastAsia" w:ascii="仿宋_GB2312" w:hAnsi="仿宋" w:eastAsia="仿宋_GB2312" w:cs="Segoe UI"/>
          <w:kern w:val="0"/>
          <w:sz w:val="32"/>
        </w:rPr>
        <w:t>信息公开情况：按照相关法律法规要求，及时公开了部门预算绩效相关信息。整改反馈情况：针对自评中发现的问题，已制定整改措施并得到有效落实。</w:t>
      </w:r>
    </w:p>
    <w:p w14:paraId="606E836A">
      <w:pPr>
        <w:widowControl/>
        <w:adjustRightInd w:val="0"/>
        <w:snapToGrid w:val="0"/>
        <w:spacing w:line="578" w:lineRule="exact"/>
        <w:ind w:firstLine="640" w:firstLineChars="200"/>
        <w:contextualSpacing/>
        <w:jc w:val="left"/>
        <w:outlineLvl w:val="9"/>
        <w:rPr>
          <w:rFonts w:ascii="Times New Roman" w:hAnsi="Times New Roman" w:eastAsia="黑体" w:cs="Times New Roman"/>
          <w:color w:val="000000"/>
          <w:kern w:val="0"/>
          <w:sz w:val="32"/>
          <w:szCs w:val="32"/>
          <w:shd w:val="clear" w:color="auto" w:fill="FFFFFF"/>
        </w:rPr>
      </w:pPr>
      <w:r>
        <w:rPr>
          <w:rFonts w:ascii="Times New Roman" w:hAnsi="Times New Roman" w:eastAsia="黑体" w:cs="Times New Roman"/>
          <w:color w:val="000000"/>
          <w:kern w:val="0"/>
          <w:sz w:val="32"/>
          <w:szCs w:val="32"/>
          <w:shd w:val="clear" w:color="auto" w:fill="FFFFFF"/>
        </w:rPr>
        <w:t>四、评价结论及建议</w:t>
      </w:r>
    </w:p>
    <w:p w14:paraId="19CFEC4F">
      <w:pPr>
        <w:widowControl/>
        <w:adjustRightInd w:val="0"/>
        <w:snapToGrid w:val="0"/>
        <w:spacing w:line="540" w:lineRule="exact"/>
        <w:ind w:firstLine="720"/>
        <w:jc w:val="left"/>
        <w:outlineLvl w:val="9"/>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（一）评价结论</w:t>
      </w:r>
    </w:p>
    <w:p w14:paraId="0BB55214">
      <w:pPr>
        <w:widowControl/>
        <w:adjustRightInd w:val="0"/>
        <w:snapToGrid w:val="0"/>
        <w:spacing w:line="540" w:lineRule="exact"/>
        <w:ind w:firstLine="720"/>
        <w:jc w:val="left"/>
        <w:outlineLvl w:val="9"/>
        <w:rPr>
          <w:rFonts w:ascii="Times New Roman" w:hAnsi="Times New Roman" w:eastAsia="楷体_GB2312" w:cs="Times New Roman"/>
          <w:b/>
          <w:bCs/>
          <w:color w:val="000000"/>
          <w:kern w:val="0"/>
          <w:sz w:val="32"/>
          <w:szCs w:val="32"/>
          <w:shd w:val="clear" w:color="auto" w:fill="FFFFFF"/>
        </w:rPr>
      </w:pPr>
      <w:r>
        <w:rPr>
          <w:rFonts w:hint="eastAsia" w:ascii="仿宋_GB2312" w:hAnsi="仿宋" w:eastAsia="仿宋_GB2312" w:cs="宋体"/>
          <w:color w:val="000000"/>
          <w:kern w:val="0"/>
          <w:sz w:val="32"/>
          <w:szCs w:val="32"/>
          <w:shd w:val="clear" w:color="auto" w:fill="FFFFFF"/>
          <w:lang w:val="zh-CN"/>
        </w:rPr>
        <w:t>根据本</w:t>
      </w:r>
      <w:r>
        <w:rPr>
          <w:rFonts w:hint="eastAsia" w:ascii="仿宋_GB2312" w:hAnsi="仿宋" w:eastAsia="仿宋_GB2312" w:cs="宋体"/>
          <w:color w:val="000000"/>
          <w:kern w:val="0"/>
          <w:sz w:val="32"/>
          <w:szCs w:val="32"/>
          <w:shd w:val="clear" w:color="auto" w:fill="FFFFFF"/>
          <w:lang w:val="en-US" w:eastAsia="zh-CN"/>
        </w:rPr>
        <w:t>部门</w:t>
      </w:r>
      <w:r>
        <w:rPr>
          <w:rFonts w:hint="eastAsia" w:ascii="仿宋_GB2312" w:hAnsi="仿宋" w:eastAsia="仿宋_GB2312" w:cs="宋体"/>
          <w:color w:val="000000"/>
          <w:kern w:val="0"/>
          <w:sz w:val="32"/>
          <w:szCs w:val="32"/>
          <w:shd w:val="clear" w:color="auto" w:fill="FFFFFF"/>
          <w:lang w:val="zh-CN"/>
        </w:rPr>
        <w:t>年初工作规划，围绕县委、县政府发展蓝图，积极履职，强化管理，较好</w:t>
      </w:r>
      <w:r>
        <w:rPr>
          <w:rFonts w:hint="eastAsia" w:ascii="仿宋_GB2312" w:hAnsi="仿宋" w:eastAsia="仿宋_GB2312" w:cs="宋体"/>
          <w:color w:val="000000"/>
          <w:kern w:val="0"/>
          <w:sz w:val="32"/>
          <w:szCs w:val="32"/>
          <w:highlight w:val="none"/>
          <w:shd w:val="clear" w:color="auto" w:fill="FFFFFF"/>
          <w:lang w:val="zh-CN"/>
        </w:rPr>
        <w:t>地完</w:t>
      </w:r>
      <w:r>
        <w:rPr>
          <w:rFonts w:hint="eastAsia" w:ascii="仿宋_GB2312" w:hAnsi="仿宋" w:eastAsia="仿宋_GB2312" w:cs="宋体"/>
          <w:color w:val="000000"/>
          <w:kern w:val="0"/>
          <w:sz w:val="32"/>
          <w:szCs w:val="32"/>
          <w:shd w:val="clear" w:color="auto" w:fill="FFFFFF"/>
          <w:lang w:val="zh-CN"/>
        </w:rPr>
        <w:t>成了上年度工作目标。通过加强预算收支管理，不断建立健全内部管理制度，梳理内部管理流程，部门整体支出管理情况得到提升。</w:t>
      </w:r>
      <w:r>
        <w:rPr>
          <w:rFonts w:hint="eastAsia" w:ascii="仿宋_GB2312" w:hAnsi="仿宋_GB2312" w:eastAsia="仿宋_GB2312" w:cs="仿宋_GB2312"/>
          <w:kern w:val="0"/>
          <w:sz w:val="32"/>
          <w:szCs w:val="32"/>
          <w:lang w:eastAsia="zh-CN"/>
        </w:rPr>
        <w:t>本</w:t>
      </w:r>
      <w:r>
        <w:rPr>
          <w:rFonts w:hint="eastAsia" w:ascii="仿宋_GB2312" w:hAnsi="仿宋_GB2312" w:eastAsia="仿宋_GB2312" w:cs="仿宋_GB2312"/>
          <w:kern w:val="0"/>
          <w:sz w:val="32"/>
          <w:szCs w:val="32"/>
        </w:rPr>
        <w:t>部门202</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年度预算绩效总体表现良好，自评得分为99.50分。</w:t>
      </w:r>
    </w:p>
    <w:p w14:paraId="28CD5A0B">
      <w:pPr>
        <w:widowControl/>
        <w:adjustRightInd w:val="0"/>
        <w:snapToGrid w:val="0"/>
        <w:spacing w:line="540" w:lineRule="exact"/>
        <w:ind w:firstLine="720"/>
        <w:jc w:val="left"/>
        <w:outlineLvl w:val="9"/>
        <w:rPr>
          <w:rFonts w:ascii="Times New Roman" w:hAnsi="Times New Roman" w:eastAsia="楷体_GB2312" w:cs="Times New Roman"/>
          <w:b/>
          <w:bCs/>
          <w:color w:val="000000"/>
          <w:kern w:val="0"/>
          <w:sz w:val="32"/>
          <w:szCs w:val="32"/>
          <w:shd w:val="clear" w:color="auto" w:fill="FFFFFF"/>
          <w:lang w:val="zh-CN"/>
        </w:rPr>
      </w:pPr>
      <w:r>
        <w:rPr>
          <w:rFonts w:hint="eastAsia" w:ascii="Times New Roman" w:hAnsi="Times New Roman" w:eastAsia="楷体_GB2312" w:cs="Times New Roman"/>
          <w:b/>
          <w:bCs/>
          <w:color w:val="000000"/>
          <w:kern w:val="0"/>
          <w:sz w:val="32"/>
          <w:szCs w:val="32"/>
          <w:shd w:val="clear" w:color="auto" w:fill="FFFFFF"/>
          <w:lang w:val="zh-CN"/>
        </w:rPr>
        <w:t>（二）</w:t>
      </w:r>
      <w:r>
        <w:rPr>
          <w:rFonts w:ascii="Times New Roman" w:hAnsi="Times New Roman" w:eastAsia="楷体_GB2312" w:cs="Times New Roman"/>
          <w:b/>
          <w:bCs/>
          <w:color w:val="000000"/>
          <w:kern w:val="0"/>
          <w:sz w:val="32"/>
          <w:szCs w:val="32"/>
          <w:shd w:val="clear" w:color="auto" w:fill="FFFFFF"/>
          <w:lang w:val="zh-CN"/>
        </w:rPr>
        <w:t>存在问题</w:t>
      </w:r>
    </w:p>
    <w:p w14:paraId="68BBC85F">
      <w:pPr>
        <w:widowControl/>
        <w:numPr>
          <w:ilvl w:val="0"/>
          <w:numId w:val="0"/>
        </w:numPr>
        <w:adjustRightInd w:val="0"/>
        <w:snapToGrid w:val="0"/>
        <w:spacing w:line="578" w:lineRule="exact"/>
        <w:ind w:firstLine="608" w:firstLineChars="200"/>
        <w:contextualSpacing/>
        <w:jc w:val="left"/>
        <w:outlineLvl w:val="9"/>
        <w:rPr>
          <w:rFonts w:hint="eastAsia" w:ascii="仿宋_GB2312" w:hAnsi="仿宋_GB2312" w:eastAsia="仿宋_GB2312" w:cs="仿宋_GB2312"/>
          <w:w w:val="95"/>
          <w:kern w:val="0"/>
          <w:sz w:val="32"/>
          <w:szCs w:val="32"/>
        </w:rPr>
      </w:pPr>
      <w:r>
        <w:rPr>
          <w:rFonts w:hint="eastAsia" w:ascii="仿宋_GB2312" w:hAnsi="仿宋_GB2312" w:eastAsia="仿宋_GB2312" w:cs="仿宋_GB2312"/>
          <w:w w:val="95"/>
          <w:kern w:val="0"/>
          <w:sz w:val="32"/>
          <w:szCs w:val="32"/>
        </w:rPr>
        <w:t>年初绩效目标不够细化量化。</w:t>
      </w:r>
    </w:p>
    <w:p w14:paraId="332F1473">
      <w:pPr>
        <w:widowControl/>
        <w:adjustRightInd w:val="0"/>
        <w:snapToGrid w:val="0"/>
        <w:spacing w:line="540" w:lineRule="exact"/>
        <w:ind w:firstLine="720"/>
        <w:jc w:val="left"/>
        <w:outlineLvl w:val="9"/>
        <w:rPr>
          <w:rFonts w:ascii="Times New Roman" w:hAnsi="Times New Roman" w:eastAsia="楷体_GB2312" w:cs="Times New Roman"/>
          <w:b/>
          <w:bCs/>
          <w:color w:val="000000"/>
          <w:kern w:val="0"/>
          <w:sz w:val="32"/>
          <w:szCs w:val="32"/>
          <w:shd w:val="clear" w:color="auto" w:fill="FFFFFF"/>
          <w:lang w:val="zh-CN"/>
        </w:rPr>
      </w:pPr>
      <w:r>
        <w:rPr>
          <w:rFonts w:hint="eastAsia" w:ascii="Times New Roman" w:hAnsi="Times New Roman" w:eastAsia="楷体_GB2312" w:cs="Times New Roman"/>
          <w:b/>
          <w:bCs/>
          <w:color w:val="000000"/>
          <w:kern w:val="0"/>
          <w:sz w:val="32"/>
          <w:szCs w:val="32"/>
          <w:shd w:val="clear" w:color="auto" w:fill="FFFFFF"/>
          <w:lang w:val="zh-CN"/>
        </w:rPr>
        <w:t>（三）</w:t>
      </w:r>
      <w:r>
        <w:rPr>
          <w:rFonts w:ascii="Times New Roman" w:hAnsi="Times New Roman" w:eastAsia="楷体_GB2312" w:cs="Times New Roman"/>
          <w:b/>
          <w:bCs/>
          <w:color w:val="000000"/>
          <w:kern w:val="0"/>
          <w:sz w:val="32"/>
          <w:szCs w:val="32"/>
          <w:shd w:val="clear" w:color="auto" w:fill="FFFFFF"/>
          <w:lang w:val="zh-CN"/>
        </w:rPr>
        <w:t>改进建议</w:t>
      </w:r>
    </w:p>
    <w:p w14:paraId="377F114B">
      <w:pPr>
        <w:widowControl/>
        <w:numPr>
          <w:ilvl w:val="0"/>
          <w:numId w:val="0"/>
        </w:numPr>
        <w:adjustRightInd w:val="0"/>
        <w:snapToGrid w:val="0"/>
        <w:spacing w:line="578" w:lineRule="exact"/>
        <w:ind w:firstLine="640" w:firstLineChars="200"/>
        <w:contextualSpacing/>
        <w:jc w:val="left"/>
        <w:outlineLvl w:val="9"/>
        <w:rPr>
          <w:rFonts w:ascii="Times New Roman" w:hAnsi="Times New Roman" w:eastAsia="黑体" w:cs="Times New Roman"/>
          <w:sz w:val="32"/>
        </w:rPr>
      </w:pPr>
      <w:bookmarkStart w:id="115" w:name="_Hlk110546638"/>
      <w:r>
        <w:rPr>
          <w:rFonts w:hint="eastAsia" w:ascii="仿宋_GB2312" w:hAnsi="仿宋_GB2312" w:eastAsia="仿宋_GB2312" w:cs="仿宋_GB2312"/>
          <w:kern w:val="0"/>
          <w:sz w:val="32"/>
          <w:szCs w:val="32"/>
        </w:rPr>
        <w:t>根据项目的具体需求和预期成果，制定更为详细和量化的预算指标，确保每一笔资金都能得到有效利用。</w:t>
      </w:r>
      <w:bookmarkEnd w:id="115"/>
    </w:p>
    <w:p w14:paraId="0E2EBF7E">
      <w:pPr>
        <w:spacing w:line="578" w:lineRule="exact"/>
        <w:jc w:val="left"/>
        <w:rPr>
          <w:rFonts w:ascii="Times New Roman" w:hAnsi="Times New Roman" w:eastAsia="黑体" w:cs="Times New Roman"/>
          <w:sz w:val="32"/>
        </w:rPr>
      </w:pPr>
    </w:p>
    <w:p w14:paraId="45ABBA8D">
      <w:pPr>
        <w:pStyle w:val="2"/>
        <w:rPr>
          <w:rFonts w:ascii="Times New Roman" w:hAnsi="Times New Roman" w:eastAsia="黑体" w:cs="Times New Roman"/>
          <w:sz w:val="32"/>
        </w:rPr>
      </w:pPr>
    </w:p>
    <w:p w14:paraId="16673918">
      <w:pPr>
        <w:pStyle w:val="3"/>
        <w:rPr>
          <w:rFonts w:ascii="Times New Roman" w:hAnsi="Times New Roman" w:eastAsia="黑体" w:cs="Times New Roman"/>
          <w:sz w:val="32"/>
        </w:rPr>
      </w:pPr>
    </w:p>
    <w:p w14:paraId="6A897898">
      <w:pPr>
        <w:pStyle w:val="3"/>
        <w:rPr>
          <w:rFonts w:ascii="Times New Roman" w:hAnsi="Times New Roman" w:eastAsia="黑体" w:cs="Times New Roman"/>
          <w:sz w:val="32"/>
        </w:rPr>
      </w:pPr>
    </w:p>
    <w:p w14:paraId="4C587ED4">
      <w:pPr>
        <w:pStyle w:val="3"/>
        <w:rPr>
          <w:rFonts w:ascii="Times New Roman" w:hAnsi="Times New Roman" w:eastAsia="黑体" w:cs="Times New Roman"/>
          <w:sz w:val="32"/>
        </w:rPr>
      </w:pPr>
    </w:p>
    <w:p w14:paraId="3EDFEDBB">
      <w:pPr>
        <w:pStyle w:val="3"/>
        <w:rPr>
          <w:rFonts w:ascii="Times New Roman" w:hAnsi="Times New Roman" w:eastAsia="黑体" w:cs="Times New Roman"/>
          <w:sz w:val="32"/>
        </w:rPr>
      </w:pPr>
    </w:p>
    <w:p w14:paraId="4DE91933">
      <w:pPr>
        <w:pStyle w:val="3"/>
        <w:rPr>
          <w:rFonts w:ascii="Times New Roman" w:hAnsi="Times New Roman" w:eastAsia="黑体" w:cs="Times New Roman"/>
          <w:sz w:val="32"/>
        </w:rPr>
      </w:pPr>
    </w:p>
    <w:p w14:paraId="42FE8F0C">
      <w:pPr>
        <w:pStyle w:val="3"/>
        <w:rPr>
          <w:rFonts w:ascii="Times New Roman" w:hAnsi="Times New Roman" w:eastAsia="黑体" w:cs="Times New Roman"/>
          <w:sz w:val="32"/>
        </w:rPr>
      </w:pPr>
    </w:p>
    <w:p w14:paraId="6BAEE3BF">
      <w:pPr>
        <w:pStyle w:val="3"/>
        <w:rPr>
          <w:rFonts w:ascii="Times New Roman" w:hAnsi="Times New Roman" w:eastAsia="黑体" w:cs="Times New Roman"/>
          <w:sz w:val="32"/>
        </w:rPr>
      </w:pPr>
    </w:p>
    <w:p w14:paraId="50579660">
      <w:pPr>
        <w:pStyle w:val="3"/>
        <w:ind w:left="0" w:leftChars="0" w:firstLine="0" w:firstLineChars="0"/>
        <w:rPr>
          <w:rFonts w:ascii="Times New Roman" w:hAnsi="Times New Roman" w:eastAsia="黑体" w:cs="Times New Roman"/>
          <w:sz w:val="32"/>
        </w:rPr>
      </w:pPr>
    </w:p>
    <w:p w14:paraId="43E596A7">
      <w:pPr>
        <w:pStyle w:val="2"/>
      </w:pPr>
    </w:p>
    <w:p w14:paraId="5F16B157">
      <w:pPr>
        <w:pStyle w:val="2"/>
        <w:rPr>
          <w:rFonts w:ascii="Times New Roman" w:hAnsi="Times New Roman" w:eastAsia="黑体" w:cs="Times New Roman"/>
          <w:sz w:val="32"/>
        </w:rPr>
      </w:pPr>
    </w:p>
    <w:p w14:paraId="1FBFDF12">
      <w:pPr>
        <w:pStyle w:val="3"/>
      </w:pPr>
    </w:p>
    <w:bookmarkEnd w:id="114"/>
    <w:p w14:paraId="43187BE8">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360" w:lineRule="auto"/>
        <w:ind w:right="0" w:rightChars="0"/>
        <w:jc w:val="center"/>
        <w:textAlignment w:val="auto"/>
        <w:outlineLvl w:val="9"/>
        <w:rPr>
          <w:rFonts w:hint="default"/>
          <w:b w:val="0"/>
          <w:bCs w:val="0"/>
          <w:sz w:val="32"/>
          <w:szCs w:val="32"/>
          <w:lang w:val="en-US"/>
        </w:rPr>
      </w:pPr>
      <w:bookmarkStart w:id="116" w:name="_Toc24390"/>
      <w:r>
        <w:rPr>
          <w:rFonts w:hint="eastAsia" w:ascii="黑体" w:eastAsia="黑体" w:cs="黑体"/>
          <w:b w:val="0"/>
          <w:bCs w:val="0"/>
          <w:kern w:val="0"/>
          <w:sz w:val="44"/>
          <w:szCs w:val="44"/>
        </w:rPr>
        <w:t>附</w:t>
      </w:r>
      <w:r>
        <w:rPr>
          <w:rFonts w:hint="eastAsia" w:ascii="黑体" w:eastAsia="黑体" w:cs="黑体"/>
          <w:b w:val="0"/>
          <w:bCs w:val="0"/>
          <w:kern w:val="0"/>
          <w:sz w:val="44"/>
          <w:szCs w:val="44"/>
          <w:lang w:val="en-US" w:eastAsia="zh-CN"/>
        </w:rPr>
        <w:t>件</w:t>
      </w:r>
      <w:bookmarkEnd w:id="116"/>
      <w:r>
        <w:rPr>
          <w:rFonts w:hint="eastAsia" w:ascii="黑体" w:eastAsia="黑体" w:cs="黑体"/>
          <w:b w:val="0"/>
          <w:bCs w:val="0"/>
          <w:kern w:val="0"/>
          <w:sz w:val="44"/>
          <w:szCs w:val="44"/>
          <w:lang w:val="en-US" w:eastAsia="zh-CN"/>
        </w:rPr>
        <w:t>2项目支出绩效自评表</w:t>
      </w:r>
    </w:p>
    <w:tbl>
      <w:tblPr>
        <w:tblStyle w:val="17"/>
        <w:tblW w:w="95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
      <w:tblGrid>
        <w:gridCol w:w="675"/>
        <w:gridCol w:w="376"/>
        <w:gridCol w:w="706"/>
        <w:gridCol w:w="941"/>
        <w:gridCol w:w="427"/>
        <w:gridCol w:w="150"/>
        <w:gridCol w:w="1392"/>
        <w:gridCol w:w="645"/>
        <w:gridCol w:w="640"/>
        <w:gridCol w:w="60"/>
        <w:gridCol w:w="800"/>
        <w:gridCol w:w="825"/>
        <w:gridCol w:w="738"/>
        <w:gridCol w:w="750"/>
        <w:gridCol w:w="460"/>
      </w:tblGrid>
      <w:tr w14:paraId="70551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3" w:hRule="atLeast"/>
          <w:jc w:val="center"/>
        </w:trPr>
        <w:tc>
          <w:tcPr>
            <w:tcW w:w="9585" w:type="dxa"/>
            <w:gridSpan w:val="15"/>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084ECC">
            <w:pPr>
              <w:keepNext w:val="0"/>
              <w:keepLines w:val="0"/>
              <w:pageBreakBefore w:val="0"/>
              <w:widowControl w:val="0"/>
              <w:numPr>
                <w:ilvl w:val="0"/>
                <w:numId w:val="0"/>
              </w:numPr>
              <w:kinsoku/>
              <w:wordWrap/>
              <w:overflowPunct/>
              <w:topLinePunct w:val="0"/>
              <w:autoSpaceDE/>
              <w:autoSpaceDN/>
              <w:bidi w:val="0"/>
              <w:snapToGrid w:val="0"/>
              <w:spacing w:before="0" w:beforeAutospacing="0" w:after="0" w:afterAutospacing="0" w:line="560" w:lineRule="exact"/>
              <w:ind w:right="0" w:rightChars="0"/>
              <w:jc w:val="center"/>
              <w:rPr>
                <w:rFonts w:hint="eastAsia" w:ascii="Times New Roman" w:hAnsi="Times New Roman" w:eastAsia="仿宋_GB2312" w:cs="Times New Roman"/>
                <w:b/>
                <w:bCs/>
                <w:color w:val="000000"/>
                <w:kern w:val="0"/>
                <w:sz w:val="32"/>
                <w:szCs w:val="32"/>
                <w:shd w:val="clear" w:color="auto" w:fill="FFFFFF"/>
                <w:lang w:val="en-US" w:eastAsia="zh-CN"/>
              </w:rPr>
            </w:pPr>
            <w:r>
              <w:rPr>
                <w:rFonts w:hint="eastAsia" w:ascii="仿宋_GB2312" w:hAnsi="仿宋_GB2312" w:eastAsia="仿宋_GB2312" w:cs="仿宋_GB2312"/>
                <w:b/>
                <w:bCs/>
                <w:color w:val="000000"/>
                <w:kern w:val="0"/>
                <w:sz w:val="28"/>
                <w:szCs w:val="28"/>
                <w:shd w:val="clear" w:color="auto" w:fill="FFFFFF"/>
                <w:lang w:val="en-US" w:eastAsia="zh-CN"/>
              </w:rPr>
              <w:t>茂县2025年基层农技推广体系改革与建设项目支出绩效自评表</w:t>
            </w:r>
          </w:p>
        </w:tc>
      </w:tr>
      <w:tr w14:paraId="37B37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13"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1AAE9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7828" w:type="dxa"/>
            <w:gridSpan w:val="1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99F21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茂县2025年基层农技推广体系改革与建设项目</w:t>
            </w:r>
          </w:p>
        </w:tc>
      </w:tr>
      <w:tr w14:paraId="2E5B3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1EB08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4195"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15BB2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茂县科学技术和农业畜牧局</w:t>
            </w:r>
          </w:p>
        </w:tc>
        <w:tc>
          <w:tcPr>
            <w:tcW w:w="860" w:type="dxa"/>
            <w:gridSpan w:val="2"/>
            <w:tcBorders>
              <w:top w:val="nil"/>
              <w:left w:val="nil"/>
              <w:bottom w:val="nil"/>
              <w:right w:val="nil"/>
            </w:tcBorders>
            <w:shd w:val="clear" w:color="auto" w:fill="FFFFFF" w:themeFill="background1"/>
            <w:vAlign w:val="center"/>
          </w:tcPr>
          <w:p w14:paraId="30B3681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2773"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AF14F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茂县科学技术和农业畜牧局</w:t>
            </w:r>
          </w:p>
        </w:tc>
      </w:tr>
      <w:tr w14:paraId="4BD24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41" w:hRule="atLeast"/>
          <w:jc w:val="center"/>
        </w:trPr>
        <w:tc>
          <w:tcPr>
            <w:tcW w:w="675"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27D39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1082"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03946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项目年度目标完成情况</w:t>
            </w:r>
          </w:p>
        </w:tc>
        <w:tc>
          <w:tcPr>
            <w:tcW w:w="4195"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0A143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3633"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FCF53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37B13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50"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364285">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50E010">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4195"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79BB7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zh-CN" w:eastAsia="zh-CN" w:bidi="ar"/>
              </w:rPr>
              <w:t>建设县级现代农业科技试验示范基地</w:t>
            </w:r>
            <w:r>
              <w:rPr>
                <w:rFonts w:hint="eastAsia" w:ascii="宋体" w:hAnsi="宋体" w:eastAsia="宋体" w:cs="宋体"/>
                <w:i w:val="0"/>
                <w:iCs w:val="0"/>
                <w:color w:val="000000"/>
                <w:kern w:val="0"/>
                <w:sz w:val="18"/>
                <w:szCs w:val="18"/>
                <w:u w:val="none"/>
                <w:lang w:val="en-US" w:eastAsia="zh-CN" w:bidi="ar"/>
              </w:rPr>
              <w:t>2个</w:t>
            </w:r>
            <w:r>
              <w:rPr>
                <w:rFonts w:hint="eastAsia" w:ascii="宋体" w:hAnsi="宋体" w:eastAsia="宋体" w:cs="宋体"/>
                <w:i w:val="0"/>
                <w:iCs w:val="0"/>
                <w:color w:val="000000"/>
                <w:kern w:val="0"/>
                <w:sz w:val="18"/>
                <w:szCs w:val="18"/>
                <w:u w:val="none"/>
                <w:lang w:val="zh-CN" w:eastAsia="zh-CN" w:bidi="ar"/>
              </w:rPr>
              <w:t>，培训基层农技人员</w:t>
            </w:r>
            <w:r>
              <w:rPr>
                <w:rFonts w:hint="eastAsia" w:ascii="宋体" w:hAnsi="宋体" w:eastAsia="宋体" w:cs="宋体"/>
                <w:i w:val="0"/>
                <w:iCs w:val="0"/>
                <w:color w:val="000000"/>
                <w:kern w:val="0"/>
                <w:sz w:val="18"/>
                <w:szCs w:val="18"/>
                <w:u w:val="none"/>
                <w:lang w:val="en-US" w:eastAsia="zh-CN" w:bidi="ar"/>
              </w:rPr>
              <w:t>80</w:t>
            </w:r>
            <w:r>
              <w:rPr>
                <w:rFonts w:hint="eastAsia" w:ascii="宋体" w:hAnsi="宋体" w:eastAsia="宋体" w:cs="宋体"/>
                <w:i w:val="0"/>
                <w:iCs w:val="0"/>
                <w:color w:val="000000"/>
                <w:kern w:val="0"/>
                <w:sz w:val="18"/>
                <w:szCs w:val="18"/>
                <w:u w:val="none"/>
                <w:lang w:val="zh-CN" w:eastAsia="zh-CN" w:bidi="ar"/>
              </w:rPr>
              <w:t>名，招募特聘农技员</w:t>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zh-CN" w:eastAsia="zh-CN" w:bidi="ar"/>
              </w:rPr>
              <w:t>人，</w:t>
            </w:r>
            <w:r>
              <w:rPr>
                <w:rFonts w:hint="eastAsia" w:ascii="宋体" w:hAnsi="宋体" w:eastAsia="宋体" w:cs="宋体"/>
                <w:i w:val="0"/>
                <w:iCs w:val="0"/>
                <w:color w:val="000000"/>
                <w:kern w:val="0"/>
                <w:sz w:val="18"/>
                <w:szCs w:val="18"/>
                <w:u w:val="none"/>
                <w:lang w:val="en-US" w:eastAsia="zh-CN" w:bidi="ar"/>
              </w:rPr>
              <w:t>主推技术推广到位率95%以上</w:t>
            </w:r>
            <w:r>
              <w:rPr>
                <w:rFonts w:hint="eastAsia" w:ascii="宋体" w:hAnsi="宋体" w:eastAsia="宋体" w:cs="宋体"/>
                <w:i w:val="0"/>
                <w:iCs w:val="0"/>
                <w:color w:val="000000"/>
                <w:kern w:val="0"/>
                <w:sz w:val="18"/>
                <w:szCs w:val="18"/>
                <w:u w:val="none"/>
                <w:lang w:val="zh-CN" w:eastAsia="zh-CN" w:bidi="ar"/>
              </w:rPr>
              <w:t>。</w:t>
            </w:r>
          </w:p>
        </w:tc>
        <w:tc>
          <w:tcPr>
            <w:tcW w:w="3633"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646AA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zh-CN" w:eastAsia="zh-CN" w:bidi="ar"/>
              </w:rPr>
              <w:t>完成2个县级现代农业科技试验示范基地，培训</w:t>
            </w:r>
            <w:r>
              <w:rPr>
                <w:rFonts w:hint="eastAsia" w:ascii="宋体" w:hAnsi="宋体" w:eastAsia="宋体" w:cs="宋体"/>
                <w:i w:val="0"/>
                <w:iCs w:val="0"/>
                <w:color w:val="000000"/>
                <w:kern w:val="0"/>
                <w:sz w:val="18"/>
                <w:szCs w:val="18"/>
                <w:u w:val="none"/>
                <w:lang w:val="en-US" w:eastAsia="zh-CN" w:bidi="ar"/>
              </w:rPr>
              <w:t>80</w:t>
            </w:r>
            <w:r>
              <w:rPr>
                <w:rFonts w:hint="eastAsia" w:ascii="宋体" w:hAnsi="宋体" w:eastAsia="宋体" w:cs="宋体"/>
                <w:i w:val="0"/>
                <w:iCs w:val="0"/>
                <w:color w:val="000000"/>
                <w:kern w:val="0"/>
                <w:sz w:val="18"/>
                <w:szCs w:val="18"/>
                <w:u w:val="none"/>
                <w:lang w:val="zh-CN" w:eastAsia="zh-CN" w:bidi="ar"/>
              </w:rPr>
              <w:t>名基层农技人员，招募特聘农技员</w:t>
            </w:r>
            <w:r>
              <w:rPr>
                <w:rFonts w:hint="eastAsia" w:ascii="宋体" w:hAnsi="宋体" w:eastAsia="宋体" w:cs="宋体"/>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zh-CN" w:eastAsia="zh-CN" w:bidi="ar"/>
              </w:rPr>
              <w:t>人，农业主推技术到位率96</w:t>
            </w:r>
            <w:r>
              <w:rPr>
                <w:rFonts w:hint="eastAsia"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zh-CN" w:eastAsia="zh-CN" w:bidi="ar"/>
              </w:rPr>
              <w:t>。</w:t>
            </w:r>
          </w:p>
        </w:tc>
      </w:tr>
      <w:tr w14:paraId="20981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56"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A1404A">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5A96B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项目实施内容及过程概述</w:t>
            </w:r>
          </w:p>
        </w:tc>
        <w:tc>
          <w:tcPr>
            <w:tcW w:w="7828" w:type="dxa"/>
            <w:gridSpan w:val="1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E648E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zh-CN" w:eastAsia="zh-CN" w:bidi="ar"/>
              </w:rPr>
              <w:t>县级现代农业科技试验示范基地由农业经营主体申请，镇人民政府审核，茂县科学技术和农业畜牧局实地考察、考核，报局党组同意后</w:t>
            </w:r>
            <w:r>
              <w:rPr>
                <w:rFonts w:hint="eastAsia" w:ascii="宋体" w:hAnsi="宋体" w:eastAsia="宋体" w:cs="宋体"/>
                <w:i w:val="0"/>
                <w:iCs w:val="0"/>
                <w:color w:val="000000"/>
                <w:kern w:val="0"/>
                <w:sz w:val="18"/>
                <w:szCs w:val="18"/>
                <w:u w:val="none"/>
                <w:lang w:val="en-US" w:eastAsia="zh-CN" w:bidi="ar"/>
              </w:rPr>
              <w:t>确定，基地内容建设完成后，验收合格再拨付资金。省级调训培训机构由省州认定，县级培训机构通过询价遴选确定，县级培训完成验收合格后，科农局拨付资金。特聘农技员由个人申请，所在乡镇审核，并经茂县</w:t>
            </w:r>
            <w:r>
              <w:rPr>
                <w:rFonts w:hint="eastAsia" w:ascii="宋体" w:hAnsi="宋体" w:eastAsia="宋体" w:cs="宋体"/>
                <w:i w:val="0"/>
                <w:iCs w:val="0"/>
                <w:color w:val="000000"/>
                <w:kern w:val="0"/>
                <w:sz w:val="18"/>
                <w:szCs w:val="18"/>
                <w:u w:val="none"/>
                <w:lang w:val="zh-CN" w:eastAsia="zh-CN" w:bidi="ar"/>
              </w:rPr>
              <w:t>科学技术和农业畜牧局考核后，报局党组同意后</w:t>
            </w:r>
            <w:r>
              <w:rPr>
                <w:rFonts w:hint="eastAsia" w:ascii="宋体" w:hAnsi="宋体" w:eastAsia="宋体" w:cs="宋体"/>
                <w:i w:val="0"/>
                <w:iCs w:val="0"/>
                <w:color w:val="000000"/>
                <w:kern w:val="0"/>
                <w:sz w:val="18"/>
                <w:szCs w:val="18"/>
                <w:u w:val="none"/>
                <w:lang w:val="en-US" w:eastAsia="zh-CN" w:bidi="ar"/>
              </w:rPr>
              <w:t>确定。</w:t>
            </w:r>
          </w:p>
        </w:tc>
      </w:tr>
      <w:tr w14:paraId="1087C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675"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A532D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D0EFA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9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5DABA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1969"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0AE86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1345"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92FA4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12410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w:t>
            </w:r>
          </w:p>
          <w:p w14:paraId="07586D8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行率</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D281C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27F96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4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35489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14:paraId="1792A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05"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52B9DF">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8F0F6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9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38F8DE">
            <w:pPr>
              <w:keepNext w:val="0"/>
              <w:keepLines w:val="0"/>
              <w:pageBreakBefore w:val="0"/>
              <w:widowControl w:val="0"/>
              <w:suppressLineNumbers w:val="0"/>
              <w:tabs>
                <w:tab w:val="left" w:pos="565"/>
              </w:tabs>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0</w:t>
            </w:r>
          </w:p>
        </w:tc>
        <w:tc>
          <w:tcPr>
            <w:tcW w:w="1969"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B54B3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42.44</w:t>
            </w:r>
          </w:p>
        </w:tc>
        <w:tc>
          <w:tcPr>
            <w:tcW w:w="1345"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319F6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42.44</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038736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EC64C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12</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349F7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60"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4FBC3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p>
        </w:tc>
      </w:tr>
      <w:tr w14:paraId="7DAEC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195C32">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1E161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9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F0673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0</w:t>
            </w:r>
          </w:p>
        </w:tc>
        <w:tc>
          <w:tcPr>
            <w:tcW w:w="1969"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24BBE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42.44</w:t>
            </w:r>
          </w:p>
        </w:tc>
        <w:tc>
          <w:tcPr>
            <w:tcW w:w="1345"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E3081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42.44</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8CA87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BADDE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14787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5A21B2">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099CB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6"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028C1D">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312FD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9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EABB9B">
            <w:pPr>
              <w:keepNext w:val="0"/>
              <w:keepLines w:val="0"/>
              <w:pageBreakBefore w:val="0"/>
              <w:widowControl w:val="0"/>
              <w:suppressLineNumbers w:val="0"/>
              <w:tabs>
                <w:tab w:val="left" w:pos="565"/>
              </w:tabs>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969"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C4132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345"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0B5BFB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9C308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11706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576C35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8BDC32">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2F902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5"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A9A91EA">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03E71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9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FACE6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0</w:t>
            </w:r>
          </w:p>
        </w:tc>
        <w:tc>
          <w:tcPr>
            <w:tcW w:w="1969"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80F4FE">
            <w:pPr>
              <w:keepNext w:val="0"/>
              <w:keepLines w:val="0"/>
              <w:pageBreakBefore w:val="0"/>
              <w:widowControl w:val="0"/>
              <w:suppressLineNumbers w:val="0"/>
              <w:tabs>
                <w:tab w:val="left" w:pos="524"/>
              </w:tabs>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345"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361FCD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B54ED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60569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07CA8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A2CDD2">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37198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1" w:hRule="atLeast"/>
          <w:jc w:val="center"/>
        </w:trPr>
        <w:tc>
          <w:tcPr>
            <w:tcW w:w="675"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A1C24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2E957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9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F3622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969"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EE963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2D1C7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F6438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A49C3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00BD8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73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FE9A1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75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02207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4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B1D9C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14:paraId="079B9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4"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1A5A8B">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vMerge w:val="restart"/>
            <w:tcBorders>
              <w:top w:val="single" w:color="000000" w:sz="4" w:space="0"/>
              <w:left w:val="single" w:color="000000" w:sz="4" w:space="0"/>
              <w:right w:val="single" w:color="000000" w:sz="4" w:space="0"/>
            </w:tcBorders>
            <w:shd w:val="clear" w:color="auto" w:fill="FFFFFF" w:themeFill="background1"/>
            <w:vAlign w:val="center"/>
          </w:tcPr>
          <w:p w14:paraId="4E8A279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941"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F3B64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9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075B00">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建设县级现代农业科技试验示范基地</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DC1BA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F3FBEA0">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9331B5">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F124B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3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FD34B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12</w:t>
            </w:r>
          </w:p>
        </w:tc>
        <w:tc>
          <w:tcPr>
            <w:tcW w:w="75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5F425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1B1F6A">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iCs/>
                <w:color w:val="000000"/>
                <w:sz w:val="18"/>
                <w:szCs w:val="18"/>
                <w:u w:val="none"/>
              </w:rPr>
            </w:pPr>
          </w:p>
        </w:tc>
      </w:tr>
      <w:tr w14:paraId="6A2BB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B29C8B">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vMerge w:val="continue"/>
            <w:tcBorders>
              <w:left w:val="single" w:color="000000" w:sz="4" w:space="0"/>
              <w:right w:val="single" w:color="000000" w:sz="4" w:space="0"/>
            </w:tcBorders>
            <w:shd w:val="clear" w:color="auto" w:fill="FFFFFF" w:themeFill="background1"/>
            <w:vAlign w:val="center"/>
          </w:tcPr>
          <w:p w14:paraId="68A67A0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1" w:type="dxa"/>
            <w:vMerge w:val="continue"/>
            <w:tcBorders>
              <w:left w:val="single" w:color="000000" w:sz="4" w:space="0"/>
              <w:right w:val="single" w:color="000000" w:sz="4" w:space="0"/>
            </w:tcBorders>
            <w:shd w:val="clear" w:color="auto" w:fill="FFFFFF" w:themeFill="background1"/>
            <w:vAlign w:val="center"/>
          </w:tcPr>
          <w:p w14:paraId="1868F68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1969"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709552">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参加5天以上脱产业务培训的基层农技人员</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FBAA5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A5D059">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80</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613781">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E027C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80</w:t>
            </w:r>
          </w:p>
        </w:tc>
        <w:tc>
          <w:tcPr>
            <w:tcW w:w="73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1E243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c>
          <w:tcPr>
            <w:tcW w:w="75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AF2F0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4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DB87D8">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iCs/>
                <w:color w:val="000000"/>
                <w:sz w:val="18"/>
                <w:szCs w:val="18"/>
                <w:u w:val="none"/>
              </w:rPr>
            </w:pPr>
          </w:p>
        </w:tc>
      </w:tr>
      <w:tr w14:paraId="14A70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2D38C0">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vMerge w:val="continue"/>
            <w:tcBorders>
              <w:left w:val="single" w:color="000000" w:sz="4" w:space="0"/>
              <w:right w:val="single" w:color="000000" w:sz="4" w:space="0"/>
            </w:tcBorders>
            <w:shd w:val="clear" w:color="auto" w:fill="FFFFFF" w:themeFill="background1"/>
            <w:vAlign w:val="center"/>
          </w:tcPr>
          <w:p w14:paraId="50993610">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1"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167875">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969"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55BF0F">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招募特聘农技员</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D51A9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7A2CC2">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8B0BB7">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AA233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3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7FEEA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12</w:t>
            </w:r>
          </w:p>
        </w:tc>
        <w:tc>
          <w:tcPr>
            <w:tcW w:w="75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52332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C76E3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6078F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E75A5B">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vMerge w:val="continue"/>
            <w:tcBorders>
              <w:left w:val="single" w:color="000000" w:sz="4" w:space="0"/>
              <w:right w:val="single" w:color="000000" w:sz="4" w:space="0"/>
            </w:tcBorders>
            <w:shd w:val="clear" w:color="auto" w:fill="FFFFFF" w:themeFill="background1"/>
            <w:vAlign w:val="center"/>
          </w:tcPr>
          <w:p w14:paraId="6D33845D">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1" w:type="dxa"/>
            <w:tcBorders>
              <w:top w:val="single" w:color="000000" w:sz="4" w:space="0"/>
              <w:left w:val="single" w:color="000000" w:sz="4" w:space="0"/>
              <w:bottom w:val="nil"/>
              <w:right w:val="single" w:color="000000" w:sz="4" w:space="0"/>
            </w:tcBorders>
            <w:shd w:val="clear" w:color="auto" w:fill="FFFFFF" w:themeFill="background1"/>
            <w:vAlign w:val="center"/>
          </w:tcPr>
          <w:p w14:paraId="6AD6C64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969"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D9277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验收合格率</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9492D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99B60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E27B4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E9D80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3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E7D2B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75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FDCD7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3C960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6BF37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6"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A7E2E3">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vMerge w:val="continue"/>
            <w:tcBorders>
              <w:left w:val="single" w:color="000000" w:sz="4" w:space="0"/>
              <w:bottom w:val="single" w:color="000000" w:sz="4" w:space="0"/>
              <w:right w:val="single" w:color="000000" w:sz="4" w:space="0"/>
            </w:tcBorders>
            <w:shd w:val="clear" w:color="auto" w:fill="FFFFFF" w:themeFill="background1"/>
            <w:vAlign w:val="center"/>
          </w:tcPr>
          <w:p w14:paraId="7594A3EC">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1" w:type="dxa"/>
            <w:tcBorders>
              <w:top w:val="single" w:color="000000" w:sz="4" w:space="0"/>
              <w:left w:val="single" w:color="000000" w:sz="4" w:space="0"/>
              <w:bottom w:val="nil"/>
              <w:right w:val="single" w:color="000000" w:sz="4" w:space="0"/>
            </w:tcBorders>
            <w:shd w:val="clear" w:color="auto" w:fill="FFFFFF" w:themeFill="background1"/>
            <w:vAlign w:val="center"/>
          </w:tcPr>
          <w:p w14:paraId="4F2CA21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969"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7AAC3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2025年12月31日前完成</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EDBBE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34551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43092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FE216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3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501DD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75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C5A6C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E27878">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141B4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765"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3D9FBA">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EC454B">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效益指标</w:t>
            </w:r>
          </w:p>
        </w:tc>
        <w:tc>
          <w:tcPr>
            <w:tcW w:w="9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798BE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969"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FA790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帮助农民掌握先进的农业技术和管理知识，提高他们的科技素质和生产经营能力。可以引导农民调整种植结构，发展高效、优质的农产品生产，满足市场多元化需求。</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7C348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71576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良好</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B2E1B1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81B5C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良好</w:t>
            </w:r>
          </w:p>
        </w:tc>
        <w:tc>
          <w:tcPr>
            <w:tcW w:w="73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4D7BA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5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A1465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4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7CF391">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692F6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312"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7C4E9D">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vMerge w:val="restart"/>
            <w:tcBorders>
              <w:top w:val="single" w:color="000000" w:sz="4" w:space="0"/>
              <w:left w:val="single" w:color="000000" w:sz="4" w:space="0"/>
              <w:right w:val="single" w:color="000000" w:sz="4" w:space="0"/>
            </w:tcBorders>
            <w:shd w:val="clear" w:color="auto" w:fill="FFFFFF" w:themeFill="background1"/>
            <w:vAlign w:val="center"/>
          </w:tcPr>
          <w:p w14:paraId="7D7193DB">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A2E90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1969"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FC553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通过推广科学施肥、病虫害绿色防控等技术，减少化肥、农药等化学物质的使用量，降低农业面源污染，保护农业生态环境</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5CA36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1BF3A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良好</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D7D57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7C577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良好</w:t>
            </w:r>
          </w:p>
        </w:tc>
        <w:tc>
          <w:tcPr>
            <w:tcW w:w="73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3CD82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5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00A3D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4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08F44F">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025E6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4"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548403">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vMerge w:val="continue"/>
            <w:tcBorders>
              <w:left w:val="single" w:color="000000" w:sz="4" w:space="0"/>
              <w:bottom w:val="single" w:color="000000" w:sz="4" w:space="0"/>
              <w:right w:val="single" w:color="000000" w:sz="4" w:space="0"/>
            </w:tcBorders>
            <w:shd w:val="clear" w:color="auto" w:fill="FFFFFF" w:themeFill="background1"/>
            <w:vAlign w:val="center"/>
          </w:tcPr>
          <w:p w14:paraId="61D9B638">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518"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E5F98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39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DC1D2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可持续性</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AC168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6AFE4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良好</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2F976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436E3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良好</w:t>
            </w:r>
          </w:p>
        </w:tc>
        <w:tc>
          <w:tcPr>
            <w:tcW w:w="73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0CAF4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FF8AB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82B7ED">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255F3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16FEBC">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82E7D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w:t>
            </w:r>
          </w:p>
          <w:p w14:paraId="24B61DA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w:t>
            </w:r>
          </w:p>
        </w:tc>
        <w:tc>
          <w:tcPr>
            <w:tcW w:w="1368"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9E904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54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DC6CF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服务对象</w:t>
            </w:r>
          </w:p>
          <w:p w14:paraId="616E69A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w:t>
            </w:r>
          </w:p>
        </w:tc>
        <w:tc>
          <w:tcPr>
            <w:tcW w:w="64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088AD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3AE83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90</w:t>
            </w:r>
          </w:p>
        </w:tc>
        <w:tc>
          <w:tcPr>
            <w:tcW w:w="8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F169B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1A810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90</w:t>
            </w:r>
          </w:p>
        </w:tc>
        <w:tc>
          <w:tcPr>
            <w:tcW w:w="73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0C6AA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ADDD5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4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9E1D28">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2CE5E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52" w:hRule="atLeast"/>
          <w:jc w:val="center"/>
        </w:trPr>
        <w:tc>
          <w:tcPr>
            <w:tcW w:w="6812" w:type="dxa"/>
            <w:gridSpan w:val="11"/>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E8C3C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FA2B9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p>
        </w:tc>
        <w:tc>
          <w:tcPr>
            <w:tcW w:w="73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A7871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100</w:t>
            </w:r>
          </w:p>
        </w:tc>
        <w:tc>
          <w:tcPr>
            <w:tcW w:w="75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0878AA">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97</w:t>
            </w:r>
          </w:p>
        </w:tc>
        <w:tc>
          <w:tcPr>
            <w:tcW w:w="4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DAAF96">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lang w:val="en-US" w:eastAsia="zh-CN"/>
              </w:rPr>
            </w:pPr>
          </w:p>
        </w:tc>
      </w:tr>
      <w:tr w14:paraId="2873E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06"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F3678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8534" w:type="dxa"/>
            <w:gridSpan w:val="1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2D850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项目自评总得分97分，基层农技推广体系改革与建设项目通过科技赋能、机制创新、服务优化，不仅解决了农业技术推广“最后一公里”问题，更推动了农业从传统生产向现代化、智能化、绿色化转型，为乡村振兴和农业强国建设提供了坚实支撑。</w:t>
            </w:r>
          </w:p>
        </w:tc>
      </w:tr>
      <w:tr w14:paraId="4D2DE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11"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66426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8534" w:type="dxa"/>
            <w:gridSpan w:val="1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66FD63">
            <w:pPr>
              <w:pStyle w:val="9"/>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line="240" w:lineRule="atLeast"/>
              <w:jc w:val="both"/>
              <w:textAlignment w:val="auto"/>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无</w:t>
            </w:r>
          </w:p>
        </w:tc>
      </w:tr>
      <w:tr w14:paraId="19F32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664E1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改进措施</w:t>
            </w:r>
          </w:p>
        </w:tc>
        <w:tc>
          <w:tcPr>
            <w:tcW w:w="8534" w:type="dxa"/>
            <w:gridSpan w:val="1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38AE3A">
            <w:pPr>
              <w:pStyle w:val="9"/>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line="240" w:lineRule="atLeast"/>
              <w:jc w:val="both"/>
              <w:textAlignment w:val="auto"/>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无</w:t>
            </w:r>
          </w:p>
        </w:tc>
      </w:tr>
    </w:tbl>
    <w:p w14:paraId="3C2E9FC6">
      <w:pPr>
        <w:keepNext w:val="0"/>
        <w:keepLines w:val="0"/>
        <w:pageBreakBefore w:val="0"/>
        <w:widowControl w:val="0"/>
        <w:kinsoku/>
        <w:wordWrap/>
        <w:overflowPunct/>
        <w:topLinePunct w:val="0"/>
        <w:autoSpaceDE/>
        <w:autoSpaceDN/>
        <w:bidi w:val="0"/>
        <w:snapToGrid w:val="0"/>
        <w:spacing w:before="0" w:beforeAutospacing="0" w:after="0" w:afterAutospacing="0" w:line="560" w:lineRule="exact"/>
        <w:ind w:right="0"/>
        <w:jc w:val="both"/>
        <w:rPr>
          <w:rFonts w:hint="eastAsia" w:ascii="黑体" w:hAnsi="黑体" w:eastAsia="黑体" w:cs="黑体"/>
          <w:kern w:val="0"/>
          <w:sz w:val="32"/>
          <w:szCs w:val="32"/>
          <w:shd w:val="clear" w:color="auto" w:fill="FFFFFF"/>
          <w:lang w:val="zh-CN"/>
        </w:rPr>
      </w:pPr>
      <w:bookmarkStart w:id="117" w:name="_Toc13417"/>
      <w:bookmarkEnd w:id="117"/>
      <w:bookmarkStart w:id="118" w:name="_Toc31670"/>
      <w:bookmarkEnd w:id="118"/>
      <w:bookmarkStart w:id="119" w:name="_Toc31876"/>
      <w:bookmarkEnd w:id="119"/>
      <w:bookmarkStart w:id="120" w:name="_Toc2892"/>
      <w:bookmarkEnd w:id="120"/>
      <w:bookmarkStart w:id="121" w:name="_Toc8277"/>
      <w:bookmarkEnd w:id="121"/>
      <w:bookmarkStart w:id="122" w:name="_Toc1450"/>
      <w:bookmarkEnd w:id="122"/>
      <w:bookmarkStart w:id="123" w:name="_Toc11410"/>
      <w:bookmarkEnd w:id="123"/>
      <w:bookmarkStart w:id="124" w:name="_Toc14773"/>
      <w:bookmarkEnd w:id="124"/>
      <w:bookmarkStart w:id="125" w:name="_Toc800"/>
      <w:bookmarkEnd w:id="125"/>
      <w:bookmarkStart w:id="126" w:name="_Toc27512"/>
      <w:bookmarkEnd w:id="126"/>
      <w:bookmarkStart w:id="127" w:name="_Toc9883"/>
      <w:bookmarkEnd w:id="127"/>
      <w:bookmarkStart w:id="128" w:name="_Toc19329"/>
      <w:bookmarkEnd w:id="128"/>
    </w:p>
    <w:tbl>
      <w:tblPr>
        <w:tblStyle w:val="17"/>
        <w:tblW w:w="98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
      <w:tblGrid>
        <w:gridCol w:w="812"/>
        <w:gridCol w:w="239"/>
        <w:gridCol w:w="706"/>
        <w:gridCol w:w="1273"/>
        <w:gridCol w:w="1880"/>
        <w:gridCol w:w="708"/>
        <w:gridCol w:w="334"/>
        <w:gridCol w:w="378"/>
        <w:gridCol w:w="713"/>
        <w:gridCol w:w="762"/>
        <w:gridCol w:w="588"/>
        <w:gridCol w:w="737"/>
        <w:gridCol w:w="741"/>
      </w:tblGrid>
      <w:tr w14:paraId="66DEB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3" w:hRule="atLeast"/>
          <w:jc w:val="center"/>
        </w:trPr>
        <w:tc>
          <w:tcPr>
            <w:tcW w:w="9871" w:type="dxa"/>
            <w:gridSpan w:val="1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252E72">
            <w:pPr>
              <w:keepNext w:val="0"/>
              <w:keepLines w:val="0"/>
              <w:pageBreakBefore w:val="0"/>
              <w:widowControl w:val="0"/>
              <w:numPr>
                <w:ilvl w:val="0"/>
                <w:numId w:val="0"/>
              </w:numPr>
              <w:kinsoku/>
              <w:wordWrap/>
              <w:overflowPunct/>
              <w:topLinePunct w:val="0"/>
              <w:autoSpaceDE/>
              <w:autoSpaceDN/>
              <w:bidi w:val="0"/>
              <w:snapToGrid w:val="0"/>
              <w:spacing w:before="0" w:beforeAutospacing="0" w:after="0" w:afterAutospacing="0" w:line="560" w:lineRule="exact"/>
              <w:ind w:right="0" w:rightChars="0"/>
              <w:jc w:val="center"/>
              <w:rPr>
                <w:rFonts w:ascii="黑体" w:hAnsi="宋体" w:eastAsia="黑体" w:cs="黑体"/>
                <w:b/>
                <w:bCs/>
                <w:i w:val="0"/>
                <w:iCs w:val="0"/>
                <w:color w:val="000000"/>
                <w:sz w:val="30"/>
                <w:szCs w:val="30"/>
                <w:u w:val="none"/>
              </w:rPr>
            </w:pPr>
            <w:r>
              <w:rPr>
                <w:rFonts w:hint="eastAsia" w:ascii="Times New Roman" w:hAnsi="Times New Roman" w:eastAsia="仿宋_GB2312" w:cs="Times New Roman"/>
                <w:b/>
                <w:bCs/>
                <w:color w:val="000000"/>
                <w:kern w:val="0"/>
                <w:sz w:val="36"/>
                <w:szCs w:val="36"/>
                <w:shd w:val="clear" w:color="auto" w:fill="FFFFFF"/>
                <w:lang w:val="en-US" w:eastAsia="zh-CN"/>
              </w:rPr>
              <w:t>茂县2025年高素质农民培育项目支出绩效自评表</w:t>
            </w:r>
          </w:p>
        </w:tc>
      </w:tr>
      <w:tr w14:paraId="014EB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13"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DD3F3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8114" w:type="dxa"/>
            <w:gridSpan w:val="10"/>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906E3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eastAsia="zh-CN"/>
              </w:rPr>
              <w:t>茂县</w:t>
            </w:r>
            <w:r>
              <w:rPr>
                <w:rFonts w:hint="eastAsia" w:ascii="宋体" w:hAnsi="宋体" w:eastAsia="宋体" w:cs="宋体"/>
                <w:i w:val="0"/>
                <w:iCs w:val="0"/>
                <w:color w:val="000000"/>
                <w:sz w:val="18"/>
                <w:szCs w:val="18"/>
                <w:u w:val="none"/>
                <w:lang w:val="en-US" w:eastAsia="zh-CN"/>
              </w:rPr>
              <w:t>2025年高素质农民培育项目</w:t>
            </w:r>
          </w:p>
        </w:tc>
      </w:tr>
      <w:tr w14:paraId="688C0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6BDCE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4195"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424BC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茂县科学技术和农业畜牧局</w:t>
            </w:r>
          </w:p>
        </w:tc>
        <w:tc>
          <w:tcPr>
            <w:tcW w:w="1091" w:type="dxa"/>
            <w:gridSpan w:val="2"/>
            <w:tcBorders>
              <w:top w:val="nil"/>
              <w:left w:val="nil"/>
              <w:bottom w:val="nil"/>
              <w:right w:val="nil"/>
            </w:tcBorders>
            <w:shd w:val="clear" w:color="auto" w:fill="FFFFFF" w:themeFill="background1"/>
            <w:vAlign w:val="center"/>
          </w:tcPr>
          <w:p w14:paraId="0B98187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实施单位 </w:t>
            </w:r>
          </w:p>
        </w:tc>
        <w:tc>
          <w:tcPr>
            <w:tcW w:w="2828"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61236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茂县科学技术和农业畜牧局</w:t>
            </w:r>
          </w:p>
        </w:tc>
      </w:tr>
      <w:tr w14:paraId="4D475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41"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E2AD0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94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08ED7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项目年度目标完成情况</w:t>
            </w:r>
          </w:p>
        </w:tc>
        <w:tc>
          <w:tcPr>
            <w:tcW w:w="4195"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10FBE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3919"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3B69E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686B7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0B3573">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A8AE3A">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4195"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BA739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000000"/>
                <w:sz w:val="18"/>
                <w:szCs w:val="18"/>
                <w:lang w:eastAsia="zh-CN"/>
              </w:rPr>
              <w:t>培训高素质农民</w:t>
            </w:r>
            <w:r>
              <w:rPr>
                <w:rFonts w:hint="eastAsia" w:ascii="宋体" w:hAnsi="宋体" w:eastAsia="宋体" w:cs="宋体"/>
                <w:color w:val="000000"/>
                <w:sz w:val="18"/>
                <w:szCs w:val="18"/>
                <w:lang w:val="en-US" w:eastAsia="zh-CN"/>
              </w:rPr>
              <w:t>31人。</w:t>
            </w:r>
          </w:p>
        </w:tc>
        <w:tc>
          <w:tcPr>
            <w:tcW w:w="3919"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47E4D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000000"/>
                <w:sz w:val="18"/>
                <w:szCs w:val="18"/>
                <w:lang w:eastAsia="zh-CN"/>
              </w:rPr>
              <w:t>培训高素质农民</w:t>
            </w:r>
            <w:r>
              <w:rPr>
                <w:rFonts w:hint="eastAsia" w:ascii="宋体" w:hAnsi="宋体" w:eastAsia="宋体" w:cs="宋体"/>
                <w:color w:val="000000"/>
                <w:sz w:val="18"/>
                <w:szCs w:val="18"/>
                <w:lang w:val="en-US" w:eastAsia="zh-CN"/>
              </w:rPr>
              <w:t>31人。</w:t>
            </w:r>
          </w:p>
        </w:tc>
      </w:tr>
      <w:tr w14:paraId="5949F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5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6B745E">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EAD34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项目实施内容及过程概述</w:t>
            </w:r>
          </w:p>
        </w:tc>
        <w:tc>
          <w:tcPr>
            <w:tcW w:w="8114" w:type="dxa"/>
            <w:gridSpan w:val="10"/>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06873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rPr>
              <w:t>培训高素质农民31人，培训机构通过询价遴选确定，县级培训完成验收合格后，科农局拨付资金</w:t>
            </w:r>
            <w:r>
              <w:rPr>
                <w:rFonts w:hint="eastAsia" w:ascii="宋体" w:hAnsi="宋体" w:eastAsia="宋体" w:cs="宋体"/>
                <w:i w:val="0"/>
                <w:iCs w:val="0"/>
                <w:color w:val="000000"/>
                <w:sz w:val="18"/>
                <w:szCs w:val="18"/>
                <w:u w:val="none"/>
                <w:lang w:eastAsia="zh-CN"/>
              </w:rPr>
              <w:t>。</w:t>
            </w:r>
          </w:p>
        </w:tc>
      </w:tr>
      <w:tr w14:paraId="6F965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55BB3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B82E9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12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C65B1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18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C2304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51A38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1425"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D91A9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w:t>
            </w:r>
          </w:p>
          <w:p w14:paraId="0ECF2F7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行率</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EE91B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132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DE319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DF874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14:paraId="425A1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0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F55C6D">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1650D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12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F97989">
            <w:pPr>
              <w:keepNext w:val="0"/>
              <w:keepLines w:val="0"/>
              <w:pageBreakBefore w:val="0"/>
              <w:widowControl w:val="0"/>
              <w:suppressLineNumbers w:val="0"/>
              <w:tabs>
                <w:tab w:val="center" w:pos="528"/>
              </w:tabs>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hAnsi="宋体" w:cs="宋体"/>
                <w:i w:val="0"/>
                <w:iCs w:val="0"/>
                <w:color w:val="000000"/>
                <w:sz w:val="18"/>
                <w:szCs w:val="18"/>
                <w:u w:val="none"/>
                <w:lang w:val="en-US" w:eastAsia="zh-CN"/>
              </w:rPr>
              <w:t>0</w:t>
            </w:r>
          </w:p>
        </w:tc>
        <w:tc>
          <w:tcPr>
            <w:tcW w:w="18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910B7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9.28</w:t>
            </w: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4CC06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9.28</w:t>
            </w:r>
          </w:p>
        </w:tc>
        <w:tc>
          <w:tcPr>
            <w:tcW w:w="1425"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A4060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B3A0F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32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31F88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41"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4A3F1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p>
        </w:tc>
      </w:tr>
      <w:tr w14:paraId="79B1D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563B52">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AEAF0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12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3FFB10">
            <w:pPr>
              <w:keepNext w:val="0"/>
              <w:keepLines w:val="0"/>
              <w:pageBreakBefore w:val="0"/>
              <w:widowControl w:val="0"/>
              <w:suppressLineNumbers w:val="0"/>
              <w:tabs>
                <w:tab w:val="center" w:pos="528"/>
              </w:tabs>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hAnsi="宋体" w:cs="宋体"/>
                <w:i w:val="0"/>
                <w:iCs w:val="0"/>
                <w:color w:val="000000"/>
                <w:sz w:val="18"/>
                <w:szCs w:val="18"/>
                <w:u w:val="none"/>
                <w:lang w:val="en-US" w:eastAsia="zh-CN"/>
              </w:rPr>
              <w:t>0</w:t>
            </w:r>
          </w:p>
        </w:tc>
        <w:tc>
          <w:tcPr>
            <w:tcW w:w="18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56760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9.28</w:t>
            </w: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01745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9.28</w:t>
            </w:r>
          </w:p>
        </w:tc>
        <w:tc>
          <w:tcPr>
            <w:tcW w:w="1425"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8FE41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03151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32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AA250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41"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040CBF">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4022B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C55A6A">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10CE1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12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B61E5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hAnsi="宋体" w:cs="宋体"/>
                <w:i w:val="0"/>
                <w:iCs w:val="0"/>
                <w:color w:val="000000"/>
                <w:sz w:val="18"/>
                <w:szCs w:val="18"/>
                <w:u w:val="none"/>
                <w:lang w:val="en-US" w:eastAsia="zh-CN"/>
              </w:rPr>
              <w:t>0</w:t>
            </w:r>
          </w:p>
        </w:tc>
        <w:tc>
          <w:tcPr>
            <w:tcW w:w="18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13AB3E">
            <w:pPr>
              <w:keepNext w:val="0"/>
              <w:keepLines w:val="0"/>
              <w:pageBreakBefore w:val="0"/>
              <w:widowControl w:val="0"/>
              <w:suppressLineNumbers w:val="0"/>
              <w:tabs>
                <w:tab w:val="center" w:pos="832"/>
              </w:tabs>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hAnsi="宋体" w:cs="宋体"/>
                <w:i w:val="0"/>
                <w:iCs w:val="0"/>
                <w:color w:val="000000"/>
                <w:sz w:val="18"/>
                <w:szCs w:val="18"/>
                <w:u w:val="none"/>
                <w:lang w:val="en-US" w:eastAsia="zh-CN"/>
              </w:rPr>
              <w:t>0</w:t>
            </w: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E8B0F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0</w:t>
            </w:r>
          </w:p>
        </w:tc>
        <w:tc>
          <w:tcPr>
            <w:tcW w:w="1425"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6871D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7FADE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32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A24B1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41"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4D667F">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6648F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7C8093">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99C6D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12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E1396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8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C2983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E2886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425"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E0C3C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AA19A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32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BD0F00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41"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A6FAB8">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4C3D5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1" w:hRule="atLeast"/>
          <w:jc w:val="center"/>
        </w:trPr>
        <w:tc>
          <w:tcPr>
            <w:tcW w:w="812" w:type="dxa"/>
            <w:vMerge w:val="restart"/>
            <w:tcBorders>
              <w:top w:val="single" w:color="000000" w:sz="4" w:space="0"/>
              <w:left w:val="single" w:color="000000" w:sz="4" w:space="0"/>
              <w:right w:val="single" w:color="000000" w:sz="4" w:space="0"/>
            </w:tcBorders>
            <w:shd w:val="clear" w:color="auto" w:fill="FFFFFF" w:themeFill="background1"/>
            <w:vAlign w:val="center"/>
          </w:tcPr>
          <w:p w14:paraId="52AF0C0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B9F34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8618E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8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455E3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AD3B2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71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F9FBE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71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96621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2F90A7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5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3A8C2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17A6A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76432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w:t>
            </w:r>
          </w:p>
        </w:tc>
      </w:tr>
      <w:tr w14:paraId="7BBD5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4" w:hRule="atLeast"/>
          <w:jc w:val="center"/>
        </w:trPr>
        <w:tc>
          <w:tcPr>
            <w:tcW w:w="812" w:type="dxa"/>
            <w:vMerge w:val="continue"/>
            <w:tcBorders>
              <w:left w:val="single" w:color="000000" w:sz="4" w:space="0"/>
              <w:right w:val="single" w:color="000000" w:sz="4" w:space="0"/>
            </w:tcBorders>
            <w:shd w:val="clear" w:color="auto" w:fill="FFFFFF" w:themeFill="background1"/>
            <w:vAlign w:val="center"/>
          </w:tcPr>
          <w:p w14:paraId="4CFFED2C">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restart"/>
            <w:tcBorders>
              <w:top w:val="single" w:color="000000" w:sz="4" w:space="0"/>
              <w:left w:val="single" w:color="000000" w:sz="4" w:space="0"/>
              <w:right w:val="single" w:color="000000" w:sz="4" w:space="0"/>
            </w:tcBorders>
            <w:shd w:val="clear" w:color="auto" w:fill="FFFFFF" w:themeFill="background1"/>
            <w:vAlign w:val="center"/>
          </w:tcPr>
          <w:p w14:paraId="03A22F7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2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1D69D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4FA55">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培训经营管理型农民</w:t>
            </w: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206E2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18B7719">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31</w:t>
            </w:r>
          </w:p>
        </w:tc>
        <w:tc>
          <w:tcPr>
            <w:tcW w:w="71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4E809A">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BBAE9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31</w:t>
            </w:r>
          </w:p>
        </w:tc>
        <w:tc>
          <w:tcPr>
            <w:tcW w:w="5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E06A7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360C9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7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338F53">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iCs/>
                <w:color w:val="000000"/>
                <w:sz w:val="18"/>
                <w:szCs w:val="18"/>
                <w:u w:val="none"/>
              </w:rPr>
            </w:pPr>
          </w:p>
        </w:tc>
      </w:tr>
      <w:tr w14:paraId="17F40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6" w:hRule="atLeast"/>
          <w:jc w:val="center"/>
        </w:trPr>
        <w:tc>
          <w:tcPr>
            <w:tcW w:w="812" w:type="dxa"/>
            <w:vMerge w:val="continue"/>
            <w:tcBorders>
              <w:left w:val="single" w:color="000000" w:sz="4" w:space="0"/>
              <w:right w:val="single" w:color="000000" w:sz="4" w:space="0"/>
            </w:tcBorders>
            <w:shd w:val="clear" w:color="auto" w:fill="FFFFFF" w:themeFill="background1"/>
            <w:vAlign w:val="center"/>
          </w:tcPr>
          <w:p w14:paraId="6B9DA01F">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bottom w:val="single" w:color="000000" w:sz="4" w:space="0"/>
              <w:right w:val="single" w:color="000000" w:sz="4" w:space="0"/>
            </w:tcBorders>
            <w:shd w:val="clear" w:color="auto" w:fill="FFFFFF" w:themeFill="background1"/>
            <w:vAlign w:val="center"/>
          </w:tcPr>
          <w:p w14:paraId="646463EB">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273" w:type="dxa"/>
            <w:tcBorders>
              <w:top w:val="single" w:color="000000" w:sz="4" w:space="0"/>
              <w:left w:val="single" w:color="000000" w:sz="4" w:space="0"/>
              <w:bottom w:val="nil"/>
              <w:right w:val="single" w:color="000000" w:sz="4" w:space="0"/>
            </w:tcBorders>
            <w:shd w:val="clear" w:color="auto" w:fill="FFFFFF" w:themeFill="background1"/>
            <w:vAlign w:val="center"/>
          </w:tcPr>
          <w:p w14:paraId="46E8129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8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00C01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2024年11月30日前完成</w:t>
            </w: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B6DE2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1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18CD8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1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BD134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BD951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5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BA625F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6A9BE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7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092796">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23F66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10" w:hRule="atLeast"/>
          <w:jc w:val="center"/>
        </w:trPr>
        <w:tc>
          <w:tcPr>
            <w:tcW w:w="812" w:type="dxa"/>
            <w:vMerge w:val="continue"/>
            <w:tcBorders>
              <w:left w:val="single" w:color="000000" w:sz="4" w:space="0"/>
              <w:right w:val="single" w:color="000000" w:sz="4" w:space="0"/>
            </w:tcBorders>
            <w:shd w:val="clear" w:color="auto" w:fill="FFFFFF" w:themeFill="background1"/>
            <w:vAlign w:val="center"/>
          </w:tcPr>
          <w:p w14:paraId="7EEB1A2B">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restart"/>
            <w:tcBorders>
              <w:top w:val="single" w:color="000000" w:sz="4" w:space="0"/>
              <w:left w:val="single" w:color="000000" w:sz="4" w:space="0"/>
              <w:right w:val="single" w:color="000000" w:sz="4" w:space="0"/>
            </w:tcBorders>
            <w:shd w:val="clear" w:color="auto" w:fill="FFFFFF" w:themeFill="background1"/>
            <w:vAlign w:val="center"/>
          </w:tcPr>
          <w:p w14:paraId="76D83B9E">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效益指标</w:t>
            </w:r>
          </w:p>
        </w:tc>
        <w:tc>
          <w:tcPr>
            <w:tcW w:w="1273" w:type="dxa"/>
            <w:vMerge w:val="restart"/>
            <w:tcBorders>
              <w:top w:val="single" w:color="000000" w:sz="4" w:space="0"/>
              <w:left w:val="single" w:color="000000" w:sz="4" w:space="0"/>
              <w:right w:val="single" w:color="000000" w:sz="4" w:space="0"/>
            </w:tcBorders>
            <w:shd w:val="clear" w:color="auto" w:fill="FFFFFF" w:themeFill="background1"/>
            <w:vAlign w:val="center"/>
          </w:tcPr>
          <w:p w14:paraId="4EBD828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8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B6CCC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提高农民生产技术技能，提升农民素质素养</w:t>
            </w: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D38BA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71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4574C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良好</w:t>
            </w:r>
          </w:p>
        </w:tc>
        <w:tc>
          <w:tcPr>
            <w:tcW w:w="71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0AF2C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D9E5D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良好</w:t>
            </w:r>
          </w:p>
        </w:tc>
        <w:tc>
          <w:tcPr>
            <w:tcW w:w="5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F413F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42BB9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6A6D3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0067C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20" w:hRule="atLeast"/>
          <w:jc w:val="center"/>
        </w:trPr>
        <w:tc>
          <w:tcPr>
            <w:tcW w:w="812" w:type="dxa"/>
            <w:vMerge w:val="continue"/>
            <w:tcBorders>
              <w:left w:val="single" w:color="000000" w:sz="4" w:space="0"/>
              <w:right w:val="single" w:color="000000" w:sz="4" w:space="0"/>
            </w:tcBorders>
            <w:shd w:val="clear" w:color="auto" w:fill="FFFFFF" w:themeFill="background1"/>
            <w:vAlign w:val="center"/>
          </w:tcPr>
          <w:p w14:paraId="6038DAC9">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401D091D">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lang w:val="en-US" w:eastAsia="zh-CN"/>
              </w:rPr>
            </w:pPr>
          </w:p>
        </w:tc>
        <w:tc>
          <w:tcPr>
            <w:tcW w:w="1273" w:type="dxa"/>
            <w:vMerge w:val="continue"/>
            <w:tcBorders>
              <w:left w:val="single" w:color="000000" w:sz="4" w:space="0"/>
              <w:bottom w:val="single" w:color="000000" w:sz="4" w:space="0"/>
              <w:right w:val="single" w:color="000000" w:sz="4" w:space="0"/>
            </w:tcBorders>
            <w:shd w:val="clear" w:color="auto" w:fill="FFFFFF" w:themeFill="background1"/>
            <w:vAlign w:val="center"/>
          </w:tcPr>
          <w:p w14:paraId="00FBE98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18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327E2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rPr>
              <w:t>提高农民互助合作意识</w:t>
            </w: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5BEA839">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定性</w:t>
            </w:r>
          </w:p>
        </w:tc>
        <w:tc>
          <w:tcPr>
            <w:tcW w:w="71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7CDCB4">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良好</w:t>
            </w:r>
          </w:p>
        </w:tc>
        <w:tc>
          <w:tcPr>
            <w:tcW w:w="71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2D335A">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其他</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332485">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良好</w:t>
            </w:r>
          </w:p>
        </w:tc>
        <w:tc>
          <w:tcPr>
            <w:tcW w:w="5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8467E3">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w:t>
            </w:r>
          </w:p>
        </w:tc>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AB87C3">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w:t>
            </w:r>
          </w:p>
        </w:tc>
        <w:tc>
          <w:tcPr>
            <w:tcW w:w="7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14FCB8">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jc w:val="both"/>
              <w:rPr>
                <w:rFonts w:hint="eastAsia" w:ascii="宋体" w:hAnsi="宋体" w:eastAsia="宋体" w:cs="宋体"/>
                <w:i w:val="0"/>
                <w:iCs w:val="0"/>
                <w:color w:val="000000"/>
                <w:kern w:val="0"/>
                <w:sz w:val="18"/>
                <w:szCs w:val="18"/>
                <w:u w:val="none"/>
                <w:lang w:val="en-US" w:eastAsia="zh-CN" w:bidi="ar-SA"/>
              </w:rPr>
            </w:pPr>
          </w:p>
        </w:tc>
      </w:tr>
      <w:tr w14:paraId="7C03D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42" w:hRule="atLeast"/>
          <w:jc w:val="center"/>
        </w:trPr>
        <w:tc>
          <w:tcPr>
            <w:tcW w:w="812" w:type="dxa"/>
            <w:vMerge w:val="continue"/>
            <w:tcBorders>
              <w:left w:val="single" w:color="000000" w:sz="4" w:space="0"/>
              <w:right w:val="single" w:color="000000" w:sz="4" w:space="0"/>
            </w:tcBorders>
            <w:shd w:val="clear" w:color="auto" w:fill="FFFFFF" w:themeFill="background1"/>
            <w:vAlign w:val="center"/>
          </w:tcPr>
          <w:p w14:paraId="6490907D">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5CF8854B">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7BD9A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18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5ECFA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提高农民生态意识，有效发展生态农业</w:t>
            </w: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B8E39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71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75B36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良好</w:t>
            </w:r>
          </w:p>
        </w:tc>
        <w:tc>
          <w:tcPr>
            <w:tcW w:w="71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7837A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BF214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良好</w:t>
            </w:r>
          </w:p>
        </w:tc>
        <w:tc>
          <w:tcPr>
            <w:tcW w:w="5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33455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BC2FF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7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3E866D">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00F0A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atLeast"/>
          <w:jc w:val="center"/>
        </w:trPr>
        <w:tc>
          <w:tcPr>
            <w:tcW w:w="812" w:type="dxa"/>
            <w:vMerge w:val="continue"/>
            <w:tcBorders>
              <w:left w:val="single" w:color="000000" w:sz="4" w:space="0"/>
              <w:right w:val="single" w:color="000000" w:sz="4" w:space="0"/>
            </w:tcBorders>
            <w:shd w:val="clear" w:color="auto" w:fill="FFFFFF" w:themeFill="background1"/>
            <w:vAlign w:val="center"/>
          </w:tcPr>
          <w:p w14:paraId="47D877D2">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9B451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w:t>
            </w:r>
          </w:p>
          <w:p w14:paraId="37678B6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w:t>
            </w:r>
          </w:p>
        </w:tc>
        <w:tc>
          <w:tcPr>
            <w:tcW w:w="12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9812F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8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16B3D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服务对象</w:t>
            </w:r>
          </w:p>
          <w:p w14:paraId="5484ABF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w:t>
            </w: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06BD1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1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613E1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90</w:t>
            </w:r>
          </w:p>
        </w:tc>
        <w:tc>
          <w:tcPr>
            <w:tcW w:w="71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E5BE5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C0978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90</w:t>
            </w:r>
          </w:p>
        </w:tc>
        <w:tc>
          <w:tcPr>
            <w:tcW w:w="5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37863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C4AEB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AD961E">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53AC7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atLeast"/>
          <w:jc w:val="center"/>
        </w:trPr>
        <w:tc>
          <w:tcPr>
            <w:tcW w:w="812" w:type="dxa"/>
            <w:vMerge w:val="continue"/>
            <w:tcBorders>
              <w:left w:val="single" w:color="000000" w:sz="4" w:space="0"/>
              <w:bottom w:val="single" w:color="000000" w:sz="4" w:space="0"/>
              <w:right w:val="single" w:color="000000" w:sz="4" w:space="0"/>
            </w:tcBorders>
            <w:shd w:val="clear" w:color="auto" w:fill="FFFFFF" w:themeFill="background1"/>
            <w:vAlign w:val="center"/>
          </w:tcPr>
          <w:p w14:paraId="0FFA16E2">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6ECBD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12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8FBD9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经济成本指标</w:t>
            </w:r>
          </w:p>
        </w:tc>
        <w:tc>
          <w:tcPr>
            <w:tcW w:w="18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61F66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项目成本控制</w:t>
            </w: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2B4D7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1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754FD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c>
          <w:tcPr>
            <w:tcW w:w="71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00903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万元</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FD7DA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9.28</w:t>
            </w:r>
          </w:p>
        </w:tc>
        <w:tc>
          <w:tcPr>
            <w:tcW w:w="5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FB800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ED8DB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18</w:t>
            </w:r>
          </w:p>
        </w:tc>
        <w:tc>
          <w:tcPr>
            <w:tcW w:w="7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8E3C6E">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3A212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52" w:hRule="atLeast"/>
          <w:jc w:val="center"/>
        </w:trPr>
        <w:tc>
          <w:tcPr>
            <w:tcW w:w="7043" w:type="dxa"/>
            <w:gridSpan w:val="9"/>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6C543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76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7D814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p>
        </w:tc>
        <w:tc>
          <w:tcPr>
            <w:tcW w:w="5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C04E5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100</w:t>
            </w:r>
          </w:p>
        </w:tc>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ADE57B">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98</w:t>
            </w:r>
          </w:p>
        </w:tc>
        <w:tc>
          <w:tcPr>
            <w:tcW w:w="74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5AF96D">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lang w:val="en-US" w:eastAsia="zh-CN"/>
              </w:rPr>
            </w:pPr>
          </w:p>
        </w:tc>
      </w:tr>
      <w:tr w14:paraId="691AD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06"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00AE5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8820" w:type="dxa"/>
            <w:gridSpan w:val="11"/>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F80CF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项目自评总得分98分，基层农技推广体系改革与建设项目通过科技赋能、机制创新、服务优化，不仅解决了农业技术推广“最后一公里”问题，更推动了农业从传统生产向现代化、智能化、绿色化转型，为乡村振兴和农业强国建设提供了坚实支撑。</w:t>
            </w:r>
          </w:p>
        </w:tc>
      </w:tr>
      <w:tr w14:paraId="1FCA5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11"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2AA75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8820" w:type="dxa"/>
            <w:gridSpan w:val="11"/>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C12BDA">
            <w:pPr>
              <w:pStyle w:val="9"/>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line="240" w:lineRule="atLeast"/>
              <w:jc w:val="both"/>
              <w:textAlignment w:val="auto"/>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position w:val="0"/>
                <w:sz w:val="18"/>
                <w:szCs w:val="18"/>
                <w:u w:val="none"/>
                <w:lang w:val="en-US" w:eastAsia="zh-CN" w:bidi="ar"/>
              </w:rPr>
              <w:t>一是部分农技人员的专业水平和服务能力还有待提高；二是农民对农技推广的积极性和参与度仍然不高。</w:t>
            </w:r>
          </w:p>
        </w:tc>
      </w:tr>
      <w:tr w14:paraId="598A6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09238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改进措施</w:t>
            </w:r>
          </w:p>
        </w:tc>
        <w:tc>
          <w:tcPr>
            <w:tcW w:w="8820" w:type="dxa"/>
            <w:gridSpan w:val="11"/>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5B3C10">
            <w:pPr>
              <w:pStyle w:val="9"/>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line="240" w:lineRule="atLeast"/>
              <w:jc w:val="both"/>
              <w:textAlignment w:val="auto"/>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position w:val="0"/>
                <w:sz w:val="18"/>
                <w:szCs w:val="18"/>
                <w:u w:val="none"/>
                <w:lang w:val="en-US" w:eastAsia="zh-CN" w:bidi="ar"/>
              </w:rPr>
              <w:t>一是加大对基层农技推广人员的培训和技术支持力度，提高他们的专业水平和服务能力；二是加强对农民的宣传和培训工作，提高农民对农技推广的认知和参与度。</w:t>
            </w:r>
          </w:p>
        </w:tc>
      </w:tr>
    </w:tbl>
    <w:p w14:paraId="67C2E94B">
      <w:pPr>
        <w:keepNext w:val="0"/>
        <w:keepLines w:val="0"/>
        <w:pageBreakBefore w:val="0"/>
        <w:widowControl w:val="0"/>
        <w:kinsoku/>
        <w:wordWrap/>
        <w:overflowPunct/>
        <w:topLinePunct w:val="0"/>
        <w:autoSpaceDE/>
        <w:autoSpaceDN/>
        <w:bidi w:val="0"/>
        <w:snapToGrid w:val="0"/>
        <w:spacing w:before="0" w:beforeAutospacing="0" w:after="0" w:afterAutospacing="0" w:line="560" w:lineRule="exact"/>
        <w:ind w:right="0"/>
        <w:jc w:val="both"/>
        <w:rPr>
          <w:rFonts w:hint="eastAsia"/>
        </w:rPr>
      </w:pPr>
    </w:p>
    <w:p w14:paraId="0E4413DB">
      <w:pPr>
        <w:pStyle w:val="2"/>
        <w:rPr>
          <w:rFonts w:hint="eastAsia"/>
        </w:rPr>
      </w:pPr>
    </w:p>
    <w:p w14:paraId="5D7DE73B">
      <w:pPr>
        <w:pStyle w:val="3"/>
        <w:rPr>
          <w:rFonts w:hint="eastAsia"/>
        </w:rPr>
      </w:pPr>
    </w:p>
    <w:tbl>
      <w:tblPr>
        <w:tblStyle w:val="17"/>
        <w:tblW w:w="9585" w:type="dxa"/>
        <w:jc w:val="center"/>
        <w:shd w:val="clear" w:color="auto" w:fill="FFFFFF"/>
        <w:tblLayout w:type="fixed"/>
        <w:tblCellMar>
          <w:top w:w="0" w:type="dxa"/>
          <w:left w:w="108" w:type="dxa"/>
          <w:bottom w:w="0" w:type="dxa"/>
          <w:right w:w="108" w:type="dxa"/>
        </w:tblCellMar>
      </w:tblPr>
      <w:tblGrid>
        <w:gridCol w:w="812"/>
        <w:gridCol w:w="412"/>
        <w:gridCol w:w="533"/>
        <w:gridCol w:w="847"/>
        <w:gridCol w:w="521"/>
        <w:gridCol w:w="1782"/>
        <w:gridCol w:w="689"/>
        <w:gridCol w:w="356"/>
        <w:gridCol w:w="76"/>
        <w:gridCol w:w="238"/>
        <w:gridCol w:w="777"/>
        <w:gridCol w:w="679"/>
        <w:gridCol w:w="609"/>
        <w:gridCol w:w="527"/>
        <w:gridCol w:w="727"/>
      </w:tblGrid>
      <w:tr w14:paraId="6EAAF01E">
        <w:tblPrEx>
          <w:shd w:val="clear" w:color="auto" w:fill="FFFFFF"/>
          <w:tblCellMar>
            <w:top w:w="0" w:type="dxa"/>
            <w:left w:w="108" w:type="dxa"/>
            <w:bottom w:w="0" w:type="dxa"/>
            <w:right w:w="108" w:type="dxa"/>
          </w:tblCellMar>
        </w:tblPrEx>
        <w:trPr>
          <w:cantSplit/>
          <w:trHeight w:val="23" w:hRule="atLeast"/>
          <w:jc w:val="center"/>
        </w:trPr>
        <w:tc>
          <w:tcPr>
            <w:tcW w:w="9585" w:type="dxa"/>
            <w:gridSpan w:val="1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E659A0">
            <w:pPr>
              <w:keepNext w:val="0"/>
              <w:keepLines w:val="0"/>
              <w:pageBreakBefore w:val="0"/>
              <w:widowControl w:val="0"/>
              <w:numPr>
                <w:ilvl w:val="0"/>
                <w:numId w:val="0"/>
              </w:numPr>
              <w:kinsoku/>
              <w:wordWrap/>
              <w:overflowPunct/>
              <w:topLinePunct w:val="0"/>
              <w:autoSpaceDE/>
              <w:autoSpaceDN/>
              <w:bidi w:val="0"/>
              <w:snapToGrid w:val="0"/>
              <w:spacing w:before="0" w:beforeAutospacing="0" w:after="0" w:afterAutospacing="0" w:line="560" w:lineRule="exact"/>
              <w:ind w:right="0" w:rightChars="0"/>
              <w:jc w:val="center"/>
              <w:rPr>
                <w:rFonts w:ascii="黑体" w:hAnsi="黑体" w:eastAsia="黑体" w:cs="宋体"/>
                <w:b/>
                <w:bCs/>
                <w:color w:val="000000"/>
                <w:sz w:val="30"/>
                <w:szCs w:val="30"/>
              </w:rPr>
            </w:pPr>
            <w:r>
              <w:rPr>
                <w:rFonts w:hint="eastAsia" w:ascii="Times New Roman" w:hAnsi="Times New Roman" w:eastAsia="仿宋_GB2312" w:cs="Times New Roman"/>
                <w:b/>
                <w:bCs/>
                <w:color w:val="000000"/>
                <w:kern w:val="0"/>
                <w:sz w:val="28"/>
                <w:szCs w:val="28"/>
                <w:shd w:val="clear" w:color="auto" w:fill="FFFFFF"/>
                <w:lang w:val="en-US" w:eastAsia="zh-CN"/>
              </w:rPr>
              <w:t>农业生产及生态环境重大指标监测防控项目支出绩效自评表</w:t>
            </w:r>
          </w:p>
        </w:tc>
      </w:tr>
      <w:tr w14:paraId="2DE9977D">
        <w:tblPrEx>
          <w:tblCellMar>
            <w:top w:w="0" w:type="dxa"/>
            <w:left w:w="108" w:type="dxa"/>
            <w:bottom w:w="0" w:type="dxa"/>
            <w:right w:w="108" w:type="dxa"/>
          </w:tblCellMar>
        </w:tblPrEx>
        <w:trPr>
          <w:cantSplit/>
          <w:trHeight w:val="213"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0027D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项目名称</w:t>
            </w:r>
          </w:p>
        </w:tc>
        <w:tc>
          <w:tcPr>
            <w:tcW w:w="7828" w:type="dxa"/>
            <w:gridSpan w:val="1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DE6EB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农业生产及生态环境重大指标监测防控项目</w:t>
            </w:r>
          </w:p>
        </w:tc>
      </w:tr>
      <w:tr w14:paraId="2619298C">
        <w:tblPrEx>
          <w:tblCellMar>
            <w:top w:w="0" w:type="dxa"/>
            <w:left w:w="108" w:type="dxa"/>
            <w:bottom w:w="0" w:type="dxa"/>
            <w:right w:w="108" w:type="dxa"/>
          </w:tblCellMar>
        </w:tblPrEx>
        <w:trPr>
          <w:cantSplit/>
          <w:trHeight w:val="343"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6CD61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主管部门</w:t>
            </w:r>
          </w:p>
        </w:tc>
        <w:tc>
          <w:tcPr>
            <w:tcW w:w="4195"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697A1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茂县科学技术和农业畜牧局</w:t>
            </w:r>
          </w:p>
        </w:tc>
        <w:tc>
          <w:tcPr>
            <w:tcW w:w="1091" w:type="dxa"/>
            <w:gridSpan w:val="3"/>
            <w:tcBorders>
              <w:top w:val="nil"/>
              <w:left w:val="nil"/>
              <w:bottom w:val="nil"/>
              <w:right w:val="nil"/>
            </w:tcBorders>
            <w:shd w:val="clear" w:color="auto" w:fill="FFFFFF"/>
            <w:noWrap w:val="0"/>
            <w:vAlign w:val="center"/>
          </w:tcPr>
          <w:p w14:paraId="1D0CFC1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实施单位 </w:t>
            </w:r>
          </w:p>
        </w:tc>
        <w:tc>
          <w:tcPr>
            <w:tcW w:w="2542"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D7770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茂县科学技术和农业畜牧局</w:t>
            </w:r>
          </w:p>
        </w:tc>
      </w:tr>
      <w:tr w14:paraId="10B01605">
        <w:tblPrEx>
          <w:tblCellMar>
            <w:top w:w="0" w:type="dxa"/>
            <w:left w:w="108" w:type="dxa"/>
            <w:bottom w:w="0" w:type="dxa"/>
            <w:right w:w="108" w:type="dxa"/>
          </w:tblCellMar>
        </w:tblPrEx>
        <w:trPr>
          <w:cantSplit/>
          <w:trHeight w:val="241"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59DD6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项目基本情况</w:t>
            </w:r>
          </w:p>
        </w:tc>
        <w:tc>
          <w:tcPr>
            <w:tcW w:w="94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B591D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项目年度目标完成情况</w:t>
            </w:r>
          </w:p>
        </w:tc>
        <w:tc>
          <w:tcPr>
            <w:tcW w:w="4195"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59AD7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项目年度目标</w:t>
            </w:r>
          </w:p>
        </w:tc>
        <w:tc>
          <w:tcPr>
            <w:tcW w:w="3633"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AC7DE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年度目标完成情况</w:t>
            </w:r>
          </w:p>
        </w:tc>
      </w:tr>
      <w:tr w14:paraId="44FC0C69">
        <w:tblPrEx>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E09EF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F68B2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4195"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4E093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用于建立化肥农药固定监测50个，植物疫情监测点40个，监测面积0.67万亩次，外来入侵物种常态化监测1个，耕地质量监测1个。</w:t>
            </w:r>
          </w:p>
        </w:tc>
        <w:tc>
          <w:tcPr>
            <w:tcW w:w="3633"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EF381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zh-CN" w:eastAsia="zh-CN" w:bidi="ar"/>
              </w:rPr>
              <w:t>完成</w:t>
            </w:r>
            <w:r>
              <w:rPr>
                <w:rFonts w:hint="eastAsia" w:ascii="宋体" w:hAnsi="宋体" w:eastAsia="宋体" w:cs="宋体"/>
                <w:i w:val="0"/>
                <w:iCs w:val="0"/>
                <w:color w:val="000000"/>
                <w:kern w:val="0"/>
                <w:sz w:val="18"/>
                <w:szCs w:val="18"/>
                <w:u w:val="none"/>
                <w:lang w:val="en-US" w:eastAsia="zh-CN" w:bidi="ar"/>
              </w:rPr>
              <w:t>化肥农药固定监测50个，植物疫情监测点40个，监测面积0.67万亩次，外来入侵物种常态化监测1个</w:t>
            </w:r>
            <w:r>
              <w:rPr>
                <w:rFonts w:hint="eastAsia" w:ascii="宋体" w:hAnsi="宋体" w:eastAsia="宋体" w:cs="宋体"/>
                <w:i w:val="0"/>
                <w:iCs w:val="0"/>
                <w:color w:val="000000"/>
                <w:kern w:val="0"/>
                <w:sz w:val="18"/>
                <w:szCs w:val="18"/>
                <w:u w:val="none"/>
                <w:lang w:val="zh-CN" w:eastAsia="zh-CN" w:bidi="ar"/>
              </w:rPr>
              <w:t>。</w:t>
            </w:r>
          </w:p>
        </w:tc>
      </w:tr>
      <w:tr w14:paraId="4D1163FA">
        <w:tblPrEx>
          <w:tblCellMar>
            <w:top w:w="0" w:type="dxa"/>
            <w:left w:w="108" w:type="dxa"/>
            <w:bottom w:w="0" w:type="dxa"/>
            <w:right w:w="108" w:type="dxa"/>
          </w:tblCellMar>
        </w:tblPrEx>
        <w:trPr>
          <w:cantSplit/>
          <w:trHeight w:val="95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FB2E5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582F2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项目实施内容及过程概述</w:t>
            </w:r>
          </w:p>
        </w:tc>
        <w:tc>
          <w:tcPr>
            <w:tcW w:w="7828" w:type="dxa"/>
            <w:gridSpan w:val="1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9CA89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zh-CN" w:eastAsia="zh-CN" w:bidi="ar"/>
              </w:rPr>
              <w:t>项目实施方案由县科农局编写县政府批复，实施由县科农局技术人员及监测点监测员涉及镇农技人员构成主要调查监测、</w:t>
            </w:r>
            <w:r>
              <w:rPr>
                <w:rFonts w:hint="eastAsia" w:ascii="宋体" w:hAnsi="宋体" w:eastAsia="宋体" w:cs="宋体"/>
                <w:i w:val="0"/>
                <w:iCs w:val="0"/>
                <w:color w:val="000000"/>
                <w:kern w:val="0"/>
                <w:sz w:val="18"/>
                <w:szCs w:val="18"/>
                <w:u w:val="none"/>
                <w:lang w:val="en-US" w:eastAsia="zh-CN" w:bidi="ar"/>
              </w:rPr>
              <w:t>苹果主产区域内</w:t>
            </w:r>
            <w:r>
              <w:rPr>
                <w:rFonts w:hint="eastAsia" w:ascii="宋体" w:hAnsi="宋体" w:eastAsia="宋体" w:cs="宋体"/>
                <w:i w:val="0"/>
                <w:iCs w:val="0"/>
                <w:color w:val="000000"/>
                <w:kern w:val="0"/>
                <w:sz w:val="18"/>
                <w:szCs w:val="18"/>
                <w:u w:val="none"/>
                <w:lang w:val="zh-CN" w:eastAsia="zh-CN" w:bidi="ar"/>
              </w:rPr>
              <w:t>是否有苹果蠹蛾和梨火疫病的发生情况以及宣传指导工作；土肥站负责化肥调查监测、</w:t>
            </w:r>
            <w:r>
              <w:rPr>
                <w:rFonts w:hint="eastAsia" w:ascii="宋体" w:hAnsi="宋体" w:eastAsia="宋体" w:cs="宋体"/>
                <w:i w:val="0"/>
                <w:iCs w:val="0"/>
                <w:color w:val="000000"/>
                <w:kern w:val="0"/>
                <w:sz w:val="18"/>
                <w:szCs w:val="18"/>
                <w:u w:val="none"/>
                <w:lang w:val="en-US" w:eastAsia="zh-CN" w:bidi="ar"/>
              </w:rPr>
              <w:t>耕地质量监测</w:t>
            </w:r>
            <w:r>
              <w:rPr>
                <w:rFonts w:hint="eastAsia" w:ascii="宋体" w:hAnsi="宋体" w:eastAsia="宋体" w:cs="宋体"/>
                <w:i w:val="0"/>
                <w:iCs w:val="0"/>
                <w:color w:val="000000"/>
                <w:kern w:val="0"/>
                <w:sz w:val="18"/>
                <w:szCs w:val="18"/>
                <w:u w:val="none"/>
                <w:lang w:val="zh-CN" w:eastAsia="zh-CN" w:bidi="ar"/>
              </w:rPr>
              <w:t>。经验收合格后</w:t>
            </w:r>
            <w:r>
              <w:rPr>
                <w:rFonts w:hint="eastAsia" w:ascii="宋体" w:hAnsi="宋体" w:eastAsia="宋体" w:cs="宋体"/>
                <w:i w:val="0"/>
                <w:iCs w:val="0"/>
                <w:color w:val="000000"/>
                <w:kern w:val="0"/>
                <w:sz w:val="18"/>
                <w:szCs w:val="18"/>
                <w:u w:val="none"/>
                <w:lang w:val="en-US" w:eastAsia="zh-CN" w:bidi="ar"/>
              </w:rPr>
              <w:t>科农局拨付资金。</w:t>
            </w:r>
          </w:p>
        </w:tc>
      </w:tr>
      <w:tr w14:paraId="3EA60F44">
        <w:tblPrEx>
          <w:tblCellMar>
            <w:top w:w="0" w:type="dxa"/>
            <w:left w:w="108" w:type="dxa"/>
            <w:bottom w:w="0" w:type="dxa"/>
            <w:right w:w="108" w:type="dxa"/>
          </w:tblCellMar>
        </w:tblPrEx>
        <w:trPr>
          <w:cantSplit/>
          <w:trHeight w:val="23"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543BF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预算执行情况（10分）</w:t>
            </w: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B2D82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年度预算数（万元）</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11E95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年初预算</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F6E24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调整后预算数</w:t>
            </w:r>
          </w:p>
        </w:tc>
        <w:tc>
          <w:tcPr>
            <w:tcW w:w="1121"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8C43D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预算执行数</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98150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w:t>
            </w:r>
          </w:p>
          <w:p w14:paraId="59716A5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行率</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C0ACA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权重</w:t>
            </w:r>
          </w:p>
        </w:tc>
        <w:tc>
          <w:tcPr>
            <w:tcW w:w="1136"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61D89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得分</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A3F81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原因</w:t>
            </w:r>
          </w:p>
        </w:tc>
      </w:tr>
      <w:tr w14:paraId="7B559497">
        <w:tblPrEx>
          <w:tblCellMar>
            <w:top w:w="0" w:type="dxa"/>
            <w:left w:w="108" w:type="dxa"/>
            <w:bottom w:w="0" w:type="dxa"/>
            <w:right w:w="108" w:type="dxa"/>
          </w:tblCellMar>
        </w:tblPrEx>
        <w:trPr>
          <w:cantSplit/>
          <w:trHeight w:val="30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E73E2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4745A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总额</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69C62B">
            <w:pPr>
              <w:keepNext w:val="0"/>
              <w:keepLines w:val="0"/>
              <w:pageBreakBefore w:val="0"/>
              <w:widowControl w:val="0"/>
              <w:suppressLineNumbers w:val="0"/>
              <w:tabs>
                <w:tab w:val="left" w:pos="552"/>
              </w:tabs>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0</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D51EB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9.00</w:t>
            </w:r>
          </w:p>
        </w:tc>
        <w:tc>
          <w:tcPr>
            <w:tcW w:w="1121"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30A5A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9.00</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184DA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6AF95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136"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9537D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2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70055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r>
      <w:tr w14:paraId="3EAF77FF">
        <w:tblPrEx>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4A76D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59431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其中：财政资金</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BE121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0</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F1DD1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9.00</w:t>
            </w:r>
          </w:p>
        </w:tc>
        <w:tc>
          <w:tcPr>
            <w:tcW w:w="1121"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FB567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9.00</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8BF72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B6536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136"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1E8ED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2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6FE87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r>
      <w:tr w14:paraId="541E212D">
        <w:tblPrEx>
          <w:tblCellMar>
            <w:top w:w="0" w:type="dxa"/>
            <w:left w:w="108" w:type="dxa"/>
            <w:bottom w:w="0" w:type="dxa"/>
            <w:right w:w="108" w:type="dxa"/>
          </w:tblCellMar>
        </w:tblPrEx>
        <w:trPr>
          <w:cantSplit/>
          <w:trHeight w:val="44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3C79B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886F2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财政专户管理资金</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4F2A9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0</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AA4C20">
            <w:pPr>
              <w:keepNext w:val="0"/>
              <w:keepLines w:val="0"/>
              <w:pageBreakBefore w:val="0"/>
              <w:widowControl w:val="0"/>
              <w:suppressLineNumbers w:val="0"/>
              <w:tabs>
                <w:tab w:val="left" w:pos="493"/>
              </w:tabs>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1121"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F3903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0</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09BFE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DBD63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136"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4C195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2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B8BF1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r>
      <w:tr w14:paraId="4450E880">
        <w:tblPrEx>
          <w:tblCellMar>
            <w:top w:w="0" w:type="dxa"/>
            <w:left w:w="108" w:type="dxa"/>
            <w:bottom w:w="0" w:type="dxa"/>
            <w:right w:w="108" w:type="dxa"/>
          </w:tblCellMar>
        </w:tblPrEx>
        <w:trPr>
          <w:cantSplit/>
          <w:trHeight w:val="12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21627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68A25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单位资金</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DC0B7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0</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F71C70">
            <w:pPr>
              <w:keepNext w:val="0"/>
              <w:keepLines w:val="0"/>
              <w:pageBreakBefore w:val="0"/>
              <w:widowControl w:val="0"/>
              <w:suppressLineNumbers w:val="0"/>
              <w:tabs>
                <w:tab w:val="center" w:pos="1043"/>
              </w:tabs>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1121"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33E21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0</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5F338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6617C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136"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8C0FC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2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62B96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r>
      <w:tr w14:paraId="10FEADAE">
        <w:tblPrEx>
          <w:tblCellMar>
            <w:top w:w="0" w:type="dxa"/>
            <w:left w:w="108" w:type="dxa"/>
            <w:bottom w:w="0" w:type="dxa"/>
            <w:right w:w="108" w:type="dxa"/>
          </w:tblCellMar>
        </w:tblPrEx>
        <w:trPr>
          <w:cantSplit/>
          <w:trHeight w:val="591"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EAED8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绩效指标（90分）</w:t>
            </w: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58E46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一级指标</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EAD4A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二级指标</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A9901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三级指标</w:t>
            </w:r>
          </w:p>
        </w:tc>
        <w:tc>
          <w:tcPr>
            <w:tcW w:w="68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9A7FE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指标性质</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92BC1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指标值</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4DD13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度量单位</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5D9E9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完成值</w:t>
            </w:r>
          </w:p>
        </w:tc>
        <w:tc>
          <w:tcPr>
            <w:tcW w:w="6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83F06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权重</w:t>
            </w:r>
          </w:p>
        </w:tc>
        <w:tc>
          <w:tcPr>
            <w:tcW w:w="5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7A548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得分</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21F1A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未完成原因分析</w:t>
            </w:r>
          </w:p>
        </w:tc>
      </w:tr>
      <w:tr w14:paraId="3F71F29A">
        <w:tblPrEx>
          <w:tblCellMar>
            <w:top w:w="0" w:type="dxa"/>
            <w:left w:w="108" w:type="dxa"/>
            <w:bottom w:w="0" w:type="dxa"/>
            <w:right w:w="108" w:type="dxa"/>
          </w:tblCellMar>
        </w:tblPrEx>
        <w:trPr>
          <w:cantSplit/>
          <w:trHeight w:val="394"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35F92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vMerge w:val="restart"/>
            <w:tcBorders>
              <w:top w:val="single" w:color="000000" w:sz="4" w:space="0"/>
              <w:left w:val="single" w:color="000000" w:sz="4" w:space="0"/>
              <w:right w:val="single" w:color="000000" w:sz="4" w:space="0"/>
            </w:tcBorders>
            <w:shd w:val="clear" w:color="auto" w:fill="FFFFFF"/>
            <w:noWrap w:val="0"/>
            <w:vAlign w:val="center"/>
          </w:tcPr>
          <w:p w14:paraId="38F33C0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产出指标</w:t>
            </w:r>
          </w:p>
        </w:tc>
        <w:tc>
          <w:tcPr>
            <w:tcW w:w="84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8893F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数量指标</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4E488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化肥农药固定监测点</w:t>
            </w:r>
          </w:p>
        </w:tc>
        <w:tc>
          <w:tcPr>
            <w:tcW w:w="68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CE2F5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AB5AF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8A2F5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22042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　</w:t>
            </w:r>
          </w:p>
        </w:tc>
        <w:tc>
          <w:tcPr>
            <w:tcW w:w="6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DDA78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5EFA3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EC911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r>
      <w:tr w14:paraId="4403C9E5">
        <w:tblPrEx>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D7224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vMerge w:val="continue"/>
            <w:tcBorders>
              <w:left w:val="single" w:color="000000" w:sz="4" w:space="0"/>
              <w:right w:val="single" w:color="000000" w:sz="4" w:space="0"/>
            </w:tcBorders>
            <w:shd w:val="clear" w:color="auto" w:fill="FFFFFF"/>
            <w:noWrap w:val="0"/>
            <w:vAlign w:val="center"/>
          </w:tcPr>
          <w:p w14:paraId="6AE2617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847" w:type="dxa"/>
            <w:vMerge w:val="continue"/>
            <w:tcBorders>
              <w:left w:val="single" w:color="000000" w:sz="4" w:space="0"/>
              <w:right w:val="single" w:color="000000" w:sz="4" w:space="0"/>
            </w:tcBorders>
            <w:shd w:val="clear" w:color="auto" w:fill="FFFFFF"/>
            <w:noWrap w:val="0"/>
            <w:vAlign w:val="center"/>
          </w:tcPr>
          <w:p w14:paraId="2A8CB77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81FF0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植物疫情监测调查点</w:t>
            </w:r>
          </w:p>
        </w:tc>
        <w:tc>
          <w:tcPr>
            <w:tcW w:w="68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B6FC5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9FAD7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5CEA9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AF7CA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　</w:t>
            </w:r>
          </w:p>
        </w:tc>
        <w:tc>
          <w:tcPr>
            <w:tcW w:w="6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2C49F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10AF9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8D5E2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r>
      <w:tr w14:paraId="2D4F4E32">
        <w:tblPrEx>
          <w:tblCellMar>
            <w:top w:w="0" w:type="dxa"/>
            <w:left w:w="108" w:type="dxa"/>
            <w:bottom w:w="0" w:type="dxa"/>
            <w:right w:w="108" w:type="dxa"/>
          </w:tblCellMar>
        </w:tblPrEx>
        <w:trPr>
          <w:cantSplit/>
          <w:trHeight w:val="44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D401C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vMerge w:val="continue"/>
            <w:tcBorders>
              <w:left w:val="single" w:color="000000" w:sz="4" w:space="0"/>
              <w:right w:val="single" w:color="000000" w:sz="4" w:space="0"/>
            </w:tcBorders>
            <w:shd w:val="clear" w:color="auto" w:fill="FFFFFF"/>
            <w:noWrap w:val="0"/>
            <w:vAlign w:val="center"/>
          </w:tcPr>
          <w:p w14:paraId="6D712DD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847" w:type="dxa"/>
            <w:vMerge w:val="continue"/>
            <w:tcBorders>
              <w:left w:val="single" w:color="000000" w:sz="4" w:space="0"/>
              <w:right w:val="single" w:color="000000" w:sz="4" w:space="0"/>
            </w:tcBorders>
            <w:shd w:val="clear" w:color="auto" w:fill="FFFFFF"/>
            <w:noWrap w:val="0"/>
            <w:vAlign w:val="center"/>
          </w:tcPr>
          <w:p w14:paraId="07140EC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E5EBE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农业外来入侵物种常态化监测</w:t>
            </w:r>
          </w:p>
        </w:tc>
        <w:tc>
          <w:tcPr>
            <w:tcW w:w="68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9A0C4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3C099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0FF5D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2F010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　</w:t>
            </w:r>
          </w:p>
        </w:tc>
        <w:tc>
          <w:tcPr>
            <w:tcW w:w="6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C01C1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80363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8D7CE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r>
      <w:tr w14:paraId="2FBCFB13">
        <w:tblPrEx>
          <w:tblCellMar>
            <w:top w:w="0" w:type="dxa"/>
            <w:left w:w="108" w:type="dxa"/>
            <w:bottom w:w="0" w:type="dxa"/>
            <w:right w:w="108" w:type="dxa"/>
          </w:tblCellMar>
        </w:tblPrEx>
        <w:trPr>
          <w:cantSplit/>
          <w:trHeight w:val="90"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011ED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vMerge w:val="continue"/>
            <w:tcBorders>
              <w:left w:val="single" w:color="000000" w:sz="4" w:space="0"/>
              <w:right w:val="single" w:color="000000" w:sz="4" w:space="0"/>
            </w:tcBorders>
            <w:shd w:val="clear" w:color="auto" w:fill="FFFFFF"/>
            <w:noWrap w:val="0"/>
            <w:vAlign w:val="center"/>
          </w:tcPr>
          <w:p w14:paraId="094EEB9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847" w:type="dxa"/>
            <w:tcBorders>
              <w:top w:val="single" w:color="000000" w:sz="4" w:space="0"/>
              <w:left w:val="single" w:color="000000" w:sz="4" w:space="0"/>
              <w:bottom w:val="nil"/>
              <w:right w:val="single" w:color="000000" w:sz="4" w:space="0"/>
            </w:tcBorders>
            <w:shd w:val="clear" w:color="auto" w:fill="FFFFFF"/>
            <w:noWrap w:val="0"/>
            <w:vAlign w:val="center"/>
          </w:tcPr>
          <w:p w14:paraId="3F72D65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质量指标</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98C96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验收合格率</w:t>
            </w:r>
          </w:p>
        </w:tc>
        <w:tc>
          <w:tcPr>
            <w:tcW w:w="68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00418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55488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5C25D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FB20D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6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4C8F5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0EB68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9A426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r>
      <w:tr w14:paraId="599464CB">
        <w:tblPrEx>
          <w:tblCellMar>
            <w:top w:w="0" w:type="dxa"/>
            <w:left w:w="108" w:type="dxa"/>
            <w:bottom w:w="0" w:type="dxa"/>
            <w:right w:w="108" w:type="dxa"/>
          </w:tblCellMar>
        </w:tblPrEx>
        <w:trPr>
          <w:cantSplit/>
          <w:trHeight w:val="23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24B65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vMerge w:val="continue"/>
            <w:tcBorders>
              <w:left w:val="single" w:color="000000" w:sz="4" w:space="0"/>
              <w:bottom w:val="single" w:color="000000" w:sz="4" w:space="0"/>
              <w:right w:val="single" w:color="000000" w:sz="4" w:space="0"/>
            </w:tcBorders>
            <w:shd w:val="clear" w:color="auto" w:fill="FFFFFF"/>
            <w:noWrap w:val="0"/>
            <w:vAlign w:val="center"/>
          </w:tcPr>
          <w:p w14:paraId="54C60DD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847" w:type="dxa"/>
            <w:tcBorders>
              <w:top w:val="single" w:color="000000" w:sz="4" w:space="0"/>
              <w:left w:val="single" w:color="000000" w:sz="4" w:space="0"/>
              <w:bottom w:val="nil"/>
              <w:right w:val="single" w:color="000000" w:sz="4" w:space="0"/>
            </w:tcBorders>
            <w:shd w:val="clear" w:color="auto" w:fill="FFFFFF"/>
            <w:noWrap w:val="0"/>
            <w:vAlign w:val="center"/>
          </w:tcPr>
          <w:p w14:paraId="70ADFD8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时效指标</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AB709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2025年12月20日前完成</w:t>
            </w:r>
          </w:p>
        </w:tc>
        <w:tc>
          <w:tcPr>
            <w:tcW w:w="68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D946C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AB4CC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A804C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C2D52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6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DCABC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6B978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EEB08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r>
      <w:tr w14:paraId="171BD470">
        <w:tblPrEx>
          <w:tblCellMar>
            <w:top w:w="0" w:type="dxa"/>
            <w:left w:w="108" w:type="dxa"/>
            <w:bottom w:w="0" w:type="dxa"/>
            <w:right w:w="108" w:type="dxa"/>
          </w:tblCellMar>
        </w:tblPrEx>
        <w:trPr>
          <w:cantSplit/>
          <w:trHeight w:val="1248"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4C742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A1E9F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效益指标</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D34E0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社会效益指标</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B0D7D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帮助监测户掌握先进的农业技术和管理知识，提高他们的科技素质和生产经营能力。</w:t>
            </w:r>
          </w:p>
        </w:tc>
        <w:tc>
          <w:tcPr>
            <w:tcW w:w="68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F89F4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7DE70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良好</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ED65C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F083E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良好</w:t>
            </w:r>
          </w:p>
        </w:tc>
        <w:tc>
          <w:tcPr>
            <w:tcW w:w="6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06FC4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1E1B1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63A1C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r>
      <w:tr w14:paraId="3C056812">
        <w:tblPrEx>
          <w:tblCellMar>
            <w:top w:w="0" w:type="dxa"/>
            <w:left w:w="108" w:type="dxa"/>
            <w:bottom w:w="0" w:type="dxa"/>
            <w:right w:w="108" w:type="dxa"/>
          </w:tblCellMar>
        </w:tblPrEx>
        <w:trPr>
          <w:cantSplit/>
          <w:trHeight w:val="1312"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EF2E0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vMerge w:val="restart"/>
            <w:tcBorders>
              <w:top w:val="single" w:color="000000" w:sz="4" w:space="0"/>
              <w:left w:val="single" w:color="000000" w:sz="4" w:space="0"/>
              <w:right w:val="single" w:color="000000" w:sz="4" w:space="0"/>
            </w:tcBorders>
            <w:shd w:val="clear" w:color="auto" w:fill="FFFFFF"/>
            <w:noWrap w:val="0"/>
            <w:vAlign w:val="center"/>
          </w:tcPr>
          <w:p w14:paraId="108025A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B6C2B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生态效益指标</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2FC44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zh-CN" w:eastAsia="zh-CN" w:bidi="ar"/>
              </w:rPr>
              <w:t>通过监测和控制化肥农药的使用量从而保护本地生态系统的稳定性</w:t>
            </w:r>
          </w:p>
        </w:tc>
        <w:tc>
          <w:tcPr>
            <w:tcW w:w="68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356FD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180C3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良好</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EE771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0C68E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良好</w:t>
            </w:r>
          </w:p>
        </w:tc>
        <w:tc>
          <w:tcPr>
            <w:tcW w:w="6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4BA07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D2B3F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2B4E6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r>
      <w:tr w14:paraId="576D7C16">
        <w:tblPrEx>
          <w:tblCellMar>
            <w:top w:w="0" w:type="dxa"/>
            <w:left w:w="108" w:type="dxa"/>
            <w:bottom w:w="0" w:type="dxa"/>
            <w:right w:w="108" w:type="dxa"/>
          </w:tblCellMar>
        </w:tblPrEx>
        <w:trPr>
          <w:cantSplit/>
          <w:trHeight w:val="314"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23701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vMerge w:val="continue"/>
            <w:tcBorders>
              <w:left w:val="single" w:color="000000" w:sz="4" w:space="0"/>
              <w:bottom w:val="single" w:color="000000" w:sz="4" w:space="0"/>
              <w:right w:val="single" w:color="000000" w:sz="4" w:space="0"/>
            </w:tcBorders>
            <w:shd w:val="clear" w:color="auto" w:fill="FFFFFF"/>
            <w:noWrap w:val="0"/>
            <w:vAlign w:val="center"/>
          </w:tcPr>
          <w:p w14:paraId="5834212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68427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可持续影响指标</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C3EA8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可持续性</w:t>
            </w:r>
          </w:p>
        </w:tc>
        <w:tc>
          <w:tcPr>
            <w:tcW w:w="68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C3548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定性</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10D4F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良好</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3299E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其他</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0FA50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良好</w:t>
            </w:r>
          </w:p>
        </w:tc>
        <w:tc>
          <w:tcPr>
            <w:tcW w:w="6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5A5E5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134C1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182DC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r>
      <w:tr w14:paraId="5CEA805E">
        <w:tblPrEx>
          <w:tblCellMar>
            <w:top w:w="0" w:type="dxa"/>
            <w:left w:w="108" w:type="dxa"/>
            <w:bottom w:w="0" w:type="dxa"/>
            <w:right w:w="108" w:type="dxa"/>
          </w:tblCellMar>
        </w:tblPrEx>
        <w:trPr>
          <w:cantSplit/>
          <w:trHeight w:val="340"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BC8DA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658E1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w:t>
            </w:r>
          </w:p>
          <w:p w14:paraId="1631980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指标</w:t>
            </w:r>
          </w:p>
        </w:tc>
        <w:tc>
          <w:tcPr>
            <w:tcW w:w="136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75F51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7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8D7BF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服务对象</w:t>
            </w:r>
          </w:p>
          <w:p w14:paraId="7AAA13C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w:t>
            </w:r>
          </w:p>
        </w:tc>
        <w:tc>
          <w:tcPr>
            <w:tcW w:w="68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5C7D3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B6ABB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6C9AB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5E161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6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CC6A6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DF289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B026D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r>
      <w:tr w14:paraId="35B95BC9">
        <w:tblPrEx>
          <w:tblCellMar>
            <w:top w:w="0" w:type="dxa"/>
            <w:left w:w="108" w:type="dxa"/>
            <w:bottom w:w="0" w:type="dxa"/>
            <w:right w:w="108" w:type="dxa"/>
          </w:tblCellMar>
        </w:tblPrEx>
        <w:trPr>
          <w:cantSplit/>
          <w:trHeight w:val="152" w:hRule="atLeast"/>
          <w:jc w:val="center"/>
        </w:trPr>
        <w:tc>
          <w:tcPr>
            <w:tcW w:w="7043"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5C4B6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合计</w:t>
            </w:r>
          </w:p>
        </w:tc>
        <w:tc>
          <w:tcPr>
            <w:tcW w:w="6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862A7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9B81C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5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744F7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89</w:t>
            </w:r>
          </w:p>
        </w:tc>
        <w:tc>
          <w:tcPr>
            <w:tcW w:w="7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C1A2F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r>
      <w:tr w14:paraId="655ECB32">
        <w:tblPrEx>
          <w:tblCellMar>
            <w:top w:w="0" w:type="dxa"/>
            <w:left w:w="108" w:type="dxa"/>
            <w:bottom w:w="0" w:type="dxa"/>
            <w:right w:w="108" w:type="dxa"/>
          </w:tblCellMar>
        </w:tblPrEx>
        <w:trPr>
          <w:cantSplit/>
          <w:trHeight w:val="485" w:hRule="atLeast"/>
          <w:jc w:val="center"/>
        </w:trPr>
        <w:tc>
          <w:tcPr>
            <w:tcW w:w="122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37C48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评价结论</w:t>
            </w:r>
          </w:p>
        </w:tc>
        <w:tc>
          <w:tcPr>
            <w:tcW w:w="8361"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51E19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该项目自评总得分89分，建立化肥农药固定监测点50个，植物疫情监测点40个，监测面积0.67万亩次，外来入侵物种常态化监测1个，经自评目标任务完成。</w:t>
            </w:r>
          </w:p>
        </w:tc>
      </w:tr>
      <w:tr w14:paraId="5AFE9B1C">
        <w:tblPrEx>
          <w:tblCellMar>
            <w:top w:w="0" w:type="dxa"/>
            <w:left w:w="108" w:type="dxa"/>
            <w:bottom w:w="0" w:type="dxa"/>
            <w:right w:w="108" w:type="dxa"/>
          </w:tblCellMar>
        </w:tblPrEx>
        <w:trPr>
          <w:cantSplit/>
          <w:trHeight w:val="107" w:hRule="atLeast"/>
          <w:jc w:val="center"/>
        </w:trPr>
        <w:tc>
          <w:tcPr>
            <w:tcW w:w="122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9349B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存在问题</w:t>
            </w:r>
          </w:p>
        </w:tc>
        <w:tc>
          <w:tcPr>
            <w:tcW w:w="8361"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7788A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农户知识水平</w:t>
            </w:r>
            <w:r>
              <w:rPr>
                <w:rFonts w:hint="eastAsia" w:ascii="宋体" w:hAnsi="宋体" w:eastAsia="宋体" w:cs="宋体"/>
                <w:i w:val="0"/>
                <w:iCs w:val="0"/>
                <w:color w:val="000000"/>
                <w:kern w:val="0"/>
                <w:sz w:val="18"/>
                <w:szCs w:val="18"/>
                <w:u w:val="none"/>
                <w:lang w:val="en-US" w:eastAsia="zh-CN" w:bidi="ar"/>
              </w:rPr>
              <w:t>参差</w:t>
            </w:r>
            <w:r>
              <w:rPr>
                <w:rFonts w:ascii="宋体" w:hAnsi="宋体" w:eastAsia="宋体" w:cs="宋体"/>
                <w:i w:val="0"/>
                <w:iCs w:val="0"/>
                <w:color w:val="000000"/>
                <w:kern w:val="0"/>
                <w:sz w:val="18"/>
                <w:szCs w:val="18"/>
                <w:u w:val="none"/>
                <w:lang w:val="en-US" w:eastAsia="zh-CN" w:bidi="ar"/>
              </w:rPr>
              <w:t>不齐，在病虫害识别方面存在一定差距</w:t>
            </w:r>
            <w:r>
              <w:rPr>
                <w:rFonts w:hint="eastAsia" w:ascii="宋体" w:hAnsi="宋体" w:eastAsia="宋体" w:cs="宋体"/>
                <w:i w:val="0"/>
                <w:iCs w:val="0"/>
                <w:color w:val="000000"/>
                <w:kern w:val="0"/>
                <w:sz w:val="18"/>
                <w:szCs w:val="18"/>
                <w:u w:val="none"/>
                <w:lang w:val="en-US" w:eastAsia="zh-CN" w:bidi="ar"/>
              </w:rPr>
              <w:t>。</w:t>
            </w:r>
          </w:p>
        </w:tc>
      </w:tr>
      <w:tr w14:paraId="6D166A0F">
        <w:tblPrEx>
          <w:tblCellMar>
            <w:top w:w="0" w:type="dxa"/>
            <w:left w:w="108" w:type="dxa"/>
            <w:bottom w:w="0" w:type="dxa"/>
            <w:right w:w="108" w:type="dxa"/>
          </w:tblCellMar>
        </w:tblPrEx>
        <w:trPr>
          <w:cantSplit/>
          <w:trHeight w:val="368" w:hRule="atLeast"/>
          <w:jc w:val="center"/>
        </w:trPr>
        <w:tc>
          <w:tcPr>
            <w:tcW w:w="122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C25D9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改进措施</w:t>
            </w:r>
          </w:p>
        </w:tc>
        <w:tc>
          <w:tcPr>
            <w:tcW w:w="8361"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8E1BF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进一步加强自身和农户业务知识的学习。</w:t>
            </w:r>
          </w:p>
        </w:tc>
      </w:tr>
    </w:tbl>
    <w:p w14:paraId="38DF6B4F">
      <w:pPr>
        <w:keepNext w:val="0"/>
        <w:keepLines w:val="0"/>
        <w:pageBreakBefore w:val="0"/>
        <w:widowControl w:val="0"/>
        <w:suppressLineNumbers w:val="0"/>
        <w:kinsoku/>
        <w:wordWrap/>
        <w:overflowPunct/>
        <w:topLinePunct w:val="0"/>
        <w:autoSpaceDE/>
        <w:autoSpaceDN/>
        <w:bidi w:val="0"/>
        <w:spacing w:line="560" w:lineRule="exact"/>
        <w:ind w:right="0"/>
        <w:jc w:val="both"/>
        <w:outlineLvl w:val="0"/>
        <w:rPr>
          <w:rFonts w:hint="eastAsia" w:ascii="黑体" w:eastAsia="黑体" w:cs="黑体"/>
          <w:b/>
          <w:bCs/>
          <w:kern w:val="0"/>
          <w:sz w:val="44"/>
          <w:szCs w:val="44"/>
        </w:rPr>
      </w:pPr>
    </w:p>
    <w:p w14:paraId="40936748">
      <w:pPr>
        <w:pStyle w:val="2"/>
        <w:rPr>
          <w:rFonts w:hint="eastAsia" w:ascii="黑体" w:eastAsia="黑体" w:cs="黑体"/>
          <w:b/>
          <w:bCs/>
          <w:kern w:val="0"/>
          <w:sz w:val="44"/>
          <w:szCs w:val="44"/>
        </w:rPr>
      </w:pPr>
    </w:p>
    <w:p w14:paraId="4CF4D667">
      <w:pPr>
        <w:pStyle w:val="3"/>
        <w:rPr>
          <w:rFonts w:hint="eastAsia"/>
        </w:rPr>
      </w:pPr>
    </w:p>
    <w:tbl>
      <w:tblPr>
        <w:tblStyle w:val="17"/>
        <w:tblW w:w="103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
      <w:tblGrid>
        <w:gridCol w:w="812"/>
        <w:gridCol w:w="239"/>
        <w:gridCol w:w="706"/>
        <w:gridCol w:w="847"/>
        <w:gridCol w:w="521"/>
        <w:gridCol w:w="1782"/>
        <w:gridCol w:w="689"/>
        <w:gridCol w:w="356"/>
        <w:gridCol w:w="76"/>
        <w:gridCol w:w="238"/>
        <w:gridCol w:w="777"/>
        <w:gridCol w:w="679"/>
        <w:gridCol w:w="569"/>
        <w:gridCol w:w="545"/>
        <w:gridCol w:w="1535"/>
      </w:tblGrid>
      <w:tr w14:paraId="1ED1B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10371" w:type="dxa"/>
            <w:gridSpan w:val="15"/>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3CAC0E">
            <w:pPr>
              <w:keepNext w:val="0"/>
              <w:keepLines w:val="0"/>
              <w:pageBreakBefore w:val="0"/>
              <w:widowControl w:val="0"/>
              <w:numPr>
                <w:ilvl w:val="0"/>
                <w:numId w:val="0"/>
              </w:numPr>
              <w:kinsoku/>
              <w:wordWrap/>
              <w:overflowPunct/>
              <w:topLinePunct w:val="0"/>
              <w:autoSpaceDE/>
              <w:autoSpaceDN/>
              <w:bidi w:val="0"/>
              <w:snapToGrid w:val="0"/>
              <w:spacing w:before="0" w:beforeAutospacing="0" w:after="0" w:afterAutospacing="0" w:line="560" w:lineRule="exact"/>
              <w:ind w:right="0" w:rightChars="0"/>
              <w:jc w:val="center"/>
              <w:rPr>
                <w:rFonts w:ascii="黑体" w:hAnsi="宋体" w:eastAsia="黑体" w:cs="黑体"/>
                <w:b/>
                <w:bCs/>
                <w:i w:val="0"/>
                <w:iCs w:val="0"/>
                <w:color w:val="000000"/>
                <w:sz w:val="32"/>
                <w:szCs w:val="32"/>
                <w:u w:val="none"/>
              </w:rPr>
            </w:pPr>
            <w:r>
              <w:rPr>
                <w:rFonts w:hint="eastAsia" w:ascii="Times New Roman" w:hAnsi="Times New Roman" w:eastAsia="仿宋_GB2312" w:cs="Times New Roman"/>
                <w:b/>
                <w:bCs/>
                <w:color w:val="000000"/>
                <w:kern w:val="0"/>
                <w:sz w:val="32"/>
                <w:szCs w:val="32"/>
                <w:shd w:val="clear" w:color="auto" w:fill="FFFFFF"/>
                <w:lang w:val="en-US" w:eastAsia="zh-CN"/>
              </w:rPr>
              <w:t>土门镇太安村中药材基地示范提升改造项目支出绩效自评表</w:t>
            </w:r>
          </w:p>
        </w:tc>
      </w:tr>
      <w:tr w14:paraId="6310C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13"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F7BA33">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项目名称</w:t>
            </w:r>
          </w:p>
        </w:tc>
        <w:tc>
          <w:tcPr>
            <w:tcW w:w="8614" w:type="dxa"/>
            <w:gridSpan w:val="1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F840C0">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土</w:t>
            </w:r>
            <w:r>
              <w:rPr>
                <w:rFonts w:hint="eastAsia" w:ascii="宋体" w:hAnsi="宋体" w:eastAsia="宋体" w:cs="宋体"/>
                <w:b w:val="0"/>
                <w:bCs w:val="0"/>
                <w:i w:val="0"/>
                <w:iCs w:val="0"/>
                <w:color w:val="000000"/>
                <w:kern w:val="0"/>
                <w:sz w:val="18"/>
                <w:szCs w:val="18"/>
                <w:u w:val="none"/>
                <w:lang w:val="en-US" w:eastAsia="zh-CN" w:bidi="ar"/>
              </w:rPr>
              <w:t>门镇太安村中药材基地示范提升改造项目</w:t>
            </w:r>
          </w:p>
        </w:tc>
      </w:tr>
      <w:tr w14:paraId="6E3F7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343"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3D8D525">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主管部门</w:t>
            </w:r>
          </w:p>
        </w:tc>
        <w:tc>
          <w:tcPr>
            <w:tcW w:w="4195" w:type="dxa"/>
            <w:gridSpan w:val="5"/>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E5036A">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茂县科学技术和农业畜牧局</w:t>
            </w:r>
          </w:p>
        </w:tc>
        <w:tc>
          <w:tcPr>
            <w:tcW w:w="1091" w:type="dxa"/>
            <w:gridSpan w:val="3"/>
            <w:tcBorders>
              <w:top w:val="nil"/>
              <w:left w:val="nil"/>
              <w:bottom w:val="nil"/>
              <w:right w:val="nil"/>
            </w:tcBorders>
            <w:shd w:val="clear" w:color="auto" w:fill="FFFFFF" w:themeFill="background1"/>
            <w:vAlign w:val="center"/>
          </w:tcPr>
          <w:p w14:paraId="2973D284">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 xml:space="preserve">实施单位 </w:t>
            </w:r>
          </w:p>
        </w:tc>
        <w:tc>
          <w:tcPr>
            <w:tcW w:w="3328"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46DB73">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茂县土门镇人民政府</w:t>
            </w:r>
          </w:p>
        </w:tc>
      </w:tr>
      <w:tr w14:paraId="2C40D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41"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AE90A6">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项目基本情况</w:t>
            </w:r>
          </w:p>
        </w:tc>
        <w:tc>
          <w:tcPr>
            <w:tcW w:w="94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B56E2D">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项目年度目标完成情况</w:t>
            </w:r>
          </w:p>
        </w:tc>
        <w:tc>
          <w:tcPr>
            <w:tcW w:w="4195" w:type="dxa"/>
            <w:gridSpan w:val="5"/>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F71837">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项目年度目标</w:t>
            </w:r>
          </w:p>
        </w:tc>
        <w:tc>
          <w:tcPr>
            <w:tcW w:w="4419" w:type="dxa"/>
            <w:gridSpan w:val="7"/>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AF6BF3">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年度目标完成情况</w:t>
            </w:r>
          </w:p>
        </w:tc>
      </w:tr>
      <w:tr w14:paraId="7FBFC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18A2A1">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94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2570E4">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4195" w:type="dxa"/>
            <w:gridSpan w:val="5"/>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50A223">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zh-CN" w:eastAsia="zh-CN" w:bidi="ar"/>
              </w:rPr>
              <w:t>完成路面提升7.3公里，C20混凝土4500m3、毛石混凝土道路堡坎800m3、道路板涵6座、中药材苗木补贴300亩</w:t>
            </w:r>
          </w:p>
        </w:tc>
        <w:tc>
          <w:tcPr>
            <w:tcW w:w="4419" w:type="dxa"/>
            <w:gridSpan w:val="7"/>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1C45EA">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zh-CN" w:eastAsia="zh-CN" w:bidi="ar"/>
              </w:rPr>
              <w:t>完成路面提升7.3公里，C20混凝土4500m3、毛石混凝土道路堡坎800m3、道路板涵6座、中药材苗木补贴300亩</w:t>
            </w:r>
          </w:p>
        </w:tc>
      </w:tr>
      <w:tr w14:paraId="444D2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95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F5C796">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FE2077">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项目实施内容及过程概述</w:t>
            </w:r>
          </w:p>
        </w:tc>
        <w:tc>
          <w:tcPr>
            <w:tcW w:w="8614" w:type="dxa"/>
            <w:gridSpan w:val="1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36888A">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zh-CN" w:eastAsia="zh-CN" w:bidi="ar"/>
              </w:rPr>
              <w:t>完成路面提升7.3公里，C20混凝土4500m3、毛石混凝土道路堡坎800m3、道路板涵6座、中药材苗木补贴300亩</w:t>
            </w:r>
          </w:p>
        </w:tc>
      </w:tr>
      <w:tr w14:paraId="3002A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3"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1A8796">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预算执行情况（10分）</w:t>
            </w: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4507D9">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年度预算数（万元）</w:t>
            </w:r>
          </w:p>
        </w:tc>
        <w:tc>
          <w:tcPr>
            <w:tcW w:w="8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2BD1C7">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年初预算</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2317A0">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调整后预算数</w:t>
            </w:r>
          </w:p>
        </w:tc>
        <w:tc>
          <w:tcPr>
            <w:tcW w:w="112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33D1DA">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预算执行数</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521D19">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预算执</w:t>
            </w:r>
          </w:p>
          <w:p w14:paraId="036F2103">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行率</w:t>
            </w:r>
          </w:p>
        </w:tc>
        <w:tc>
          <w:tcPr>
            <w:tcW w:w="6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C630A0">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权重</w:t>
            </w:r>
          </w:p>
        </w:tc>
        <w:tc>
          <w:tcPr>
            <w:tcW w:w="1114"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6F2474">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得分</w:t>
            </w:r>
          </w:p>
        </w:tc>
        <w:tc>
          <w:tcPr>
            <w:tcW w:w="15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A63918">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原因</w:t>
            </w:r>
          </w:p>
        </w:tc>
      </w:tr>
      <w:tr w14:paraId="0A382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30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A4B726">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5F0BD0C">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总额</w:t>
            </w:r>
          </w:p>
        </w:tc>
        <w:tc>
          <w:tcPr>
            <w:tcW w:w="8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DC01B8">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hAnsi="宋体" w:cs="宋体"/>
                <w:b w:val="0"/>
                <w:bCs w:val="0"/>
                <w:i w:val="0"/>
                <w:iCs w:val="0"/>
                <w:color w:val="000000"/>
                <w:kern w:val="0"/>
                <w:sz w:val="18"/>
                <w:szCs w:val="18"/>
                <w:u w:val="none"/>
                <w:lang w:val="en-US" w:eastAsia="zh-CN" w:bidi="ar"/>
              </w:rPr>
              <w:t>0</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A44757">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237.59</w:t>
            </w:r>
          </w:p>
        </w:tc>
        <w:tc>
          <w:tcPr>
            <w:tcW w:w="112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AE09D7">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237.59</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9F8D25">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100%</w:t>
            </w:r>
          </w:p>
        </w:tc>
        <w:tc>
          <w:tcPr>
            <w:tcW w:w="6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7B6501">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p>
        </w:tc>
        <w:tc>
          <w:tcPr>
            <w:tcW w:w="1114"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8F843E">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p>
        </w:tc>
        <w:tc>
          <w:tcPr>
            <w:tcW w:w="1535"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B1233E">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r>
      <w:tr w14:paraId="625FA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A7A3AC">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525F51">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其中：财政资金</w:t>
            </w:r>
          </w:p>
        </w:tc>
        <w:tc>
          <w:tcPr>
            <w:tcW w:w="8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4BBE52">
            <w:pPr>
              <w:widowControl w:val="0"/>
              <w:tabs>
                <w:tab w:val="left" w:pos="520"/>
              </w:tabs>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hAnsi="宋体" w:cs="宋体"/>
                <w:b w:val="0"/>
                <w:bCs w:val="0"/>
                <w:i w:val="0"/>
                <w:iCs w:val="0"/>
                <w:color w:val="000000"/>
                <w:kern w:val="0"/>
                <w:sz w:val="18"/>
                <w:szCs w:val="18"/>
                <w:u w:val="none"/>
                <w:lang w:val="en-US" w:eastAsia="zh-CN" w:bidi="ar"/>
              </w:rPr>
              <w:t>0</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AB101F">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237.59</w:t>
            </w:r>
          </w:p>
        </w:tc>
        <w:tc>
          <w:tcPr>
            <w:tcW w:w="112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B87D71">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237.59</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1ABC5D">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r>
              <w:rPr>
                <w:rFonts w:hint="eastAsia" w:hAnsi="宋体" w:cs="宋体"/>
                <w:b w:val="0"/>
                <w:bCs w:val="0"/>
                <w:i w:val="0"/>
                <w:iCs w:val="0"/>
                <w:color w:val="000000"/>
                <w:kern w:val="0"/>
                <w:sz w:val="18"/>
                <w:szCs w:val="18"/>
                <w:u w:val="none"/>
                <w:lang w:val="en-US" w:eastAsia="zh-CN" w:bidi="ar"/>
              </w:rPr>
              <w:t>0</w:t>
            </w:r>
            <w:r>
              <w:rPr>
                <w:rFonts w:hint="eastAsia" w:ascii="宋体" w:hAnsi="宋体" w:eastAsia="宋体" w:cs="宋体"/>
                <w:b w:val="0"/>
                <w:bCs w:val="0"/>
                <w:i w:val="0"/>
                <w:iCs w:val="0"/>
                <w:color w:val="000000"/>
                <w:kern w:val="0"/>
                <w:sz w:val="18"/>
                <w:szCs w:val="18"/>
                <w:u w:val="none"/>
                <w:lang w:val="en-US" w:eastAsia="zh-CN" w:bidi="ar"/>
              </w:rPr>
              <w:t>%</w:t>
            </w:r>
          </w:p>
        </w:tc>
        <w:tc>
          <w:tcPr>
            <w:tcW w:w="6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20DED6">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1114"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815728">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04B77C">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r>
      <w:tr w14:paraId="4D1F8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44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75B04E">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A6DAE9">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财政专户管理资金</w:t>
            </w:r>
          </w:p>
        </w:tc>
        <w:tc>
          <w:tcPr>
            <w:tcW w:w="8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FE3111">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hAnsi="宋体" w:cs="宋体"/>
                <w:b w:val="0"/>
                <w:bCs w:val="0"/>
                <w:i w:val="0"/>
                <w:iCs w:val="0"/>
                <w:color w:val="000000"/>
                <w:kern w:val="0"/>
                <w:sz w:val="18"/>
                <w:szCs w:val="18"/>
                <w:u w:val="none"/>
                <w:lang w:val="en-US" w:eastAsia="zh-CN" w:bidi="ar"/>
              </w:rPr>
              <w:t>0</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F1BCF2">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0</w:t>
            </w:r>
          </w:p>
        </w:tc>
        <w:tc>
          <w:tcPr>
            <w:tcW w:w="112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6DF8B7">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hAnsi="宋体" w:cs="宋体"/>
                <w:b w:val="0"/>
                <w:bCs w:val="0"/>
                <w:i w:val="0"/>
                <w:iCs w:val="0"/>
                <w:color w:val="000000"/>
                <w:kern w:val="0"/>
                <w:sz w:val="18"/>
                <w:szCs w:val="18"/>
                <w:u w:val="none"/>
                <w:lang w:val="en-US" w:eastAsia="zh-CN" w:bidi="ar"/>
              </w:rPr>
              <w:t>0</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6C42ED">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0%</w:t>
            </w:r>
          </w:p>
        </w:tc>
        <w:tc>
          <w:tcPr>
            <w:tcW w:w="6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042A30">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1114"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428621">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7C9569">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r>
      <w:tr w14:paraId="0EAE9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12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141775">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FE219C">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单位资金</w:t>
            </w:r>
          </w:p>
        </w:tc>
        <w:tc>
          <w:tcPr>
            <w:tcW w:w="8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14D410">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hAnsi="宋体" w:cs="宋体"/>
                <w:b w:val="0"/>
                <w:bCs w:val="0"/>
                <w:i w:val="0"/>
                <w:iCs w:val="0"/>
                <w:color w:val="000000"/>
                <w:kern w:val="0"/>
                <w:sz w:val="18"/>
                <w:szCs w:val="18"/>
                <w:u w:val="none"/>
                <w:lang w:val="en-US" w:eastAsia="zh-CN" w:bidi="ar"/>
              </w:rPr>
              <w:t>0</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72B4B3">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0</w:t>
            </w:r>
          </w:p>
        </w:tc>
        <w:tc>
          <w:tcPr>
            <w:tcW w:w="112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DD5893">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hAnsi="宋体" w:cs="宋体"/>
                <w:b w:val="0"/>
                <w:bCs w:val="0"/>
                <w:i w:val="0"/>
                <w:iCs w:val="0"/>
                <w:color w:val="000000"/>
                <w:kern w:val="0"/>
                <w:sz w:val="18"/>
                <w:szCs w:val="18"/>
                <w:u w:val="none"/>
                <w:lang w:val="en-US" w:eastAsia="zh-CN" w:bidi="ar"/>
              </w:rPr>
              <w:t>0</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E923B2">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0%</w:t>
            </w:r>
          </w:p>
        </w:tc>
        <w:tc>
          <w:tcPr>
            <w:tcW w:w="6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1BBB17">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1114"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B61A526">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A1899C">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r>
      <w:tr w14:paraId="03935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492"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A5F260">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绩效指标（90分）</w:t>
            </w: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2E8E21">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一级指标</w:t>
            </w:r>
          </w:p>
        </w:tc>
        <w:tc>
          <w:tcPr>
            <w:tcW w:w="8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60C340">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二级指标</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F7C224">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三级指标</w:t>
            </w:r>
          </w:p>
        </w:tc>
        <w:tc>
          <w:tcPr>
            <w:tcW w:w="68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01ADC9">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指标性质</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0E0E23">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指标值</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736ED8">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度量单位</w:t>
            </w:r>
          </w:p>
        </w:tc>
        <w:tc>
          <w:tcPr>
            <w:tcW w:w="6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378140">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完成值</w:t>
            </w:r>
          </w:p>
        </w:tc>
        <w:tc>
          <w:tcPr>
            <w:tcW w:w="56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2A405A">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权重</w:t>
            </w:r>
          </w:p>
        </w:tc>
        <w:tc>
          <w:tcPr>
            <w:tcW w:w="54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FEAF4F">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得分</w:t>
            </w:r>
          </w:p>
        </w:tc>
        <w:tc>
          <w:tcPr>
            <w:tcW w:w="15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BD4355">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未完成原因分析</w:t>
            </w:r>
          </w:p>
        </w:tc>
      </w:tr>
      <w:tr w14:paraId="2F09B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394"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9454A7">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945" w:type="dxa"/>
            <w:gridSpan w:val="2"/>
            <w:vMerge w:val="restart"/>
            <w:tcBorders>
              <w:top w:val="single" w:color="000000" w:sz="4" w:space="0"/>
              <w:left w:val="single" w:color="000000" w:sz="4" w:space="0"/>
              <w:right w:val="single" w:color="000000" w:sz="4" w:space="0"/>
            </w:tcBorders>
            <w:shd w:val="clear" w:color="auto" w:fill="FFFFFF" w:themeFill="background1"/>
            <w:vAlign w:val="center"/>
          </w:tcPr>
          <w:p w14:paraId="30CCD491">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产出指标</w:t>
            </w:r>
          </w:p>
        </w:tc>
        <w:tc>
          <w:tcPr>
            <w:tcW w:w="847"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0162FF">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数量指标</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0ED044">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毛石混凝土道路堡坎</w:t>
            </w:r>
          </w:p>
        </w:tc>
        <w:tc>
          <w:tcPr>
            <w:tcW w:w="68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4F5B1F">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2E458F">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2</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BB7607">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个</w:t>
            </w:r>
          </w:p>
        </w:tc>
        <w:tc>
          <w:tcPr>
            <w:tcW w:w="6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0E3EF9">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2</w:t>
            </w:r>
          </w:p>
        </w:tc>
        <w:tc>
          <w:tcPr>
            <w:tcW w:w="56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30DA00">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p>
        </w:tc>
        <w:tc>
          <w:tcPr>
            <w:tcW w:w="54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236AFF">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p>
        </w:tc>
        <w:tc>
          <w:tcPr>
            <w:tcW w:w="15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CDB486">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r>
      <w:tr w14:paraId="6417D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215448">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34873E78">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847" w:type="dxa"/>
            <w:vMerge w:val="continue"/>
            <w:tcBorders>
              <w:left w:val="single" w:color="000000" w:sz="4" w:space="0"/>
              <w:right w:val="single" w:color="000000" w:sz="4" w:space="0"/>
            </w:tcBorders>
            <w:shd w:val="clear" w:color="auto" w:fill="FFFFFF" w:themeFill="background1"/>
            <w:vAlign w:val="center"/>
          </w:tcPr>
          <w:p w14:paraId="7406651F">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F81CA9">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路面提升</w:t>
            </w:r>
          </w:p>
        </w:tc>
        <w:tc>
          <w:tcPr>
            <w:tcW w:w="68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2847F7">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A8968D">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2</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A9310B">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个</w:t>
            </w:r>
          </w:p>
        </w:tc>
        <w:tc>
          <w:tcPr>
            <w:tcW w:w="6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8E6457">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3</w:t>
            </w:r>
          </w:p>
        </w:tc>
        <w:tc>
          <w:tcPr>
            <w:tcW w:w="56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B040CD">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p>
        </w:tc>
        <w:tc>
          <w:tcPr>
            <w:tcW w:w="54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23C2D6">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p>
        </w:tc>
        <w:tc>
          <w:tcPr>
            <w:tcW w:w="15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CE8638">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r>
      <w:tr w14:paraId="1DB31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332"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21CD85">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4678C0A3">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847" w:type="dxa"/>
            <w:vMerge w:val="continue"/>
            <w:tcBorders>
              <w:left w:val="single" w:color="000000" w:sz="4" w:space="0"/>
              <w:right w:val="single" w:color="000000" w:sz="4" w:space="0"/>
            </w:tcBorders>
            <w:shd w:val="clear" w:color="auto" w:fill="FFFFFF" w:themeFill="background1"/>
            <w:vAlign w:val="center"/>
          </w:tcPr>
          <w:p w14:paraId="3B5DEB2F">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29B90F">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道路板涵</w:t>
            </w:r>
          </w:p>
        </w:tc>
        <w:tc>
          <w:tcPr>
            <w:tcW w:w="68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94E53F">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454736">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70</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2D4BCD">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人</w:t>
            </w:r>
          </w:p>
        </w:tc>
        <w:tc>
          <w:tcPr>
            <w:tcW w:w="6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28C169">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70</w:t>
            </w:r>
          </w:p>
        </w:tc>
        <w:tc>
          <w:tcPr>
            <w:tcW w:w="56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DBD790">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p>
        </w:tc>
        <w:tc>
          <w:tcPr>
            <w:tcW w:w="54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7CBCEA">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p>
        </w:tc>
        <w:tc>
          <w:tcPr>
            <w:tcW w:w="15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77AC0F">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r>
      <w:tr w14:paraId="46CB6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90"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808A16">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283A802D">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847" w:type="dxa"/>
            <w:tcBorders>
              <w:top w:val="single" w:color="000000" w:sz="4" w:space="0"/>
              <w:left w:val="single" w:color="000000" w:sz="4" w:space="0"/>
              <w:bottom w:val="nil"/>
              <w:right w:val="single" w:color="000000" w:sz="4" w:space="0"/>
            </w:tcBorders>
            <w:shd w:val="clear" w:color="auto" w:fill="FFFFFF" w:themeFill="background1"/>
            <w:vAlign w:val="center"/>
          </w:tcPr>
          <w:p w14:paraId="546EF735">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质量指标</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A4AD69">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按实施方案质量要求完成项目建设</w:t>
            </w:r>
          </w:p>
        </w:tc>
        <w:tc>
          <w:tcPr>
            <w:tcW w:w="68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8B15D0">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67741C">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100</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E9D4E6">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6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E4B5E8">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100</w:t>
            </w:r>
          </w:p>
        </w:tc>
        <w:tc>
          <w:tcPr>
            <w:tcW w:w="56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2A6E84">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p>
        </w:tc>
        <w:tc>
          <w:tcPr>
            <w:tcW w:w="54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1B56F2">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p>
        </w:tc>
        <w:tc>
          <w:tcPr>
            <w:tcW w:w="15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A6A7516">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r>
      <w:tr w14:paraId="0EECF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3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04F3DE">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945" w:type="dxa"/>
            <w:gridSpan w:val="2"/>
            <w:vMerge w:val="continue"/>
            <w:tcBorders>
              <w:left w:val="single" w:color="000000" w:sz="4" w:space="0"/>
              <w:bottom w:val="single" w:color="000000" w:sz="4" w:space="0"/>
              <w:right w:val="single" w:color="000000" w:sz="4" w:space="0"/>
            </w:tcBorders>
            <w:shd w:val="clear" w:color="auto" w:fill="FFFFFF" w:themeFill="background1"/>
            <w:vAlign w:val="center"/>
          </w:tcPr>
          <w:p w14:paraId="4683B5FD">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847" w:type="dxa"/>
            <w:tcBorders>
              <w:top w:val="single" w:color="000000" w:sz="4" w:space="0"/>
              <w:left w:val="single" w:color="000000" w:sz="4" w:space="0"/>
              <w:bottom w:val="nil"/>
              <w:right w:val="single" w:color="000000" w:sz="4" w:space="0"/>
            </w:tcBorders>
            <w:shd w:val="clear" w:color="auto" w:fill="FFFFFF" w:themeFill="background1"/>
            <w:vAlign w:val="center"/>
          </w:tcPr>
          <w:p w14:paraId="1D320DA5">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时效指标</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4C44D4">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2025年12月30日前完成</w:t>
            </w:r>
          </w:p>
        </w:tc>
        <w:tc>
          <w:tcPr>
            <w:tcW w:w="68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BA72A8">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EC0158">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100</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AFE72F">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6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8F1E5B">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100</w:t>
            </w:r>
          </w:p>
        </w:tc>
        <w:tc>
          <w:tcPr>
            <w:tcW w:w="56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96BB9A">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p>
        </w:tc>
        <w:tc>
          <w:tcPr>
            <w:tcW w:w="54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D84DBC">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p>
        </w:tc>
        <w:tc>
          <w:tcPr>
            <w:tcW w:w="15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FE01D2">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r>
      <w:tr w14:paraId="5450A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48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9CC959">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945" w:type="dxa"/>
            <w:gridSpan w:val="2"/>
            <w:vMerge w:val="restart"/>
            <w:tcBorders>
              <w:top w:val="single" w:color="000000" w:sz="4" w:space="0"/>
              <w:left w:val="single" w:color="000000" w:sz="4" w:space="0"/>
              <w:right w:val="single" w:color="000000" w:sz="4" w:space="0"/>
            </w:tcBorders>
            <w:shd w:val="clear" w:color="auto" w:fill="FFFFFF" w:themeFill="background1"/>
            <w:vAlign w:val="center"/>
          </w:tcPr>
          <w:p w14:paraId="28490E50">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效益指标</w:t>
            </w:r>
          </w:p>
        </w:tc>
        <w:tc>
          <w:tcPr>
            <w:tcW w:w="8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328E1E">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社会效益指标</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C687CB">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项目建成后，带动群众务工，增加群众收入。</w:t>
            </w:r>
          </w:p>
        </w:tc>
        <w:tc>
          <w:tcPr>
            <w:tcW w:w="68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3650A5">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定性</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40DF22">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良好</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38EFB6">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其他</w:t>
            </w:r>
          </w:p>
        </w:tc>
        <w:tc>
          <w:tcPr>
            <w:tcW w:w="6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25BAF2">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良好</w:t>
            </w:r>
          </w:p>
        </w:tc>
        <w:tc>
          <w:tcPr>
            <w:tcW w:w="56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B4309C">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5</w:t>
            </w:r>
          </w:p>
        </w:tc>
        <w:tc>
          <w:tcPr>
            <w:tcW w:w="54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184BFF">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5</w:t>
            </w:r>
          </w:p>
        </w:tc>
        <w:tc>
          <w:tcPr>
            <w:tcW w:w="15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EA92EA">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r>
      <w:tr w14:paraId="7B611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668"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23C0CD">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6668AA73">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c>
          <w:tcPr>
            <w:tcW w:w="8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9015DF">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生态效益指标</w:t>
            </w:r>
          </w:p>
        </w:tc>
        <w:tc>
          <w:tcPr>
            <w:tcW w:w="2303"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FB9BB9">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项目建成后，使辖区的生态环境得到优化和有效保护，实现可持续发展。</w:t>
            </w:r>
          </w:p>
        </w:tc>
        <w:tc>
          <w:tcPr>
            <w:tcW w:w="68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91309D">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定性</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8C0AB9">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良好</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E0382C">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其他</w:t>
            </w:r>
          </w:p>
        </w:tc>
        <w:tc>
          <w:tcPr>
            <w:tcW w:w="6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7F4BCB">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良好</w:t>
            </w:r>
          </w:p>
        </w:tc>
        <w:tc>
          <w:tcPr>
            <w:tcW w:w="56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D4E2A3">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5</w:t>
            </w:r>
          </w:p>
        </w:tc>
        <w:tc>
          <w:tcPr>
            <w:tcW w:w="54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F5C210">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5</w:t>
            </w:r>
          </w:p>
        </w:tc>
        <w:tc>
          <w:tcPr>
            <w:tcW w:w="15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2D4366">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r>
      <w:tr w14:paraId="04910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721"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8837C5">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6057EEBD">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满意度</w:t>
            </w:r>
          </w:p>
          <w:p w14:paraId="37D761C1">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指标</w:t>
            </w:r>
          </w:p>
        </w:tc>
        <w:tc>
          <w:tcPr>
            <w:tcW w:w="1368" w:type="dxa"/>
            <w:gridSpan w:val="2"/>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23887A9D">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服务对象</w:t>
            </w:r>
          </w:p>
          <w:p w14:paraId="0C7AB615">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满意度指标</w:t>
            </w:r>
          </w:p>
        </w:tc>
        <w:tc>
          <w:tcPr>
            <w:tcW w:w="1782"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516C856C">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受益农户满意90%</w:t>
            </w:r>
          </w:p>
        </w:tc>
        <w:tc>
          <w:tcPr>
            <w:tcW w:w="689"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5E2D5C8E">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4B322760">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90</w:t>
            </w:r>
          </w:p>
        </w:tc>
        <w:tc>
          <w:tcPr>
            <w:tcW w:w="777"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482C67C5">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679"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7876E384">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90</w:t>
            </w:r>
          </w:p>
        </w:tc>
        <w:tc>
          <w:tcPr>
            <w:tcW w:w="569"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0029C778">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20</w:t>
            </w:r>
          </w:p>
        </w:tc>
        <w:tc>
          <w:tcPr>
            <w:tcW w:w="545"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3E9D8942">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18</w:t>
            </w:r>
          </w:p>
        </w:tc>
        <w:tc>
          <w:tcPr>
            <w:tcW w:w="1535"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7D4DB33A">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r>
      <w:tr w14:paraId="0BEF8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585" w:hRule="atLeast"/>
          <w:jc w:val="center"/>
        </w:trPr>
        <w:tc>
          <w:tcPr>
            <w:tcW w:w="812" w:type="dxa"/>
            <w:vMerge w:val="continue"/>
            <w:tcBorders>
              <w:left w:val="single" w:color="000000" w:sz="4" w:space="0"/>
              <w:bottom w:val="single" w:color="000000" w:sz="4" w:space="0"/>
              <w:right w:val="single" w:color="000000" w:sz="4" w:space="0"/>
            </w:tcBorders>
            <w:shd w:val="clear" w:color="auto" w:fill="FFFFFF" w:themeFill="background1"/>
            <w:vAlign w:val="center"/>
          </w:tcPr>
          <w:p w14:paraId="1E56A45B">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027792F6">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成本指标</w:t>
            </w:r>
          </w:p>
        </w:tc>
        <w:tc>
          <w:tcPr>
            <w:tcW w:w="1368" w:type="dxa"/>
            <w:gridSpan w:val="2"/>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721AAFC2">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经济成本</w:t>
            </w:r>
          </w:p>
          <w:p w14:paraId="3D752C23">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指标</w:t>
            </w:r>
          </w:p>
        </w:tc>
        <w:tc>
          <w:tcPr>
            <w:tcW w:w="1782" w:type="dxa"/>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768E9A19">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不超过资金计划</w:t>
            </w:r>
          </w:p>
        </w:tc>
        <w:tc>
          <w:tcPr>
            <w:tcW w:w="689" w:type="dxa"/>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28F82659">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w:t>
            </w:r>
          </w:p>
        </w:tc>
        <w:tc>
          <w:tcPr>
            <w:tcW w:w="670" w:type="dxa"/>
            <w:gridSpan w:val="3"/>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11B356D8">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255.16</w:t>
            </w:r>
          </w:p>
        </w:tc>
        <w:tc>
          <w:tcPr>
            <w:tcW w:w="777" w:type="dxa"/>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2F076246">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万元</w:t>
            </w:r>
          </w:p>
        </w:tc>
        <w:tc>
          <w:tcPr>
            <w:tcW w:w="679" w:type="dxa"/>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6964F210">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237.59</w:t>
            </w:r>
          </w:p>
        </w:tc>
        <w:tc>
          <w:tcPr>
            <w:tcW w:w="569" w:type="dxa"/>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6DC99CFE">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p>
        </w:tc>
        <w:tc>
          <w:tcPr>
            <w:tcW w:w="545" w:type="dxa"/>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5890D3E8">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w:t>
            </w:r>
          </w:p>
        </w:tc>
        <w:tc>
          <w:tcPr>
            <w:tcW w:w="1535" w:type="dxa"/>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4CC5ABF3">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r>
      <w:tr w14:paraId="4C77F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152" w:hRule="atLeast"/>
          <w:jc w:val="center"/>
        </w:trPr>
        <w:tc>
          <w:tcPr>
            <w:tcW w:w="7043" w:type="dxa"/>
            <w:gridSpan w:val="11"/>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4E89EB">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合计</w:t>
            </w:r>
          </w:p>
        </w:tc>
        <w:tc>
          <w:tcPr>
            <w:tcW w:w="67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930F6A">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p>
        </w:tc>
        <w:tc>
          <w:tcPr>
            <w:tcW w:w="56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86A0EA">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100</w:t>
            </w:r>
          </w:p>
        </w:tc>
        <w:tc>
          <w:tcPr>
            <w:tcW w:w="54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64096B">
            <w:pPr>
              <w:widowControl w:val="0"/>
              <w:spacing w:before="0" w:beforeAutospacing="0" w:after="0" w:afterAutospacing="0" w:line="300" w:lineRule="exact"/>
              <w:ind w:left="0" w:right="0"/>
              <w:jc w:val="both"/>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98</w:t>
            </w:r>
          </w:p>
        </w:tc>
        <w:tc>
          <w:tcPr>
            <w:tcW w:w="153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ECAFC1">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p>
        </w:tc>
      </w:tr>
      <w:tr w14:paraId="2869C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38"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3CE0DD">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评价结论</w:t>
            </w:r>
          </w:p>
        </w:tc>
        <w:tc>
          <w:tcPr>
            <w:tcW w:w="9320" w:type="dxa"/>
            <w:gridSpan w:val="1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C7188D">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综上所述该项目预算项目绩效自评总体良好，评价得分98分，</w:t>
            </w:r>
            <w:r>
              <w:rPr>
                <w:rFonts w:hint="eastAsia" w:ascii="宋体" w:hAnsi="宋体" w:eastAsia="宋体" w:cs="宋体"/>
                <w:b w:val="0"/>
                <w:bCs w:val="0"/>
                <w:i w:val="0"/>
                <w:iCs w:val="0"/>
                <w:color w:val="000000"/>
                <w:kern w:val="0"/>
                <w:sz w:val="18"/>
                <w:szCs w:val="18"/>
                <w:u w:val="none"/>
                <w:lang w:val="zh-CN" w:eastAsia="zh-CN" w:bidi="ar"/>
              </w:rPr>
              <w:t>项目实施均按照时间节点完成。</w:t>
            </w:r>
          </w:p>
        </w:tc>
      </w:tr>
      <w:tr w14:paraId="17DCA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411"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EDB6A7">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存在问题</w:t>
            </w:r>
          </w:p>
        </w:tc>
        <w:tc>
          <w:tcPr>
            <w:tcW w:w="9320" w:type="dxa"/>
            <w:gridSpan w:val="1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BEA3715">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无</w:t>
            </w:r>
          </w:p>
        </w:tc>
      </w:tr>
      <w:tr w14:paraId="1AB90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368"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D98AAF">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改进措施</w:t>
            </w:r>
          </w:p>
        </w:tc>
        <w:tc>
          <w:tcPr>
            <w:tcW w:w="9320" w:type="dxa"/>
            <w:gridSpan w:val="1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5A11AA">
            <w:pPr>
              <w:widowControl w:val="0"/>
              <w:spacing w:before="0" w:beforeAutospacing="0" w:after="0" w:afterAutospacing="0" w:line="300" w:lineRule="exact"/>
              <w:ind w:left="0" w:right="0"/>
              <w:jc w:val="both"/>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无</w:t>
            </w:r>
          </w:p>
        </w:tc>
      </w:tr>
    </w:tbl>
    <w:p w14:paraId="1B9D4A47">
      <w:pPr>
        <w:pStyle w:val="2"/>
        <w:rPr>
          <w:rFonts w:hint="eastAsia" w:ascii="黑体" w:eastAsia="黑体" w:cs="黑体"/>
          <w:b/>
          <w:bCs/>
          <w:kern w:val="0"/>
          <w:sz w:val="44"/>
          <w:szCs w:val="44"/>
        </w:rPr>
      </w:pPr>
    </w:p>
    <w:p w14:paraId="01D09BB5">
      <w:pPr>
        <w:pStyle w:val="3"/>
        <w:rPr>
          <w:rFonts w:hint="eastAsia"/>
        </w:rPr>
      </w:pPr>
    </w:p>
    <w:p w14:paraId="25D337AB">
      <w:pPr>
        <w:pStyle w:val="3"/>
        <w:rPr>
          <w:rFonts w:hint="eastAsia"/>
        </w:rPr>
      </w:pPr>
    </w:p>
    <w:p w14:paraId="5E97D5A9">
      <w:pPr>
        <w:pStyle w:val="3"/>
        <w:rPr>
          <w:rFonts w:hint="eastAsia"/>
        </w:rPr>
      </w:pPr>
    </w:p>
    <w:p w14:paraId="4D24C040">
      <w:pPr>
        <w:pStyle w:val="3"/>
        <w:rPr>
          <w:rFonts w:hint="eastAsia"/>
        </w:rPr>
      </w:pPr>
    </w:p>
    <w:p w14:paraId="3CED09E0">
      <w:pPr>
        <w:pStyle w:val="3"/>
        <w:rPr>
          <w:rFonts w:hint="eastAsia"/>
        </w:rPr>
      </w:pPr>
    </w:p>
    <w:p w14:paraId="6BC4C34C">
      <w:pPr>
        <w:pStyle w:val="3"/>
        <w:rPr>
          <w:rFonts w:hint="eastAsia"/>
        </w:rPr>
      </w:pPr>
    </w:p>
    <w:tbl>
      <w:tblPr>
        <w:tblStyle w:val="17"/>
        <w:tblW w:w="95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108" w:type="dxa"/>
          <w:bottom w:w="0" w:type="dxa"/>
          <w:right w:w="108" w:type="dxa"/>
        </w:tblCellMar>
      </w:tblPr>
      <w:tblGrid>
        <w:gridCol w:w="812"/>
        <w:gridCol w:w="280"/>
        <w:gridCol w:w="665"/>
        <w:gridCol w:w="847"/>
        <w:gridCol w:w="1387"/>
        <w:gridCol w:w="1035"/>
        <w:gridCol w:w="840"/>
        <w:gridCol w:w="86"/>
        <w:gridCol w:w="874"/>
        <w:gridCol w:w="915"/>
        <w:gridCol w:w="555"/>
        <w:gridCol w:w="570"/>
        <w:gridCol w:w="719"/>
      </w:tblGrid>
      <w:tr w14:paraId="0FC4D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9585"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8E6083">
            <w:pPr>
              <w:keepNext w:val="0"/>
              <w:keepLines w:val="0"/>
              <w:pageBreakBefore w:val="0"/>
              <w:widowControl w:val="0"/>
              <w:numPr>
                <w:ilvl w:val="0"/>
                <w:numId w:val="0"/>
              </w:numPr>
              <w:kinsoku/>
              <w:wordWrap/>
              <w:overflowPunct/>
              <w:topLinePunct w:val="0"/>
              <w:autoSpaceDE/>
              <w:autoSpaceDN/>
              <w:bidi w:val="0"/>
              <w:snapToGrid w:val="0"/>
              <w:spacing w:before="0" w:beforeAutospacing="0" w:after="0" w:afterAutospacing="0" w:line="560" w:lineRule="exact"/>
              <w:ind w:right="0" w:rightChars="0"/>
              <w:jc w:val="center"/>
              <w:rPr>
                <w:rFonts w:ascii="黑体" w:hAnsi="宋体" w:eastAsia="黑体" w:cs="黑体"/>
                <w:b/>
                <w:bCs/>
                <w:i w:val="0"/>
                <w:iCs w:val="0"/>
                <w:color w:val="000000"/>
                <w:sz w:val="30"/>
                <w:szCs w:val="30"/>
                <w:u w:val="none"/>
              </w:rPr>
            </w:pPr>
            <w:r>
              <w:rPr>
                <w:rFonts w:hint="eastAsia" w:ascii="Times New Roman" w:hAnsi="Times New Roman" w:eastAsia="仿宋_GB2312" w:cs="Times New Roman"/>
                <w:b/>
                <w:bCs/>
                <w:color w:val="000000"/>
                <w:kern w:val="0"/>
                <w:sz w:val="28"/>
                <w:szCs w:val="28"/>
                <w:shd w:val="clear" w:color="auto" w:fill="FFFFFF"/>
                <w:lang w:val="en-US" w:eastAsia="zh-CN"/>
              </w:rPr>
              <w:t>沙坝镇2025年三龙富锶特色果蔬现代农业园区建设项目支出绩效自评表</w:t>
            </w:r>
          </w:p>
        </w:tc>
      </w:tr>
      <w:tr w14:paraId="16223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90"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334D2A">
            <w:pPr>
              <w:keepNext w:val="0"/>
              <w:keepLines w:val="0"/>
              <w:pageBreakBefore w:val="0"/>
              <w:widowControl w:val="0"/>
              <w:suppressLineNumbers w:val="0"/>
              <w:kinsoku/>
              <w:wordWrap/>
              <w:overflowPunct/>
              <w:topLinePunct w:val="0"/>
              <w:autoSpaceDE/>
              <w:autoSpaceDN/>
              <w:bidi w:val="0"/>
              <w:adjustRightInd/>
              <w:snapToGrid/>
              <w:spacing w:line="240" w:lineRule="atLeas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828"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293F4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eastAsia="宋体"/>
                <w:color w:val="000000"/>
                <w:sz w:val="18"/>
                <w:szCs w:val="18"/>
              </w:rPr>
              <w:t>沙坝镇</w:t>
            </w:r>
            <w:r>
              <w:rPr>
                <w:rFonts w:hint="eastAsia" w:eastAsia="宋体"/>
                <w:color w:val="000000"/>
                <w:sz w:val="18"/>
                <w:szCs w:val="18"/>
                <w:lang w:val="en-US" w:eastAsia="zh-CN"/>
              </w:rPr>
              <w:t>2025年</w:t>
            </w:r>
            <w:r>
              <w:rPr>
                <w:rFonts w:hint="eastAsia" w:eastAsia="宋体"/>
                <w:color w:val="000000"/>
                <w:sz w:val="18"/>
                <w:szCs w:val="18"/>
              </w:rPr>
              <w:t>三龙富锶特色果蔬现代农业园区建设项目</w:t>
            </w:r>
          </w:p>
        </w:tc>
      </w:tr>
      <w:tr w14:paraId="2BC69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343"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12BD4C">
            <w:pPr>
              <w:keepNext w:val="0"/>
              <w:keepLines w:val="0"/>
              <w:pageBreakBefore w:val="0"/>
              <w:widowControl w:val="0"/>
              <w:suppressLineNumbers w:val="0"/>
              <w:kinsoku/>
              <w:wordWrap/>
              <w:overflowPunct/>
              <w:topLinePunct w:val="0"/>
              <w:autoSpaceDE/>
              <w:autoSpaceDN/>
              <w:bidi w:val="0"/>
              <w:adjustRightInd/>
              <w:snapToGrid/>
              <w:spacing w:line="240" w:lineRule="atLeas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95"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62613E">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茂县科学技术和农业畜牧局</w:t>
            </w:r>
          </w:p>
        </w:tc>
        <w:tc>
          <w:tcPr>
            <w:tcW w:w="874" w:type="dxa"/>
            <w:tcBorders>
              <w:top w:val="nil"/>
              <w:left w:val="nil"/>
              <w:bottom w:val="nil"/>
              <w:right w:val="nil"/>
            </w:tcBorders>
            <w:shd w:val="clear" w:color="auto" w:fill="FFFFFF"/>
            <w:noWrap w:val="0"/>
            <w:vAlign w:val="center"/>
          </w:tcPr>
          <w:p w14:paraId="2F9089C7">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黑体" w:hAnsi="黑体" w:eastAsia="黑体" w:cs="黑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实施单位 </w:t>
            </w:r>
          </w:p>
        </w:tc>
        <w:tc>
          <w:tcPr>
            <w:tcW w:w="275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3ACD67">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茂县科学技术和农业畜牧局</w:t>
            </w:r>
          </w:p>
        </w:tc>
      </w:tr>
      <w:tr w14:paraId="13A64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241"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B89A3B">
            <w:pPr>
              <w:keepNext w:val="0"/>
              <w:keepLines w:val="0"/>
              <w:pageBreakBefore w:val="0"/>
              <w:widowControl w:val="0"/>
              <w:suppressLineNumbers w:val="0"/>
              <w:kinsoku/>
              <w:wordWrap/>
              <w:overflowPunct/>
              <w:topLinePunct w:val="0"/>
              <w:autoSpaceDE/>
              <w:autoSpaceDN/>
              <w:bidi w:val="0"/>
              <w:adjustRightInd/>
              <w:snapToGrid/>
              <w:spacing w:line="240" w:lineRule="atLeas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4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75BA37">
            <w:pPr>
              <w:keepNext w:val="0"/>
              <w:keepLines w:val="0"/>
              <w:pageBreakBefore w:val="0"/>
              <w:widowControl w:val="0"/>
              <w:suppressLineNumbers w:val="0"/>
              <w:kinsoku/>
              <w:wordWrap/>
              <w:overflowPunct/>
              <w:topLinePunct w:val="0"/>
              <w:autoSpaceDE/>
              <w:autoSpaceDN/>
              <w:bidi w:val="0"/>
              <w:adjustRightInd/>
              <w:snapToGrid/>
              <w:spacing w:line="240" w:lineRule="atLeas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项目年度目标完成情况</w:t>
            </w:r>
          </w:p>
        </w:tc>
        <w:tc>
          <w:tcPr>
            <w:tcW w:w="4195"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F60937">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633"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48F1B6">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hint="eastAsia" w:ascii="黑体" w:hAnsi="黑体" w:eastAsia="黑体" w:cs="黑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15E56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4469"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2BCD6B">
            <w:pPr>
              <w:keepNext w:val="0"/>
              <w:keepLines w:val="0"/>
              <w:pageBreakBefore w:val="0"/>
              <w:widowControl w:val="0"/>
              <w:kinsoku/>
              <w:wordWrap/>
              <w:overflowPunct/>
              <w:topLinePunct w:val="0"/>
              <w:autoSpaceDE/>
              <w:autoSpaceDN/>
              <w:bidi w:val="0"/>
              <w:adjustRightInd/>
              <w:snapToGrid/>
              <w:spacing w:line="240" w:lineRule="atLeast"/>
              <w:rPr>
                <w:rFonts w:hint="eastAsia" w:ascii="宋体" w:hAnsi="宋体" w:eastAsia="宋体" w:cs="宋体"/>
                <w:i w:val="0"/>
                <w:iCs w:val="0"/>
                <w:color w:val="000000"/>
                <w:sz w:val="18"/>
                <w:szCs w:val="18"/>
                <w:u w:val="none"/>
              </w:rPr>
            </w:pPr>
          </w:p>
        </w:tc>
        <w:tc>
          <w:tcPr>
            <w:tcW w:w="94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BC64E6">
            <w:pPr>
              <w:keepNext w:val="0"/>
              <w:keepLines w:val="0"/>
              <w:pageBreakBefore w:val="0"/>
              <w:widowControl w:val="0"/>
              <w:kinsoku/>
              <w:wordWrap/>
              <w:overflowPunct/>
              <w:topLinePunct w:val="0"/>
              <w:autoSpaceDE/>
              <w:autoSpaceDN/>
              <w:bidi w:val="0"/>
              <w:adjustRightInd/>
              <w:snapToGrid/>
              <w:spacing w:line="240" w:lineRule="atLeast"/>
              <w:rPr>
                <w:rFonts w:hint="eastAsia" w:ascii="宋体" w:hAnsi="宋体" w:eastAsia="宋体" w:cs="宋体"/>
                <w:i w:val="0"/>
                <w:iCs w:val="0"/>
                <w:color w:val="000000"/>
                <w:sz w:val="18"/>
                <w:szCs w:val="18"/>
                <w:u w:val="none"/>
              </w:rPr>
            </w:pPr>
          </w:p>
        </w:tc>
        <w:tc>
          <w:tcPr>
            <w:tcW w:w="4195"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E25560">
            <w:pPr>
              <w:keepNext w:val="0"/>
              <w:keepLines w:val="0"/>
              <w:pageBreakBefore w:val="0"/>
              <w:widowControl w:val="0"/>
              <w:suppressLineNumbers w:val="0"/>
              <w:kinsoku/>
              <w:wordWrap/>
              <w:overflowPunct/>
              <w:topLinePunct w:val="0"/>
              <w:autoSpaceDE/>
              <w:autoSpaceDN/>
              <w:bidi w:val="0"/>
              <w:adjustRightInd/>
              <w:snapToGrid/>
              <w:spacing w:line="240" w:lineRule="atLeast"/>
              <w:jc w:val="left"/>
              <w:textAlignment w:val="center"/>
              <w:rPr>
                <w:rFonts w:ascii="宋体" w:hAnsi="宋体" w:eastAsia="宋体" w:cs="宋体"/>
                <w:i w:val="0"/>
                <w:iCs w:val="0"/>
                <w:color w:val="000000"/>
                <w:kern w:val="0"/>
                <w:sz w:val="18"/>
                <w:szCs w:val="18"/>
                <w:highlight w:val="none"/>
                <w:u w:val="none"/>
                <w:lang w:val="en-US" w:eastAsia="zh-CN" w:bidi="ar"/>
              </w:rPr>
            </w:pPr>
            <w:r>
              <w:rPr>
                <w:rFonts w:hint="eastAsia" w:eastAsia="宋体"/>
                <w:color w:val="000000"/>
                <w:sz w:val="18"/>
                <w:szCs w:val="18"/>
                <w:highlight w:val="none"/>
                <w:lang w:val="en-US" w:eastAsia="zh-CN"/>
              </w:rPr>
              <w:t>1、白溪村：农田灌溉管道9.5kmPE50管道，蓄水池2口50立方米，防雹设施1台。2、富布寨村：防雹设施1台，村道安防修复1.5公里。3、卓吾寨村：农田灌溉PE50管道4km，</w:t>
            </w:r>
            <w:r>
              <w:rPr>
                <w:rFonts w:hint="eastAsia" w:eastAsia="宋体"/>
                <w:color w:val="000000"/>
                <w:sz w:val="18"/>
                <w:szCs w:val="18"/>
                <w:highlight w:val="none"/>
                <w:lang w:eastAsia="zh-CN"/>
              </w:rPr>
              <w:t>φ1.5米</w:t>
            </w:r>
            <w:r>
              <w:rPr>
                <w:rFonts w:hint="eastAsia" w:eastAsia="宋体"/>
                <w:color w:val="000000"/>
                <w:sz w:val="18"/>
                <w:szCs w:val="18"/>
                <w:highlight w:val="none"/>
                <w:lang w:val="en-US" w:eastAsia="zh-CN"/>
              </w:rPr>
              <w:t>管涵1米。4、黄草坪村：PE110管道1.8km，PE32管道1km，PE50管道1km，20立方米水池1口，10立方米水池2口。5、纳呼村：PE50管道5.6km。6、沙坝村：农田灌溉PE200管道0.2km。7、各村产业道堡坎0.9公里（片石堡坎2600立方米、毛石混</w:t>
            </w:r>
            <w:r>
              <w:rPr>
                <w:rFonts w:hint="eastAsia"/>
                <w:color w:val="000000"/>
                <w:sz w:val="18"/>
                <w:szCs w:val="18"/>
                <w:highlight w:val="none"/>
                <w:lang w:val="en-US" w:eastAsia="zh-CN"/>
              </w:rPr>
              <w:t>凝</w:t>
            </w:r>
            <w:r>
              <w:rPr>
                <w:rFonts w:hint="eastAsia" w:eastAsia="宋体"/>
                <w:color w:val="000000"/>
                <w:sz w:val="18"/>
                <w:szCs w:val="18"/>
                <w:highlight w:val="none"/>
                <w:lang w:val="en-US" w:eastAsia="zh-CN"/>
              </w:rPr>
              <w:t>土堡坎280立方米）。8、各村产业道路硬化6.2公里（2330立方米）。9、面源污染治理500亩。10、品牌建设,包括标准化种植示范60亩、检测样本45份11、绿色防控，杀虫灯80盏、黄板2万张。12、农旅融合产业发展,包括人居环境整治。</w:t>
            </w:r>
          </w:p>
        </w:tc>
        <w:tc>
          <w:tcPr>
            <w:tcW w:w="3633"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CD0AB4">
            <w:pPr>
              <w:keepNext w:val="0"/>
              <w:keepLines w:val="0"/>
              <w:pageBreakBefore w:val="0"/>
              <w:widowControl w:val="0"/>
              <w:suppressLineNumbers w:val="0"/>
              <w:kinsoku/>
              <w:wordWrap/>
              <w:overflowPunct/>
              <w:topLinePunct w:val="0"/>
              <w:autoSpaceDE/>
              <w:autoSpaceDN/>
              <w:bidi w:val="0"/>
              <w:adjustRightInd/>
              <w:snapToGrid/>
              <w:spacing w:line="240" w:lineRule="atLeast"/>
              <w:jc w:val="left"/>
              <w:textAlignment w:val="center"/>
              <w:rPr>
                <w:rFonts w:hint="eastAsia" w:ascii="Times New Roman" w:hAnsi="Times New Roman" w:eastAsia="宋体" w:cs="Times New Roman"/>
                <w:color w:val="000000"/>
                <w:sz w:val="18"/>
                <w:szCs w:val="18"/>
                <w:highlight w:val="none"/>
                <w:lang w:val="en-US" w:eastAsia="zh-CN"/>
              </w:rPr>
            </w:pPr>
            <w:r>
              <w:rPr>
                <w:rFonts w:hint="eastAsia" w:ascii="Times New Roman" w:hAnsi="Times New Roman" w:eastAsia="宋体" w:cs="Times New Roman"/>
                <w:color w:val="000000"/>
                <w:sz w:val="18"/>
                <w:szCs w:val="18"/>
                <w:highlight w:val="none"/>
                <w:lang w:val="en-US" w:eastAsia="zh-CN"/>
              </w:rPr>
              <w:t>项目完成了1、白溪村：农田灌溉管道9.5kmPE50管道，蓄水池2口50立方米，防雹设施1台。2、富布寨村：防雹设施1台，村道安防修复1.23公里。3、卓吾寨村：农田灌溉PE50管道4km，φ1.5米管涵16米。4、黄草坪村：PE110管道1.8km，PE32管道1km，PE50管道1km，20立方米水池1口，10立方米水池2口。5、纳呼村：PE50管道5.6km。6、沙坝村：农田灌溉PE200管道0.2km。7、各村片石堡坎2557.12立方米、毛石</w:t>
            </w:r>
            <w:r>
              <w:rPr>
                <w:rFonts w:hint="eastAsia" w:eastAsia="宋体"/>
                <w:color w:val="000000"/>
                <w:sz w:val="18"/>
                <w:szCs w:val="18"/>
                <w:highlight w:val="none"/>
                <w:lang w:val="en-US" w:eastAsia="zh-CN"/>
              </w:rPr>
              <w:t>混</w:t>
            </w:r>
            <w:r>
              <w:rPr>
                <w:rFonts w:hint="eastAsia"/>
                <w:color w:val="000000"/>
                <w:sz w:val="18"/>
                <w:szCs w:val="18"/>
                <w:highlight w:val="none"/>
                <w:lang w:val="en-US" w:eastAsia="zh-CN"/>
              </w:rPr>
              <w:t>凝</w:t>
            </w:r>
            <w:r>
              <w:rPr>
                <w:rFonts w:hint="eastAsia" w:ascii="Times New Roman" w:hAnsi="Times New Roman" w:eastAsia="宋体" w:cs="Times New Roman"/>
                <w:color w:val="000000"/>
                <w:sz w:val="18"/>
                <w:szCs w:val="18"/>
                <w:highlight w:val="none"/>
                <w:lang w:val="en-US" w:eastAsia="zh-CN"/>
              </w:rPr>
              <w:t>土堡坎267.8立方米。8、各村产业道路硬化2273.73立方米。9、面源污染治理500亩。10、品牌建设,检测样本45份。11、绿色防控，杀虫灯80盏、黄板2万张。12、农旅融合产业发展,包括人居环境整治。</w:t>
            </w:r>
          </w:p>
        </w:tc>
      </w:tr>
      <w:tr w14:paraId="663DF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956"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A48BFD">
            <w:pPr>
              <w:keepNext w:val="0"/>
              <w:keepLines w:val="0"/>
              <w:pageBreakBefore w:val="0"/>
              <w:widowControl w:val="0"/>
              <w:kinsoku/>
              <w:wordWrap/>
              <w:overflowPunct/>
              <w:topLinePunct w:val="0"/>
              <w:autoSpaceDE/>
              <w:autoSpaceDN/>
              <w:bidi w:val="0"/>
              <w:adjustRightInd/>
              <w:snapToGrid/>
              <w:spacing w:line="240" w:lineRule="atLeast"/>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158F41">
            <w:pPr>
              <w:keepNext w:val="0"/>
              <w:keepLines w:val="0"/>
              <w:pageBreakBefore w:val="0"/>
              <w:widowControl w:val="0"/>
              <w:suppressLineNumbers w:val="0"/>
              <w:kinsoku/>
              <w:wordWrap/>
              <w:overflowPunct/>
              <w:topLinePunct w:val="0"/>
              <w:autoSpaceDE/>
              <w:autoSpaceDN/>
              <w:bidi w:val="0"/>
              <w:adjustRightInd/>
              <w:snapToGrid/>
              <w:spacing w:line="240" w:lineRule="atLeas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项目实施内容及过程概述</w:t>
            </w:r>
          </w:p>
        </w:tc>
        <w:tc>
          <w:tcPr>
            <w:tcW w:w="7828"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8984FD">
            <w:pPr>
              <w:keepNext w:val="0"/>
              <w:keepLines w:val="0"/>
              <w:pageBreakBefore w:val="0"/>
              <w:widowControl w:val="0"/>
              <w:suppressLineNumbers w:val="0"/>
              <w:kinsoku/>
              <w:wordWrap/>
              <w:overflowPunct/>
              <w:topLinePunct w:val="0"/>
              <w:autoSpaceDE/>
              <w:autoSpaceDN/>
              <w:bidi w:val="0"/>
              <w:adjustRightInd/>
              <w:snapToGrid/>
              <w:spacing w:line="240" w:lineRule="atLeast"/>
              <w:jc w:val="left"/>
              <w:textAlignment w:val="center"/>
              <w:rPr>
                <w:rFonts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zh-CN" w:eastAsia="zh-CN" w:bidi="ar"/>
              </w:rPr>
              <w:t>完成农田灌溉管道、蓄水池、防雹设施、产业道堡坎、产业道路硬化、面源污染治理、规范化种植示范、杀虫灯</w:t>
            </w:r>
            <w:r>
              <w:rPr>
                <w:rFonts w:hint="eastAsia" w:hAnsi="宋体" w:cs="宋体"/>
                <w:i w:val="0"/>
                <w:iCs w:val="0"/>
                <w:color w:val="000000"/>
                <w:kern w:val="0"/>
                <w:sz w:val="18"/>
                <w:szCs w:val="18"/>
                <w:highlight w:val="none"/>
                <w:u w:val="none"/>
                <w:lang w:val="zh-CN" w:eastAsia="zh-CN" w:bidi="ar"/>
              </w:rPr>
              <w:t>采购</w:t>
            </w:r>
            <w:r>
              <w:rPr>
                <w:rFonts w:hint="eastAsia" w:ascii="宋体" w:hAnsi="宋体" w:eastAsia="宋体" w:cs="宋体"/>
                <w:i w:val="0"/>
                <w:iCs w:val="0"/>
                <w:color w:val="000000"/>
                <w:kern w:val="0"/>
                <w:sz w:val="18"/>
                <w:szCs w:val="18"/>
                <w:highlight w:val="none"/>
                <w:u w:val="none"/>
                <w:lang w:val="zh-CN" w:eastAsia="zh-CN" w:bidi="ar"/>
              </w:rPr>
              <w:t>、黄板等建设内容。</w:t>
            </w:r>
          </w:p>
        </w:tc>
      </w:tr>
      <w:tr w14:paraId="23A75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23"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9FDBA7">
            <w:pPr>
              <w:keepNext w:val="0"/>
              <w:keepLines w:val="0"/>
              <w:pageBreakBefore w:val="0"/>
              <w:widowControl w:val="0"/>
              <w:suppressLineNumbers w:val="0"/>
              <w:kinsoku/>
              <w:wordWrap/>
              <w:overflowPunct/>
              <w:topLinePunct w:val="0"/>
              <w:autoSpaceDE/>
              <w:autoSpaceDN/>
              <w:bidi w:val="0"/>
              <w:adjustRightInd/>
              <w:snapToGrid/>
              <w:spacing w:line="240" w:lineRule="atLeas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1CE1E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A9B466">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D2A3C7">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EE67B2">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80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ACE1E7">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w:t>
            </w:r>
          </w:p>
          <w:p w14:paraId="74B2FCB7">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行率</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20E4E4">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12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8F7B86">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102FD7">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9E99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30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BEDC3D">
            <w:pPr>
              <w:keepNext w:val="0"/>
              <w:keepLines w:val="0"/>
              <w:pageBreakBefore w:val="0"/>
              <w:widowControl w:val="0"/>
              <w:kinsoku/>
              <w:wordWrap/>
              <w:overflowPunct/>
              <w:topLinePunct w:val="0"/>
              <w:autoSpaceDE/>
              <w:autoSpaceDN/>
              <w:bidi w:val="0"/>
              <w:adjustRightInd/>
              <w:snapToGrid/>
              <w:spacing w:line="240" w:lineRule="atLeast"/>
              <w:jc w:val="left"/>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D5BEF6">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528B2E">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0</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0D12BE">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372.49</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B85398">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372.49</w:t>
            </w:r>
          </w:p>
        </w:tc>
        <w:tc>
          <w:tcPr>
            <w:tcW w:w="180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421BDA">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D1662A">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12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CACFA5">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1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498B64">
            <w:pPr>
              <w:keepNext w:val="0"/>
              <w:keepLines w:val="0"/>
              <w:pageBreakBefore w:val="0"/>
              <w:widowControl w:val="0"/>
              <w:suppressLineNumbers w:val="0"/>
              <w:kinsoku/>
              <w:wordWrap/>
              <w:overflowPunct/>
              <w:topLinePunct w:val="0"/>
              <w:autoSpaceDE/>
              <w:autoSpaceDN/>
              <w:bidi w:val="0"/>
              <w:adjustRightInd/>
              <w:snapToGrid/>
              <w:spacing w:line="240" w:lineRule="atLeast"/>
              <w:jc w:val="left"/>
              <w:textAlignment w:val="center"/>
              <w:rPr>
                <w:rFonts w:hint="eastAsia" w:ascii="黑体" w:hAnsi="黑体" w:eastAsia="黑体" w:cs="黑体"/>
                <w:i w:val="0"/>
                <w:iCs w:val="0"/>
                <w:color w:val="000000"/>
                <w:sz w:val="18"/>
                <w:szCs w:val="18"/>
                <w:u w:val="none"/>
              </w:rPr>
            </w:pPr>
          </w:p>
        </w:tc>
      </w:tr>
      <w:tr w14:paraId="23D93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32872C">
            <w:pPr>
              <w:keepNext w:val="0"/>
              <w:keepLines w:val="0"/>
              <w:pageBreakBefore w:val="0"/>
              <w:widowControl w:val="0"/>
              <w:kinsoku/>
              <w:wordWrap/>
              <w:overflowPunct/>
              <w:topLinePunct w:val="0"/>
              <w:autoSpaceDE/>
              <w:autoSpaceDN/>
              <w:bidi w:val="0"/>
              <w:adjustRightInd/>
              <w:snapToGrid/>
              <w:spacing w:line="240" w:lineRule="atLeast"/>
              <w:jc w:val="left"/>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AEF614">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D657FF">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0</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594ADA">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372.49</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263443">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372.49</w:t>
            </w:r>
          </w:p>
        </w:tc>
        <w:tc>
          <w:tcPr>
            <w:tcW w:w="180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5B34D8">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A14113">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2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6402DF">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9860BA">
            <w:pPr>
              <w:keepNext w:val="0"/>
              <w:keepLines w:val="0"/>
              <w:pageBreakBefore w:val="0"/>
              <w:widowControl w:val="0"/>
              <w:kinsoku/>
              <w:wordWrap/>
              <w:overflowPunct/>
              <w:topLinePunct w:val="0"/>
              <w:autoSpaceDE/>
              <w:autoSpaceDN/>
              <w:bidi w:val="0"/>
              <w:adjustRightInd/>
              <w:snapToGrid/>
              <w:spacing w:line="240" w:lineRule="atLeast"/>
              <w:rPr>
                <w:rFonts w:hint="eastAsia" w:ascii="黑体" w:hAnsi="黑体" w:eastAsia="黑体" w:cs="黑体"/>
                <w:i w:val="0"/>
                <w:iCs w:val="0"/>
                <w:color w:val="000000"/>
                <w:sz w:val="18"/>
                <w:szCs w:val="18"/>
                <w:u w:val="none"/>
              </w:rPr>
            </w:pPr>
          </w:p>
        </w:tc>
      </w:tr>
      <w:tr w14:paraId="6D5F1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44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142DAF">
            <w:pPr>
              <w:keepNext w:val="0"/>
              <w:keepLines w:val="0"/>
              <w:pageBreakBefore w:val="0"/>
              <w:widowControl w:val="0"/>
              <w:kinsoku/>
              <w:wordWrap/>
              <w:overflowPunct/>
              <w:topLinePunct w:val="0"/>
              <w:autoSpaceDE/>
              <w:autoSpaceDN/>
              <w:bidi w:val="0"/>
              <w:adjustRightInd/>
              <w:snapToGrid/>
              <w:spacing w:line="240" w:lineRule="atLeast"/>
              <w:jc w:val="left"/>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13210C">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BC32AC">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1CE376">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2E3482">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180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F31904">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8B9E04">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2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F1FC7C">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0984A6">
            <w:pPr>
              <w:keepNext w:val="0"/>
              <w:keepLines w:val="0"/>
              <w:pageBreakBefore w:val="0"/>
              <w:widowControl w:val="0"/>
              <w:kinsoku/>
              <w:wordWrap/>
              <w:overflowPunct/>
              <w:topLinePunct w:val="0"/>
              <w:autoSpaceDE/>
              <w:autoSpaceDN/>
              <w:bidi w:val="0"/>
              <w:adjustRightInd/>
              <w:snapToGrid/>
              <w:spacing w:line="240" w:lineRule="atLeast"/>
              <w:rPr>
                <w:rFonts w:hint="eastAsia" w:ascii="黑体" w:hAnsi="黑体" w:eastAsia="黑体" w:cs="黑体"/>
                <w:i w:val="0"/>
                <w:iCs w:val="0"/>
                <w:color w:val="000000"/>
                <w:sz w:val="18"/>
                <w:szCs w:val="18"/>
                <w:u w:val="none"/>
              </w:rPr>
            </w:pPr>
          </w:p>
        </w:tc>
      </w:tr>
      <w:tr w14:paraId="03AD7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12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B80B16">
            <w:pPr>
              <w:keepNext w:val="0"/>
              <w:keepLines w:val="0"/>
              <w:pageBreakBefore w:val="0"/>
              <w:widowControl w:val="0"/>
              <w:kinsoku/>
              <w:wordWrap/>
              <w:overflowPunct/>
              <w:topLinePunct w:val="0"/>
              <w:autoSpaceDE/>
              <w:autoSpaceDN/>
              <w:bidi w:val="0"/>
              <w:adjustRightInd/>
              <w:snapToGrid/>
              <w:spacing w:line="240" w:lineRule="atLeast"/>
              <w:jc w:val="left"/>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C6F2BF">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A115C9">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8D4562">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05071C">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1800"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3559D4">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r>
              <w:rPr>
                <w:rFonts w:ascii="宋体" w:hAnsi="宋体" w:eastAsia="宋体" w:cs="宋体"/>
                <w:i w:val="0"/>
                <w:iCs w:val="0"/>
                <w:color w:val="000000"/>
                <w:kern w:val="0"/>
                <w:sz w:val="18"/>
                <w:szCs w:val="18"/>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98EBE8">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2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79AA78">
            <w:pPr>
              <w:keepNext w:val="0"/>
              <w:keepLines w:val="0"/>
              <w:pageBreakBefore w:val="0"/>
              <w:widowControl w:val="0"/>
              <w:suppressLineNumbers w:val="0"/>
              <w:kinsoku/>
              <w:wordWrap/>
              <w:overflowPunct/>
              <w:topLinePunct w:val="0"/>
              <w:autoSpaceDE/>
              <w:autoSpaceDN/>
              <w:bidi w:val="0"/>
              <w:adjustRightInd/>
              <w:snapToGrid/>
              <w:spacing w:line="240" w:lineRule="atLeas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9EF832">
            <w:pPr>
              <w:keepNext w:val="0"/>
              <w:keepLines w:val="0"/>
              <w:pageBreakBefore w:val="0"/>
              <w:widowControl w:val="0"/>
              <w:kinsoku/>
              <w:wordWrap/>
              <w:overflowPunct/>
              <w:topLinePunct w:val="0"/>
              <w:autoSpaceDE/>
              <w:autoSpaceDN/>
              <w:bidi w:val="0"/>
              <w:adjustRightInd/>
              <w:snapToGrid/>
              <w:spacing w:line="240" w:lineRule="atLeast"/>
              <w:rPr>
                <w:rFonts w:hint="eastAsia" w:ascii="黑体" w:hAnsi="黑体" w:eastAsia="黑体" w:cs="黑体"/>
                <w:i w:val="0"/>
                <w:iCs w:val="0"/>
                <w:color w:val="000000"/>
                <w:sz w:val="18"/>
                <w:szCs w:val="18"/>
                <w:u w:val="none"/>
              </w:rPr>
            </w:pPr>
          </w:p>
        </w:tc>
      </w:tr>
      <w:tr w14:paraId="02AB8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591"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37A8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4E74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6C73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6175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FEA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9E71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D43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C33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279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236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C6DF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4DCD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394"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63192D">
            <w:pPr>
              <w:jc w:val="center"/>
              <w:rPr>
                <w:rFonts w:hint="eastAsia" w:ascii="宋体" w:hAnsi="宋体" w:eastAsia="宋体" w:cs="宋体"/>
                <w:i w:val="0"/>
                <w:iCs w:val="0"/>
                <w:color w:val="000000"/>
                <w:sz w:val="18"/>
                <w:szCs w:val="18"/>
                <w:u w:val="none"/>
              </w:rPr>
            </w:pPr>
          </w:p>
        </w:tc>
        <w:tc>
          <w:tcPr>
            <w:tcW w:w="945" w:type="dxa"/>
            <w:gridSpan w:val="2"/>
            <w:vMerge w:val="restart"/>
            <w:tcBorders>
              <w:top w:val="single" w:color="000000" w:sz="4" w:space="0"/>
              <w:left w:val="single" w:color="000000" w:sz="4" w:space="0"/>
              <w:right w:val="single" w:color="000000" w:sz="4" w:space="0"/>
            </w:tcBorders>
            <w:shd w:val="clear" w:color="auto" w:fill="FFFFFF"/>
            <w:noWrap w:val="0"/>
            <w:vAlign w:val="center"/>
          </w:tcPr>
          <w:p w14:paraId="3726F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4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87D1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96C8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农田灌溉水池</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FAC6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BFEC8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8081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个</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517A1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ascii="宋体" w:hAnsi="宋体" w:eastAsia="宋体" w:cs="宋体"/>
                <w:i w:val="0"/>
                <w:iCs w:val="0"/>
                <w:color w:val="000000"/>
                <w:kern w:val="0"/>
                <w:sz w:val="18"/>
                <w:szCs w:val="18"/>
                <w:u w:val="none"/>
                <w:lang w:val="en-US" w:eastAsia="zh-CN" w:bidi="ar"/>
              </w:rPr>
              <w:t>5</w:t>
            </w:r>
          </w:p>
        </w:tc>
        <w:tc>
          <w:tcPr>
            <w:tcW w:w="5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732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5174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7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B7383F">
            <w:pPr>
              <w:jc w:val="center"/>
              <w:rPr>
                <w:rFonts w:hint="eastAsia" w:ascii="微软雅黑" w:hAnsi="微软雅黑" w:eastAsia="微软雅黑" w:cs="微软雅黑"/>
                <w:i/>
                <w:iCs/>
                <w:color w:val="000000"/>
                <w:sz w:val="16"/>
                <w:szCs w:val="16"/>
                <w:u w:val="none"/>
              </w:rPr>
            </w:pPr>
          </w:p>
        </w:tc>
      </w:tr>
      <w:tr w14:paraId="653E1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621621">
            <w:pPr>
              <w:jc w:val="center"/>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noWrap w:val="0"/>
            <w:vAlign w:val="center"/>
          </w:tcPr>
          <w:p w14:paraId="7571762B">
            <w:pPr>
              <w:jc w:val="center"/>
              <w:rPr>
                <w:rFonts w:ascii="宋体" w:hAnsi="宋体" w:eastAsia="宋体" w:cs="宋体"/>
                <w:i w:val="0"/>
                <w:iCs w:val="0"/>
                <w:color w:val="000000"/>
                <w:kern w:val="0"/>
                <w:sz w:val="18"/>
                <w:szCs w:val="18"/>
                <w:u w:val="none"/>
                <w:lang w:val="en-US" w:eastAsia="zh-CN" w:bidi="ar"/>
              </w:rPr>
            </w:pPr>
          </w:p>
        </w:tc>
        <w:tc>
          <w:tcPr>
            <w:tcW w:w="847" w:type="dxa"/>
            <w:vMerge w:val="continue"/>
            <w:tcBorders>
              <w:left w:val="single" w:color="000000" w:sz="4" w:space="0"/>
              <w:right w:val="single" w:color="000000" w:sz="4" w:space="0"/>
            </w:tcBorders>
            <w:shd w:val="clear" w:color="auto" w:fill="FFFFFF"/>
            <w:noWrap w:val="0"/>
            <w:vAlign w:val="center"/>
          </w:tcPr>
          <w:p w14:paraId="30A9CE9C">
            <w:pPr>
              <w:jc w:val="center"/>
              <w:rPr>
                <w:rFonts w:ascii="宋体" w:hAnsi="宋体" w:eastAsia="宋体" w:cs="宋体"/>
                <w:i w:val="0"/>
                <w:iCs w:val="0"/>
                <w:color w:val="000000"/>
                <w:kern w:val="0"/>
                <w:sz w:val="18"/>
                <w:szCs w:val="18"/>
                <w:u w:val="none"/>
                <w:lang w:val="en-US" w:eastAsia="zh-CN" w:bidi="ar"/>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88FC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产业道堡坎</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EC8CC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C92EA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2880</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A5E0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立方米</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EFA60A">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6"/>
                <w:szCs w:val="16"/>
                <w:u w:val="none"/>
                <w:lang w:val="en-US" w:eastAsia="zh-CN" w:bidi="ar"/>
              </w:rPr>
            </w:pPr>
            <w:r>
              <w:rPr>
                <w:rFonts w:ascii="宋体" w:hAnsi="宋体" w:eastAsia="宋体" w:cs="宋体"/>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en-US" w:eastAsia="zh-CN" w:bidi="ar"/>
              </w:rPr>
              <w:t>82</w:t>
            </w:r>
            <w:r>
              <w:rPr>
                <w:rFonts w:ascii="宋体" w:hAnsi="宋体" w:eastAsia="宋体" w:cs="宋体"/>
                <w:i w:val="0"/>
                <w:iCs w:val="0"/>
                <w:color w:val="000000"/>
                <w:kern w:val="0"/>
                <w:sz w:val="18"/>
                <w:szCs w:val="18"/>
                <w:u w:val="none"/>
                <w:lang w:val="en-US" w:eastAsia="zh-CN" w:bidi="ar"/>
              </w:rPr>
              <w:t>4.92</w:t>
            </w:r>
          </w:p>
        </w:tc>
        <w:tc>
          <w:tcPr>
            <w:tcW w:w="5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FC6ED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81AF0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4</w:t>
            </w:r>
          </w:p>
        </w:tc>
        <w:tc>
          <w:tcPr>
            <w:tcW w:w="7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35BEC2">
            <w:pPr>
              <w:jc w:val="center"/>
              <w:rPr>
                <w:rFonts w:hint="eastAsia" w:ascii="微软雅黑" w:hAnsi="微软雅黑" w:eastAsia="微软雅黑" w:cs="微软雅黑"/>
                <w:i/>
                <w:iCs/>
                <w:color w:val="000000"/>
                <w:sz w:val="16"/>
                <w:szCs w:val="16"/>
                <w:u w:val="none"/>
              </w:rPr>
            </w:pPr>
          </w:p>
        </w:tc>
      </w:tr>
      <w:tr w14:paraId="51013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44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8FCE37">
            <w:pPr>
              <w:jc w:val="center"/>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noWrap w:val="0"/>
            <w:vAlign w:val="center"/>
          </w:tcPr>
          <w:p w14:paraId="4D46149A">
            <w:pPr>
              <w:jc w:val="center"/>
              <w:rPr>
                <w:rFonts w:ascii="宋体" w:hAnsi="宋体" w:eastAsia="宋体" w:cs="宋体"/>
                <w:i w:val="0"/>
                <w:iCs w:val="0"/>
                <w:color w:val="000000"/>
                <w:kern w:val="0"/>
                <w:sz w:val="18"/>
                <w:szCs w:val="18"/>
                <w:u w:val="none"/>
                <w:lang w:val="en-US" w:eastAsia="zh-CN" w:bidi="ar"/>
              </w:rPr>
            </w:pPr>
          </w:p>
        </w:tc>
        <w:tc>
          <w:tcPr>
            <w:tcW w:w="847" w:type="dxa"/>
            <w:vMerge w:val="continue"/>
            <w:tcBorders>
              <w:left w:val="single" w:color="000000" w:sz="4" w:space="0"/>
              <w:right w:val="single" w:color="000000" w:sz="4" w:space="0"/>
            </w:tcBorders>
            <w:shd w:val="clear" w:color="auto" w:fill="FFFFFF"/>
            <w:noWrap w:val="0"/>
            <w:vAlign w:val="center"/>
          </w:tcPr>
          <w:p w14:paraId="5BFE101C">
            <w:pPr>
              <w:jc w:val="center"/>
              <w:rPr>
                <w:rFonts w:ascii="宋体" w:hAnsi="宋体" w:eastAsia="宋体" w:cs="宋体"/>
                <w:i w:val="0"/>
                <w:iCs w:val="0"/>
                <w:color w:val="000000"/>
                <w:kern w:val="0"/>
                <w:sz w:val="18"/>
                <w:szCs w:val="18"/>
                <w:u w:val="none"/>
                <w:lang w:val="en-US" w:eastAsia="zh-CN" w:bidi="ar"/>
              </w:rPr>
            </w:pP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A3A5D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防雹设施</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B5AFF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87DEB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F2BCC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台</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ED8ECD">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6"/>
                <w:szCs w:val="16"/>
                <w:u w:val="none"/>
                <w:lang w:val="en-US" w:eastAsia="zh-CN" w:bidi="ar"/>
              </w:rPr>
            </w:pPr>
            <w:r>
              <w:rPr>
                <w:rFonts w:ascii="宋体" w:hAnsi="宋体" w:eastAsia="宋体" w:cs="宋体"/>
                <w:i w:val="0"/>
                <w:iCs w:val="0"/>
                <w:color w:val="000000"/>
                <w:kern w:val="0"/>
                <w:sz w:val="18"/>
                <w:szCs w:val="18"/>
                <w:u w:val="none"/>
                <w:lang w:val="en-US" w:eastAsia="zh-CN" w:bidi="ar"/>
              </w:rPr>
              <w:t>2</w:t>
            </w:r>
          </w:p>
        </w:tc>
        <w:tc>
          <w:tcPr>
            <w:tcW w:w="5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0E2B7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E3885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7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EE60B4">
            <w:pPr>
              <w:jc w:val="center"/>
              <w:rPr>
                <w:rFonts w:hint="eastAsia" w:ascii="微软雅黑" w:hAnsi="微软雅黑" w:eastAsia="微软雅黑" w:cs="微软雅黑"/>
                <w:i/>
                <w:iCs/>
                <w:color w:val="000000"/>
                <w:sz w:val="16"/>
                <w:szCs w:val="16"/>
                <w:u w:val="none"/>
              </w:rPr>
            </w:pPr>
          </w:p>
        </w:tc>
      </w:tr>
      <w:tr w14:paraId="4F27B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0D3475">
            <w:pPr>
              <w:jc w:val="center"/>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noWrap w:val="0"/>
            <w:vAlign w:val="center"/>
          </w:tcPr>
          <w:p w14:paraId="618400CA">
            <w:pPr>
              <w:jc w:val="center"/>
              <w:rPr>
                <w:rFonts w:hint="eastAsia" w:ascii="宋体" w:hAnsi="宋体" w:eastAsia="宋体" w:cs="宋体"/>
                <w:i w:val="0"/>
                <w:iCs w:val="0"/>
                <w:color w:val="000000"/>
                <w:sz w:val="18"/>
                <w:szCs w:val="18"/>
                <w:u w:val="none"/>
              </w:rPr>
            </w:pPr>
          </w:p>
        </w:tc>
        <w:tc>
          <w:tcPr>
            <w:tcW w:w="84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229002">
            <w:pPr>
              <w:jc w:val="center"/>
              <w:rPr>
                <w:rFonts w:hint="eastAsia" w:ascii="宋体" w:hAnsi="宋体" w:eastAsia="宋体" w:cs="宋体"/>
                <w:i w:val="0"/>
                <w:iCs w:val="0"/>
                <w:color w:val="000000"/>
                <w:sz w:val="18"/>
                <w:szCs w:val="18"/>
                <w:u w:val="none"/>
              </w:rPr>
            </w:pP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0120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产业道路硬化</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9F3B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5C20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2330</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871A4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立方米</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531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2273.73</w:t>
            </w:r>
          </w:p>
        </w:tc>
        <w:tc>
          <w:tcPr>
            <w:tcW w:w="5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3827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32A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7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6166EB">
            <w:pPr>
              <w:jc w:val="center"/>
              <w:rPr>
                <w:rFonts w:hint="eastAsia" w:ascii="宋体" w:hAnsi="宋体" w:eastAsia="宋体" w:cs="宋体"/>
                <w:i w:val="0"/>
                <w:iCs w:val="0"/>
                <w:color w:val="000000"/>
                <w:sz w:val="18"/>
                <w:szCs w:val="18"/>
                <w:u w:val="none"/>
              </w:rPr>
            </w:pPr>
          </w:p>
        </w:tc>
      </w:tr>
      <w:tr w14:paraId="0EADA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90"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B0C802">
            <w:pPr>
              <w:jc w:val="center"/>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noWrap w:val="0"/>
            <w:vAlign w:val="center"/>
          </w:tcPr>
          <w:p w14:paraId="405F8040">
            <w:pPr>
              <w:jc w:val="center"/>
              <w:rPr>
                <w:rFonts w:hint="eastAsia" w:ascii="宋体" w:hAnsi="宋体" w:eastAsia="宋体" w:cs="宋体"/>
                <w:i w:val="0"/>
                <w:iCs w:val="0"/>
                <w:color w:val="000000"/>
                <w:sz w:val="18"/>
                <w:szCs w:val="18"/>
                <w:u w:val="none"/>
              </w:rPr>
            </w:pPr>
          </w:p>
        </w:tc>
        <w:tc>
          <w:tcPr>
            <w:tcW w:w="847"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45822155">
            <w:pPr>
              <w:jc w:val="center"/>
              <w:rPr>
                <w:rFonts w:ascii="宋体" w:hAnsi="宋体" w:eastAsia="宋体" w:cs="宋体"/>
                <w:i w:val="0"/>
                <w:iCs w:val="0"/>
                <w:color w:val="000000"/>
                <w:sz w:val="18"/>
                <w:szCs w:val="18"/>
                <w:u w:val="none"/>
              </w:rPr>
            </w:pP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C194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农田灌溉管道</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92E8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D09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23.1</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F744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公里</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C5CC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23.1</w:t>
            </w:r>
          </w:p>
        </w:tc>
        <w:tc>
          <w:tcPr>
            <w:tcW w:w="5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203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D95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7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DED15E">
            <w:pPr>
              <w:jc w:val="center"/>
              <w:rPr>
                <w:rFonts w:hint="eastAsia" w:ascii="宋体" w:hAnsi="宋体" w:eastAsia="宋体" w:cs="宋体"/>
                <w:i w:val="0"/>
                <w:iCs w:val="0"/>
                <w:color w:val="000000"/>
                <w:sz w:val="18"/>
                <w:szCs w:val="18"/>
                <w:u w:val="none"/>
              </w:rPr>
            </w:pPr>
          </w:p>
        </w:tc>
      </w:tr>
      <w:tr w14:paraId="538C2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23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483607">
            <w:pPr>
              <w:jc w:val="center"/>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bottom w:val="single" w:color="000000" w:sz="4" w:space="0"/>
              <w:right w:val="single" w:color="000000" w:sz="4" w:space="0"/>
            </w:tcBorders>
            <w:shd w:val="clear" w:color="auto" w:fill="FFFFFF"/>
            <w:noWrap w:val="0"/>
            <w:vAlign w:val="center"/>
          </w:tcPr>
          <w:p w14:paraId="732D3421">
            <w:pPr>
              <w:jc w:val="center"/>
              <w:rPr>
                <w:rFonts w:hint="eastAsia" w:ascii="宋体" w:hAnsi="宋体" w:eastAsia="宋体" w:cs="宋体"/>
                <w:i w:val="0"/>
                <w:iCs w:val="0"/>
                <w:color w:val="000000"/>
                <w:sz w:val="18"/>
                <w:szCs w:val="18"/>
                <w:u w:val="none"/>
              </w:rPr>
            </w:pPr>
          </w:p>
        </w:tc>
        <w:tc>
          <w:tcPr>
            <w:tcW w:w="847" w:type="dxa"/>
            <w:tcBorders>
              <w:top w:val="single" w:color="000000" w:sz="4" w:space="0"/>
              <w:left w:val="single" w:color="000000" w:sz="4" w:space="0"/>
              <w:bottom w:val="nil"/>
              <w:right w:val="single" w:color="000000" w:sz="4" w:space="0"/>
            </w:tcBorders>
            <w:shd w:val="clear" w:color="auto" w:fill="FFFFFF"/>
            <w:noWrap w:val="0"/>
            <w:vAlign w:val="center"/>
          </w:tcPr>
          <w:p w14:paraId="6A572B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543A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按照实施方案质量要求完成建设</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B837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5E5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7FFE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5F9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8B55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E558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618915">
            <w:pPr>
              <w:jc w:val="center"/>
              <w:rPr>
                <w:rFonts w:hint="eastAsia" w:ascii="宋体" w:hAnsi="宋体" w:eastAsia="宋体" w:cs="宋体"/>
                <w:i w:val="0"/>
                <w:iCs w:val="0"/>
                <w:color w:val="000000"/>
                <w:sz w:val="18"/>
                <w:szCs w:val="18"/>
                <w:u w:val="none"/>
              </w:rPr>
            </w:pPr>
          </w:p>
        </w:tc>
      </w:tr>
      <w:tr w14:paraId="65A95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547"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E4C385">
            <w:pPr>
              <w:jc w:val="center"/>
              <w:rPr>
                <w:rFonts w:hint="eastAsia" w:ascii="宋体" w:hAnsi="宋体" w:eastAsia="宋体" w:cs="宋体"/>
                <w:i w:val="0"/>
                <w:iCs w:val="0"/>
                <w:color w:val="000000"/>
                <w:sz w:val="18"/>
                <w:szCs w:val="18"/>
                <w:u w:val="none"/>
              </w:rPr>
            </w:pPr>
          </w:p>
        </w:tc>
        <w:tc>
          <w:tcPr>
            <w:tcW w:w="94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AC028E">
            <w:pPr>
              <w:jc w:val="center"/>
              <w:rPr>
                <w:rFonts w:hint="default" w:ascii="宋体" w:hAnsi="宋体" w:eastAsia="宋体" w:cs="宋体"/>
                <w:i w:val="0"/>
                <w:iCs w:val="0"/>
                <w:color w:val="000000"/>
                <w:sz w:val="18"/>
                <w:szCs w:val="18"/>
                <w:u w:val="none"/>
                <w:lang w:val="en-US" w:eastAsia="zh-CN"/>
              </w:rPr>
            </w:pP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D410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B15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完成及时率</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A626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8506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F93A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BDF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8A4C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ACBC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415D25">
            <w:pPr>
              <w:jc w:val="center"/>
              <w:rPr>
                <w:rFonts w:hint="eastAsia" w:ascii="宋体" w:hAnsi="宋体" w:eastAsia="宋体" w:cs="宋体"/>
                <w:i w:val="0"/>
                <w:iCs w:val="0"/>
                <w:color w:val="000000"/>
                <w:sz w:val="18"/>
                <w:szCs w:val="18"/>
                <w:u w:val="none"/>
              </w:rPr>
            </w:pPr>
          </w:p>
        </w:tc>
      </w:tr>
      <w:tr w14:paraId="00254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699"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FAB6D4">
            <w:pPr>
              <w:jc w:val="center"/>
              <w:rPr>
                <w:rFonts w:hint="eastAsia" w:ascii="宋体" w:hAnsi="宋体" w:eastAsia="宋体" w:cs="宋体"/>
                <w:i w:val="0"/>
                <w:iCs w:val="0"/>
                <w:color w:val="000000"/>
                <w:sz w:val="18"/>
                <w:szCs w:val="18"/>
                <w:u w:val="none"/>
              </w:rPr>
            </w:pPr>
          </w:p>
        </w:tc>
        <w:tc>
          <w:tcPr>
            <w:tcW w:w="945" w:type="dxa"/>
            <w:gridSpan w:val="2"/>
            <w:vMerge w:val="restart"/>
            <w:tcBorders>
              <w:top w:val="single" w:color="000000" w:sz="4" w:space="0"/>
              <w:left w:val="single" w:color="000000" w:sz="4" w:space="0"/>
              <w:right w:val="single" w:color="000000" w:sz="4" w:space="0"/>
            </w:tcBorders>
            <w:shd w:val="clear" w:color="auto" w:fill="FFFFFF"/>
            <w:noWrap w:val="0"/>
            <w:vAlign w:val="center"/>
          </w:tcPr>
          <w:p w14:paraId="6F86DC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AE05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58A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增加受益农户经济收入</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0ACC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183A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BA8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6D2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w:t>
            </w:r>
          </w:p>
        </w:tc>
        <w:tc>
          <w:tcPr>
            <w:tcW w:w="5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DFF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708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BBD00F">
            <w:pPr>
              <w:jc w:val="center"/>
              <w:rPr>
                <w:rFonts w:hint="eastAsia" w:ascii="宋体" w:hAnsi="宋体" w:eastAsia="宋体" w:cs="宋体"/>
                <w:i w:val="0"/>
                <w:iCs w:val="0"/>
                <w:color w:val="000000"/>
                <w:sz w:val="18"/>
                <w:szCs w:val="18"/>
                <w:u w:val="none"/>
              </w:rPr>
            </w:pPr>
          </w:p>
        </w:tc>
      </w:tr>
      <w:tr w14:paraId="52A75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314"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C8E596">
            <w:pPr>
              <w:jc w:val="center"/>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bottom w:val="single" w:color="000000" w:sz="4" w:space="0"/>
              <w:right w:val="single" w:color="000000" w:sz="4" w:space="0"/>
            </w:tcBorders>
            <w:shd w:val="clear" w:color="auto" w:fill="FFFFFF"/>
            <w:noWrap w:val="0"/>
            <w:vAlign w:val="center"/>
          </w:tcPr>
          <w:p w14:paraId="2658526B">
            <w:pPr>
              <w:jc w:val="center"/>
              <w:rPr>
                <w:rFonts w:hint="eastAsia" w:ascii="宋体" w:hAnsi="宋体" w:eastAsia="宋体" w:cs="宋体"/>
                <w:i w:val="0"/>
                <w:iCs w:val="0"/>
                <w:color w:val="000000"/>
                <w:sz w:val="18"/>
                <w:szCs w:val="18"/>
                <w:u w:val="none"/>
              </w:rPr>
            </w:pP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6E8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B2AF3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使用年限</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526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9125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5432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B3F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8F41C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10</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50D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A6ADEF">
            <w:pPr>
              <w:jc w:val="center"/>
              <w:rPr>
                <w:rFonts w:hint="eastAsia" w:ascii="宋体" w:hAnsi="宋体" w:eastAsia="宋体" w:cs="宋体"/>
                <w:i w:val="0"/>
                <w:iCs w:val="0"/>
                <w:color w:val="000000"/>
                <w:sz w:val="18"/>
                <w:szCs w:val="18"/>
                <w:u w:val="none"/>
              </w:rPr>
            </w:pPr>
          </w:p>
        </w:tc>
      </w:tr>
      <w:tr w14:paraId="32FB3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340"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78EAA8">
            <w:pPr>
              <w:jc w:val="center"/>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F8C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BE8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421E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农户、受益群众对该项目的满意度</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F55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346E77">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95</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A4B6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3C7E1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FFA6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277E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45963B">
            <w:pPr>
              <w:jc w:val="center"/>
              <w:rPr>
                <w:rFonts w:hint="eastAsia" w:ascii="宋体" w:hAnsi="宋体" w:eastAsia="宋体" w:cs="宋体"/>
                <w:i w:val="0"/>
                <w:iCs w:val="0"/>
                <w:color w:val="000000"/>
                <w:sz w:val="18"/>
                <w:szCs w:val="18"/>
                <w:u w:val="none"/>
              </w:rPr>
            </w:pPr>
          </w:p>
        </w:tc>
      </w:tr>
      <w:tr w14:paraId="0D22C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152"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A2FB7F">
            <w:pPr>
              <w:jc w:val="center"/>
              <w:rPr>
                <w:rFonts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F154E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成本指标</w:t>
            </w:r>
          </w:p>
        </w:tc>
        <w:tc>
          <w:tcPr>
            <w:tcW w:w="8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0BE19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B94CA8">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下达资金</w:t>
            </w:r>
          </w:p>
        </w:tc>
        <w:tc>
          <w:tcPr>
            <w:tcW w:w="10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3C683C">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A03142">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398</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BCCAD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万元</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2C5878">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372.49</w:t>
            </w:r>
          </w:p>
        </w:tc>
        <w:tc>
          <w:tcPr>
            <w:tcW w:w="5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D730F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20</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B0D787">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19</w:t>
            </w:r>
          </w:p>
        </w:tc>
        <w:tc>
          <w:tcPr>
            <w:tcW w:w="7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E82FA5">
            <w:pPr>
              <w:jc w:val="center"/>
              <w:rPr>
                <w:rFonts w:hint="eastAsia" w:hAnsi="宋体" w:cs="宋体"/>
                <w:i w:val="0"/>
                <w:iCs w:val="0"/>
                <w:color w:val="000000"/>
                <w:sz w:val="18"/>
                <w:szCs w:val="18"/>
                <w:u w:val="none"/>
                <w:lang w:val="en-US" w:eastAsia="zh-CN"/>
              </w:rPr>
            </w:pPr>
          </w:p>
        </w:tc>
      </w:tr>
      <w:tr w14:paraId="1A1FD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401" w:hRule="atLeast"/>
          <w:jc w:val="center"/>
        </w:trPr>
        <w:tc>
          <w:tcPr>
            <w:tcW w:w="7741"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926F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3CC25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ascii="宋体" w:hAnsi="宋体" w:eastAsia="宋体" w:cs="宋体"/>
                <w:i w:val="0"/>
                <w:iCs w:val="0"/>
                <w:color w:val="000000"/>
                <w:kern w:val="0"/>
                <w:sz w:val="18"/>
                <w:szCs w:val="18"/>
                <w:u w:val="none"/>
                <w:lang w:val="en-US" w:eastAsia="zh-CN" w:bidi="ar"/>
              </w:rPr>
              <w:t>100</w:t>
            </w: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9DA2D1">
            <w:pPr>
              <w:keepNext w:val="0"/>
              <w:keepLines w:val="0"/>
              <w:widowControl/>
              <w:suppressLineNumbers w:val="0"/>
              <w:jc w:val="center"/>
              <w:textAlignment w:val="center"/>
              <w:rPr>
                <w:rFonts w:hint="default"/>
                <w:lang w:val="en-US"/>
              </w:rPr>
            </w:pPr>
            <w:r>
              <w:rPr>
                <w:rFonts w:hint="eastAsia" w:ascii="宋体" w:hAnsi="宋体" w:eastAsia="宋体" w:cs="宋体"/>
                <w:i w:val="0"/>
                <w:iCs w:val="0"/>
                <w:color w:val="000000"/>
                <w:kern w:val="0"/>
                <w:sz w:val="18"/>
                <w:szCs w:val="18"/>
                <w:u w:val="none"/>
                <w:lang w:val="en-US" w:eastAsia="zh-CN" w:bidi="ar"/>
              </w:rPr>
              <w:t>89</w:t>
            </w:r>
          </w:p>
        </w:tc>
        <w:tc>
          <w:tcPr>
            <w:tcW w:w="7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780539"/>
        </w:tc>
      </w:tr>
      <w:tr w14:paraId="7F0F7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411" w:hRule="atLeast"/>
          <w:jc w:val="center"/>
        </w:trPr>
        <w:tc>
          <w:tcPr>
            <w:tcW w:w="1092"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758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493"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207F21">
            <w:pPr>
              <w:keepNext w:val="0"/>
              <w:keepLines w:val="0"/>
              <w:widowControl/>
              <w:suppressLineNumbers w:val="0"/>
              <w:jc w:val="left"/>
              <w:textAlignment w:val="center"/>
              <w:rPr>
                <w:rFonts w:hint="eastAsia" w:ascii="微软雅黑" w:hAnsi="微软雅黑" w:eastAsia="宋体" w:cs="微软雅黑"/>
                <w:i w:val="0"/>
                <w:iCs w:val="0"/>
                <w:color w:val="000000"/>
                <w:sz w:val="16"/>
                <w:szCs w:val="16"/>
                <w:u w:val="none"/>
                <w:lang w:val="en-US" w:eastAsia="zh-CN"/>
              </w:rPr>
            </w:pPr>
            <w:r>
              <w:rPr>
                <w:rFonts w:ascii="宋体" w:hAnsi="宋体" w:eastAsia="宋体" w:cs="宋体"/>
                <w:i w:val="0"/>
                <w:iCs w:val="0"/>
                <w:color w:val="000000"/>
                <w:kern w:val="0"/>
                <w:sz w:val="18"/>
                <w:szCs w:val="18"/>
                <w:u w:val="none"/>
                <w:lang w:val="en-US" w:eastAsia="zh-CN" w:bidi="ar"/>
              </w:rPr>
              <w:t>绩效自评总体良好，评价得分</w:t>
            </w:r>
            <w:r>
              <w:rPr>
                <w:rFonts w:hint="eastAsia" w:ascii="宋体" w:hAnsi="宋体" w:eastAsia="宋体" w:cs="宋体"/>
                <w:i w:val="0"/>
                <w:iCs w:val="0"/>
                <w:color w:val="000000"/>
                <w:kern w:val="0"/>
                <w:sz w:val="18"/>
                <w:szCs w:val="18"/>
                <w:u w:val="none"/>
                <w:lang w:val="en-US" w:eastAsia="zh-CN" w:bidi="ar"/>
              </w:rPr>
              <w:t>89</w:t>
            </w:r>
            <w:r>
              <w:rPr>
                <w:rFonts w:ascii="宋体" w:hAnsi="宋体" w:eastAsia="宋体" w:cs="宋体"/>
                <w:i w:val="0"/>
                <w:iCs w:val="0"/>
                <w:color w:val="000000"/>
                <w:kern w:val="0"/>
                <w:sz w:val="18"/>
                <w:szCs w:val="18"/>
                <w:u w:val="none"/>
                <w:lang w:val="en-US" w:eastAsia="zh-CN" w:bidi="ar"/>
              </w:rPr>
              <w:t>分，项目实施均按照时间节点完成</w:t>
            </w:r>
            <w:r>
              <w:rPr>
                <w:rFonts w:hint="eastAsia" w:ascii="宋体" w:hAnsi="宋体" w:eastAsia="宋体" w:cs="宋体"/>
                <w:i w:val="0"/>
                <w:iCs w:val="0"/>
                <w:color w:val="000000"/>
                <w:kern w:val="0"/>
                <w:sz w:val="18"/>
                <w:szCs w:val="18"/>
                <w:u w:val="none"/>
                <w:lang w:val="en-US" w:eastAsia="zh-CN" w:bidi="ar"/>
              </w:rPr>
              <w:t>。</w:t>
            </w:r>
          </w:p>
        </w:tc>
      </w:tr>
      <w:tr w14:paraId="11446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8" w:type="dxa"/>
            <w:bottom w:w="0" w:type="dxa"/>
            <w:right w:w="108" w:type="dxa"/>
          </w:tblCellMar>
        </w:tblPrEx>
        <w:trPr>
          <w:cantSplit/>
          <w:trHeight w:val="368" w:hRule="atLeast"/>
          <w:jc w:val="center"/>
        </w:trPr>
        <w:tc>
          <w:tcPr>
            <w:tcW w:w="1092"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5E31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493"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FA4F2C">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宋体" w:hAnsi="宋体" w:eastAsia="宋体" w:cs="宋体"/>
                <w:i w:val="0"/>
                <w:iCs w:val="0"/>
                <w:color w:val="000000"/>
                <w:kern w:val="0"/>
                <w:sz w:val="18"/>
                <w:szCs w:val="18"/>
                <w:u w:val="none"/>
                <w:lang w:val="en-US" w:eastAsia="zh-CN" w:bidi="ar"/>
              </w:rPr>
              <w:t>无</w:t>
            </w:r>
          </w:p>
        </w:tc>
      </w:tr>
      <w:tr w14:paraId="1A0EE38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FFFFFF"/>
          <w:tblCellMar>
            <w:top w:w="0" w:type="dxa"/>
            <w:left w:w="108" w:type="dxa"/>
            <w:bottom w:w="0" w:type="dxa"/>
            <w:right w:w="108" w:type="dxa"/>
          </w:tblCellMar>
        </w:tblPrEx>
        <w:trPr>
          <w:cantSplit/>
          <w:trHeight w:val="368" w:hRule="atLeast"/>
          <w:jc w:val="center"/>
        </w:trPr>
        <w:tc>
          <w:tcPr>
            <w:tcW w:w="1092"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BADF8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改进措施</w:t>
            </w:r>
          </w:p>
        </w:tc>
        <w:tc>
          <w:tcPr>
            <w:tcW w:w="8493"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75C5D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无</w:t>
            </w:r>
          </w:p>
        </w:tc>
      </w:tr>
    </w:tbl>
    <w:p w14:paraId="6510C3EC">
      <w:pPr>
        <w:pStyle w:val="2"/>
        <w:rPr>
          <w:rFonts w:hint="eastAsia"/>
        </w:rPr>
      </w:pPr>
    </w:p>
    <w:p w14:paraId="79534470">
      <w:pPr>
        <w:pStyle w:val="3"/>
        <w:rPr>
          <w:rFonts w:hint="eastAsia"/>
        </w:rPr>
      </w:pPr>
    </w:p>
    <w:p w14:paraId="520A4766">
      <w:pPr>
        <w:pStyle w:val="2"/>
        <w:rPr>
          <w:rFonts w:hint="eastAsia"/>
        </w:rPr>
      </w:pPr>
    </w:p>
    <w:tbl>
      <w:tblPr>
        <w:tblStyle w:val="17"/>
        <w:tblW w:w="95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
      <w:tblGrid>
        <w:gridCol w:w="812"/>
        <w:gridCol w:w="239"/>
        <w:gridCol w:w="706"/>
        <w:gridCol w:w="1368"/>
        <w:gridCol w:w="1782"/>
        <w:gridCol w:w="689"/>
        <w:gridCol w:w="356"/>
        <w:gridCol w:w="76"/>
        <w:gridCol w:w="238"/>
        <w:gridCol w:w="777"/>
        <w:gridCol w:w="578"/>
        <w:gridCol w:w="569"/>
        <w:gridCol w:w="485"/>
        <w:gridCol w:w="910"/>
      </w:tblGrid>
      <w:tr w14:paraId="3A2AF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3" w:hRule="atLeast"/>
          <w:jc w:val="center"/>
        </w:trPr>
        <w:tc>
          <w:tcPr>
            <w:tcW w:w="9585" w:type="dxa"/>
            <w:gridSpan w:val="1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4E658C">
            <w:pPr>
              <w:keepNext w:val="0"/>
              <w:keepLines w:val="0"/>
              <w:pageBreakBefore w:val="0"/>
              <w:widowControl w:val="0"/>
              <w:numPr>
                <w:ilvl w:val="0"/>
                <w:numId w:val="0"/>
              </w:numPr>
              <w:kinsoku/>
              <w:wordWrap/>
              <w:overflowPunct/>
              <w:topLinePunct w:val="0"/>
              <w:autoSpaceDE/>
              <w:autoSpaceDN/>
              <w:bidi w:val="0"/>
              <w:snapToGrid w:val="0"/>
              <w:spacing w:before="0" w:beforeAutospacing="0" w:after="0" w:afterAutospacing="0" w:line="560" w:lineRule="exact"/>
              <w:ind w:right="0" w:rightChars="0"/>
              <w:jc w:val="center"/>
              <w:rPr>
                <w:rFonts w:ascii="黑体" w:hAnsi="宋体" w:eastAsia="黑体" w:cs="黑体"/>
                <w:b/>
                <w:bCs/>
                <w:i w:val="0"/>
                <w:iCs w:val="0"/>
                <w:color w:val="000000"/>
                <w:sz w:val="30"/>
                <w:szCs w:val="30"/>
                <w:u w:val="none"/>
              </w:rPr>
            </w:pPr>
            <w:r>
              <w:rPr>
                <w:rFonts w:hint="eastAsia" w:ascii="Times New Roman" w:hAnsi="Times New Roman" w:eastAsia="仿宋_GB2312" w:cs="Times New Roman"/>
                <w:b/>
                <w:bCs/>
                <w:color w:val="000000"/>
                <w:kern w:val="0"/>
                <w:sz w:val="32"/>
                <w:szCs w:val="32"/>
                <w:shd w:val="clear" w:color="auto" w:fill="FFFFFF"/>
                <w:lang w:val="en-US" w:eastAsia="zh-CN"/>
              </w:rPr>
              <w:t>茂县粮经复合现代农业园区省星级奖补项目支出绩效自评表</w:t>
            </w:r>
          </w:p>
        </w:tc>
      </w:tr>
      <w:tr w14:paraId="779B4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13"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9ED04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828" w:type="dxa"/>
            <w:gridSpan w:val="11"/>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EE55F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t>茂县粮经复合现代农业园区省星级奖补项目</w:t>
            </w:r>
          </w:p>
        </w:tc>
      </w:tr>
      <w:tr w14:paraId="52E65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DD807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95"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33F73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茂县科学技术和农业畜牧局</w:t>
            </w:r>
          </w:p>
        </w:tc>
        <w:tc>
          <w:tcPr>
            <w:tcW w:w="1091" w:type="dxa"/>
            <w:gridSpan w:val="3"/>
            <w:tcBorders>
              <w:top w:val="nil"/>
              <w:left w:val="nil"/>
              <w:bottom w:val="nil"/>
              <w:right w:val="nil"/>
            </w:tcBorders>
            <w:shd w:val="clear" w:color="auto" w:fill="FFFFFF" w:themeFill="background1"/>
            <w:vAlign w:val="center"/>
          </w:tcPr>
          <w:p w14:paraId="27D4DC0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黑体" w:hAnsi="黑体" w:eastAsia="黑体" w:cs="黑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实施单位 </w:t>
            </w:r>
          </w:p>
        </w:tc>
        <w:tc>
          <w:tcPr>
            <w:tcW w:w="2542"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CC129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茂县赤不苏镇人民政府</w:t>
            </w:r>
          </w:p>
        </w:tc>
      </w:tr>
      <w:tr w14:paraId="0A84A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41"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1CA2E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4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9EB63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项目年度目标完成情况</w:t>
            </w:r>
          </w:p>
        </w:tc>
        <w:tc>
          <w:tcPr>
            <w:tcW w:w="4195"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5E00D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633" w:type="dxa"/>
            <w:gridSpan w:val="7"/>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BBF415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黑体" w:hAnsi="黑体" w:eastAsia="黑体" w:cs="黑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4EF30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C5A04D">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F00C1F">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4195"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8E9B7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建设基础设施宜机化道路、灌溉沟渠、绿色防控设施等；实施农产品质量安全追溯系统、展会活动补助；开展新品种推广、人才培训、无人机飞防技术应</w:t>
            </w:r>
            <w:r>
              <w:rPr>
                <w:rFonts w:hint="eastAsia" w:ascii="宋体" w:hAnsi="宋体" w:eastAsia="宋体" w:cs="宋体"/>
                <w:i w:val="0"/>
                <w:iCs w:val="0"/>
                <w:color w:val="000000"/>
                <w:kern w:val="0"/>
                <w:sz w:val="18"/>
                <w:szCs w:val="18"/>
                <w:highlight w:val="none"/>
                <w:u w:val="none"/>
                <w:lang w:val="en-US" w:eastAsia="zh-CN" w:bidi="ar"/>
              </w:rPr>
              <w:t>用；促进农旅融合发展，民族文化</w:t>
            </w:r>
            <w:r>
              <w:rPr>
                <w:rFonts w:hint="eastAsia" w:ascii="宋体" w:hAnsi="宋体" w:eastAsia="宋体" w:cs="宋体"/>
                <w:i w:val="0"/>
                <w:iCs w:val="0"/>
                <w:color w:val="000000"/>
                <w:kern w:val="0"/>
                <w:sz w:val="18"/>
                <w:szCs w:val="18"/>
                <w:u w:val="none"/>
                <w:lang w:val="en-US" w:eastAsia="zh-CN" w:bidi="ar"/>
              </w:rPr>
              <w:t>活动场地改建，促进休闲农业发展。</w:t>
            </w:r>
          </w:p>
        </w:tc>
        <w:tc>
          <w:tcPr>
            <w:tcW w:w="3633" w:type="dxa"/>
            <w:gridSpan w:val="7"/>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64A33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建设了基础设施宜机化道路、灌溉沟渠、绿色防控设施等；实施了农产品质量安全追溯系统；开展了新品种推广、人才培训、无人机飞防技术应用。</w:t>
            </w:r>
          </w:p>
        </w:tc>
      </w:tr>
      <w:tr w14:paraId="0F222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5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6DFD6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E3695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项目实施内容及过程概述</w:t>
            </w:r>
          </w:p>
        </w:tc>
        <w:tc>
          <w:tcPr>
            <w:tcW w:w="7828" w:type="dxa"/>
            <w:gridSpan w:val="11"/>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2873E2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zh-CN" w:eastAsia="zh-CN" w:bidi="ar"/>
              </w:rPr>
              <w:t>该项目基础设施等建设部分由村民委员会通过“一事一议”方式实施，设备、培训服务等采购由县科农局进行采购后移交镇村，</w:t>
            </w:r>
            <w:r>
              <w:rPr>
                <w:rFonts w:hint="eastAsia" w:hAnsi="宋体" w:cs="宋体"/>
                <w:i w:val="0"/>
                <w:iCs w:val="0"/>
                <w:color w:val="000000"/>
                <w:kern w:val="0"/>
                <w:sz w:val="18"/>
                <w:szCs w:val="18"/>
                <w:u w:val="none"/>
                <w:lang w:val="en-US" w:eastAsia="zh-CN" w:bidi="ar"/>
              </w:rPr>
              <w:t>建设完成后，验收合格再拨付资金。</w:t>
            </w:r>
          </w:p>
        </w:tc>
      </w:tr>
      <w:tr w14:paraId="3387C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A028F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501EC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A4BD3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8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DE1A1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12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2F02C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B81CD7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w:t>
            </w:r>
          </w:p>
          <w:p w14:paraId="66A0A6D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行率</w:t>
            </w:r>
          </w:p>
        </w:tc>
        <w:tc>
          <w:tcPr>
            <w:tcW w:w="57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C3E6D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5AFD7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B6A9F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435C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0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117FA7">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98C1E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6C16F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0</w:t>
            </w:r>
          </w:p>
        </w:tc>
        <w:tc>
          <w:tcPr>
            <w:tcW w:w="178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7EB35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1000.00</w:t>
            </w:r>
          </w:p>
        </w:tc>
        <w:tc>
          <w:tcPr>
            <w:tcW w:w="112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68398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default" w:ascii="宋体" w:hAnsi="宋体" w:eastAsia="宋体" w:cs="宋体"/>
                <w:i w:val="0"/>
                <w:iCs w:val="0"/>
                <w:color w:val="000000"/>
                <w:sz w:val="18"/>
                <w:szCs w:val="18"/>
                <w:u w:val="none"/>
                <w:lang w:val="en-US" w:eastAsia="zh-CN"/>
              </w:rPr>
              <w:t>713.17</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A204C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71</w:t>
            </w:r>
            <w:r>
              <w:rPr>
                <w:rFonts w:ascii="宋体" w:hAnsi="宋体" w:eastAsia="宋体" w:cs="宋体"/>
                <w:i w:val="0"/>
                <w:iCs w:val="0"/>
                <w:color w:val="000000"/>
                <w:kern w:val="0"/>
                <w:sz w:val="18"/>
                <w:szCs w:val="18"/>
                <w:u w:val="none"/>
                <w:lang w:val="en-US" w:eastAsia="zh-CN" w:bidi="ar"/>
              </w:rPr>
              <w:t>%</w:t>
            </w:r>
          </w:p>
        </w:tc>
        <w:tc>
          <w:tcPr>
            <w:tcW w:w="57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18818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7</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EDFE2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7</w:t>
            </w:r>
          </w:p>
        </w:tc>
        <w:tc>
          <w:tcPr>
            <w:tcW w:w="910"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C76C0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黑体" w:hAnsi="黑体" w:eastAsia="黑体" w:cs="黑体"/>
                <w:i w:val="0"/>
                <w:iCs w:val="0"/>
                <w:color w:val="000000"/>
                <w:sz w:val="18"/>
                <w:szCs w:val="18"/>
                <w:u w:val="none"/>
              </w:rPr>
            </w:pPr>
          </w:p>
        </w:tc>
      </w:tr>
      <w:tr w14:paraId="7473F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FA00DF">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C25A7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D8A96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0</w:t>
            </w:r>
          </w:p>
        </w:tc>
        <w:tc>
          <w:tcPr>
            <w:tcW w:w="178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33CE3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1000.00</w:t>
            </w:r>
          </w:p>
        </w:tc>
        <w:tc>
          <w:tcPr>
            <w:tcW w:w="112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47D2D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default" w:ascii="宋体" w:hAnsi="宋体" w:eastAsia="宋体" w:cs="宋体"/>
                <w:i w:val="0"/>
                <w:iCs w:val="0"/>
                <w:color w:val="000000"/>
                <w:sz w:val="18"/>
                <w:szCs w:val="18"/>
                <w:u w:val="none"/>
                <w:lang w:val="en-US" w:eastAsia="zh-CN"/>
              </w:rPr>
              <w:t>713.17</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E5B18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71</w:t>
            </w:r>
            <w:r>
              <w:rPr>
                <w:rFonts w:ascii="宋体" w:hAnsi="宋体" w:eastAsia="宋体" w:cs="宋体"/>
                <w:i w:val="0"/>
                <w:iCs w:val="0"/>
                <w:color w:val="000000"/>
                <w:kern w:val="0"/>
                <w:sz w:val="18"/>
                <w:szCs w:val="18"/>
                <w:u w:val="none"/>
                <w:lang w:val="en-US" w:eastAsia="zh-CN" w:bidi="ar"/>
              </w:rPr>
              <w:t>%</w:t>
            </w:r>
          </w:p>
        </w:tc>
        <w:tc>
          <w:tcPr>
            <w:tcW w:w="57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D9395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3DF4E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1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31301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黑体" w:hAnsi="黑体" w:eastAsia="黑体" w:cs="黑体"/>
                <w:i w:val="0"/>
                <w:iCs w:val="0"/>
                <w:color w:val="000000"/>
                <w:sz w:val="18"/>
                <w:szCs w:val="18"/>
                <w:u w:val="none"/>
              </w:rPr>
            </w:pPr>
          </w:p>
        </w:tc>
      </w:tr>
      <w:tr w14:paraId="10410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BDF1FE">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BBB9C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58794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178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B25FA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112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0EA6A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DE3BC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57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E9B54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01A01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1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EFDD4A">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黑体" w:hAnsi="黑体" w:eastAsia="黑体" w:cs="黑体"/>
                <w:i w:val="0"/>
                <w:iCs w:val="0"/>
                <w:color w:val="000000"/>
                <w:sz w:val="18"/>
                <w:szCs w:val="18"/>
                <w:u w:val="none"/>
              </w:rPr>
            </w:pPr>
          </w:p>
        </w:tc>
      </w:tr>
      <w:tr w14:paraId="47336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088B77D">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5B6F0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2AD8A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178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480BF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112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E139A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0E783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57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F9CDC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41BD7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10"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58C597">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黑体" w:hAnsi="黑体" w:eastAsia="黑体" w:cs="黑体"/>
                <w:i w:val="0"/>
                <w:iCs w:val="0"/>
                <w:color w:val="000000"/>
                <w:sz w:val="18"/>
                <w:szCs w:val="18"/>
                <w:u w:val="none"/>
              </w:rPr>
            </w:pPr>
          </w:p>
        </w:tc>
      </w:tr>
      <w:tr w14:paraId="59EE7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1"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7E371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A5FB6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C9689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8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B1CCF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8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241BE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60B83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5E470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7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452E8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6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F1E49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A7899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3C4E1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1C85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4"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BA68EB">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restart"/>
            <w:tcBorders>
              <w:top w:val="single" w:color="000000" w:sz="4" w:space="0"/>
              <w:left w:val="single" w:color="000000" w:sz="4" w:space="0"/>
              <w:right w:val="single" w:color="000000" w:sz="4" w:space="0"/>
            </w:tcBorders>
            <w:shd w:val="clear" w:color="auto" w:fill="FFFFFF" w:themeFill="background1"/>
            <w:vAlign w:val="center"/>
          </w:tcPr>
          <w:p w14:paraId="5D04F49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68" w:type="dxa"/>
            <w:vMerge w:val="restart"/>
            <w:tcBorders>
              <w:top w:val="single" w:color="000000" w:sz="4" w:space="0"/>
              <w:left w:val="single" w:color="000000" w:sz="4" w:space="0"/>
              <w:right w:val="single" w:color="000000" w:sz="4" w:space="0"/>
            </w:tcBorders>
            <w:shd w:val="clear" w:color="auto" w:fill="FFFFFF" w:themeFill="background1"/>
            <w:vAlign w:val="center"/>
          </w:tcPr>
          <w:p w14:paraId="028576C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397F3">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default" w:asciiTheme="minorEastAsia" w:hAnsiTheme="minorEastAsia" w:eastAsiaTheme="minorEastAsia" w:cstheme="minorEastAsia"/>
                <w:b w:val="0"/>
                <w:bCs w:val="0"/>
                <w:i w:val="0"/>
                <w:iCs w:val="0"/>
                <w:color w:val="000000"/>
                <w:kern w:val="0"/>
                <w:sz w:val="18"/>
                <w:szCs w:val="18"/>
                <w:u w:val="none"/>
                <w:lang w:val="en-US" w:eastAsia="zh-CN" w:bidi="ar"/>
              </w:rPr>
              <w:t>产业基地建设</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3FF6D">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5FF805">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3D422">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项</w:t>
            </w:r>
          </w:p>
        </w:tc>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D8CF9">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1项</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0D90F">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15</w:t>
            </w:r>
          </w:p>
        </w:tc>
        <w:tc>
          <w:tcPr>
            <w:tcW w:w="4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416E6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8</w:t>
            </w:r>
          </w:p>
        </w:tc>
        <w:tc>
          <w:tcPr>
            <w:tcW w:w="9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96350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5"/>
                <w:szCs w:val="15"/>
                <w:u w:val="none"/>
                <w:lang w:eastAsia="zh-CN"/>
              </w:rPr>
            </w:pPr>
            <w:r>
              <w:rPr>
                <w:rFonts w:hint="eastAsia" w:ascii="宋体" w:hAnsi="宋体" w:eastAsia="宋体" w:cs="宋体"/>
                <w:i w:val="0"/>
                <w:iCs w:val="0"/>
                <w:color w:val="000000"/>
                <w:sz w:val="15"/>
                <w:szCs w:val="15"/>
                <w:u w:val="none"/>
                <w:lang w:eastAsia="zh-CN"/>
              </w:rPr>
              <w:t>部分设施因地质原因未能实施</w:t>
            </w:r>
          </w:p>
        </w:tc>
      </w:tr>
      <w:tr w14:paraId="1FD3B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F56C47">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42A8823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p>
        </w:tc>
        <w:tc>
          <w:tcPr>
            <w:tcW w:w="1368" w:type="dxa"/>
            <w:vMerge w:val="continue"/>
            <w:tcBorders>
              <w:left w:val="single" w:color="000000" w:sz="4" w:space="0"/>
              <w:right w:val="single" w:color="000000" w:sz="4" w:space="0"/>
            </w:tcBorders>
            <w:shd w:val="clear" w:color="auto" w:fill="FFFFFF" w:themeFill="background1"/>
            <w:vAlign w:val="center"/>
          </w:tcPr>
          <w:p w14:paraId="1D3F7C6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96ECE">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default" w:asciiTheme="minorEastAsia" w:hAnsiTheme="minorEastAsia" w:eastAsiaTheme="minorEastAsia" w:cstheme="minorEastAsia"/>
                <w:b w:val="0"/>
                <w:bCs w:val="0"/>
                <w:i w:val="0"/>
                <w:iCs w:val="0"/>
                <w:color w:val="000000"/>
                <w:kern w:val="0"/>
                <w:sz w:val="18"/>
                <w:szCs w:val="18"/>
                <w:u w:val="none"/>
                <w:lang w:val="en-US" w:eastAsia="zh-CN" w:bidi="ar"/>
              </w:rPr>
              <w:t>现代装备建设</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6ADE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C95CC4">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C175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项</w:t>
            </w:r>
          </w:p>
        </w:tc>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5A41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1项</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8671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15</w:t>
            </w:r>
          </w:p>
        </w:tc>
        <w:tc>
          <w:tcPr>
            <w:tcW w:w="4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A1322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15</w:t>
            </w:r>
          </w:p>
        </w:tc>
        <w:tc>
          <w:tcPr>
            <w:tcW w:w="9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83FB80">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5"/>
                <w:szCs w:val="15"/>
                <w:u w:val="none"/>
              </w:rPr>
            </w:pPr>
          </w:p>
        </w:tc>
      </w:tr>
      <w:tr w14:paraId="21FA3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B67FB2">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432E76C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p>
        </w:tc>
        <w:tc>
          <w:tcPr>
            <w:tcW w:w="1368" w:type="dxa"/>
            <w:vMerge w:val="continue"/>
            <w:tcBorders>
              <w:left w:val="single" w:color="000000" w:sz="4" w:space="0"/>
              <w:right w:val="single" w:color="000000" w:sz="4" w:space="0"/>
            </w:tcBorders>
            <w:shd w:val="clear" w:color="auto" w:fill="FFFFFF" w:themeFill="background1"/>
            <w:vAlign w:val="center"/>
          </w:tcPr>
          <w:p w14:paraId="6E4D4F3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B7889">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default" w:asciiTheme="minorEastAsia" w:hAnsiTheme="minorEastAsia" w:eastAsiaTheme="minorEastAsia" w:cstheme="minorEastAsia"/>
                <w:b w:val="0"/>
                <w:bCs w:val="0"/>
                <w:i w:val="0"/>
                <w:iCs w:val="0"/>
                <w:color w:val="000000"/>
                <w:kern w:val="0"/>
                <w:sz w:val="18"/>
                <w:szCs w:val="18"/>
                <w:u w:val="none"/>
                <w:lang w:val="en-US" w:eastAsia="zh-CN" w:bidi="ar"/>
              </w:rPr>
              <w:t>农业新业态</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3424E">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6F1DDA">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492F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项</w:t>
            </w:r>
          </w:p>
        </w:tc>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619F5">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1项</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8E04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10</w:t>
            </w:r>
          </w:p>
        </w:tc>
        <w:tc>
          <w:tcPr>
            <w:tcW w:w="4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3CB8B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10</w:t>
            </w:r>
          </w:p>
        </w:tc>
        <w:tc>
          <w:tcPr>
            <w:tcW w:w="9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A5AC01">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5"/>
                <w:szCs w:val="15"/>
                <w:u w:val="none"/>
              </w:rPr>
            </w:pPr>
          </w:p>
        </w:tc>
      </w:tr>
      <w:tr w14:paraId="7A064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6C1C12">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70334F4D">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368" w:type="dxa"/>
            <w:vMerge w:val="continue"/>
            <w:tcBorders>
              <w:left w:val="single" w:color="000000" w:sz="4" w:space="0"/>
              <w:right w:val="single" w:color="000000" w:sz="4" w:space="0"/>
            </w:tcBorders>
            <w:shd w:val="clear" w:color="auto" w:fill="FFFFFF" w:themeFill="background1"/>
            <w:vAlign w:val="center"/>
          </w:tcPr>
          <w:p w14:paraId="36C32E4A">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8ABE5">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default" w:asciiTheme="minorEastAsia" w:hAnsiTheme="minorEastAsia" w:eastAsiaTheme="minorEastAsia" w:cstheme="minorEastAsia"/>
                <w:b w:val="0"/>
                <w:bCs w:val="0"/>
                <w:i w:val="0"/>
                <w:iCs w:val="0"/>
                <w:color w:val="000000"/>
                <w:kern w:val="0"/>
                <w:sz w:val="18"/>
                <w:szCs w:val="18"/>
                <w:u w:val="none"/>
                <w:lang w:val="en-US" w:eastAsia="zh-CN" w:bidi="ar"/>
              </w:rPr>
              <w:t>质量品牌</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4741F">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18B96E">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567B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项</w:t>
            </w:r>
          </w:p>
        </w:tc>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5A768">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1项</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896B8">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15</w:t>
            </w:r>
          </w:p>
        </w:tc>
        <w:tc>
          <w:tcPr>
            <w:tcW w:w="4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B228B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7</w:t>
            </w:r>
          </w:p>
        </w:tc>
        <w:tc>
          <w:tcPr>
            <w:tcW w:w="910" w:type="dxa"/>
            <w:vMerge w:val="restart"/>
            <w:tcBorders>
              <w:top w:val="single" w:color="000000" w:sz="4" w:space="0"/>
              <w:left w:val="single" w:color="000000" w:sz="4" w:space="0"/>
              <w:right w:val="single" w:color="000000" w:sz="4" w:space="0"/>
            </w:tcBorders>
            <w:shd w:val="clear" w:color="auto" w:fill="FFFFFF" w:themeFill="background1"/>
            <w:vAlign w:val="center"/>
          </w:tcPr>
          <w:p w14:paraId="60A7D27F">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5"/>
                <w:szCs w:val="15"/>
                <w:u w:val="none"/>
                <w:lang w:eastAsia="zh-CN"/>
              </w:rPr>
            </w:pPr>
            <w:r>
              <w:rPr>
                <w:rFonts w:hint="eastAsia" w:ascii="宋体" w:hAnsi="宋体" w:eastAsia="宋体" w:cs="宋体"/>
                <w:i w:val="0"/>
                <w:iCs w:val="0"/>
                <w:color w:val="000000"/>
                <w:sz w:val="15"/>
                <w:szCs w:val="15"/>
                <w:u w:val="none"/>
                <w:lang w:eastAsia="zh-CN"/>
              </w:rPr>
              <w:t>企业补助部分因其自身原因未实施</w:t>
            </w:r>
          </w:p>
        </w:tc>
      </w:tr>
      <w:tr w14:paraId="3834A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EBB2ED">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085A4849">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368" w:type="dxa"/>
            <w:vMerge w:val="continue"/>
            <w:tcBorders>
              <w:left w:val="single" w:color="000000" w:sz="4" w:space="0"/>
              <w:bottom w:val="nil"/>
              <w:right w:val="single" w:color="000000" w:sz="4" w:space="0"/>
            </w:tcBorders>
            <w:shd w:val="clear" w:color="auto" w:fill="FFFFFF" w:themeFill="background1"/>
            <w:vAlign w:val="center"/>
          </w:tcPr>
          <w:p w14:paraId="176787F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9FBF9">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default" w:asciiTheme="minorEastAsia" w:hAnsiTheme="minorEastAsia" w:eastAsiaTheme="minorEastAsia" w:cstheme="minorEastAsia"/>
                <w:b w:val="0"/>
                <w:bCs w:val="0"/>
                <w:i w:val="0"/>
                <w:iCs w:val="0"/>
                <w:color w:val="000000"/>
                <w:kern w:val="0"/>
                <w:sz w:val="18"/>
                <w:szCs w:val="18"/>
                <w:u w:val="none"/>
                <w:lang w:val="en-US" w:eastAsia="zh-CN" w:bidi="ar"/>
              </w:rPr>
              <w:t>科技创新</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D79E2">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6A659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03AF3">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项</w:t>
            </w:r>
          </w:p>
        </w:tc>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8DED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1项</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22F23">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15</w:t>
            </w:r>
          </w:p>
        </w:tc>
        <w:tc>
          <w:tcPr>
            <w:tcW w:w="4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042EC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910" w:type="dxa"/>
            <w:vMerge w:val="continue"/>
            <w:tcBorders>
              <w:left w:val="single" w:color="000000" w:sz="4" w:space="0"/>
              <w:bottom w:val="single" w:color="000000" w:sz="4" w:space="0"/>
              <w:right w:val="single" w:color="000000" w:sz="4" w:space="0"/>
            </w:tcBorders>
            <w:shd w:val="clear" w:color="auto" w:fill="FFFFFF" w:themeFill="background1"/>
            <w:vAlign w:val="center"/>
          </w:tcPr>
          <w:p w14:paraId="6EAEC2DD">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2C93C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55902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bottom w:val="single" w:color="000000" w:sz="4" w:space="0"/>
              <w:right w:val="single" w:color="000000" w:sz="4" w:space="0"/>
            </w:tcBorders>
            <w:shd w:val="clear" w:color="auto" w:fill="FFFFFF" w:themeFill="background1"/>
            <w:vAlign w:val="center"/>
          </w:tcPr>
          <w:p w14:paraId="4D5DB166">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368" w:type="dxa"/>
            <w:tcBorders>
              <w:top w:val="single" w:color="000000" w:sz="4" w:space="0"/>
              <w:left w:val="single" w:color="000000" w:sz="4" w:space="0"/>
              <w:bottom w:val="nil"/>
              <w:right w:val="single" w:color="000000" w:sz="4" w:space="0"/>
            </w:tcBorders>
            <w:shd w:val="clear" w:color="auto" w:fill="FFFFFF" w:themeFill="background1"/>
            <w:vAlign w:val="center"/>
          </w:tcPr>
          <w:p w14:paraId="5D014FD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51857">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2024年度</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C85F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B9D12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0068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年</w:t>
            </w:r>
          </w:p>
        </w:tc>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21270">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39DD5">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5</w:t>
            </w:r>
          </w:p>
        </w:tc>
        <w:tc>
          <w:tcPr>
            <w:tcW w:w="4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D121F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5</w:t>
            </w:r>
          </w:p>
        </w:tc>
        <w:tc>
          <w:tcPr>
            <w:tcW w:w="9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F8BF69">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635B5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0"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D37D78">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restart"/>
            <w:tcBorders>
              <w:top w:val="single" w:color="000000" w:sz="4" w:space="0"/>
              <w:left w:val="single" w:color="000000" w:sz="4" w:space="0"/>
              <w:right w:val="single" w:color="000000" w:sz="4" w:space="0"/>
            </w:tcBorders>
            <w:shd w:val="clear" w:color="auto" w:fill="FFFFFF" w:themeFill="background1"/>
            <w:vAlign w:val="center"/>
          </w:tcPr>
          <w:p w14:paraId="51414CDD">
            <w:pPr>
              <w:keepNext w:val="0"/>
              <w:keepLines w:val="0"/>
              <w:pageBreakBefore w:val="0"/>
              <w:widowControl w:val="0"/>
              <w:kinsoku/>
              <w:wordWrap/>
              <w:overflowPunct/>
              <w:topLinePunct w:val="0"/>
              <w:autoSpaceDE/>
              <w:autoSpaceDN/>
              <w:bidi w:val="0"/>
              <w:adjustRightInd/>
              <w:snapToGrid/>
              <w:spacing w:line="240" w:lineRule="atLeast"/>
              <w:jc w:val="both"/>
              <w:rPr>
                <w:rFonts w:hint="default" w:ascii="宋体" w:hAnsi="宋体" w:eastAsia="宋体" w:cs="宋体"/>
                <w:i w:val="0"/>
                <w:iCs w:val="0"/>
                <w:color w:val="000000"/>
                <w:sz w:val="18"/>
                <w:szCs w:val="18"/>
                <w:u w:val="none"/>
                <w:lang w:val="en-US" w:eastAsia="zh-CN"/>
              </w:rPr>
            </w:pPr>
            <w:r>
              <w:rPr>
                <w:rFonts w:hint="eastAsia" w:hAnsi="宋体" w:cs="宋体"/>
                <w:i w:val="0"/>
                <w:iCs w:val="0"/>
                <w:color w:val="000000"/>
                <w:sz w:val="18"/>
                <w:szCs w:val="18"/>
                <w:u w:val="none"/>
                <w:lang w:val="en-US" w:eastAsia="zh-CN"/>
              </w:rPr>
              <w:t>效益指标</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E3B5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right="0" w:rightChars="0"/>
              <w:jc w:val="both"/>
              <w:textAlignment w:val="auto"/>
              <w:outlineLvl w:val="9"/>
              <w:rPr>
                <w:rFonts w:hint="default" w:asciiTheme="minorEastAsia" w:hAnsiTheme="minorEastAsia" w:eastAsiaTheme="minorEastAsia" w:cstheme="minorEastAsia"/>
                <w:b w:val="0"/>
                <w:bCs w:val="0"/>
                <w:i w:val="0"/>
                <w:iCs w:val="0"/>
                <w:color w:val="000000"/>
                <w:kern w:val="0"/>
                <w:sz w:val="18"/>
                <w:szCs w:val="18"/>
                <w:u w:val="none"/>
                <w:lang w:val="en-US" w:eastAsia="zh-CN" w:bidi="ar"/>
              </w:rPr>
            </w:pPr>
            <w:r>
              <w:rPr>
                <w:rFonts w:hint="default" w:asciiTheme="minorEastAsia" w:hAnsiTheme="minorEastAsia" w:eastAsiaTheme="minorEastAsia" w:cstheme="minorEastAsia"/>
                <w:b w:val="0"/>
                <w:bCs w:val="0"/>
                <w:i w:val="0"/>
                <w:iCs w:val="0"/>
                <w:color w:val="000000"/>
                <w:kern w:val="0"/>
                <w:sz w:val="18"/>
                <w:szCs w:val="18"/>
                <w:u w:val="none"/>
                <w:lang w:val="en-US" w:eastAsia="zh-CN" w:bidi="ar"/>
              </w:rPr>
              <w:t>社会效益</w:t>
            </w:r>
          </w:p>
          <w:p w14:paraId="0996417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default" w:asciiTheme="minorEastAsia" w:hAnsiTheme="minorEastAsia" w:eastAsiaTheme="minorEastAsia" w:cstheme="minorEastAsia"/>
                <w:b w:val="0"/>
                <w:bCs w:val="0"/>
                <w:i w:val="0"/>
                <w:iCs w:val="0"/>
                <w:color w:val="000000"/>
                <w:kern w:val="0"/>
                <w:sz w:val="18"/>
                <w:szCs w:val="18"/>
                <w:u w:val="none"/>
                <w:lang w:val="en-US" w:eastAsia="zh-CN" w:bidi="ar"/>
              </w:rPr>
              <w:t>指标</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8B415">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default" w:asciiTheme="minorEastAsia" w:hAnsiTheme="minorEastAsia" w:eastAsiaTheme="minorEastAsia" w:cstheme="minorEastAsia"/>
                <w:b w:val="0"/>
                <w:bCs w:val="0"/>
                <w:i w:val="0"/>
                <w:iCs w:val="0"/>
                <w:color w:val="000000"/>
                <w:kern w:val="0"/>
                <w:sz w:val="18"/>
                <w:szCs w:val="18"/>
                <w:u w:val="none"/>
                <w:lang w:val="en-US" w:eastAsia="zh-CN" w:bidi="ar"/>
              </w:rPr>
              <w:t>通过项目建设，完善提升园区受益农户生产、生活条件</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6CFD0">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定性</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DEDFF9">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良好</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49075">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其他</w:t>
            </w:r>
          </w:p>
        </w:tc>
        <w:tc>
          <w:tcPr>
            <w:tcW w:w="57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AF4A78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0CADC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82DC4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B809C6">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72A7A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47"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1C96F8">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28EEC2AC">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E65E3">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default" w:asciiTheme="minorEastAsia" w:hAnsiTheme="minorEastAsia" w:eastAsiaTheme="minorEastAsia" w:cstheme="minorEastAsia"/>
                <w:b w:val="0"/>
                <w:bCs w:val="0"/>
                <w:i w:val="0"/>
                <w:iCs w:val="0"/>
                <w:color w:val="000000"/>
                <w:kern w:val="0"/>
                <w:sz w:val="18"/>
                <w:szCs w:val="18"/>
                <w:u w:val="none"/>
                <w:lang w:val="en-US" w:eastAsia="zh-CN" w:bidi="ar"/>
              </w:rPr>
              <w:t>可持续影响 指标</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885D7">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default" w:asciiTheme="minorEastAsia" w:hAnsiTheme="minorEastAsia" w:eastAsiaTheme="minorEastAsia" w:cstheme="minorEastAsia"/>
                <w:b w:val="0"/>
                <w:bCs w:val="0"/>
                <w:i w:val="0"/>
                <w:iCs w:val="0"/>
                <w:color w:val="000000"/>
                <w:kern w:val="0"/>
                <w:sz w:val="18"/>
                <w:szCs w:val="18"/>
                <w:u w:val="none"/>
                <w:lang w:val="en-US" w:eastAsia="zh-CN" w:bidi="ar"/>
              </w:rPr>
              <w:t>项目建设对农户生产影响</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8719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长期</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36AD82">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长期</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C3DA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其他</w:t>
            </w:r>
          </w:p>
        </w:tc>
        <w:tc>
          <w:tcPr>
            <w:tcW w:w="57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FA38D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05BCED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ABEE6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71914F">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6C0C3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23D561">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DB7B4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w:t>
            </w:r>
          </w:p>
          <w:p w14:paraId="14C89E6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13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0FE34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78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B741D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服务对象</w:t>
            </w:r>
          </w:p>
          <w:p w14:paraId="581BD36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68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2DD56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70"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B5F8A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95</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548D3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7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0E158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95</w:t>
            </w:r>
          </w:p>
        </w:tc>
        <w:tc>
          <w:tcPr>
            <w:tcW w:w="56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262B5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2AD39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77C5B3">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78E03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52" w:hRule="atLeast"/>
          <w:jc w:val="center"/>
        </w:trPr>
        <w:tc>
          <w:tcPr>
            <w:tcW w:w="7043" w:type="dxa"/>
            <w:gridSpan w:val="10"/>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5469E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7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EE63A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p>
        </w:tc>
        <w:tc>
          <w:tcPr>
            <w:tcW w:w="56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8CD0A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100</w:t>
            </w:r>
          </w:p>
        </w:tc>
        <w:tc>
          <w:tcPr>
            <w:tcW w:w="4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DB714B">
            <w:pPr>
              <w:keepNext w:val="0"/>
              <w:keepLines w:val="0"/>
              <w:pageBreakBefore w:val="0"/>
              <w:widowControl w:val="0"/>
              <w:kinsoku/>
              <w:wordWrap/>
              <w:overflowPunct/>
              <w:topLinePunct w:val="0"/>
              <w:autoSpaceDE/>
              <w:autoSpaceDN/>
              <w:bidi w:val="0"/>
              <w:adjustRightInd/>
              <w:snapToGrid/>
              <w:spacing w:line="240" w:lineRule="atLeast"/>
              <w:jc w:val="both"/>
              <w:rPr>
                <w:rFonts w:hint="default" w:ascii="宋体" w:hAnsi="宋体" w:eastAsia="宋体" w:cs="宋体"/>
                <w:i w:val="0"/>
                <w:iCs w:val="0"/>
                <w:color w:val="000000"/>
                <w:sz w:val="18"/>
                <w:szCs w:val="18"/>
                <w:u w:val="none"/>
                <w:lang w:val="en-US" w:eastAsia="zh-CN"/>
              </w:rPr>
            </w:pPr>
            <w:r>
              <w:rPr>
                <w:rFonts w:hint="eastAsia" w:hAnsi="宋体" w:cs="宋体"/>
                <w:i w:val="0"/>
                <w:iCs w:val="0"/>
                <w:color w:val="000000"/>
                <w:sz w:val="18"/>
                <w:szCs w:val="18"/>
                <w:u w:val="none"/>
                <w:lang w:val="en-US" w:eastAsia="zh-CN"/>
              </w:rPr>
              <w:t>82</w:t>
            </w:r>
          </w:p>
        </w:tc>
        <w:tc>
          <w:tcPr>
            <w:tcW w:w="91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03B5A6">
            <w:pPr>
              <w:keepNext w:val="0"/>
              <w:keepLines w:val="0"/>
              <w:pageBreakBefore w:val="0"/>
              <w:widowControl w:val="0"/>
              <w:kinsoku/>
              <w:wordWrap/>
              <w:overflowPunct/>
              <w:topLinePunct w:val="0"/>
              <w:autoSpaceDE/>
              <w:autoSpaceDN/>
              <w:bidi w:val="0"/>
              <w:adjustRightInd/>
              <w:snapToGrid/>
              <w:spacing w:line="240" w:lineRule="atLeast"/>
              <w:jc w:val="both"/>
              <w:rPr>
                <w:rFonts w:hint="eastAsia" w:hAnsi="宋体" w:cs="宋体"/>
                <w:i w:val="0"/>
                <w:iCs w:val="0"/>
                <w:color w:val="000000"/>
                <w:sz w:val="18"/>
                <w:szCs w:val="18"/>
                <w:u w:val="none"/>
                <w:lang w:val="en-US" w:eastAsia="zh-CN"/>
              </w:rPr>
            </w:pPr>
          </w:p>
        </w:tc>
      </w:tr>
      <w:tr w14:paraId="26E9F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06"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849A8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534" w:type="dxa"/>
            <w:gridSpan w:val="1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578AC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微软雅黑" w:hAnsi="微软雅黑" w:eastAsia="微软雅黑" w:cs="微软雅黑"/>
                <w:i w:val="0"/>
                <w:iCs w:val="0"/>
                <w:color w:val="000000"/>
                <w:sz w:val="16"/>
                <w:szCs w:val="16"/>
                <w:u w:val="none"/>
              </w:rPr>
            </w:pPr>
            <w:r>
              <w:rPr>
                <w:rFonts w:hint="eastAsia" w:ascii="宋体" w:hAnsi="宋体" w:eastAsia="宋体" w:cs="宋体"/>
                <w:i w:val="0"/>
                <w:iCs w:val="0"/>
                <w:color w:val="000000"/>
                <w:kern w:val="0"/>
                <w:sz w:val="18"/>
                <w:szCs w:val="18"/>
                <w:u w:val="none"/>
                <w:lang w:val="en-US" w:eastAsia="zh-CN" w:bidi="ar"/>
              </w:rPr>
              <w:t>该项目自评总得分</w:t>
            </w:r>
            <w:r>
              <w:rPr>
                <w:rFonts w:hint="eastAsia" w:hAnsi="宋体" w:cs="宋体"/>
                <w:i w:val="0"/>
                <w:iCs w:val="0"/>
                <w:color w:val="000000"/>
                <w:kern w:val="0"/>
                <w:sz w:val="18"/>
                <w:szCs w:val="18"/>
                <w:u w:val="none"/>
                <w:lang w:val="en-US" w:eastAsia="zh-CN" w:bidi="ar"/>
              </w:rPr>
              <w:t>82</w:t>
            </w:r>
            <w:r>
              <w:rPr>
                <w:rFonts w:hint="eastAsia" w:ascii="宋体" w:hAnsi="宋体" w:eastAsia="宋体" w:cs="宋体"/>
                <w:i w:val="0"/>
                <w:iCs w:val="0"/>
                <w:color w:val="000000"/>
                <w:kern w:val="0"/>
                <w:sz w:val="18"/>
                <w:szCs w:val="18"/>
                <w:u w:val="none"/>
                <w:lang w:val="en-US" w:eastAsia="zh-CN" w:bidi="ar"/>
              </w:rPr>
              <w:t>分，</w:t>
            </w:r>
            <w:r>
              <w:rPr>
                <w:rFonts w:hint="eastAsia" w:ascii="宋体" w:hAnsi="宋体" w:eastAsia="宋体" w:cs="宋体"/>
                <w:i w:val="0"/>
                <w:iCs w:val="0"/>
                <w:color w:val="000000"/>
                <w:sz w:val="18"/>
                <w:szCs w:val="18"/>
                <w:u w:val="none"/>
              </w:rPr>
              <w:t>茂县粮经复合现代农业园区省星</w:t>
            </w:r>
            <w:r>
              <w:rPr>
                <w:rFonts w:hint="eastAsia" w:ascii="宋体" w:hAnsi="宋体" w:eastAsia="宋体" w:cs="宋体"/>
                <w:i w:val="0"/>
                <w:iCs w:val="0"/>
                <w:color w:val="000000"/>
                <w:sz w:val="18"/>
                <w:szCs w:val="18"/>
                <w:highlight w:val="none"/>
                <w:u w:val="none"/>
              </w:rPr>
              <w:t>级奖补项目</w:t>
            </w:r>
            <w:r>
              <w:rPr>
                <w:rFonts w:hint="eastAsia" w:ascii="宋体" w:hAnsi="宋体" w:eastAsia="宋体" w:cs="宋体"/>
                <w:i w:val="0"/>
                <w:iCs w:val="0"/>
                <w:color w:val="000000"/>
                <w:kern w:val="0"/>
                <w:sz w:val="18"/>
                <w:szCs w:val="18"/>
                <w:highlight w:val="none"/>
                <w:u w:val="none"/>
                <w:lang w:val="en-US" w:eastAsia="zh-CN" w:bidi="ar"/>
              </w:rPr>
              <w:t>通过基础设施建</w:t>
            </w:r>
            <w:r>
              <w:rPr>
                <w:rFonts w:hint="eastAsia" w:ascii="宋体" w:hAnsi="宋体" w:eastAsia="宋体" w:cs="宋体"/>
                <w:i w:val="0"/>
                <w:iCs w:val="0"/>
                <w:color w:val="000000"/>
                <w:kern w:val="0"/>
                <w:sz w:val="18"/>
                <w:szCs w:val="18"/>
                <w:u w:val="none"/>
                <w:lang w:val="en-US" w:eastAsia="zh-CN" w:bidi="ar"/>
              </w:rPr>
              <w:t>设</w:t>
            </w:r>
            <w:r>
              <w:rPr>
                <w:rFonts w:hint="eastAsia"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质量品牌建设</w:t>
            </w:r>
            <w:r>
              <w:rPr>
                <w:rFonts w:hint="eastAsia"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科技创新</w:t>
            </w:r>
            <w:r>
              <w:rPr>
                <w:rFonts w:hint="eastAsia" w:hAnsi="宋体" w:cs="宋体"/>
                <w:i w:val="0"/>
                <w:iCs w:val="0"/>
                <w:color w:val="000000"/>
                <w:kern w:val="0"/>
                <w:sz w:val="18"/>
                <w:szCs w:val="18"/>
                <w:u w:val="none"/>
                <w:lang w:val="en-US" w:eastAsia="zh-CN" w:bidi="ar"/>
              </w:rPr>
              <w:t>方面，有效提升完善了园区内配套设施，对群众的生产生活带来了显著的便利。</w:t>
            </w:r>
          </w:p>
        </w:tc>
      </w:tr>
      <w:tr w14:paraId="45F77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11"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A45B7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534" w:type="dxa"/>
            <w:gridSpan w:val="1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485430">
            <w:pPr>
              <w:pStyle w:val="9"/>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line="240" w:lineRule="atLeast"/>
              <w:jc w:val="both"/>
              <w:textAlignment w:val="auto"/>
              <w:rPr>
                <w:rFonts w:hint="eastAsia" w:ascii="宋体" w:hAnsi="宋体" w:eastAsia="宋体" w:cs="宋体"/>
                <w:i w:val="0"/>
                <w:iCs w:val="0"/>
                <w:color w:val="000000"/>
                <w:kern w:val="0"/>
                <w:position w:val="0"/>
                <w:sz w:val="18"/>
                <w:szCs w:val="18"/>
                <w:u w:val="none"/>
                <w:lang w:val="en-US" w:eastAsia="zh-CN" w:bidi="ar"/>
              </w:rPr>
            </w:pPr>
            <w:r>
              <w:rPr>
                <w:rFonts w:hint="eastAsia" w:ascii="宋体" w:hAnsi="宋体" w:eastAsia="宋体" w:cs="宋体"/>
                <w:i w:val="0"/>
                <w:iCs w:val="0"/>
                <w:color w:val="000000"/>
                <w:kern w:val="0"/>
                <w:position w:val="0"/>
                <w:sz w:val="18"/>
                <w:szCs w:val="18"/>
                <w:u w:val="none"/>
                <w:lang w:val="en-US" w:eastAsia="zh-CN" w:bidi="ar"/>
              </w:rPr>
              <w:t>实施前对项目地点情况摸底调研不够，地质隐患未能发现，造成项目资金结余。</w:t>
            </w:r>
          </w:p>
        </w:tc>
      </w:tr>
      <w:tr w14:paraId="01B52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E4841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改进措施</w:t>
            </w:r>
          </w:p>
        </w:tc>
        <w:tc>
          <w:tcPr>
            <w:tcW w:w="8534" w:type="dxa"/>
            <w:gridSpan w:val="1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56734D">
            <w:pPr>
              <w:pStyle w:val="9"/>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line="240" w:lineRule="atLeast"/>
              <w:jc w:val="both"/>
              <w:textAlignment w:val="auto"/>
              <w:rPr>
                <w:rFonts w:hint="eastAsia" w:ascii="宋体" w:hAnsi="宋体" w:eastAsia="宋体" w:cs="宋体"/>
                <w:i w:val="0"/>
                <w:iCs w:val="0"/>
                <w:color w:val="000000"/>
                <w:kern w:val="0"/>
                <w:position w:val="0"/>
                <w:sz w:val="18"/>
                <w:szCs w:val="18"/>
                <w:u w:val="none"/>
                <w:lang w:val="en-US" w:eastAsia="zh-CN" w:bidi="ar"/>
              </w:rPr>
            </w:pPr>
            <w:r>
              <w:rPr>
                <w:rFonts w:hint="eastAsia" w:ascii="宋体" w:hAnsi="宋体" w:eastAsia="宋体" w:cs="宋体"/>
                <w:i w:val="0"/>
                <w:iCs w:val="0"/>
                <w:color w:val="000000"/>
                <w:kern w:val="0"/>
                <w:position w:val="0"/>
                <w:sz w:val="18"/>
                <w:szCs w:val="18"/>
                <w:u w:val="none"/>
                <w:lang w:val="en-US" w:eastAsia="zh-CN" w:bidi="ar"/>
              </w:rPr>
              <w:t>加强项目谋划前期调研，确保项目的顺利实施。</w:t>
            </w:r>
          </w:p>
        </w:tc>
      </w:tr>
    </w:tbl>
    <w:p w14:paraId="38BEF552">
      <w:pPr>
        <w:pStyle w:val="2"/>
        <w:pageBreakBefore w:val="0"/>
        <w:widowControl w:val="0"/>
        <w:kinsoku/>
        <w:wordWrap/>
        <w:overflowPunct/>
        <w:topLinePunct w:val="0"/>
        <w:bidi w:val="0"/>
        <w:jc w:val="both"/>
        <w:rPr>
          <w:rFonts w:hint="eastAsia" w:ascii="黑体" w:eastAsia="黑体" w:cs="黑体"/>
          <w:kern w:val="0"/>
          <w:sz w:val="44"/>
          <w:szCs w:val="44"/>
        </w:rPr>
      </w:pPr>
    </w:p>
    <w:tbl>
      <w:tblPr>
        <w:tblStyle w:val="17"/>
        <w:tblW w:w="95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
      <w:tblGrid>
        <w:gridCol w:w="812"/>
        <w:gridCol w:w="239"/>
        <w:gridCol w:w="706"/>
        <w:gridCol w:w="868"/>
        <w:gridCol w:w="500"/>
        <w:gridCol w:w="150"/>
        <w:gridCol w:w="1412"/>
        <w:gridCol w:w="788"/>
        <w:gridCol w:w="477"/>
        <w:gridCol w:w="76"/>
        <w:gridCol w:w="238"/>
        <w:gridCol w:w="777"/>
        <w:gridCol w:w="844"/>
        <w:gridCol w:w="600"/>
        <w:gridCol w:w="525"/>
        <w:gridCol w:w="573"/>
      </w:tblGrid>
      <w:tr w14:paraId="72007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3" w:hRule="atLeast"/>
          <w:jc w:val="center"/>
        </w:trPr>
        <w:tc>
          <w:tcPr>
            <w:tcW w:w="9585" w:type="dxa"/>
            <w:gridSpan w:val="1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6AFF3E">
            <w:pPr>
              <w:keepNext w:val="0"/>
              <w:keepLines w:val="0"/>
              <w:pageBreakBefore w:val="0"/>
              <w:widowControl w:val="0"/>
              <w:kinsoku/>
              <w:wordWrap/>
              <w:overflowPunct/>
              <w:topLinePunct w:val="0"/>
              <w:autoSpaceDE/>
              <w:autoSpaceDN/>
              <w:bidi w:val="0"/>
              <w:spacing w:before="0" w:beforeAutospacing="0" w:after="0" w:afterAutospacing="0" w:line="560" w:lineRule="exact"/>
              <w:ind w:left="0" w:right="0"/>
              <w:jc w:val="center"/>
              <w:rPr>
                <w:rFonts w:ascii="黑体" w:hAnsi="宋体" w:eastAsia="黑体" w:cs="黑体"/>
                <w:b/>
                <w:bCs/>
                <w:i w:val="0"/>
                <w:iCs w:val="0"/>
                <w:color w:val="000000"/>
                <w:sz w:val="30"/>
                <w:szCs w:val="30"/>
                <w:u w:val="none"/>
              </w:rPr>
            </w:pPr>
            <w:r>
              <w:rPr>
                <w:rFonts w:hint="eastAsia" w:ascii="Times New Roman" w:hAnsi="Times New Roman" w:eastAsia="仿宋_GB2312" w:cs="宋体"/>
                <w:b/>
                <w:bCs/>
                <w:kern w:val="0"/>
                <w:position w:val="0"/>
                <w:sz w:val="32"/>
                <w:szCs w:val="32"/>
                <w:lang w:val="en-US" w:eastAsia="zh-CN" w:bidi="ar-SA"/>
              </w:rPr>
              <w:t>对口援建--2025年茂县乡村振兴示范项目支出绩效自评表</w:t>
            </w:r>
          </w:p>
        </w:tc>
      </w:tr>
      <w:tr w14:paraId="3EC4D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13"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7590F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7828" w:type="dxa"/>
            <w:gridSpan w:val="1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0D90C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对口援建--2025年茂县乡村振兴示范项目</w:t>
            </w:r>
          </w:p>
        </w:tc>
      </w:tr>
      <w:tr w14:paraId="18316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343"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60580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4195"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DD843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茂县科学技术和农业畜牧局</w:t>
            </w:r>
          </w:p>
        </w:tc>
        <w:tc>
          <w:tcPr>
            <w:tcW w:w="1091" w:type="dxa"/>
            <w:gridSpan w:val="3"/>
            <w:tcBorders>
              <w:top w:val="nil"/>
              <w:left w:val="nil"/>
              <w:bottom w:val="nil"/>
              <w:right w:val="nil"/>
            </w:tcBorders>
            <w:shd w:val="clear" w:color="auto" w:fill="FFFFFF" w:themeFill="background1"/>
            <w:vAlign w:val="center"/>
          </w:tcPr>
          <w:p w14:paraId="6D6938B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实施单位 </w:t>
            </w:r>
          </w:p>
        </w:tc>
        <w:tc>
          <w:tcPr>
            <w:tcW w:w="2542"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5D90B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茂县科学技术和农业畜牧局</w:t>
            </w:r>
          </w:p>
        </w:tc>
      </w:tr>
      <w:tr w14:paraId="5279A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41"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E1DA1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94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E8CAB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项目年度目标完成情况</w:t>
            </w:r>
          </w:p>
        </w:tc>
        <w:tc>
          <w:tcPr>
            <w:tcW w:w="4195"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10934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3633" w:type="dxa"/>
            <w:gridSpan w:val="7"/>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7ED1A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63BE1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6791F0">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7A9BF3">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4195" w:type="dxa"/>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8DB9C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项目按时保质保量地完成沥青路大于等于10817.25平方米，安装太阳能路灯大于等于120盏，毛石混凝土堡坎大于等于4268.3立方米，产业路硬化大于等于6.38公里等建设内容。</w:t>
            </w:r>
          </w:p>
        </w:tc>
        <w:tc>
          <w:tcPr>
            <w:tcW w:w="3633" w:type="dxa"/>
            <w:gridSpan w:val="7"/>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E891A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项目按时保质保量地完成沥青路10817.25平方米，安装太阳能路灯120盏，毛石混凝土堡坎4268.3立方米，产业路硬化6.38公里等建设内容。</w:t>
            </w:r>
          </w:p>
        </w:tc>
      </w:tr>
      <w:tr w14:paraId="1E97B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95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6A08D5">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68C89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项目实施内容及过程概述</w:t>
            </w:r>
          </w:p>
        </w:tc>
        <w:tc>
          <w:tcPr>
            <w:tcW w:w="7828" w:type="dxa"/>
            <w:gridSpan w:val="1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C9599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沥青路大于等于10817.25平方米，安装太阳能路灯大于等于120盏，毛石混凝土堡坎大于等于4268.3立方米，产业路硬化大于等于6.38公里等建设内容。</w:t>
            </w:r>
            <w:r>
              <w:rPr>
                <w:rFonts w:hint="eastAsia" w:ascii="宋体" w:hAnsi="宋体" w:eastAsia="宋体" w:cs="宋体"/>
                <w:i w:val="0"/>
                <w:iCs w:val="0"/>
                <w:color w:val="000000"/>
                <w:kern w:val="0"/>
                <w:sz w:val="18"/>
                <w:szCs w:val="18"/>
                <w:u w:val="none"/>
                <w:lang w:val="zh-CN" w:eastAsia="zh-CN" w:bidi="ar"/>
              </w:rPr>
              <w:t>项目通过招投标实施。</w:t>
            </w:r>
          </w:p>
        </w:tc>
      </w:tr>
      <w:tr w14:paraId="0C89F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3"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B0BAD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A637C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8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1CE02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B1A75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134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D4AA2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79DBF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预算执</w:t>
            </w:r>
          </w:p>
          <w:p w14:paraId="44B1552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行率</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DB969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112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C69C2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5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57B45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14:paraId="1C878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30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7E4D88">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A317A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8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BDE52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0</w:t>
            </w: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BD7B6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802.83</w:t>
            </w:r>
          </w:p>
        </w:tc>
        <w:tc>
          <w:tcPr>
            <w:tcW w:w="134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24F94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802.83</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394CA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5D75F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12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DBA54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73"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3101D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p>
        </w:tc>
      </w:tr>
      <w:tr w14:paraId="016B8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043E43B">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6DF35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8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7E523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0</w:t>
            </w: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C88E7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802.83</w:t>
            </w:r>
          </w:p>
        </w:tc>
        <w:tc>
          <w:tcPr>
            <w:tcW w:w="134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19312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802.83</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E253D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C8B0E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12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21276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73"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BA1782">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2B08E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44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4442A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9EC84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8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CACAE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94CE0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134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E98E8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8F78B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9C7EA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12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0C533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73"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1AE83B">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2F5F3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727"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50E76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6282F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8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60F71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9F44F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0</w:t>
            </w:r>
          </w:p>
        </w:tc>
        <w:tc>
          <w:tcPr>
            <w:tcW w:w="134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488D3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4112F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CCC68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12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3C496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73"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11EFCD">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1DD97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591"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137A6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D1DF9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8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F537A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DC495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7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4DAFF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79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55D0B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015D3C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06A23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46A57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2E397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5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30265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14:paraId="2CFF9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394"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A5D3F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restart"/>
            <w:tcBorders>
              <w:top w:val="single" w:color="000000" w:sz="4" w:space="0"/>
              <w:left w:val="single" w:color="000000" w:sz="4" w:space="0"/>
              <w:right w:val="single" w:color="000000" w:sz="4" w:space="0"/>
            </w:tcBorders>
            <w:shd w:val="clear" w:color="auto" w:fill="FFFFFF" w:themeFill="background1"/>
            <w:vAlign w:val="center"/>
          </w:tcPr>
          <w:p w14:paraId="1DC3EC2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868"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B6AD2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0F7630">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000000"/>
                <w:sz w:val="18"/>
                <w:szCs w:val="18"/>
              </w:rPr>
              <w:t>沥青路面</w:t>
            </w:r>
          </w:p>
        </w:tc>
        <w:tc>
          <w:tcPr>
            <w:tcW w:w="7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0DBC6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9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B37612">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000000"/>
                <w:sz w:val="18"/>
                <w:szCs w:val="18"/>
              </w:rPr>
              <w:t>10817.25</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8E21FB">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平方米</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A96A6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color w:val="000000"/>
                <w:sz w:val="18"/>
                <w:szCs w:val="18"/>
              </w:rPr>
              <w:t>10817.25</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524B5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8BF4A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4</w:t>
            </w:r>
          </w:p>
        </w:tc>
        <w:tc>
          <w:tcPr>
            <w:tcW w:w="5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DB7059">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iCs/>
                <w:color w:val="000000"/>
                <w:sz w:val="18"/>
                <w:szCs w:val="18"/>
                <w:u w:val="none"/>
              </w:rPr>
            </w:pPr>
          </w:p>
        </w:tc>
      </w:tr>
      <w:tr w14:paraId="1FFFC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37F04F">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3B260AF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868" w:type="dxa"/>
            <w:vMerge w:val="continue"/>
            <w:tcBorders>
              <w:left w:val="single" w:color="000000" w:sz="4" w:space="0"/>
              <w:right w:val="single" w:color="000000" w:sz="4" w:space="0"/>
            </w:tcBorders>
            <w:shd w:val="clear" w:color="auto" w:fill="FFFFFF" w:themeFill="background1"/>
            <w:vAlign w:val="center"/>
          </w:tcPr>
          <w:p w14:paraId="2C27492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7AE894">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000000"/>
                <w:sz w:val="18"/>
                <w:szCs w:val="18"/>
              </w:rPr>
              <w:t>太阳能路灯</w:t>
            </w:r>
          </w:p>
        </w:tc>
        <w:tc>
          <w:tcPr>
            <w:tcW w:w="7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4BA2A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9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0A1F4AB">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120</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A7873E">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盏</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929C2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10DBD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BEDA4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5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D61A93">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iCs/>
                <w:color w:val="000000"/>
                <w:sz w:val="18"/>
                <w:szCs w:val="18"/>
                <w:u w:val="none"/>
              </w:rPr>
            </w:pPr>
          </w:p>
        </w:tc>
      </w:tr>
      <w:tr w14:paraId="33F04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44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D403A1">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0DC2524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868" w:type="dxa"/>
            <w:vMerge w:val="continue"/>
            <w:tcBorders>
              <w:left w:val="single" w:color="000000" w:sz="4" w:space="0"/>
              <w:right w:val="single" w:color="000000" w:sz="4" w:space="0"/>
            </w:tcBorders>
            <w:shd w:val="clear" w:color="auto" w:fill="FFFFFF" w:themeFill="background1"/>
            <w:vAlign w:val="center"/>
          </w:tcPr>
          <w:p w14:paraId="1BA7E39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44C706">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000000"/>
                <w:sz w:val="18"/>
                <w:szCs w:val="18"/>
              </w:rPr>
              <w:t>毛石混凝土堡坎</w:t>
            </w:r>
          </w:p>
        </w:tc>
        <w:tc>
          <w:tcPr>
            <w:tcW w:w="7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07A3A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9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E898F4">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000000"/>
                <w:sz w:val="18"/>
                <w:szCs w:val="18"/>
              </w:rPr>
              <w:t>4268.3</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EF45FA">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立方米</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94805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000000"/>
                <w:sz w:val="18"/>
                <w:szCs w:val="18"/>
              </w:rPr>
              <w:t>4268.3</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62469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6BE7A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w:t>
            </w:r>
          </w:p>
        </w:tc>
        <w:tc>
          <w:tcPr>
            <w:tcW w:w="5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4A84CA">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iCs/>
                <w:color w:val="000000"/>
                <w:sz w:val="18"/>
                <w:szCs w:val="18"/>
                <w:u w:val="none"/>
              </w:rPr>
            </w:pPr>
          </w:p>
        </w:tc>
      </w:tr>
      <w:tr w14:paraId="2EF28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D40637">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79CBC612">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868"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721F07">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975CCA">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000000"/>
                <w:sz w:val="18"/>
                <w:szCs w:val="18"/>
              </w:rPr>
              <w:t>产业路硬化</w:t>
            </w:r>
          </w:p>
        </w:tc>
        <w:tc>
          <w:tcPr>
            <w:tcW w:w="7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2EC4D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9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3D95E4E">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000000"/>
                <w:sz w:val="18"/>
                <w:szCs w:val="18"/>
                <w:lang w:val="en-US" w:eastAsia="zh-CN"/>
              </w:rPr>
              <w:t>6.38</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88FED9">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公里</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5D0EE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color w:val="000000"/>
                <w:sz w:val="18"/>
                <w:szCs w:val="18"/>
                <w:lang w:val="en-US" w:eastAsia="zh-CN"/>
              </w:rPr>
              <w:t>6.38</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987EA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F7F7B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4</w:t>
            </w:r>
          </w:p>
        </w:tc>
        <w:tc>
          <w:tcPr>
            <w:tcW w:w="5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E21300">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67EE7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90"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DEC175">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7BB0B9EF">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868" w:type="dxa"/>
            <w:tcBorders>
              <w:top w:val="single" w:color="000000" w:sz="4" w:space="0"/>
              <w:left w:val="single" w:color="000000" w:sz="4" w:space="0"/>
              <w:bottom w:val="nil"/>
              <w:right w:val="single" w:color="000000" w:sz="4" w:space="0"/>
            </w:tcBorders>
            <w:shd w:val="clear" w:color="auto" w:fill="FFFFFF" w:themeFill="background1"/>
            <w:vAlign w:val="center"/>
          </w:tcPr>
          <w:p w14:paraId="3E818F8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87D3B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验收合格率</w:t>
            </w:r>
          </w:p>
        </w:tc>
        <w:tc>
          <w:tcPr>
            <w:tcW w:w="7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8E567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9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FE2B0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77009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15263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222FF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12</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B3F64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12</w:t>
            </w:r>
          </w:p>
        </w:tc>
        <w:tc>
          <w:tcPr>
            <w:tcW w:w="5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D59291">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3B12A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3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92990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bottom w:val="single" w:color="000000" w:sz="4" w:space="0"/>
              <w:right w:val="single" w:color="000000" w:sz="4" w:space="0"/>
            </w:tcBorders>
            <w:shd w:val="clear" w:color="auto" w:fill="FFFFFF" w:themeFill="background1"/>
            <w:vAlign w:val="center"/>
          </w:tcPr>
          <w:p w14:paraId="21EC218E">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868" w:type="dxa"/>
            <w:tcBorders>
              <w:top w:val="single" w:color="000000" w:sz="4" w:space="0"/>
              <w:left w:val="single" w:color="000000" w:sz="4" w:space="0"/>
              <w:bottom w:val="nil"/>
              <w:right w:val="single" w:color="000000" w:sz="4" w:space="0"/>
            </w:tcBorders>
            <w:shd w:val="clear" w:color="auto" w:fill="FFFFFF" w:themeFill="background1"/>
            <w:vAlign w:val="center"/>
          </w:tcPr>
          <w:p w14:paraId="4ABB25C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36039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color w:val="000000"/>
                <w:sz w:val="18"/>
                <w:szCs w:val="18"/>
                <w:lang w:eastAsia="zh-CN"/>
              </w:rPr>
              <w:t>项目完成及时率</w:t>
            </w:r>
          </w:p>
        </w:tc>
        <w:tc>
          <w:tcPr>
            <w:tcW w:w="7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83954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9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AB692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8F127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D046E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C67CA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12</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383E5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12</w:t>
            </w:r>
          </w:p>
        </w:tc>
        <w:tc>
          <w:tcPr>
            <w:tcW w:w="5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DA913F">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62AC2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544"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8834B2">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restart"/>
            <w:tcBorders>
              <w:top w:val="single" w:color="000000" w:sz="4" w:space="0"/>
              <w:left w:val="single" w:color="000000" w:sz="4" w:space="0"/>
              <w:right w:val="single" w:color="000000" w:sz="4" w:space="0"/>
            </w:tcBorders>
            <w:shd w:val="clear" w:color="auto" w:fill="FFFFFF" w:themeFill="background1"/>
            <w:vAlign w:val="center"/>
          </w:tcPr>
          <w:p w14:paraId="252D5661">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效益指标</w:t>
            </w:r>
          </w:p>
        </w:tc>
        <w:tc>
          <w:tcPr>
            <w:tcW w:w="8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53755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DCDA9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color w:val="000000"/>
                <w:sz w:val="18"/>
                <w:szCs w:val="18"/>
                <w:lang w:eastAsia="zh-CN"/>
              </w:rPr>
              <w:t>大力推动乡村振兴发展，推动村容村貌整体提升</w:t>
            </w:r>
          </w:p>
        </w:tc>
        <w:tc>
          <w:tcPr>
            <w:tcW w:w="7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6079D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79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72F39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eastAsia="zh-CN"/>
              </w:rPr>
            </w:pPr>
            <w:r>
              <w:rPr>
                <w:rFonts w:hint="eastAsia" w:ascii="宋体" w:hAnsi="宋体" w:eastAsia="宋体" w:cs="宋体"/>
                <w:i w:val="0"/>
                <w:iCs w:val="0"/>
                <w:color w:val="000000"/>
                <w:sz w:val="18"/>
                <w:szCs w:val="18"/>
                <w:u w:val="none"/>
                <w:lang w:eastAsia="zh-CN"/>
              </w:rPr>
              <w:t>较好</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D6D8D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98A74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较好</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4F481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CF4BF3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8</w:t>
            </w:r>
          </w:p>
        </w:tc>
        <w:tc>
          <w:tcPr>
            <w:tcW w:w="5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50A79F">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40501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474"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3D7361">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1117BF1D">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8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FB89A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color w:val="000000"/>
                <w:kern w:val="0"/>
                <w:sz w:val="18"/>
                <w:szCs w:val="18"/>
                <w:lang w:eastAsia="zh-CN" w:bidi="ar"/>
              </w:rPr>
              <w:t>可持续影响</w:t>
            </w:r>
            <w:r>
              <w:rPr>
                <w:rFonts w:hint="eastAsia" w:ascii="宋体" w:hAnsi="宋体" w:eastAsia="宋体" w:cs="宋体"/>
                <w:color w:val="000000"/>
                <w:kern w:val="0"/>
                <w:sz w:val="18"/>
                <w:szCs w:val="18"/>
                <w:lang w:bidi="ar"/>
              </w:rPr>
              <w:t>指标</w:t>
            </w:r>
          </w:p>
        </w:tc>
        <w:tc>
          <w:tcPr>
            <w:tcW w:w="2062"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6FCC6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color w:val="000000"/>
                <w:sz w:val="18"/>
                <w:szCs w:val="18"/>
                <w:lang w:eastAsia="zh-CN"/>
              </w:rPr>
              <w:t>大力推动乡村振兴发展，推动村容村貌整体提升</w:t>
            </w:r>
          </w:p>
        </w:tc>
        <w:tc>
          <w:tcPr>
            <w:tcW w:w="7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1DCCE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79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57AF3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较好</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5660A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BB7BA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较好</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E982D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E45D8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8</w:t>
            </w:r>
          </w:p>
        </w:tc>
        <w:tc>
          <w:tcPr>
            <w:tcW w:w="5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B5D5FBD">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0FE41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314"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BEA6B6">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bottom w:val="single" w:color="000000" w:sz="4" w:space="0"/>
              <w:right w:val="single" w:color="000000" w:sz="4" w:space="0"/>
            </w:tcBorders>
            <w:shd w:val="clear" w:color="auto" w:fill="FFFFFF" w:themeFill="background1"/>
            <w:vAlign w:val="center"/>
          </w:tcPr>
          <w:p w14:paraId="48701B4D">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1518"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F0F2D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4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487B6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可持续性</w:t>
            </w:r>
          </w:p>
        </w:tc>
        <w:tc>
          <w:tcPr>
            <w:tcW w:w="7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BE076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79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0280B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良好</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9D606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B0ACD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良好</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9951F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22217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8</w:t>
            </w:r>
          </w:p>
        </w:tc>
        <w:tc>
          <w:tcPr>
            <w:tcW w:w="5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287561">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3C5C1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340"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39926D">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415C7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满意度</w:t>
            </w:r>
          </w:p>
          <w:p w14:paraId="2FD1241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w:t>
            </w:r>
          </w:p>
        </w:tc>
        <w:tc>
          <w:tcPr>
            <w:tcW w:w="1368"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3A2FA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9F16E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群众满意度</w:t>
            </w:r>
          </w:p>
        </w:tc>
        <w:tc>
          <w:tcPr>
            <w:tcW w:w="7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2C418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9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6CA36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95</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C164A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672D0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512F8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8C5C2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5</w:t>
            </w:r>
          </w:p>
        </w:tc>
        <w:tc>
          <w:tcPr>
            <w:tcW w:w="5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830BDB">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4E682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340"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469D3B">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0D659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000000"/>
                <w:kern w:val="0"/>
                <w:sz w:val="18"/>
                <w:szCs w:val="18"/>
                <w:lang w:bidi="ar"/>
              </w:rPr>
              <w:t>成本指标</w:t>
            </w:r>
          </w:p>
        </w:tc>
        <w:tc>
          <w:tcPr>
            <w:tcW w:w="1368"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E1B8CC">
            <w:pPr>
              <w:keepNext w:val="0"/>
              <w:keepLines w:val="0"/>
              <w:pageBreakBefore w:val="0"/>
              <w:widowControl w:val="0"/>
              <w:kinsoku/>
              <w:wordWrap/>
              <w:overflowPunct/>
              <w:topLinePunct w:val="0"/>
              <w:autoSpaceDE/>
              <w:autoSpaceDN/>
              <w:bidi w:val="0"/>
              <w:spacing w:line="300" w:lineRule="exact"/>
              <w:jc w:val="both"/>
              <w:textAlignment w:val="center"/>
              <w:rPr>
                <w:rFonts w:hint="eastAsia"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经济成本</w:t>
            </w:r>
          </w:p>
          <w:p w14:paraId="7CDAEEC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000000"/>
                <w:kern w:val="0"/>
                <w:sz w:val="18"/>
                <w:szCs w:val="18"/>
                <w:lang w:bidi="ar"/>
              </w:rPr>
              <w:t>指标</w:t>
            </w: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AAEA5E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000000"/>
                <w:kern w:val="2"/>
                <w:sz w:val="18"/>
                <w:szCs w:val="18"/>
                <w:lang w:val="en-US" w:eastAsia="zh-CN" w:bidi="ar-SA"/>
              </w:rPr>
              <w:t>项目成本控制</w:t>
            </w:r>
          </w:p>
        </w:tc>
        <w:tc>
          <w:tcPr>
            <w:tcW w:w="78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BC9C9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791"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44235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1300</w:t>
            </w:r>
          </w:p>
        </w:tc>
        <w:tc>
          <w:tcPr>
            <w:tcW w:w="7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EACFF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万元</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E54F9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color w:val="000000"/>
                <w:sz w:val="18"/>
                <w:szCs w:val="18"/>
                <w:lang w:val="en-US" w:eastAsia="zh-CN"/>
              </w:rPr>
              <w:t>825.65</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32672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5FB0C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5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CF3749">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2B7BE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152" w:hRule="atLeast"/>
          <w:jc w:val="center"/>
        </w:trPr>
        <w:tc>
          <w:tcPr>
            <w:tcW w:w="7043" w:type="dxa"/>
            <w:gridSpan w:val="1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19CE6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92DD4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F36A1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F3BBE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89</w:t>
            </w:r>
          </w:p>
        </w:tc>
        <w:tc>
          <w:tcPr>
            <w:tcW w:w="57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01A8BD">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lang w:val="en-US" w:eastAsia="zh-CN"/>
              </w:rPr>
            </w:pPr>
          </w:p>
        </w:tc>
      </w:tr>
      <w:tr w14:paraId="07195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706"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B75F5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8534" w:type="dxa"/>
            <w:gridSpan w:val="1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EED1F4">
            <w:pPr>
              <w:pStyle w:val="9"/>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line="240" w:lineRule="atLeast"/>
              <w:jc w:val="both"/>
              <w:textAlignment w:val="auto"/>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position w:val="0"/>
                <w:sz w:val="18"/>
                <w:szCs w:val="18"/>
                <w:u w:val="none"/>
                <w:lang w:val="en-US" w:eastAsia="zh-CN" w:bidi="ar"/>
              </w:rPr>
              <w:t>项目按时保质保量地完成沥青路面10817.25平方米，安装太阳能路灯120盏，毛石混凝土堡坎4268.3立方米，产业路硬化6.38公里等建设内容。2025年茂县乡村振兴示范项目下达项目资金1300万元，支付资金802.83万元，结余资金497.17万元，已于2025年底退回财政。该项目预算项目绩效自评总体良好，评价得分89分。</w:t>
            </w:r>
          </w:p>
        </w:tc>
      </w:tr>
      <w:tr w14:paraId="6A180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PrEx>
        <w:trPr>
          <w:cantSplit/>
          <w:trHeight w:val="411"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B472F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8534" w:type="dxa"/>
            <w:gridSpan w:val="1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AFEE909">
            <w:pPr>
              <w:pStyle w:val="9"/>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line="240" w:lineRule="atLeast"/>
              <w:jc w:val="both"/>
              <w:textAlignment w:val="auto"/>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position w:val="0"/>
                <w:sz w:val="18"/>
                <w:szCs w:val="18"/>
                <w:u w:val="none"/>
                <w:lang w:val="en-US" w:eastAsia="zh-CN" w:bidi="ar"/>
              </w:rPr>
              <w:t>固定资产移交后，接收单位未能很好地履行管护制度，导致资产使用年限缩短。</w:t>
            </w:r>
          </w:p>
        </w:tc>
      </w:tr>
      <w:tr w14:paraId="4C766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368"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66463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改进措施</w:t>
            </w:r>
          </w:p>
        </w:tc>
        <w:tc>
          <w:tcPr>
            <w:tcW w:w="8534" w:type="dxa"/>
            <w:gridSpan w:val="1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632C19">
            <w:pPr>
              <w:pStyle w:val="9"/>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line="240" w:lineRule="atLeast"/>
              <w:jc w:val="both"/>
              <w:textAlignment w:val="auto"/>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position w:val="0"/>
                <w:sz w:val="18"/>
                <w:szCs w:val="18"/>
                <w:u w:val="none"/>
                <w:lang w:val="en-US" w:eastAsia="zh-CN" w:bidi="ar"/>
              </w:rPr>
              <w:t xml:space="preserve"> 项目主管部门和项目所在镇定期督查各村资产后续管护制度落实情况。</w:t>
            </w:r>
          </w:p>
        </w:tc>
      </w:tr>
    </w:tbl>
    <w:p w14:paraId="6150A80C">
      <w:pPr>
        <w:keepNext w:val="0"/>
        <w:keepLines w:val="0"/>
        <w:pageBreakBefore w:val="0"/>
        <w:widowControl w:val="0"/>
        <w:suppressLineNumbers w:val="0"/>
        <w:kinsoku/>
        <w:wordWrap/>
        <w:overflowPunct/>
        <w:topLinePunct w:val="0"/>
        <w:bidi w:val="0"/>
        <w:spacing w:line="560" w:lineRule="exact"/>
        <w:ind w:right="0"/>
        <w:jc w:val="both"/>
        <w:outlineLvl w:val="0"/>
        <w:rPr>
          <w:rFonts w:hint="eastAsia" w:ascii="黑体" w:eastAsia="黑体" w:cs="黑体"/>
          <w:b/>
          <w:bCs/>
          <w:kern w:val="0"/>
          <w:sz w:val="44"/>
          <w:szCs w:val="44"/>
        </w:rPr>
      </w:pPr>
    </w:p>
    <w:p w14:paraId="6B9A95DC">
      <w:pPr>
        <w:pStyle w:val="2"/>
        <w:rPr>
          <w:rFonts w:hint="eastAsia" w:ascii="黑体" w:eastAsia="黑体" w:cs="黑体"/>
          <w:b/>
          <w:bCs/>
          <w:kern w:val="0"/>
          <w:sz w:val="44"/>
          <w:szCs w:val="44"/>
        </w:rPr>
      </w:pPr>
    </w:p>
    <w:p w14:paraId="0A57B8C9">
      <w:pPr>
        <w:pStyle w:val="3"/>
        <w:ind w:left="0" w:leftChars="0" w:firstLine="0" w:firstLineChars="0"/>
        <w:rPr>
          <w:rFonts w:hint="eastAsia" w:ascii="黑体" w:eastAsia="黑体" w:cs="黑体"/>
          <w:b/>
          <w:bCs/>
          <w:kern w:val="0"/>
          <w:sz w:val="44"/>
          <w:szCs w:val="44"/>
        </w:rPr>
      </w:pPr>
    </w:p>
    <w:tbl>
      <w:tblPr>
        <w:tblStyle w:val="17"/>
        <w:tblW w:w="95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
      <w:tblGrid>
        <w:gridCol w:w="812"/>
        <w:gridCol w:w="239"/>
        <w:gridCol w:w="706"/>
        <w:gridCol w:w="847"/>
        <w:gridCol w:w="671"/>
        <w:gridCol w:w="1844"/>
        <w:gridCol w:w="755"/>
        <w:gridCol w:w="154"/>
        <w:gridCol w:w="487"/>
        <w:gridCol w:w="600"/>
        <w:gridCol w:w="600"/>
        <w:gridCol w:w="543"/>
        <w:gridCol w:w="559"/>
        <w:gridCol w:w="768"/>
      </w:tblGrid>
      <w:tr w14:paraId="060C5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cantSplit/>
          <w:trHeight w:val="23" w:hRule="atLeast"/>
          <w:jc w:val="center"/>
        </w:trPr>
        <w:tc>
          <w:tcPr>
            <w:tcW w:w="9585" w:type="dxa"/>
            <w:gridSpan w:val="1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4B506E">
            <w:pPr>
              <w:keepNext w:val="0"/>
              <w:keepLines w:val="0"/>
              <w:pageBreakBefore w:val="0"/>
              <w:widowControl w:val="0"/>
              <w:numPr>
                <w:ilvl w:val="0"/>
                <w:numId w:val="0"/>
              </w:numPr>
              <w:kinsoku/>
              <w:wordWrap/>
              <w:overflowPunct/>
              <w:topLinePunct w:val="0"/>
              <w:autoSpaceDE/>
              <w:autoSpaceDN/>
              <w:bidi w:val="0"/>
              <w:snapToGrid w:val="0"/>
              <w:spacing w:before="0" w:beforeAutospacing="0" w:after="0" w:afterAutospacing="0" w:line="560" w:lineRule="exact"/>
              <w:ind w:right="0" w:rightChars="0"/>
              <w:jc w:val="center"/>
              <w:rPr>
                <w:rFonts w:ascii="黑体" w:hAnsi="宋体" w:eastAsia="黑体" w:cs="黑体"/>
                <w:b/>
                <w:bCs/>
                <w:i w:val="0"/>
                <w:iCs w:val="0"/>
                <w:color w:val="000000"/>
                <w:sz w:val="30"/>
                <w:szCs w:val="30"/>
                <w:u w:val="none"/>
              </w:rPr>
            </w:pPr>
            <w:r>
              <w:rPr>
                <w:rFonts w:hint="eastAsia" w:ascii="Times New Roman" w:hAnsi="Times New Roman" w:eastAsia="仿宋_GB2312" w:cs="Times New Roman"/>
                <w:b/>
                <w:bCs/>
                <w:color w:val="000000"/>
                <w:kern w:val="0"/>
                <w:sz w:val="28"/>
                <w:szCs w:val="28"/>
                <w:shd w:val="clear" w:color="auto" w:fill="FFFFFF"/>
                <w:lang w:val="en-US" w:eastAsia="zh-CN"/>
              </w:rPr>
              <w:t>2024年阿坝州应用技术研究与开发项目茂县企业项目支出绩效自评表</w:t>
            </w:r>
          </w:p>
        </w:tc>
      </w:tr>
      <w:tr w14:paraId="531B4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13"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DB140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828" w:type="dxa"/>
            <w:gridSpan w:val="11"/>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E3DF8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2024年阿坝州应用技术研究与开发项目茂县企业项目</w:t>
            </w:r>
          </w:p>
        </w:tc>
      </w:tr>
      <w:tr w14:paraId="61C78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57"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9FF21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17"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6F2FB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茂县科学技术和农业畜牧局</w:t>
            </w:r>
          </w:p>
        </w:tc>
        <w:tc>
          <w:tcPr>
            <w:tcW w:w="1241" w:type="dxa"/>
            <w:gridSpan w:val="3"/>
            <w:tcBorders>
              <w:top w:val="nil"/>
              <w:left w:val="nil"/>
              <w:bottom w:val="nil"/>
              <w:right w:val="nil"/>
            </w:tcBorders>
            <w:shd w:val="clear" w:color="auto" w:fill="FFFFFF" w:themeFill="background1"/>
            <w:vAlign w:val="center"/>
          </w:tcPr>
          <w:p w14:paraId="763C1BC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黑体" w:hAnsi="黑体" w:eastAsia="黑体" w:cs="黑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2470"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E44DE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茂县科学技术和农业畜牧局</w:t>
            </w:r>
          </w:p>
        </w:tc>
      </w:tr>
      <w:tr w14:paraId="4D4A0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41"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8AD91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4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B7161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项目年度目标完成情况</w:t>
            </w:r>
          </w:p>
        </w:tc>
        <w:tc>
          <w:tcPr>
            <w:tcW w:w="4117"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298EF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1" w:type="dxa"/>
            <w:gridSpan w:val="7"/>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2234C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黑体" w:hAnsi="黑体" w:eastAsia="黑体" w:cs="黑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71436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0894EF">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F97ADE">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4117"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7DBAD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实施茂县高半山区林下中药材种植模式研究与示范推广、茂县山地无融合无支架（架材）青砧1号苹果优新品种砧穗组合矮化密植栽培及育种试验示范、绞股蓝林下生态栽培技术集成及其茶产品开发研究、优质生态唐古特大黄林下种植关键技术示范推广、基于关节镜诊疗技术对民族地区膝关节疼痛患者的临床疗效研究、阿坝州茂县土门道地药材黄连种植技术的研究与集成示范和基于物联网技术的民族地区医疗废物转运智能信息化管理系统研究与</w:t>
            </w:r>
            <w:r>
              <w:rPr>
                <w:rFonts w:hint="eastAsia" w:asciiTheme="minorEastAsia" w:hAnsiTheme="minorEastAsia" w:eastAsiaTheme="minorEastAsia" w:cstheme="minorEastAsia"/>
                <w:b w:val="0"/>
                <w:bCs w:val="0"/>
                <w:i w:val="0"/>
                <w:iCs w:val="0"/>
                <w:color w:val="000000"/>
                <w:kern w:val="0"/>
                <w:sz w:val="18"/>
                <w:szCs w:val="18"/>
                <w:highlight w:val="none"/>
                <w:u w:val="none"/>
                <w:lang w:val="en-US" w:eastAsia="zh-CN" w:bidi="ar"/>
              </w:rPr>
              <w:t>应用</w:t>
            </w:r>
            <w:r>
              <w:rPr>
                <w:rFonts w:hint="eastAsia" w:cstheme="minorEastAsia"/>
                <w:b w:val="0"/>
                <w:bCs w:val="0"/>
                <w:i w:val="0"/>
                <w:iCs w:val="0"/>
                <w:color w:val="000000"/>
                <w:kern w:val="0"/>
                <w:sz w:val="18"/>
                <w:szCs w:val="18"/>
                <w:highlight w:val="none"/>
                <w:u w:val="none"/>
                <w:lang w:val="en-US" w:eastAsia="zh-CN" w:bidi="ar"/>
              </w:rPr>
              <w:t>等</w:t>
            </w:r>
            <w:r>
              <w:rPr>
                <w:rFonts w:hint="eastAsia" w:asciiTheme="minorEastAsia" w:hAnsiTheme="minorEastAsia" w:eastAsiaTheme="minorEastAsia" w:cstheme="minorEastAsia"/>
                <w:b w:val="0"/>
                <w:bCs w:val="0"/>
                <w:i w:val="0"/>
                <w:iCs w:val="0"/>
                <w:color w:val="000000"/>
                <w:kern w:val="0"/>
                <w:sz w:val="18"/>
                <w:szCs w:val="18"/>
                <w:highlight w:val="none"/>
                <w:u w:val="none"/>
                <w:lang w:val="en-US" w:eastAsia="zh-CN" w:bidi="ar"/>
              </w:rPr>
              <w:t>7</w:t>
            </w: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个阿坝州应用技术研究与开发资金项目，通过项目的科技创新，示范引领，不断提高行业发展的积极性，激发茂县科技创新动力，实现茂县经济高质量发展。</w:t>
            </w:r>
          </w:p>
        </w:tc>
        <w:tc>
          <w:tcPr>
            <w:tcW w:w="3711" w:type="dxa"/>
            <w:gridSpan w:val="7"/>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B0933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实施茂县高半山区林下中药材种植模式研究与示范推广、茂县山地无融合无支架（架材）青砧1号苹果优新品种砧穗组合矮化密植栽培及育种试验示范、绞股蓝林下生态栽培技术集成及其茶产品开发研究、优质生态唐古特大黄林下种植关键技术示范推广、基于关节镜诊疗技术对民族地区膝关节疼痛患者的临床疗效研究、阿坝州茂县土门道地药材黄连种植技术的研究与集成示范和基于物联网技术的民族地区医疗废物转运智能信息化管理系统研究与</w:t>
            </w:r>
            <w:r>
              <w:rPr>
                <w:rFonts w:hint="eastAsia" w:asciiTheme="minorEastAsia" w:hAnsiTheme="minorEastAsia" w:eastAsiaTheme="minorEastAsia" w:cstheme="minorEastAsia"/>
                <w:b w:val="0"/>
                <w:bCs w:val="0"/>
                <w:i w:val="0"/>
                <w:iCs w:val="0"/>
                <w:color w:val="000000"/>
                <w:kern w:val="0"/>
                <w:sz w:val="18"/>
                <w:szCs w:val="18"/>
                <w:highlight w:val="none"/>
                <w:u w:val="none"/>
                <w:lang w:val="en-US" w:eastAsia="zh-CN" w:bidi="ar"/>
              </w:rPr>
              <w:t>应用</w:t>
            </w:r>
            <w:r>
              <w:rPr>
                <w:rFonts w:hint="eastAsia" w:cstheme="minorEastAsia"/>
                <w:b w:val="0"/>
                <w:bCs w:val="0"/>
                <w:i w:val="0"/>
                <w:iCs w:val="0"/>
                <w:color w:val="000000"/>
                <w:kern w:val="0"/>
                <w:sz w:val="18"/>
                <w:szCs w:val="18"/>
                <w:highlight w:val="none"/>
                <w:u w:val="none"/>
                <w:lang w:val="en-US" w:eastAsia="zh-CN" w:bidi="ar"/>
              </w:rPr>
              <w:t>等</w:t>
            </w:r>
            <w:r>
              <w:rPr>
                <w:rFonts w:hint="eastAsia" w:asciiTheme="minorEastAsia" w:hAnsiTheme="minorEastAsia" w:eastAsiaTheme="minorEastAsia" w:cstheme="minorEastAsia"/>
                <w:b w:val="0"/>
                <w:bCs w:val="0"/>
                <w:i w:val="0"/>
                <w:iCs w:val="0"/>
                <w:color w:val="000000"/>
                <w:kern w:val="0"/>
                <w:sz w:val="18"/>
                <w:szCs w:val="18"/>
                <w:highlight w:val="none"/>
                <w:u w:val="none"/>
                <w:lang w:val="en-US" w:eastAsia="zh-CN" w:bidi="ar"/>
              </w:rPr>
              <w:t>7</w:t>
            </w: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个阿坝州应用技术研究与开发资金项目，通过项目的科技创新，示范引领，不断提高行业发展的积极性，激发茂县科技创新动力，实现茂县经济高质量发展。</w:t>
            </w:r>
          </w:p>
        </w:tc>
      </w:tr>
      <w:tr w14:paraId="3E229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5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AC588F">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E5856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项目实施内容及过程概述</w:t>
            </w:r>
          </w:p>
        </w:tc>
        <w:tc>
          <w:tcPr>
            <w:tcW w:w="7828" w:type="dxa"/>
            <w:gridSpan w:val="11"/>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BCCCE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zh-CN" w:eastAsia="zh-CN" w:bidi="ar"/>
              </w:rPr>
              <w:t>项目由企业自主申报，县科农局推荐，阿坝州科学技术局组织专家进行盲评，最终确定立项项目，并下达项目资金，由县科农局按照要求对项目承担单位进行核查并下拨前补助资金，后期加强项目监管，确保按照任务书相关约定完成项目建设</w:t>
            </w:r>
            <w:r>
              <w:rPr>
                <w:rFonts w:hint="eastAsia" w:ascii="宋体" w:hAnsi="宋体" w:eastAsia="宋体" w:cs="宋体"/>
                <w:i w:val="0"/>
                <w:iCs w:val="0"/>
                <w:color w:val="000000"/>
                <w:kern w:val="0"/>
                <w:sz w:val="18"/>
                <w:szCs w:val="18"/>
                <w:u w:val="none"/>
                <w:lang w:val="en-US" w:eastAsia="zh-CN" w:bidi="ar"/>
              </w:rPr>
              <w:t>。</w:t>
            </w:r>
          </w:p>
        </w:tc>
      </w:tr>
      <w:tr w14:paraId="369DD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21911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9B7F2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731A7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4DBFE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09"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483C5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87"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B2795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预算执</w:t>
            </w:r>
          </w:p>
          <w:p w14:paraId="2CB910B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行率</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B3879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10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DAA7F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2782D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D14F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0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F34046">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950C9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B5262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0</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248A4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165</w:t>
            </w:r>
          </w:p>
        </w:tc>
        <w:tc>
          <w:tcPr>
            <w:tcW w:w="909"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AA3F7F">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165</w:t>
            </w:r>
          </w:p>
        </w:tc>
        <w:tc>
          <w:tcPr>
            <w:tcW w:w="1087"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B9F2E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ED8DB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10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6DDB0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68"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E5F55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黑体" w:hAnsi="黑体" w:eastAsia="黑体" w:cs="黑体"/>
                <w:i w:val="0"/>
                <w:iCs w:val="0"/>
                <w:color w:val="000000"/>
                <w:sz w:val="18"/>
                <w:szCs w:val="18"/>
                <w:u w:val="none"/>
              </w:rPr>
            </w:pPr>
          </w:p>
        </w:tc>
      </w:tr>
      <w:tr w14:paraId="7BD4E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4EAC6B">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E9E33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6482F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0</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4FDD12">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165</w:t>
            </w:r>
          </w:p>
        </w:tc>
        <w:tc>
          <w:tcPr>
            <w:tcW w:w="909"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8385A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165</w:t>
            </w:r>
          </w:p>
        </w:tc>
        <w:tc>
          <w:tcPr>
            <w:tcW w:w="1087"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2AEBA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441EB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0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612B7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68"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EF5B73">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黑体" w:hAnsi="黑体" w:eastAsia="黑体" w:cs="黑体"/>
                <w:i w:val="0"/>
                <w:iCs w:val="0"/>
                <w:color w:val="000000"/>
                <w:sz w:val="18"/>
                <w:szCs w:val="18"/>
                <w:u w:val="none"/>
              </w:rPr>
            </w:pPr>
          </w:p>
        </w:tc>
      </w:tr>
      <w:tr w14:paraId="5B269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6"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32D87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93FA6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4F354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B4DFE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909"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51D56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087"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8B164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F0715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0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AC3DB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68"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9FA303">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黑体" w:hAnsi="黑体" w:eastAsia="黑体" w:cs="黑体"/>
                <w:i w:val="0"/>
                <w:iCs w:val="0"/>
                <w:color w:val="000000"/>
                <w:sz w:val="18"/>
                <w:szCs w:val="18"/>
                <w:u w:val="none"/>
              </w:rPr>
            </w:pPr>
          </w:p>
        </w:tc>
      </w:tr>
      <w:tr w14:paraId="531F1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86D27B">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77623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9A860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923A1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909"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68D4E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087"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FD941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2B990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02"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1707D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68"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43AD02">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黑体" w:hAnsi="黑体" w:eastAsia="黑体" w:cs="黑体"/>
                <w:i w:val="0"/>
                <w:iCs w:val="0"/>
                <w:color w:val="000000"/>
                <w:sz w:val="18"/>
                <w:szCs w:val="18"/>
                <w:u w:val="none"/>
              </w:rPr>
            </w:pPr>
          </w:p>
        </w:tc>
      </w:tr>
      <w:tr w14:paraId="26227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91"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A21B1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A4828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50D798">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52EB5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7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79F773">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0E1F6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B2918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DB75C7">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4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C6F02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834CA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6E1C7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0133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4"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2E938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restart"/>
            <w:tcBorders>
              <w:top w:val="single" w:color="000000" w:sz="4" w:space="0"/>
              <w:left w:val="single" w:color="000000" w:sz="4" w:space="0"/>
              <w:right w:val="single" w:color="000000" w:sz="4" w:space="0"/>
            </w:tcBorders>
            <w:shd w:val="clear" w:color="auto" w:fill="FFFFFF" w:themeFill="background1"/>
            <w:vAlign w:val="center"/>
          </w:tcPr>
          <w:p w14:paraId="2BC27FAB">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47"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48449E">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1A5DBE">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宋体" w:hAnsi="宋体" w:eastAsia="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实施茂县高半山区林下中药材种植模式研究与示范推广</w:t>
            </w:r>
          </w:p>
        </w:tc>
        <w:tc>
          <w:tcPr>
            <w:tcW w:w="7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B462B2">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50689C">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BDDE56">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C1241D">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微软雅黑" w:hAnsi="微软雅黑" w:eastAsia="微软雅黑" w:cs="微软雅黑"/>
                <w:i w:val="0"/>
                <w:iCs w:val="0"/>
                <w:color w:val="000000"/>
                <w:sz w:val="16"/>
                <w:szCs w:val="16"/>
                <w:u w:val="none"/>
              </w:rPr>
            </w:pPr>
            <w:r>
              <w:rPr>
                <w:rFonts w:hint="eastAsia" w:hAnsi="宋体" w:cs="宋体"/>
                <w:i w:val="0"/>
                <w:iCs w:val="0"/>
                <w:color w:val="000000"/>
                <w:kern w:val="0"/>
                <w:sz w:val="18"/>
                <w:szCs w:val="18"/>
                <w:u w:val="none"/>
                <w:lang w:val="en-US" w:eastAsia="zh-CN" w:bidi="ar"/>
              </w:rPr>
              <w:t>1</w:t>
            </w:r>
          </w:p>
        </w:tc>
        <w:tc>
          <w:tcPr>
            <w:tcW w:w="54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328F07">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666503">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409EFC">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微软雅黑" w:hAnsi="微软雅黑" w:eastAsia="微软雅黑" w:cs="微软雅黑"/>
                <w:i/>
                <w:iCs/>
                <w:color w:val="000000"/>
                <w:sz w:val="16"/>
                <w:szCs w:val="16"/>
                <w:u w:val="none"/>
              </w:rPr>
            </w:pPr>
          </w:p>
        </w:tc>
      </w:tr>
      <w:tr w14:paraId="6C752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D19131">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50F16B6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p>
        </w:tc>
        <w:tc>
          <w:tcPr>
            <w:tcW w:w="847" w:type="dxa"/>
            <w:vMerge w:val="continue"/>
            <w:tcBorders>
              <w:left w:val="single" w:color="000000" w:sz="4" w:space="0"/>
              <w:right w:val="single" w:color="000000" w:sz="4" w:space="0"/>
            </w:tcBorders>
            <w:shd w:val="clear" w:color="auto" w:fill="FFFFFF" w:themeFill="background1"/>
            <w:vAlign w:val="center"/>
          </w:tcPr>
          <w:p w14:paraId="1091836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B6A8AF">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宋体" w:hAnsi="宋体" w:eastAsia="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实施茂县山地无融合无支架（架材）青砧1号苹果优新品种砧穗组合矮化密植栽培及育种试验示范</w:t>
            </w:r>
          </w:p>
        </w:tc>
        <w:tc>
          <w:tcPr>
            <w:tcW w:w="7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F2F184">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CC7540C">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5419FE">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464694">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default" w:ascii="微软雅黑" w:hAnsi="微软雅黑" w:eastAsia="微软雅黑" w:cs="微软雅黑"/>
                <w:i w:val="0"/>
                <w:iCs w:val="0"/>
                <w:color w:val="000000"/>
                <w:kern w:val="0"/>
                <w:sz w:val="16"/>
                <w:szCs w:val="16"/>
                <w:u w:val="none"/>
                <w:lang w:val="en-US" w:eastAsia="zh-CN" w:bidi="ar"/>
              </w:rPr>
            </w:pPr>
            <w:r>
              <w:rPr>
                <w:rFonts w:hint="eastAsia" w:hAnsi="宋体" w:cs="宋体"/>
                <w:i w:val="0"/>
                <w:iCs w:val="0"/>
                <w:color w:val="000000"/>
                <w:kern w:val="0"/>
                <w:sz w:val="18"/>
                <w:szCs w:val="18"/>
                <w:u w:val="none"/>
                <w:lang w:val="en-US" w:eastAsia="zh-CN" w:bidi="ar"/>
              </w:rPr>
              <w:t>1</w:t>
            </w:r>
          </w:p>
        </w:tc>
        <w:tc>
          <w:tcPr>
            <w:tcW w:w="54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878BF3">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37A11F1">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4DBAF3">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微软雅黑" w:hAnsi="微软雅黑" w:eastAsia="微软雅黑" w:cs="微软雅黑"/>
                <w:i/>
                <w:iCs/>
                <w:color w:val="000000"/>
                <w:sz w:val="16"/>
                <w:szCs w:val="16"/>
                <w:u w:val="none"/>
              </w:rPr>
            </w:pPr>
          </w:p>
        </w:tc>
      </w:tr>
      <w:tr w14:paraId="5B25F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BDBFB6">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57A125E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p>
        </w:tc>
        <w:tc>
          <w:tcPr>
            <w:tcW w:w="847" w:type="dxa"/>
            <w:vMerge w:val="continue"/>
            <w:tcBorders>
              <w:left w:val="single" w:color="000000" w:sz="4" w:space="0"/>
              <w:right w:val="single" w:color="000000" w:sz="4" w:space="0"/>
            </w:tcBorders>
            <w:shd w:val="clear" w:color="auto" w:fill="FFFFFF" w:themeFill="background1"/>
            <w:vAlign w:val="center"/>
          </w:tcPr>
          <w:p w14:paraId="12A0A41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17CF60">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宋体" w:hAnsi="宋体" w:eastAsia="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实施绞股蓝林下生态栽培技术集成及其茶产品开发研究</w:t>
            </w:r>
          </w:p>
        </w:tc>
        <w:tc>
          <w:tcPr>
            <w:tcW w:w="7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24D86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宋体" w:hAnsi="宋体" w:eastAsia="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82F9D7">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EEC871">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B11C37">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default" w:ascii="微软雅黑" w:hAnsi="微软雅黑" w:eastAsia="微软雅黑" w:cs="微软雅黑"/>
                <w:i w:val="0"/>
                <w:iCs w:val="0"/>
                <w:color w:val="000000"/>
                <w:kern w:val="0"/>
                <w:sz w:val="16"/>
                <w:szCs w:val="16"/>
                <w:u w:val="none"/>
                <w:lang w:val="en-US" w:eastAsia="zh-CN" w:bidi="ar"/>
              </w:rPr>
            </w:pPr>
            <w:r>
              <w:rPr>
                <w:rFonts w:hint="eastAsia" w:hAnsi="宋体" w:cs="宋体"/>
                <w:i w:val="0"/>
                <w:iCs w:val="0"/>
                <w:color w:val="000000"/>
                <w:kern w:val="0"/>
                <w:sz w:val="18"/>
                <w:szCs w:val="18"/>
                <w:u w:val="none"/>
                <w:lang w:val="en-US" w:eastAsia="zh-CN" w:bidi="ar"/>
              </w:rPr>
              <w:t>1</w:t>
            </w:r>
          </w:p>
        </w:tc>
        <w:tc>
          <w:tcPr>
            <w:tcW w:w="54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9A0F65">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F23520">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BA59F8E">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微软雅黑" w:hAnsi="微软雅黑" w:eastAsia="微软雅黑" w:cs="微软雅黑"/>
                <w:i/>
                <w:iCs/>
                <w:color w:val="000000"/>
                <w:sz w:val="16"/>
                <w:szCs w:val="16"/>
                <w:u w:val="none"/>
              </w:rPr>
            </w:pPr>
          </w:p>
        </w:tc>
      </w:tr>
      <w:tr w14:paraId="22B88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01C13E">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3DCC15A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p>
        </w:tc>
        <w:tc>
          <w:tcPr>
            <w:tcW w:w="847" w:type="dxa"/>
            <w:vMerge w:val="continue"/>
            <w:tcBorders>
              <w:left w:val="single" w:color="000000" w:sz="4" w:space="0"/>
              <w:right w:val="single" w:color="000000" w:sz="4" w:space="0"/>
            </w:tcBorders>
            <w:shd w:val="clear" w:color="auto" w:fill="FFFFFF" w:themeFill="background1"/>
            <w:vAlign w:val="center"/>
          </w:tcPr>
          <w:p w14:paraId="74DE7CE6">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52A582">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宋体" w:hAnsi="宋体" w:eastAsia="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实施优质生态唐古特大黄林下种植关键技术示范推广</w:t>
            </w:r>
          </w:p>
        </w:tc>
        <w:tc>
          <w:tcPr>
            <w:tcW w:w="7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E0105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hAnsi="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2D34C88">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F28829">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2FAF63">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微软雅黑" w:hAnsi="微软雅黑" w:eastAsia="微软雅黑" w:cs="微软雅黑"/>
                <w:i w:val="0"/>
                <w:iCs w:val="0"/>
                <w:color w:val="000000"/>
                <w:kern w:val="0"/>
                <w:sz w:val="16"/>
                <w:szCs w:val="16"/>
                <w:u w:val="none"/>
                <w:lang w:val="en-US" w:eastAsia="zh-CN" w:bidi="ar"/>
              </w:rPr>
            </w:pPr>
            <w:r>
              <w:rPr>
                <w:rFonts w:hint="eastAsia" w:hAnsi="宋体" w:cs="宋体"/>
                <w:i w:val="0"/>
                <w:iCs w:val="0"/>
                <w:color w:val="000000"/>
                <w:kern w:val="0"/>
                <w:sz w:val="18"/>
                <w:szCs w:val="18"/>
                <w:u w:val="none"/>
                <w:lang w:val="en-US" w:eastAsia="zh-CN" w:bidi="ar"/>
              </w:rPr>
              <w:t>1</w:t>
            </w:r>
          </w:p>
        </w:tc>
        <w:tc>
          <w:tcPr>
            <w:tcW w:w="54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166906">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4983E3">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AF48B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微软雅黑" w:hAnsi="微软雅黑" w:eastAsia="微软雅黑" w:cs="微软雅黑"/>
                <w:i/>
                <w:iCs/>
                <w:color w:val="000000"/>
                <w:sz w:val="16"/>
                <w:szCs w:val="16"/>
                <w:u w:val="none"/>
              </w:rPr>
            </w:pPr>
          </w:p>
        </w:tc>
      </w:tr>
      <w:tr w14:paraId="02DA6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3006ED">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4836E9C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p>
        </w:tc>
        <w:tc>
          <w:tcPr>
            <w:tcW w:w="847" w:type="dxa"/>
            <w:vMerge w:val="continue"/>
            <w:tcBorders>
              <w:left w:val="single" w:color="000000" w:sz="4" w:space="0"/>
              <w:right w:val="single" w:color="000000" w:sz="4" w:space="0"/>
            </w:tcBorders>
            <w:shd w:val="clear" w:color="auto" w:fill="FFFFFF" w:themeFill="background1"/>
            <w:vAlign w:val="center"/>
          </w:tcPr>
          <w:p w14:paraId="40160EED">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610A6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宋体" w:hAnsi="宋体" w:eastAsia="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实施基于关节镜诊疗技术对民族地区膝关节疼痛患者的临床疗效研究</w:t>
            </w:r>
          </w:p>
        </w:tc>
        <w:tc>
          <w:tcPr>
            <w:tcW w:w="7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65C48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hAnsi="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2F694D">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2E2897">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8B63FF">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微软雅黑" w:hAnsi="微软雅黑" w:eastAsia="微软雅黑" w:cs="微软雅黑"/>
                <w:i w:val="0"/>
                <w:iCs w:val="0"/>
                <w:color w:val="000000"/>
                <w:kern w:val="0"/>
                <w:sz w:val="16"/>
                <w:szCs w:val="16"/>
                <w:u w:val="none"/>
                <w:lang w:val="en-US" w:eastAsia="zh-CN" w:bidi="ar"/>
              </w:rPr>
            </w:pPr>
            <w:r>
              <w:rPr>
                <w:rFonts w:hint="eastAsia" w:hAnsi="宋体" w:cs="宋体"/>
                <w:i w:val="0"/>
                <w:iCs w:val="0"/>
                <w:color w:val="000000"/>
                <w:kern w:val="0"/>
                <w:sz w:val="18"/>
                <w:szCs w:val="18"/>
                <w:u w:val="none"/>
                <w:lang w:val="en-US" w:eastAsia="zh-CN" w:bidi="ar"/>
              </w:rPr>
              <w:t>1</w:t>
            </w:r>
          </w:p>
        </w:tc>
        <w:tc>
          <w:tcPr>
            <w:tcW w:w="54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D1C8F0">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05D94E">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135772">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微软雅黑" w:hAnsi="微软雅黑" w:eastAsia="微软雅黑" w:cs="微软雅黑"/>
                <w:i/>
                <w:iCs/>
                <w:color w:val="000000"/>
                <w:sz w:val="16"/>
                <w:szCs w:val="16"/>
                <w:u w:val="none"/>
              </w:rPr>
            </w:pPr>
          </w:p>
        </w:tc>
      </w:tr>
      <w:tr w14:paraId="633CD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77D3D1">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074592F4">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p>
        </w:tc>
        <w:tc>
          <w:tcPr>
            <w:tcW w:w="847" w:type="dxa"/>
            <w:vMerge w:val="continue"/>
            <w:tcBorders>
              <w:left w:val="single" w:color="000000" w:sz="4" w:space="0"/>
              <w:right w:val="single" w:color="000000" w:sz="4" w:space="0"/>
            </w:tcBorders>
            <w:shd w:val="clear" w:color="auto" w:fill="FFFFFF" w:themeFill="background1"/>
            <w:vAlign w:val="center"/>
          </w:tcPr>
          <w:p w14:paraId="648F719A">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kern w:val="0"/>
                <w:sz w:val="18"/>
                <w:szCs w:val="18"/>
                <w:u w:val="none"/>
                <w:lang w:val="en-US" w:eastAsia="zh-CN" w:bidi="ar"/>
              </w:rPr>
            </w:pP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CE70617">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宋体" w:hAnsi="宋体" w:eastAsia="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实施阿坝州茂县土门道地药材黄连种植技术的研究与集成示范</w:t>
            </w:r>
          </w:p>
        </w:tc>
        <w:tc>
          <w:tcPr>
            <w:tcW w:w="7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5AD27E">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hAnsi="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9E4BC8">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FEC313">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5C8D49">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微软雅黑" w:hAnsi="微软雅黑" w:eastAsia="微软雅黑" w:cs="微软雅黑"/>
                <w:i w:val="0"/>
                <w:iCs w:val="0"/>
                <w:color w:val="000000"/>
                <w:kern w:val="0"/>
                <w:sz w:val="16"/>
                <w:szCs w:val="16"/>
                <w:u w:val="none"/>
                <w:lang w:val="en-US" w:eastAsia="zh-CN" w:bidi="ar"/>
              </w:rPr>
            </w:pPr>
            <w:r>
              <w:rPr>
                <w:rFonts w:hint="eastAsia" w:hAnsi="宋体" w:cs="宋体"/>
                <w:i w:val="0"/>
                <w:iCs w:val="0"/>
                <w:color w:val="000000"/>
                <w:kern w:val="0"/>
                <w:sz w:val="18"/>
                <w:szCs w:val="18"/>
                <w:u w:val="none"/>
                <w:lang w:val="en-US" w:eastAsia="zh-CN" w:bidi="ar"/>
              </w:rPr>
              <w:t>1</w:t>
            </w:r>
          </w:p>
        </w:tc>
        <w:tc>
          <w:tcPr>
            <w:tcW w:w="54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50DF22">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91D8D8">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A37880">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微软雅黑" w:hAnsi="微软雅黑" w:eastAsia="微软雅黑" w:cs="微软雅黑"/>
                <w:i/>
                <w:iCs/>
                <w:color w:val="000000"/>
                <w:sz w:val="16"/>
                <w:szCs w:val="16"/>
                <w:u w:val="none"/>
              </w:rPr>
            </w:pPr>
          </w:p>
        </w:tc>
      </w:tr>
      <w:tr w14:paraId="18C52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893A98">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3A8F6BEA">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847"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F8E324">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ADBC1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宋体" w:hAnsi="宋体" w:eastAsia="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实施基于物联网技术的民族地区医疗废物转运智能信息化管理系统研究与应用</w:t>
            </w:r>
          </w:p>
        </w:tc>
        <w:tc>
          <w:tcPr>
            <w:tcW w:w="7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5688B5">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BA082F">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hAnsi="宋体" w:cs="宋体"/>
                <w:i w:val="0"/>
                <w:iCs w:val="0"/>
                <w:color w:val="000000"/>
                <w:kern w:val="0"/>
                <w:sz w:val="18"/>
                <w:szCs w:val="18"/>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885B14">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BCF115">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ascii="宋体" w:hAnsi="宋体" w:eastAsia="宋体" w:cs="宋体"/>
                <w:i w:val="0"/>
                <w:iCs w:val="0"/>
                <w:color w:val="000000"/>
                <w:sz w:val="18"/>
                <w:szCs w:val="18"/>
                <w:u w:val="none"/>
              </w:rPr>
            </w:pPr>
            <w:r>
              <w:rPr>
                <w:rFonts w:hint="eastAsia" w:hAnsi="宋体" w:cs="宋体"/>
                <w:i w:val="0"/>
                <w:iCs w:val="0"/>
                <w:color w:val="000000"/>
                <w:kern w:val="0"/>
                <w:sz w:val="18"/>
                <w:szCs w:val="18"/>
                <w:u w:val="none"/>
                <w:lang w:val="en-US" w:eastAsia="zh-CN" w:bidi="ar"/>
              </w:rPr>
              <w:t>1</w:t>
            </w:r>
          </w:p>
        </w:tc>
        <w:tc>
          <w:tcPr>
            <w:tcW w:w="54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C3DDEA">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17BF34">
            <w:pPr>
              <w:keepNext w:val="0"/>
              <w:keepLines w:val="0"/>
              <w:pageBreakBefore w:val="0"/>
              <w:widowControl w:val="0"/>
              <w:suppressLineNumbers w:val="0"/>
              <w:kinsoku/>
              <w:wordWrap/>
              <w:overflowPunct/>
              <w:topLinePunct w:val="0"/>
              <w:autoSpaceDE/>
              <w:autoSpaceDN/>
              <w:bidi w:val="0"/>
              <w:adjustRightInd/>
              <w:snapToGrid/>
              <w:spacing w:line="240" w:lineRule="atLeast"/>
              <w:ind w:left="0" w:leftChars="0" w:right="0" w:rightChars="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r>
              <w:rPr>
                <w:rFonts w:hint="eastAsia" w:hAnsi="宋体" w:cs="宋体"/>
                <w:i w:val="0"/>
                <w:iCs w:val="0"/>
                <w:color w:val="000000"/>
                <w:kern w:val="0"/>
                <w:sz w:val="18"/>
                <w:szCs w:val="18"/>
                <w:u w:val="none"/>
                <w:lang w:val="en-US" w:eastAsia="zh-CN" w:bidi="ar"/>
              </w:rPr>
              <w:t>0</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ABF30E">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r>
      <w:tr w14:paraId="01013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52"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8D865B">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restart"/>
            <w:tcBorders>
              <w:top w:val="single" w:color="000000" w:sz="4" w:space="0"/>
              <w:left w:val="single" w:color="000000" w:sz="4" w:space="0"/>
              <w:right w:val="single" w:color="000000" w:sz="4" w:space="0"/>
            </w:tcBorders>
            <w:shd w:val="clear" w:color="auto" w:fill="FFFFFF" w:themeFill="background1"/>
            <w:vAlign w:val="center"/>
          </w:tcPr>
          <w:p w14:paraId="29DC40A8">
            <w:pPr>
              <w:keepNext w:val="0"/>
              <w:keepLines w:val="0"/>
              <w:pageBreakBefore w:val="0"/>
              <w:widowControl w:val="0"/>
              <w:kinsoku/>
              <w:wordWrap/>
              <w:overflowPunct/>
              <w:topLinePunct w:val="0"/>
              <w:autoSpaceDE/>
              <w:autoSpaceDN/>
              <w:bidi w:val="0"/>
              <w:adjustRightInd/>
              <w:snapToGrid/>
              <w:spacing w:line="240" w:lineRule="atLeast"/>
              <w:jc w:val="both"/>
              <w:rPr>
                <w:rFonts w:hint="default" w:ascii="宋体" w:hAnsi="宋体" w:eastAsia="宋体" w:cs="宋体"/>
                <w:i w:val="0"/>
                <w:iCs w:val="0"/>
                <w:color w:val="000000"/>
                <w:sz w:val="18"/>
                <w:szCs w:val="18"/>
                <w:u w:val="none"/>
                <w:lang w:val="en-US" w:eastAsia="zh-CN"/>
              </w:rPr>
            </w:pPr>
            <w:r>
              <w:rPr>
                <w:rFonts w:hint="eastAsia" w:hAnsi="宋体" w:cs="宋体"/>
                <w:i w:val="0"/>
                <w:iCs w:val="0"/>
                <w:color w:val="000000"/>
                <w:sz w:val="18"/>
                <w:szCs w:val="18"/>
                <w:u w:val="none"/>
                <w:lang w:val="en-US" w:eastAsia="zh-CN"/>
              </w:rPr>
              <w:t>效益指标</w:t>
            </w:r>
          </w:p>
        </w:tc>
        <w:tc>
          <w:tcPr>
            <w:tcW w:w="8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28E823">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right="0" w:right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社会效益</w:t>
            </w:r>
          </w:p>
          <w:p w14:paraId="62BC492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指标</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4EDE6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通过项目的科技创新，示范引领，不断提高行业发展的积极性，激发茂县科技创新动力。</w:t>
            </w:r>
          </w:p>
        </w:tc>
        <w:tc>
          <w:tcPr>
            <w:tcW w:w="7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550887">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定性</w:t>
            </w:r>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4E9FD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良好</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78649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其他</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FC3870">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宋体" w:hAnsi="宋体" w:eastAsia="宋体" w:cs="宋体"/>
                <w:i w:val="0"/>
                <w:iCs w:val="0"/>
                <w:color w:val="000000"/>
                <w:sz w:val="18"/>
                <w:szCs w:val="18"/>
                <w:u w:val="none"/>
                <w:lang w:eastAsia="zh-CN"/>
              </w:rPr>
            </w:pPr>
            <w:r>
              <w:rPr>
                <w:rFonts w:hint="eastAsia" w:hAnsi="宋体" w:cs="宋体"/>
                <w:i w:val="0"/>
                <w:iCs w:val="0"/>
                <w:color w:val="000000"/>
                <w:sz w:val="18"/>
                <w:szCs w:val="18"/>
                <w:u w:val="none"/>
                <w:lang w:eastAsia="zh-CN"/>
              </w:rPr>
              <w:t>良好</w:t>
            </w:r>
          </w:p>
        </w:tc>
        <w:tc>
          <w:tcPr>
            <w:tcW w:w="54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4AA620">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5</w:t>
            </w:r>
          </w:p>
        </w:tc>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BCC33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5</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7F5DF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宋体" w:hAnsi="宋体" w:eastAsia="宋体" w:cs="宋体"/>
                <w:i w:val="0"/>
                <w:iCs w:val="0"/>
                <w:color w:val="000000"/>
                <w:sz w:val="18"/>
                <w:szCs w:val="18"/>
                <w:u w:val="none"/>
              </w:rPr>
            </w:pPr>
          </w:p>
        </w:tc>
      </w:tr>
      <w:tr w14:paraId="4E6A2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2"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477776">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vMerge w:val="continue"/>
            <w:tcBorders>
              <w:left w:val="single" w:color="000000" w:sz="4" w:space="0"/>
              <w:right w:val="single" w:color="000000" w:sz="4" w:space="0"/>
            </w:tcBorders>
            <w:shd w:val="clear" w:color="auto" w:fill="FFFFFF" w:themeFill="background1"/>
            <w:vAlign w:val="center"/>
          </w:tcPr>
          <w:p w14:paraId="7D41B0F1">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8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0F354E">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right="0" w:right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经济效益</w:t>
            </w:r>
          </w:p>
          <w:p w14:paraId="599DA714">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指标</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8EC8D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通过示范辐射带动周边群众发展产业生产，实现增产增收</w:t>
            </w:r>
          </w:p>
        </w:tc>
        <w:tc>
          <w:tcPr>
            <w:tcW w:w="7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4FA37F">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定性</w:t>
            </w:r>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49D094">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良好</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B4ED7F">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其他</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91E16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良好</w:t>
            </w:r>
          </w:p>
        </w:tc>
        <w:tc>
          <w:tcPr>
            <w:tcW w:w="54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8045D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5</w:t>
            </w:r>
          </w:p>
        </w:tc>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D520D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5</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13B9A8">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宋体" w:hAnsi="宋体" w:eastAsia="宋体" w:cs="宋体"/>
                <w:i w:val="0"/>
                <w:iCs w:val="0"/>
                <w:color w:val="000000"/>
                <w:sz w:val="18"/>
                <w:szCs w:val="18"/>
                <w:u w:val="none"/>
              </w:rPr>
            </w:pPr>
          </w:p>
        </w:tc>
      </w:tr>
      <w:tr w14:paraId="5FD97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4"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621E53">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left w:val="single" w:color="000000" w:sz="4" w:space="0"/>
              <w:bottom w:val="single" w:color="000000" w:sz="4" w:space="0"/>
              <w:right w:val="single" w:color="000000" w:sz="4" w:space="0"/>
            </w:tcBorders>
            <w:shd w:val="clear" w:color="auto" w:fill="FFFFFF" w:themeFill="background1"/>
            <w:vAlign w:val="center"/>
          </w:tcPr>
          <w:p w14:paraId="2533E94A">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成本指标</w:t>
            </w:r>
          </w:p>
        </w:tc>
        <w:tc>
          <w:tcPr>
            <w:tcW w:w="1518"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12BFB9">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经济成本指标</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C26920">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宋体" w:hAnsi="宋体" w:eastAsia="宋体" w:cs="宋体"/>
                <w:i w:val="0"/>
                <w:iCs w:val="0"/>
                <w:color w:val="000000"/>
                <w:sz w:val="18"/>
                <w:szCs w:val="18"/>
                <w:u w:val="none"/>
                <w:lang w:val="en-US"/>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下达资金</w:t>
            </w:r>
          </w:p>
        </w:tc>
        <w:tc>
          <w:tcPr>
            <w:tcW w:w="7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2ADA82">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720820">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165</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08BB80">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万元</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219D8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宋体" w:hAnsi="宋体" w:eastAsia="宋体" w:cs="宋体"/>
                <w:i w:val="0"/>
                <w:iCs w:val="0"/>
                <w:color w:val="000000"/>
                <w:sz w:val="18"/>
                <w:szCs w:val="18"/>
                <w:u w:val="none"/>
                <w:lang w:val="en-US"/>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165</w:t>
            </w:r>
          </w:p>
        </w:tc>
        <w:tc>
          <w:tcPr>
            <w:tcW w:w="54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88DE6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宋体" w:hAnsi="宋体" w:eastAsia="宋体" w:cs="宋体"/>
                <w:i w:val="0"/>
                <w:iCs w:val="0"/>
                <w:color w:val="000000"/>
                <w:sz w:val="18"/>
                <w:szCs w:val="18"/>
                <w:u w:val="none"/>
                <w:lang w:val="en-US" w:eastAsia="zh-CN"/>
              </w:rPr>
            </w:pPr>
            <w:r>
              <w:rPr>
                <w:rFonts w:hint="eastAsia" w:hAnsi="宋体" w:cs="宋体"/>
                <w:i w:val="0"/>
                <w:iCs w:val="0"/>
                <w:color w:val="000000"/>
                <w:sz w:val="18"/>
                <w:szCs w:val="18"/>
                <w:u w:val="none"/>
                <w:lang w:val="en-US" w:eastAsia="zh-CN"/>
              </w:rPr>
              <w:t>10</w:t>
            </w:r>
          </w:p>
        </w:tc>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116527">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宋体" w:hAnsi="宋体" w:eastAsia="宋体" w:cs="宋体"/>
                <w:i w:val="0"/>
                <w:iCs w:val="0"/>
                <w:color w:val="000000"/>
                <w:sz w:val="18"/>
                <w:szCs w:val="18"/>
                <w:u w:val="none"/>
                <w:lang w:val="en-US" w:eastAsia="zh-CN"/>
              </w:rPr>
            </w:pPr>
            <w:r>
              <w:rPr>
                <w:rFonts w:hint="eastAsia" w:hAnsi="宋体" w:cs="宋体"/>
                <w:i w:val="0"/>
                <w:iCs w:val="0"/>
                <w:color w:val="000000"/>
                <w:sz w:val="18"/>
                <w:szCs w:val="18"/>
                <w:u w:val="none"/>
                <w:lang w:val="en-US" w:eastAsia="zh-CN"/>
              </w:rPr>
              <w:t>10</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E0B1B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宋体" w:hAnsi="宋体" w:eastAsia="宋体" w:cs="宋体"/>
                <w:i w:val="0"/>
                <w:iCs w:val="0"/>
                <w:color w:val="000000"/>
                <w:sz w:val="18"/>
                <w:szCs w:val="18"/>
                <w:u w:val="none"/>
              </w:rPr>
            </w:pPr>
          </w:p>
        </w:tc>
      </w:tr>
      <w:tr w14:paraId="10112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79E597">
            <w:pPr>
              <w:keepNext w:val="0"/>
              <w:keepLines w:val="0"/>
              <w:pageBreakBefore w:val="0"/>
              <w:widowControl w:val="0"/>
              <w:kinsoku/>
              <w:wordWrap/>
              <w:overflowPunct/>
              <w:topLinePunct w:val="0"/>
              <w:autoSpaceDE/>
              <w:autoSpaceDN/>
              <w:bidi w:val="0"/>
              <w:adjustRightInd/>
              <w:snapToGrid/>
              <w:spacing w:line="240" w:lineRule="atLeast"/>
              <w:jc w:val="both"/>
              <w:rPr>
                <w:rFonts w:hint="eastAsia" w:ascii="宋体" w:hAnsi="宋体" w:eastAsia="宋体" w:cs="宋体"/>
                <w:i w:val="0"/>
                <w:iCs w:val="0"/>
                <w:color w:val="000000"/>
                <w:sz w:val="18"/>
                <w:szCs w:val="18"/>
                <w:u w:val="none"/>
              </w:rPr>
            </w:pPr>
          </w:p>
        </w:tc>
        <w:tc>
          <w:tcPr>
            <w:tcW w:w="94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D9AAB7">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right="0" w:right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满意度</w:t>
            </w:r>
          </w:p>
          <w:p w14:paraId="082414D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指标</w:t>
            </w:r>
          </w:p>
        </w:tc>
        <w:tc>
          <w:tcPr>
            <w:tcW w:w="1518"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8845CA">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right="0" w:rightChars="0"/>
              <w:jc w:val="both"/>
              <w:textAlignment w:val="auto"/>
              <w:outlineLvl w:val="9"/>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服务对象</w:t>
            </w:r>
          </w:p>
          <w:p w14:paraId="62F04927">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满意度指标</w:t>
            </w:r>
          </w:p>
        </w:tc>
        <w:tc>
          <w:tcPr>
            <w:tcW w:w="184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C46BC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受益区域农户对项目实施的满意度</w:t>
            </w:r>
          </w:p>
        </w:tc>
        <w:tc>
          <w:tcPr>
            <w:tcW w:w="75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25A9F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4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AC743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宋体" w:hAnsi="宋体" w:eastAsia="宋体" w:cs="宋体"/>
                <w:i w:val="0"/>
                <w:iCs w:val="0"/>
                <w:color w:val="000000"/>
                <w:sz w:val="18"/>
                <w:szCs w:val="18"/>
                <w:u w:val="none"/>
                <w:lang w:val="en-US"/>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C246BD">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ascii="宋体" w:hAnsi="宋体" w:eastAsia="宋体" w:cs="宋体"/>
                <w:i w:val="0"/>
                <w:iCs w:val="0"/>
                <w:color w:val="000000"/>
                <w:sz w:val="18"/>
                <w:szCs w:val="18"/>
                <w:u w:val="none"/>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F9D28D">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宋体" w:hAnsi="宋体" w:eastAsia="宋体" w:cs="宋体"/>
                <w:i w:val="0"/>
                <w:iCs w:val="0"/>
                <w:color w:val="000000"/>
                <w:sz w:val="18"/>
                <w:szCs w:val="18"/>
                <w:u w:val="none"/>
                <w:lang w:val="en-US"/>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98</w:t>
            </w:r>
          </w:p>
        </w:tc>
        <w:tc>
          <w:tcPr>
            <w:tcW w:w="54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AA82D9">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宋体" w:hAnsi="宋体" w:eastAsia="宋体" w:cs="宋体"/>
                <w:i w:val="0"/>
                <w:iCs w:val="0"/>
                <w:color w:val="000000"/>
                <w:sz w:val="18"/>
                <w:szCs w:val="18"/>
                <w:u w:val="none"/>
                <w:lang w:val="en-US" w:eastAsia="zh-CN"/>
              </w:rPr>
            </w:pPr>
            <w:r>
              <w:rPr>
                <w:rFonts w:hint="eastAsia" w:hAnsi="宋体" w:cs="宋体"/>
                <w:i w:val="0"/>
                <w:iCs w:val="0"/>
                <w:color w:val="000000"/>
                <w:sz w:val="18"/>
                <w:szCs w:val="18"/>
                <w:u w:val="none"/>
                <w:lang w:val="en-US" w:eastAsia="zh-CN"/>
              </w:rPr>
              <w:t>10</w:t>
            </w:r>
          </w:p>
        </w:tc>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E3986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default" w:ascii="宋体" w:hAnsi="宋体" w:eastAsia="宋体" w:cs="宋体"/>
                <w:i w:val="0"/>
                <w:iCs w:val="0"/>
                <w:color w:val="000000"/>
                <w:sz w:val="18"/>
                <w:szCs w:val="18"/>
                <w:u w:val="none"/>
                <w:lang w:val="en-US" w:eastAsia="zh-CN"/>
              </w:rPr>
            </w:pPr>
            <w:r>
              <w:rPr>
                <w:rFonts w:hint="eastAsia" w:hAnsi="宋体" w:cs="宋体"/>
                <w:i w:val="0"/>
                <w:iCs w:val="0"/>
                <w:color w:val="000000"/>
                <w:sz w:val="18"/>
                <w:szCs w:val="18"/>
                <w:u w:val="none"/>
                <w:lang w:val="en-US" w:eastAsia="zh-CN"/>
              </w:rPr>
              <w:t>10</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EBBF5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line="240" w:lineRule="exact"/>
              <w:ind w:left="0" w:leftChars="0" w:right="0" w:rightChars="0" w:firstLine="0" w:firstLineChars="0"/>
              <w:jc w:val="both"/>
              <w:textAlignment w:val="auto"/>
              <w:outlineLvl w:val="9"/>
              <w:rPr>
                <w:rFonts w:hint="eastAsia" w:ascii="宋体" w:hAnsi="宋体" w:eastAsia="宋体" w:cs="宋体"/>
                <w:i w:val="0"/>
                <w:iCs w:val="0"/>
                <w:color w:val="000000"/>
                <w:sz w:val="18"/>
                <w:szCs w:val="18"/>
                <w:u w:val="none"/>
              </w:rPr>
            </w:pPr>
          </w:p>
        </w:tc>
      </w:tr>
      <w:tr w14:paraId="2F515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52" w:hRule="atLeast"/>
          <w:jc w:val="center"/>
        </w:trPr>
        <w:tc>
          <w:tcPr>
            <w:tcW w:w="7115" w:type="dxa"/>
            <w:gridSpan w:val="10"/>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A67F70">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6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0397D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p>
        </w:tc>
        <w:tc>
          <w:tcPr>
            <w:tcW w:w="54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AB8BC1">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default" w:ascii="宋体" w:hAnsi="宋体" w:eastAsia="宋体" w:cs="宋体"/>
                <w:i w:val="0"/>
                <w:iCs w:val="0"/>
                <w:color w:val="000000"/>
                <w:sz w:val="18"/>
                <w:szCs w:val="18"/>
                <w:u w:val="none"/>
                <w:lang w:val="en-US"/>
              </w:rPr>
            </w:pPr>
            <w:r>
              <w:rPr>
                <w:rFonts w:hint="eastAsia" w:hAnsi="宋体" w:cs="宋体"/>
                <w:i w:val="0"/>
                <w:iCs w:val="0"/>
                <w:color w:val="000000"/>
                <w:kern w:val="0"/>
                <w:sz w:val="18"/>
                <w:szCs w:val="18"/>
                <w:u w:val="none"/>
                <w:lang w:val="en-US" w:eastAsia="zh-CN" w:bidi="ar"/>
              </w:rPr>
              <w:t>100</w:t>
            </w:r>
          </w:p>
        </w:tc>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EE6958">
            <w:pPr>
              <w:keepNext w:val="0"/>
              <w:keepLines w:val="0"/>
              <w:pageBreakBefore w:val="0"/>
              <w:widowControl w:val="0"/>
              <w:kinsoku/>
              <w:wordWrap/>
              <w:overflowPunct/>
              <w:topLinePunct w:val="0"/>
              <w:autoSpaceDE/>
              <w:autoSpaceDN/>
              <w:bidi w:val="0"/>
              <w:adjustRightInd/>
              <w:snapToGrid/>
              <w:spacing w:line="240" w:lineRule="atLeast"/>
              <w:jc w:val="both"/>
              <w:rPr>
                <w:rFonts w:hint="default" w:ascii="宋体" w:hAnsi="宋体" w:eastAsia="宋体" w:cs="宋体"/>
                <w:i w:val="0"/>
                <w:iCs w:val="0"/>
                <w:color w:val="000000"/>
                <w:sz w:val="18"/>
                <w:szCs w:val="18"/>
                <w:u w:val="none"/>
                <w:lang w:val="en-US" w:eastAsia="zh-CN"/>
              </w:rPr>
            </w:pPr>
            <w:r>
              <w:rPr>
                <w:rFonts w:hint="eastAsia" w:hAnsi="宋体" w:cs="宋体"/>
                <w:i w:val="0"/>
                <w:iCs w:val="0"/>
                <w:color w:val="000000"/>
                <w:sz w:val="18"/>
                <w:szCs w:val="18"/>
                <w:u w:val="none"/>
                <w:lang w:val="en-US" w:eastAsia="zh-CN"/>
              </w:rPr>
              <w:t>100</w:t>
            </w:r>
          </w:p>
        </w:tc>
        <w:tc>
          <w:tcPr>
            <w:tcW w:w="76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8A2383">
            <w:pPr>
              <w:keepNext w:val="0"/>
              <w:keepLines w:val="0"/>
              <w:pageBreakBefore w:val="0"/>
              <w:widowControl w:val="0"/>
              <w:kinsoku/>
              <w:wordWrap/>
              <w:overflowPunct/>
              <w:topLinePunct w:val="0"/>
              <w:autoSpaceDE/>
              <w:autoSpaceDN/>
              <w:bidi w:val="0"/>
              <w:adjustRightInd/>
              <w:snapToGrid/>
              <w:spacing w:line="240" w:lineRule="atLeast"/>
              <w:jc w:val="both"/>
              <w:rPr>
                <w:rFonts w:hint="eastAsia" w:hAnsi="宋体" w:cs="宋体"/>
                <w:i w:val="0"/>
                <w:iCs w:val="0"/>
                <w:color w:val="000000"/>
                <w:sz w:val="18"/>
                <w:szCs w:val="18"/>
                <w:u w:val="none"/>
                <w:lang w:val="en-US" w:eastAsia="zh-CN"/>
              </w:rPr>
            </w:pPr>
          </w:p>
        </w:tc>
      </w:tr>
      <w:tr w14:paraId="4DE32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06"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74E37C">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534" w:type="dxa"/>
            <w:gridSpan w:val="1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B0FB8C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hint="eastAsia" w:ascii="微软雅黑" w:hAnsi="微软雅黑" w:eastAsia="微软雅黑" w:cs="微软雅黑"/>
                <w:i w:val="0"/>
                <w:iCs w:val="0"/>
                <w:color w:val="000000"/>
                <w:sz w:val="16"/>
                <w:szCs w:val="16"/>
                <w:u w:val="none"/>
              </w:rPr>
            </w:pPr>
            <w:r>
              <w:rPr>
                <w:rFonts w:hint="eastAsia" w:ascii="宋体" w:hAnsi="宋体" w:eastAsia="宋体" w:cs="宋体"/>
                <w:i w:val="0"/>
                <w:iCs w:val="0"/>
                <w:color w:val="000000"/>
                <w:kern w:val="0"/>
                <w:sz w:val="18"/>
                <w:szCs w:val="18"/>
                <w:u w:val="none"/>
                <w:lang w:val="en-US" w:eastAsia="zh-CN" w:bidi="ar"/>
              </w:rPr>
              <w:t>该项目自评总得分</w:t>
            </w:r>
            <w:r>
              <w:rPr>
                <w:rFonts w:hint="eastAsia" w:hAnsi="宋体" w:cs="宋体"/>
                <w:i w:val="0"/>
                <w:iCs w:val="0"/>
                <w:color w:val="000000"/>
                <w:kern w:val="0"/>
                <w:sz w:val="18"/>
                <w:szCs w:val="18"/>
                <w:u w:val="none"/>
                <w:lang w:val="en-US" w:eastAsia="zh-CN" w:bidi="ar"/>
              </w:rPr>
              <w:t>100</w:t>
            </w:r>
            <w:r>
              <w:rPr>
                <w:rFonts w:hint="eastAsia" w:ascii="宋体" w:hAnsi="宋体" w:eastAsia="宋体" w:cs="宋体"/>
                <w:i w:val="0"/>
                <w:iCs w:val="0"/>
                <w:color w:val="000000"/>
                <w:kern w:val="0"/>
                <w:sz w:val="18"/>
                <w:szCs w:val="18"/>
                <w:u w:val="none"/>
                <w:lang w:val="en-US" w:eastAsia="zh-CN" w:bidi="ar"/>
              </w:rPr>
              <w:t>分，</w:t>
            </w:r>
            <w:r>
              <w:rPr>
                <w:rFonts w:hint="eastAsia" w:hAnsi="宋体" w:cs="宋体"/>
                <w:i w:val="0"/>
                <w:iCs w:val="0"/>
                <w:color w:val="000000"/>
                <w:kern w:val="0"/>
                <w:sz w:val="18"/>
                <w:szCs w:val="18"/>
                <w:u w:val="none"/>
                <w:lang w:val="en-US" w:eastAsia="zh-CN" w:bidi="ar"/>
              </w:rPr>
              <w:t>企业</w:t>
            </w: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实施茂县高半山区林下中药材种植模式研究与示范推广、茂县山地无融合无支架（架材）青砧1号苹果优新品种砧穗组合矮化密植栽培及育种试验示范、绞股蓝林下生态栽培技术集成及其茶产品开发研究、优质生态唐古特大黄林下种植关键技术示范推广、基于关节镜诊疗技术对民族地区膝关节疼痛患者的临床疗效研究、阿坝州茂县土门道</w:t>
            </w:r>
            <w:r>
              <w:rPr>
                <w:rFonts w:hint="eastAsia" w:asciiTheme="minorEastAsia" w:hAnsiTheme="minorEastAsia" w:eastAsiaTheme="minorEastAsia" w:cstheme="minorEastAsia"/>
                <w:b w:val="0"/>
                <w:bCs w:val="0"/>
                <w:i w:val="0"/>
                <w:iCs w:val="0"/>
                <w:color w:val="000000"/>
                <w:kern w:val="0"/>
                <w:sz w:val="18"/>
                <w:szCs w:val="18"/>
                <w:highlight w:val="none"/>
                <w:u w:val="none"/>
                <w:lang w:val="en-US" w:eastAsia="zh-CN" w:bidi="ar"/>
              </w:rPr>
              <w:t>地药材黄连种植技术的研究与集成示范和基于物联网技术的民族地区医疗废物转运智能信息化管理系统研究与应用</w:t>
            </w:r>
            <w:r>
              <w:rPr>
                <w:rFonts w:hint="eastAsia" w:cstheme="minorEastAsia"/>
                <w:b w:val="0"/>
                <w:bCs w:val="0"/>
                <w:i w:val="0"/>
                <w:iCs w:val="0"/>
                <w:color w:val="000000"/>
                <w:kern w:val="0"/>
                <w:sz w:val="18"/>
                <w:szCs w:val="18"/>
                <w:highlight w:val="none"/>
                <w:u w:val="none"/>
                <w:lang w:val="en-US" w:eastAsia="zh-CN" w:bidi="ar"/>
              </w:rPr>
              <w:t>等</w:t>
            </w:r>
            <w:r>
              <w:rPr>
                <w:rFonts w:hint="eastAsia" w:asciiTheme="minorEastAsia" w:hAnsiTheme="minorEastAsia" w:eastAsiaTheme="minorEastAsia" w:cstheme="minorEastAsia"/>
                <w:b w:val="0"/>
                <w:bCs w:val="0"/>
                <w:i w:val="0"/>
                <w:iCs w:val="0"/>
                <w:color w:val="000000"/>
                <w:kern w:val="0"/>
                <w:sz w:val="18"/>
                <w:szCs w:val="18"/>
                <w:highlight w:val="none"/>
                <w:u w:val="none"/>
                <w:lang w:val="en-US" w:eastAsia="zh-CN" w:bidi="ar"/>
              </w:rPr>
              <w:t>7个阿坝州应用技术研究与开发资金项目，通过项目的科技创新，示范引领，不断提高行业发展的积极性，激发茂县科技创</w:t>
            </w: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新动力，实现茂县经济高质量发展</w:t>
            </w:r>
          </w:p>
        </w:tc>
      </w:tr>
      <w:tr w14:paraId="27841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11"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E462E9">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534" w:type="dxa"/>
            <w:gridSpan w:val="1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0330D9">
            <w:pPr>
              <w:pStyle w:val="9"/>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line="240" w:lineRule="atLeast"/>
              <w:jc w:val="both"/>
              <w:textAlignment w:val="auto"/>
              <w:rPr>
                <w:rFonts w:hint="eastAsia" w:ascii="微软雅黑" w:hAnsi="微软雅黑" w:eastAsia="微软雅黑" w:cs="微软雅黑"/>
                <w:i w:val="0"/>
                <w:iCs w:val="0"/>
                <w:color w:val="000000"/>
                <w:sz w:val="16"/>
                <w:szCs w:val="16"/>
                <w:u w:val="none"/>
              </w:rPr>
            </w:pPr>
            <w:r>
              <w:rPr>
                <w:rFonts w:hint="eastAsia" w:ascii="宋体" w:hAnsi="宋体" w:eastAsia="宋体" w:cs="宋体"/>
                <w:i w:val="0"/>
                <w:iCs w:val="0"/>
                <w:color w:val="000000"/>
                <w:kern w:val="0"/>
                <w:position w:val="0"/>
                <w:sz w:val="18"/>
                <w:szCs w:val="18"/>
                <w:u w:val="none"/>
                <w:lang w:val="en-US" w:eastAsia="zh-CN" w:bidi="ar"/>
              </w:rPr>
              <w:t>无。</w:t>
            </w:r>
          </w:p>
        </w:tc>
      </w:tr>
      <w:tr w14:paraId="551CE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10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2DDE25">
            <w:pPr>
              <w:keepNext w:val="0"/>
              <w:keepLines w:val="0"/>
              <w:pageBreakBefore w:val="0"/>
              <w:widowControl w:val="0"/>
              <w:suppressLineNumbers w:val="0"/>
              <w:kinsoku/>
              <w:wordWrap/>
              <w:overflowPunct/>
              <w:topLinePunct w:val="0"/>
              <w:autoSpaceDE/>
              <w:autoSpaceDN/>
              <w:bidi w:val="0"/>
              <w:adjustRightInd/>
              <w:snapToGrid/>
              <w:spacing w:line="240" w:lineRule="atLeast"/>
              <w:jc w:val="both"/>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auto"/>
                <w:kern w:val="0"/>
                <w:sz w:val="18"/>
                <w:szCs w:val="18"/>
                <w:u w:val="none"/>
                <w:lang w:val="en-US" w:eastAsia="zh-CN" w:bidi="ar"/>
              </w:rPr>
              <w:t>改进措施</w:t>
            </w:r>
          </w:p>
        </w:tc>
        <w:tc>
          <w:tcPr>
            <w:tcW w:w="8534" w:type="dxa"/>
            <w:gridSpan w:val="1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B9F7BE0">
            <w:pPr>
              <w:pStyle w:val="9"/>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line="240" w:lineRule="atLeast"/>
              <w:jc w:val="both"/>
              <w:textAlignment w:val="auto"/>
              <w:rPr>
                <w:rFonts w:hint="eastAsia" w:ascii="微软雅黑" w:hAnsi="微软雅黑" w:eastAsia="微软雅黑" w:cs="微软雅黑"/>
                <w:i w:val="0"/>
                <w:iCs w:val="0"/>
                <w:color w:val="000000"/>
                <w:sz w:val="16"/>
                <w:szCs w:val="16"/>
                <w:u w:val="none"/>
              </w:rPr>
            </w:pPr>
            <w:r>
              <w:rPr>
                <w:rFonts w:hint="eastAsia" w:ascii="宋体" w:hAnsi="宋体" w:eastAsia="宋体" w:cs="宋体"/>
                <w:i w:val="0"/>
                <w:iCs w:val="0"/>
                <w:color w:val="000000"/>
                <w:kern w:val="0"/>
                <w:position w:val="0"/>
                <w:sz w:val="18"/>
                <w:szCs w:val="18"/>
                <w:u w:val="none"/>
                <w:lang w:val="en-US" w:eastAsia="zh-CN" w:bidi="ar"/>
              </w:rPr>
              <w:t>无。</w:t>
            </w:r>
          </w:p>
        </w:tc>
      </w:tr>
    </w:tbl>
    <w:p w14:paraId="090A032B">
      <w:pPr>
        <w:pStyle w:val="16"/>
        <w:keepNext w:val="0"/>
        <w:keepLines w:val="0"/>
        <w:pageBreakBefore w:val="0"/>
        <w:widowControl w:val="0"/>
        <w:suppressLineNumbers w:val="0"/>
        <w:kinsoku/>
        <w:wordWrap/>
        <w:overflowPunct/>
        <w:topLinePunct w:val="0"/>
        <w:bidi w:val="0"/>
        <w:snapToGrid/>
        <w:spacing w:before="0" w:beforeAutospacing="0"/>
        <w:ind w:left="0"/>
        <w:jc w:val="left"/>
        <w:rPr>
          <w:shd w:val="clear" w:fill="FFFFFF"/>
        </w:rPr>
      </w:pPr>
    </w:p>
    <w:p w14:paraId="0F5B8704">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jc w:val="both"/>
        <w:textAlignment w:val="auto"/>
        <w:outlineLvl w:val="0"/>
        <w:rPr>
          <w:rFonts w:hint="eastAsia" w:ascii="黑体" w:eastAsia="黑体" w:cs="Times New Roman"/>
          <w:b w:val="0"/>
          <w:sz w:val="44"/>
          <w:szCs w:val="44"/>
          <w:lang w:val="en-US" w:eastAsia="zh-CN" w:bidi="ar-SA"/>
        </w:rPr>
      </w:pPr>
    </w:p>
    <w:p w14:paraId="291A61F3">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jc w:val="both"/>
        <w:textAlignment w:val="auto"/>
        <w:outlineLvl w:val="0"/>
        <w:rPr>
          <w:rFonts w:hint="eastAsia" w:ascii="黑体" w:eastAsia="黑体" w:cs="Times New Roman"/>
          <w:b w:val="0"/>
          <w:sz w:val="44"/>
          <w:szCs w:val="44"/>
          <w:lang w:val="en-US" w:eastAsia="zh-CN" w:bidi="ar-SA"/>
        </w:rPr>
      </w:pPr>
    </w:p>
    <w:p w14:paraId="541CF594">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jc w:val="both"/>
        <w:textAlignment w:val="auto"/>
        <w:outlineLvl w:val="0"/>
        <w:rPr>
          <w:rFonts w:hint="eastAsia" w:ascii="黑体" w:eastAsia="黑体" w:cs="Times New Roman"/>
          <w:b w:val="0"/>
          <w:sz w:val="44"/>
          <w:szCs w:val="44"/>
          <w:lang w:val="en-US" w:eastAsia="zh-CN" w:bidi="ar-SA"/>
        </w:rPr>
      </w:pPr>
    </w:p>
    <w:p w14:paraId="648194E6">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jc w:val="both"/>
        <w:textAlignment w:val="auto"/>
        <w:outlineLvl w:val="0"/>
        <w:rPr>
          <w:rFonts w:hint="eastAsia" w:ascii="黑体" w:eastAsia="黑体" w:cs="Times New Roman"/>
          <w:b w:val="0"/>
          <w:sz w:val="44"/>
          <w:szCs w:val="44"/>
          <w:lang w:val="en-US" w:eastAsia="zh-CN" w:bidi="ar-SA"/>
        </w:rPr>
      </w:pPr>
    </w:p>
    <w:p w14:paraId="36264A89">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jc w:val="both"/>
        <w:textAlignment w:val="auto"/>
        <w:outlineLvl w:val="0"/>
        <w:rPr>
          <w:rFonts w:hint="eastAsia" w:ascii="黑体" w:eastAsia="黑体" w:cs="Times New Roman"/>
          <w:b w:val="0"/>
          <w:sz w:val="44"/>
          <w:szCs w:val="44"/>
          <w:lang w:val="en-US" w:eastAsia="zh-CN" w:bidi="ar-SA"/>
        </w:rPr>
      </w:pPr>
    </w:p>
    <w:p w14:paraId="11AF8454">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jc w:val="both"/>
        <w:textAlignment w:val="auto"/>
        <w:outlineLvl w:val="0"/>
        <w:rPr>
          <w:rFonts w:hint="eastAsia" w:ascii="黑体" w:eastAsia="黑体" w:cs="Times New Roman"/>
          <w:b w:val="0"/>
          <w:sz w:val="44"/>
          <w:szCs w:val="44"/>
          <w:lang w:val="en-US" w:eastAsia="zh-CN" w:bidi="ar-SA"/>
        </w:rPr>
      </w:pPr>
    </w:p>
    <w:p w14:paraId="7C217D34">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jc w:val="both"/>
        <w:textAlignment w:val="auto"/>
        <w:outlineLvl w:val="0"/>
        <w:rPr>
          <w:rFonts w:hint="eastAsia" w:ascii="黑体" w:eastAsia="黑体" w:cs="Times New Roman"/>
          <w:b w:val="0"/>
          <w:sz w:val="44"/>
          <w:szCs w:val="44"/>
          <w:lang w:val="en-US" w:eastAsia="zh-CN" w:bidi="ar-SA"/>
        </w:rPr>
      </w:pPr>
    </w:p>
    <w:p w14:paraId="013FCE38">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jc w:val="both"/>
        <w:textAlignment w:val="auto"/>
        <w:outlineLvl w:val="0"/>
        <w:rPr>
          <w:rFonts w:hint="eastAsia" w:ascii="黑体" w:eastAsia="黑体" w:cs="Times New Roman"/>
          <w:b w:val="0"/>
          <w:sz w:val="44"/>
          <w:szCs w:val="44"/>
          <w:lang w:val="en-US" w:eastAsia="zh-CN" w:bidi="ar-SA"/>
        </w:rPr>
      </w:pPr>
    </w:p>
    <w:p w14:paraId="06F44711">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jc w:val="both"/>
        <w:textAlignment w:val="auto"/>
        <w:outlineLvl w:val="0"/>
        <w:rPr>
          <w:rFonts w:hint="eastAsia" w:ascii="黑体" w:eastAsia="黑体" w:cs="Times New Roman"/>
          <w:b w:val="0"/>
          <w:sz w:val="44"/>
          <w:szCs w:val="44"/>
          <w:lang w:val="en-US" w:eastAsia="zh-CN" w:bidi="ar-SA"/>
        </w:rPr>
      </w:pPr>
    </w:p>
    <w:p w14:paraId="6B633C1F">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jc w:val="center"/>
        <w:textAlignment w:val="auto"/>
        <w:outlineLvl w:val="0"/>
        <w:rPr>
          <w:rFonts w:hint="eastAsia" w:ascii="黑体" w:eastAsia="黑体" w:cs="Times New Roman"/>
          <w:b w:val="0"/>
          <w:sz w:val="44"/>
          <w:szCs w:val="44"/>
          <w:lang w:val="en-US" w:eastAsia="zh-CN" w:bidi="ar-SA"/>
        </w:rPr>
      </w:pPr>
    </w:p>
    <w:p w14:paraId="0F529259">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jc w:val="center"/>
        <w:textAlignment w:val="auto"/>
        <w:outlineLvl w:val="0"/>
        <w:rPr>
          <w:rFonts w:hint="eastAsia" w:ascii="黑体" w:eastAsia="黑体" w:cs="Times New Roman"/>
          <w:b w:val="0"/>
          <w:sz w:val="44"/>
          <w:szCs w:val="44"/>
          <w:lang w:val="en-US" w:eastAsia="zh-CN" w:bidi="ar-SA"/>
        </w:rPr>
      </w:pPr>
      <w:bookmarkStart w:id="129" w:name="_Toc1855824379"/>
      <w:r>
        <w:rPr>
          <w:rFonts w:hint="eastAsia" w:ascii="黑体" w:eastAsia="黑体" w:cs="Times New Roman"/>
          <w:b w:val="0"/>
          <w:sz w:val="44"/>
          <w:szCs w:val="44"/>
          <w:lang w:val="en-US" w:eastAsia="zh-CN" w:bidi="ar-SA"/>
        </w:rPr>
        <w:t>第五部分 附表</w:t>
      </w:r>
      <w:bookmarkEnd w:id="111"/>
      <w:bookmarkEnd w:id="112"/>
      <w:bookmarkEnd w:id="113"/>
      <w:bookmarkEnd w:id="129"/>
      <w:bookmarkStart w:id="130" w:name="_Toc15434"/>
      <w:bookmarkStart w:id="131" w:name="_Toc28912"/>
    </w:p>
    <w:p w14:paraId="168EAE70">
      <w:pPr>
        <w:pStyle w:val="2"/>
        <w:rPr>
          <w:rFonts w:hint="eastAsia"/>
        </w:rPr>
      </w:pPr>
    </w:p>
    <w:p w14:paraId="3BE063B2">
      <w:pPr>
        <w:pStyle w:val="28"/>
        <w:keepNext w:val="0"/>
        <w:keepLines w:val="0"/>
        <w:pageBreakBefore w:val="0"/>
        <w:widowControl w:val="0"/>
        <w:suppressLineNumbers w:val="0"/>
        <w:kinsoku/>
        <w:wordWrap/>
        <w:overflowPunct/>
        <w:topLinePunct w:val="0"/>
        <w:bidi w:val="0"/>
        <w:spacing w:line="560" w:lineRule="exact"/>
        <w:ind w:right="0"/>
        <w:jc w:val="both"/>
        <w:outlineLvl w:val="1"/>
        <w:rPr>
          <w:rFonts w:hint="eastAsia" w:ascii="黑体" w:hAnsi="黑体" w:eastAsia="黑体" w:cs="黑体"/>
          <w:b w:val="0"/>
          <w:bCs/>
          <w:color w:val="000000"/>
          <w:kern w:val="2"/>
          <w:sz w:val="32"/>
          <w:szCs w:val="32"/>
        </w:rPr>
      </w:pPr>
      <w:bookmarkStart w:id="132" w:name="_Toc1075816074"/>
      <w:r>
        <w:rPr>
          <w:rFonts w:hint="eastAsia" w:ascii="黑体" w:hAnsi="黑体" w:eastAsia="黑体" w:cs="黑体"/>
          <w:b w:val="0"/>
          <w:bCs/>
          <w:color w:val="000000"/>
          <w:kern w:val="2"/>
          <w:sz w:val="32"/>
          <w:szCs w:val="32"/>
          <w:lang w:val="en-US" w:eastAsia="zh-CN"/>
        </w:rPr>
        <w:t>一、</w:t>
      </w:r>
      <w:r>
        <w:rPr>
          <w:rFonts w:hint="eastAsia" w:ascii="黑体" w:hAnsi="黑体" w:eastAsia="黑体" w:cs="黑体"/>
          <w:b w:val="0"/>
          <w:bCs/>
          <w:color w:val="000000"/>
          <w:kern w:val="2"/>
          <w:sz w:val="32"/>
          <w:szCs w:val="32"/>
        </w:rPr>
        <w:t>收入支出决算总表</w:t>
      </w:r>
      <w:bookmarkEnd w:id="130"/>
      <w:bookmarkEnd w:id="131"/>
      <w:bookmarkEnd w:id="132"/>
      <w:bookmarkStart w:id="133" w:name="_Toc15691"/>
      <w:bookmarkStart w:id="134" w:name="_Toc28407"/>
    </w:p>
    <w:p w14:paraId="140174F0">
      <w:pPr>
        <w:pStyle w:val="28"/>
        <w:keepNext w:val="0"/>
        <w:keepLines w:val="0"/>
        <w:pageBreakBefore w:val="0"/>
        <w:widowControl w:val="0"/>
        <w:suppressLineNumbers w:val="0"/>
        <w:kinsoku/>
        <w:wordWrap/>
        <w:overflowPunct/>
        <w:topLinePunct w:val="0"/>
        <w:bidi w:val="0"/>
        <w:spacing w:line="560" w:lineRule="exact"/>
        <w:ind w:right="0"/>
        <w:jc w:val="both"/>
        <w:outlineLvl w:val="1"/>
        <w:rPr>
          <w:rFonts w:hint="eastAsia" w:ascii="黑体" w:hAnsi="黑体" w:eastAsia="黑体" w:cs="黑体"/>
          <w:b w:val="0"/>
          <w:bCs/>
          <w:color w:val="000000"/>
          <w:kern w:val="2"/>
          <w:sz w:val="32"/>
          <w:szCs w:val="32"/>
        </w:rPr>
      </w:pPr>
      <w:bookmarkStart w:id="135" w:name="_Toc1051171700"/>
      <w:r>
        <w:rPr>
          <w:rFonts w:hint="eastAsia" w:ascii="黑体" w:hAnsi="黑体" w:eastAsia="黑体" w:cs="黑体"/>
          <w:b w:val="0"/>
          <w:bCs/>
          <w:color w:val="000000"/>
          <w:kern w:val="2"/>
          <w:sz w:val="32"/>
          <w:szCs w:val="32"/>
        </w:rPr>
        <w:t>二、收入决算表</w:t>
      </w:r>
      <w:bookmarkEnd w:id="133"/>
      <w:bookmarkEnd w:id="134"/>
      <w:bookmarkEnd w:id="135"/>
    </w:p>
    <w:p w14:paraId="5D171914">
      <w:pPr>
        <w:pStyle w:val="28"/>
        <w:keepNext w:val="0"/>
        <w:keepLines w:val="0"/>
        <w:pageBreakBefore w:val="0"/>
        <w:widowControl w:val="0"/>
        <w:suppressLineNumbers w:val="0"/>
        <w:kinsoku/>
        <w:wordWrap/>
        <w:overflowPunct/>
        <w:topLinePunct w:val="0"/>
        <w:bidi w:val="0"/>
        <w:spacing w:line="560" w:lineRule="exact"/>
        <w:ind w:right="0"/>
        <w:jc w:val="both"/>
        <w:outlineLvl w:val="1"/>
        <w:rPr>
          <w:rFonts w:hint="eastAsia" w:ascii="黑体" w:hAnsi="黑体" w:eastAsia="黑体" w:cs="黑体"/>
          <w:b w:val="0"/>
          <w:bCs/>
          <w:color w:val="000000"/>
          <w:kern w:val="2"/>
          <w:sz w:val="32"/>
          <w:szCs w:val="32"/>
        </w:rPr>
      </w:pPr>
      <w:bookmarkStart w:id="136" w:name="_Toc11856"/>
      <w:bookmarkStart w:id="137" w:name="_Toc261585051"/>
      <w:bookmarkStart w:id="138" w:name="_Toc1189"/>
      <w:r>
        <w:rPr>
          <w:rFonts w:hint="eastAsia" w:ascii="黑体" w:hAnsi="黑体" w:eastAsia="黑体" w:cs="黑体"/>
          <w:b w:val="0"/>
          <w:bCs/>
          <w:color w:val="000000"/>
          <w:kern w:val="2"/>
          <w:sz w:val="32"/>
          <w:szCs w:val="32"/>
        </w:rPr>
        <w:t>三、支出决算表</w:t>
      </w:r>
      <w:bookmarkEnd w:id="136"/>
      <w:bookmarkEnd w:id="137"/>
      <w:bookmarkEnd w:id="138"/>
    </w:p>
    <w:p w14:paraId="21008983">
      <w:pPr>
        <w:pStyle w:val="28"/>
        <w:keepNext w:val="0"/>
        <w:keepLines w:val="0"/>
        <w:pageBreakBefore w:val="0"/>
        <w:widowControl w:val="0"/>
        <w:suppressLineNumbers w:val="0"/>
        <w:kinsoku/>
        <w:wordWrap/>
        <w:overflowPunct/>
        <w:topLinePunct w:val="0"/>
        <w:bidi w:val="0"/>
        <w:spacing w:line="560" w:lineRule="exact"/>
        <w:ind w:right="0"/>
        <w:jc w:val="both"/>
        <w:outlineLvl w:val="1"/>
        <w:rPr>
          <w:rFonts w:hint="eastAsia" w:ascii="黑体" w:hAnsi="黑体" w:eastAsia="黑体" w:cs="黑体"/>
          <w:b w:val="0"/>
          <w:bCs/>
          <w:color w:val="000000"/>
          <w:kern w:val="2"/>
          <w:sz w:val="32"/>
          <w:szCs w:val="32"/>
        </w:rPr>
      </w:pPr>
      <w:bookmarkStart w:id="139" w:name="_Toc1956062203"/>
      <w:bookmarkStart w:id="140" w:name="_Toc25907"/>
      <w:bookmarkStart w:id="141" w:name="_Toc11430"/>
      <w:r>
        <w:rPr>
          <w:rFonts w:hint="eastAsia" w:ascii="黑体" w:hAnsi="黑体" w:eastAsia="黑体" w:cs="黑体"/>
          <w:b w:val="0"/>
          <w:bCs/>
          <w:color w:val="000000"/>
          <w:kern w:val="2"/>
          <w:sz w:val="32"/>
          <w:szCs w:val="32"/>
        </w:rPr>
        <w:t>四、财政拨款收入支出决算总表</w:t>
      </w:r>
      <w:bookmarkEnd w:id="139"/>
      <w:bookmarkEnd w:id="140"/>
      <w:bookmarkEnd w:id="141"/>
    </w:p>
    <w:p w14:paraId="72C5C01C">
      <w:pPr>
        <w:pStyle w:val="28"/>
        <w:keepNext w:val="0"/>
        <w:keepLines w:val="0"/>
        <w:pageBreakBefore w:val="0"/>
        <w:widowControl w:val="0"/>
        <w:suppressLineNumbers w:val="0"/>
        <w:kinsoku/>
        <w:wordWrap/>
        <w:overflowPunct/>
        <w:topLinePunct w:val="0"/>
        <w:bidi w:val="0"/>
        <w:spacing w:line="560" w:lineRule="exact"/>
        <w:ind w:right="0"/>
        <w:jc w:val="both"/>
        <w:outlineLvl w:val="1"/>
        <w:rPr>
          <w:rFonts w:hint="eastAsia" w:ascii="黑体" w:hAnsi="黑体" w:eastAsia="黑体" w:cs="黑体"/>
          <w:b w:val="0"/>
          <w:bCs/>
          <w:color w:val="000000"/>
          <w:kern w:val="2"/>
          <w:sz w:val="32"/>
          <w:szCs w:val="32"/>
        </w:rPr>
      </w:pPr>
      <w:bookmarkStart w:id="142" w:name="_Toc1448672727"/>
      <w:bookmarkStart w:id="143" w:name="_Toc15912"/>
      <w:bookmarkStart w:id="144" w:name="_Toc25329"/>
      <w:r>
        <w:rPr>
          <w:rFonts w:hint="eastAsia" w:ascii="黑体" w:hAnsi="黑体" w:eastAsia="黑体" w:cs="黑体"/>
          <w:b w:val="0"/>
          <w:bCs/>
          <w:color w:val="000000"/>
          <w:kern w:val="2"/>
          <w:sz w:val="32"/>
          <w:szCs w:val="32"/>
        </w:rPr>
        <w:t>五、财政拨款支出决算明细表</w:t>
      </w:r>
      <w:bookmarkEnd w:id="142"/>
      <w:bookmarkEnd w:id="143"/>
      <w:bookmarkEnd w:id="144"/>
    </w:p>
    <w:p w14:paraId="451C9A89">
      <w:pPr>
        <w:pStyle w:val="28"/>
        <w:keepNext w:val="0"/>
        <w:keepLines w:val="0"/>
        <w:pageBreakBefore w:val="0"/>
        <w:widowControl w:val="0"/>
        <w:suppressLineNumbers w:val="0"/>
        <w:kinsoku/>
        <w:wordWrap/>
        <w:overflowPunct/>
        <w:topLinePunct w:val="0"/>
        <w:bidi w:val="0"/>
        <w:spacing w:line="560" w:lineRule="exact"/>
        <w:ind w:right="0"/>
        <w:jc w:val="both"/>
        <w:outlineLvl w:val="1"/>
        <w:rPr>
          <w:rFonts w:hint="eastAsia" w:ascii="黑体" w:hAnsi="黑体" w:eastAsia="黑体" w:cs="黑体"/>
          <w:b w:val="0"/>
          <w:bCs/>
          <w:color w:val="000000"/>
          <w:kern w:val="2"/>
          <w:sz w:val="32"/>
          <w:szCs w:val="32"/>
        </w:rPr>
      </w:pPr>
      <w:bookmarkStart w:id="145" w:name="_Toc14554"/>
      <w:bookmarkStart w:id="146" w:name="_Toc1767975113"/>
      <w:bookmarkStart w:id="147" w:name="_Toc10267"/>
      <w:r>
        <w:rPr>
          <w:rFonts w:hint="eastAsia" w:ascii="黑体" w:hAnsi="黑体" w:eastAsia="黑体" w:cs="黑体"/>
          <w:b w:val="0"/>
          <w:bCs/>
          <w:color w:val="000000"/>
          <w:kern w:val="2"/>
          <w:sz w:val="32"/>
          <w:szCs w:val="32"/>
        </w:rPr>
        <w:t>六、一般公共预算财政拨款支出决算表</w:t>
      </w:r>
      <w:bookmarkEnd w:id="145"/>
      <w:bookmarkEnd w:id="146"/>
      <w:bookmarkEnd w:id="147"/>
    </w:p>
    <w:p w14:paraId="63E20F1A">
      <w:pPr>
        <w:pStyle w:val="28"/>
        <w:keepNext w:val="0"/>
        <w:keepLines w:val="0"/>
        <w:pageBreakBefore w:val="0"/>
        <w:widowControl w:val="0"/>
        <w:suppressLineNumbers w:val="0"/>
        <w:kinsoku/>
        <w:wordWrap/>
        <w:overflowPunct/>
        <w:topLinePunct w:val="0"/>
        <w:bidi w:val="0"/>
        <w:spacing w:line="560" w:lineRule="exact"/>
        <w:ind w:right="0"/>
        <w:jc w:val="both"/>
        <w:outlineLvl w:val="1"/>
        <w:rPr>
          <w:rFonts w:hint="eastAsia" w:ascii="黑体" w:hAnsi="黑体" w:eastAsia="黑体" w:cs="黑体"/>
          <w:b w:val="0"/>
          <w:bCs/>
          <w:color w:val="000000"/>
          <w:kern w:val="2"/>
          <w:sz w:val="32"/>
          <w:szCs w:val="32"/>
        </w:rPr>
      </w:pPr>
      <w:bookmarkStart w:id="148" w:name="_Toc436"/>
      <w:bookmarkStart w:id="149" w:name="_Toc703"/>
      <w:bookmarkStart w:id="150" w:name="_Toc1529278185"/>
      <w:r>
        <w:rPr>
          <w:rFonts w:hint="eastAsia" w:ascii="黑体" w:hAnsi="黑体" w:eastAsia="黑体" w:cs="黑体"/>
          <w:b w:val="0"/>
          <w:bCs/>
          <w:color w:val="000000"/>
          <w:kern w:val="2"/>
          <w:sz w:val="32"/>
          <w:szCs w:val="32"/>
        </w:rPr>
        <w:t>七、一般公共预算财政拨款支出决算明细表</w:t>
      </w:r>
      <w:bookmarkEnd w:id="148"/>
      <w:bookmarkEnd w:id="149"/>
      <w:bookmarkEnd w:id="150"/>
    </w:p>
    <w:p w14:paraId="7F853A5C">
      <w:pPr>
        <w:pStyle w:val="28"/>
        <w:keepNext w:val="0"/>
        <w:keepLines w:val="0"/>
        <w:pageBreakBefore w:val="0"/>
        <w:widowControl w:val="0"/>
        <w:suppressLineNumbers w:val="0"/>
        <w:kinsoku/>
        <w:wordWrap/>
        <w:overflowPunct/>
        <w:topLinePunct w:val="0"/>
        <w:bidi w:val="0"/>
        <w:spacing w:line="560" w:lineRule="exact"/>
        <w:ind w:right="0"/>
        <w:jc w:val="both"/>
        <w:outlineLvl w:val="1"/>
        <w:rPr>
          <w:rFonts w:hint="eastAsia" w:ascii="黑体" w:hAnsi="黑体" w:eastAsia="黑体" w:cs="黑体"/>
          <w:b w:val="0"/>
          <w:bCs/>
          <w:color w:val="000000"/>
          <w:kern w:val="2"/>
          <w:sz w:val="32"/>
          <w:szCs w:val="32"/>
        </w:rPr>
      </w:pPr>
      <w:bookmarkStart w:id="151" w:name="_Toc616333723"/>
      <w:bookmarkStart w:id="152" w:name="_Toc26772"/>
      <w:bookmarkStart w:id="153" w:name="_Toc1164"/>
      <w:r>
        <w:rPr>
          <w:rFonts w:hint="eastAsia" w:ascii="黑体" w:hAnsi="黑体" w:eastAsia="黑体" w:cs="黑体"/>
          <w:b w:val="0"/>
          <w:bCs/>
          <w:color w:val="000000"/>
          <w:kern w:val="2"/>
          <w:sz w:val="32"/>
          <w:szCs w:val="32"/>
        </w:rPr>
        <w:t>八、一般公共预算财政拨款基本支出决算表</w:t>
      </w:r>
      <w:bookmarkEnd w:id="151"/>
      <w:bookmarkEnd w:id="152"/>
      <w:bookmarkEnd w:id="153"/>
    </w:p>
    <w:p w14:paraId="49C93FD9">
      <w:pPr>
        <w:pStyle w:val="28"/>
        <w:keepNext w:val="0"/>
        <w:keepLines w:val="0"/>
        <w:pageBreakBefore w:val="0"/>
        <w:widowControl w:val="0"/>
        <w:suppressLineNumbers w:val="0"/>
        <w:kinsoku/>
        <w:wordWrap/>
        <w:overflowPunct/>
        <w:topLinePunct w:val="0"/>
        <w:bidi w:val="0"/>
        <w:spacing w:line="560" w:lineRule="exact"/>
        <w:ind w:right="0"/>
        <w:jc w:val="both"/>
        <w:outlineLvl w:val="1"/>
        <w:rPr>
          <w:rFonts w:hint="eastAsia" w:ascii="黑体" w:hAnsi="黑体" w:eastAsia="黑体" w:cs="黑体"/>
          <w:b w:val="0"/>
          <w:bCs/>
          <w:color w:val="000000"/>
          <w:kern w:val="2"/>
          <w:sz w:val="32"/>
          <w:szCs w:val="32"/>
        </w:rPr>
      </w:pPr>
      <w:bookmarkStart w:id="154" w:name="_Toc1549628368"/>
      <w:bookmarkStart w:id="155" w:name="_Toc19486"/>
      <w:bookmarkStart w:id="156" w:name="_Toc30827"/>
      <w:r>
        <w:rPr>
          <w:rFonts w:hint="eastAsia" w:ascii="黑体" w:hAnsi="黑体" w:eastAsia="黑体" w:cs="黑体"/>
          <w:b w:val="0"/>
          <w:bCs/>
          <w:color w:val="000000"/>
          <w:kern w:val="2"/>
          <w:sz w:val="32"/>
          <w:szCs w:val="32"/>
        </w:rPr>
        <w:t>九、一般公共预算财政拨款项目支出决算表</w:t>
      </w:r>
      <w:bookmarkEnd w:id="154"/>
      <w:bookmarkEnd w:id="155"/>
      <w:bookmarkEnd w:id="156"/>
    </w:p>
    <w:p w14:paraId="5EB08C0A">
      <w:pPr>
        <w:pStyle w:val="28"/>
        <w:keepNext w:val="0"/>
        <w:keepLines w:val="0"/>
        <w:pageBreakBefore w:val="0"/>
        <w:widowControl w:val="0"/>
        <w:suppressLineNumbers w:val="0"/>
        <w:kinsoku/>
        <w:wordWrap/>
        <w:overflowPunct/>
        <w:topLinePunct w:val="0"/>
        <w:bidi w:val="0"/>
        <w:spacing w:line="560" w:lineRule="exact"/>
        <w:ind w:right="0"/>
        <w:jc w:val="both"/>
        <w:outlineLvl w:val="1"/>
        <w:rPr>
          <w:rFonts w:hint="eastAsia" w:ascii="黑体" w:hAnsi="黑体" w:eastAsia="黑体" w:cs="黑体"/>
          <w:b w:val="0"/>
          <w:bCs/>
          <w:color w:val="000000"/>
          <w:kern w:val="2"/>
          <w:sz w:val="32"/>
          <w:szCs w:val="32"/>
        </w:rPr>
      </w:pPr>
      <w:bookmarkStart w:id="157" w:name="_Toc26030"/>
      <w:bookmarkStart w:id="158" w:name="_Toc943"/>
      <w:bookmarkStart w:id="159" w:name="_Toc2073349750"/>
      <w:r>
        <w:rPr>
          <w:rFonts w:hint="eastAsia" w:ascii="黑体" w:hAnsi="黑体" w:eastAsia="黑体" w:cs="黑体"/>
          <w:b w:val="0"/>
          <w:bCs/>
          <w:color w:val="000000"/>
          <w:kern w:val="2"/>
          <w:sz w:val="32"/>
          <w:szCs w:val="32"/>
        </w:rPr>
        <w:t>十、政府性基金预算财政拨款收入支出决算表</w:t>
      </w:r>
      <w:bookmarkEnd w:id="157"/>
      <w:bookmarkEnd w:id="158"/>
      <w:bookmarkEnd w:id="159"/>
    </w:p>
    <w:p w14:paraId="40073CBA">
      <w:pPr>
        <w:pStyle w:val="28"/>
        <w:keepNext w:val="0"/>
        <w:keepLines w:val="0"/>
        <w:pageBreakBefore w:val="0"/>
        <w:widowControl w:val="0"/>
        <w:suppressLineNumbers w:val="0"/>
        <w:kinsoku/>
        <w:wordWrap/>
        <w:overflowPunct/>
        <w:topLinePunct w:val="0"/>
        <w:bidi w:val="0"/>
        <w:spacing w:line="560" w:lineRule="exact"/>
        <w:ind w:right="0"/>
        <w:jc w:val="both"/>
        <w:outlineLvl w:val="1"/>
        <w:rPr>
          <w:rFonts w:hint="eastAsia" w:ascii="黑体" w:hAnsi="黑体" w:eastAsia="黑体" w:cs="黑体"/>
          <w:b w:val="0"/>
          <w:bCs/>
          <w:color w:val="000000"/>
          <w:kern w:val="2"/>
          <w:sz w:val="32"/>
          <w:szCs w:val="32"/>
        </w:rPr>
      </w:pPr>
      <w:bookmarkStart w:id="160" w:name="_Toc780689705"/>
      <w:bookmarkStart w:id="161" w:name="_Toc30301"/>
      <w:bookmarkStart w:id="162" w:name="_Toc25909"/>
      <w:r>
        <w:rPr>
          <w:rFonts w:hint="eastAsia" w:ascii="黑体" w:hAnsi="黑体" w:eastAsia="黑体" w:cs="黑体"/>
          <w:b w:val="0"/>
          <w:bCs/>
          <w:color w:val="000000"/>
          <w:kern w:val="2"/>
          <w:sz w:val="32"/>
          <w:szCs w:val="32"/>
        </w:rPr>
        <w:t>十一、国有资本经营预算财政拨款收入支出决算表</w:t>
      </w:r>
      <w:bookmarkEnd w:id="160"/>
      <w:bookmarkEnd w:id="161"/>
      <w:bookmarkEnd w:id="162"/>
    </w:p>
    <w:p w14:paraId="579D6DB8">
      <w:pPr>
        <w:pStyle w:val="28"/>
        <w:keepNext w:val="0"/>
        <w:keepLines w:val="0"/>
        <w:pageBreakBefore w:val="0"/>
        <w:widowControl w:val="0"/>
        <w:suppressLineNumbers w:val="0"/>
        <w:kinsoku/>
        <w:wordWrap/>
        <w:overflowPunct/>
        <w:topLinePunct w:val="0"/>
        <w:bidi w:val="0"/>
        <w:spacing w:line="560" w:lineRule="exact"/>
        <w:ind w:right="0"/>
        <w:jc w:val="both"/>
        <w:outlineLvl w:val="1"/>
        <w:rPr>
          <w:rFonts w:hint="eastAsia" w:ascii="黑体" w:hAnsi="黑体" w:eastAsia="黑体" w:cs="黑体"/>
          <w:b w:val="0"/>
          <w:bCs/>
          <w:color w:val="000000"/>
          <w:kern w:val="2"/>
          <w:sz w:val="32"/>
          <w:szCs w:val="32"/>
        </w:rPr>
      </w:pPr>
      <w:bookmarkStart w:id="163" w:name="_Toc21085"/>
      <w:bookmarkStart w:id="164" w:name="_Toc27357"/>
      <w:bookmarkStart w:id="165" w:name="_Toc1123461446"/>
      <w:r>
        <w:rPr>
          <w:rFonts w:hint="eastAsia" w:ascii="黑体" w:hAnsi="黑体" w:eastAsia="黑体" w:cs="黑体"/>
          <w:b w:val="0"/>
          <w:bCs/>
          <w:color w:val="000000"/>
          <w:kern w:val="2"/>
          <w:sz w:val="32"/>
          <w:szCs w:val="32"/>
        </w:rPr>
        <w:t>十二、国有资本经营预算财政拨款支出决算表</w:t>
      </w:r>
      <w:bookmarkEnd w:id="163"/>
      <w:bookmarkEnd w:id="164"/>
      <w:bookmarkEnd w:id="165"/>
    </w:p>
    <w:p w14:paraId="66F5ECCB">
      <w:pPr>
        <w:pStyle w:val="28"/>
        <w:keepNext w:val="0"/>
        <w:keepLines w:val="0"/>
        <w:pageBreakBefore w:val="0"/>
        <w:widowControl w:val="0"/>
        <w:suppressLineNumbers w:val="0"/>
        <w:kinsoku/>
        <w:wordWrap/>
        <w:overflowPunct/>
        <w:topLinePunct w:val="0"/>
        <w:bidi w:val="0"/>
        <w:spacing w:line="560" w:lineRule="exact"/>
        <w:ind w:right="0"/>
        <w:jc w:val="both"/>
        <w:outlineLvl w:val="1"/>
        <w:rPr>
          <w:rFonts w:hint="eastAsia" w:ascii="黑体" w:hAnsi="黑体" w:eastAsia="黑体" w:cs="黑体"/>
          <w:b w:val="0"/>
          <w:bCs/>
          <w:color w:val="000000"/>
          <w:kern w:val="2"/>
          <w:sz w:val="32"/>
          <w:szCs w:val="32"/>
        </w:rPr>
      </w:pPr>
      <w:bookmarkStart w:id="166" w:name="_Toc25011"/>
      <w:bookmarkStart w:id="167" w:name="_Toc1967409423"/>
      <w:bookmarkStart w:id="168" w:name="_Toc32413"/>
      <w:r>
        <w:rPr>
          <w:rFonts w:hint="eastAsia" w:ascii="黑体" w:hAnsi="黑体" w:eastAsia="黑体" w:cs="黑体"/>
          <w:b w:val="0"/>
          <w:bCs/>
          <w:color w:val="000000"/>
          <w:kern w:val="2"/>
          <w:sz w:val="32"/>
          <w:szCs w:val="32"/>
        </w:rPr>
        <w:t>十三、财政拨款“三公”经费支出决算表</w:t>
      </w:r>
      <w:bookmarkEnd w:id="166"/>
      <w:bookmarkEnd w:id="167"/>
      <w:bookmarkEnd w:id="168"/>
    </w:p>
    <w:p w14:paraId="40F1D8FC">
      <w:pPr>
        <w:pageBreakBefore w:val="0"/>
        <w:widowControl w:val="0"/>
        <w:kinsoku/>
        <w:wordWrap/>
        <w:overflowPunct/>
        <w:topLinePunct w:val="0"/>
        <w:bidi w:val="0"/>
        <w:spacing w:line="576" w:lineRule="exact"/>
        <w:textAlignment w:val="auto"/>
      </w:pPr>
    </w:p>
    <w:p w14:paraId="52DACE17"/>
    <w:sectPr>
      <w:footerReference r:id="rId4" w:type="default"/>
      <w:pgSz w:w="11906" w:h="16838"/>
      <w:pgMar w:top="1440" w:right="1800" w:bottom="1440" w:left="1800"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等线">
    <w:altName w:val="方正公文黑体"/>
    <w:panose1 w:val="02010600030101010101"/>
    <w:charset w:val="86"/>
    <w:family w:val="auto"/>
    <w:pitch w:val="default"/>
    <w:sig w:usb0="00000000" w:usb1="00000000" w:usb2="00000016" w:usb3="00000000" w:csb0="0004000F" w:csb1="00000000"/>
  </w:font>
  <w:font w:name="方正公文黑体">
    <w:panose1 w:val="02000500000000000000"/>
    <w:charset w:val="86"/>
    <w:family w:val="auto"/>
    <w:pitch w:val="default"/>
    <w:sig w:usb0="A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40001"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Segoe UI">
    <w:altName w:val="Noto Naskh Arabic"/>
    <w:panose1 w:val="020B0502040204020203"/>
    <w:charset w:val="00"/>
    <w:family w:val="swiss"/>
    <w:pitch w:val="default"/>
    <w:sig w:usb0="00000000" w:usb1="00000000" w:usb2="00000029" w:usb3="00000000" w:csb0="200001DF" w:csb1="20000000"/>
  </w:font>
  <w:font w:name="Noto Naskh Arabic">
    <w:panose1 w:val="020B0502040504020204"/>
    <w:charset w:val="00"/>
    <w:family w:val="auto"/>
    <w:pitch w:val="default"/>
    <w:sig w:usb0="80002003" w:usb1="80002000" w:usb2="00000008" w:usb3="00000000" w:csb0="00000041" w:csb1="00080000"/>
  </w:font>
  <w:font w:name="微软雅黑">
    <w:altName w:val="黑体"/>
    <w:panose1 w:val="020B0503020204020204"/>
    <w:charset w:val="86"/>
    <w:family w:val="auto"/>
    <w:pitch w:val="default"/>
    <w:sig w:usb0="00000000" w:usb1="00000000" w:usb2="00000016" w:usb3="00000000" w:csb0="0004001F" w:csb1="00000000"/>
  </w:font>
  <w:font w:name="DejaVu Sans">
    <w:panose1 w:val="020B0603030804020204"/>
    <w:charset w:val="00"/>
    <w:family w:val="auto"/>
    <w:pitch w:val="default"/>
    <w:sig w:usb0="E7006EFF" w:usb1="D200FDFF" w:usb2="0A246029" w:usb3="0400200C" w:csb0="600001FF" w:csb1="DFFF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62836">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52C18E">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5C52C18E">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C928E">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7FB608">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77FB608">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0A20D1"/>
    <w:multiLevelType w:val="singleLevel"/>
    <w:tmpl w:val="960A20D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compatSetting w:name="compatibilityMode" w:uri="http://schemas.microsoft.com/office/word" w:val="14"/>
  </w:compat>
  <w:docVars>
    <w:docVar w:name="commondata" w:val="eyJoZGlkIjoiZjRmYzVhMTg2MDdjYTY1YTYzNDNlM2I0M2ZkYWYyNGYifQ=="/>
  </w:docVars>
  <w:rsids>
    <w:rsidRoot w:val="00000000"/>
    <w:rsid w:val="0003004E"/>
    <w:rsid w:val="000B6281"/>
    <w:rsid w:val="000C1FF9"/>
    <w:rsid w:val="00164C26"/>
    <w:rsid w:val="00172E78"/>
    <w:rsid w:val="001766ED"/>
    <w:rsid w:val="00213CF6"/>
    <w:rsid w:val="002931EC"/>
    <w:rsid w:val="00296707"/>
    <w:rsid w:val="002C1EED"/>
    <w:rsid w:val="002E75DF"/>
    <w:rsid w:val="00303F39"/>
    <w:rsid w:val="003D21B2"/>
    <w:rsid w:val="00416146"/>
    <w:rsid w:val="00494FFB"/>
    <w:rsid w:val="004E3B05"/>
    <w:rsid w:val="004F3DE9"/>
    <w:rsid w:val="00501EE6"/>
    <w:rsid w:val="005C6ADC"/>
    <w:rsid w:val="005D2854"/>
    <w:rsid w:val="007958E0"/>
    <w:rsid w:val="007F0A1D"/>
    <w:rsid w:val="008E2A0E"/>
    <w:rsid w:val="008E4178"/>
    <w:rsid w:val="0092676D"/>
    <w:rsid w:val="00A3295D"/>
    <w:rsid w:val="00A97848"/>
    <w:rsid w:val="00AB7A64"/>
    <w:rsid w:val="00AC0FFB"/>
    <w:rsid w:val="00BD1729"/>
    <w:rsid w:val="00C35D86"/>
    <w:rsid w:val="00CB3C62"/>
    <w:rsid w:val="00D91EDB"/>
    <w:rsid w:val="00DE5743"/>
    <w:rsid w:val="00EA2987"/>
    <w:rsid w:val="00F27441"/>
    <w:rsid w:val="01066A48"/>
    <w:rsid w:val="01101675"/>
    <w:rsid w:val="01172A03"/>
    <w:rsid w:val="011F23DA"/>
    <w:rsid w:val="012313A8"/>
    <w:rsid w:val="012D66CB"/>
    <w:rsid w:val="014337F8"/>
    <w:rsid w:val="01520813"/>
    <w:rsid w:val="015772A4"/>
    <w:rsid w:val="01644B56"/>
    <w:rsid w:val="016C0FA1"/>
    <w:rsid w:val="0176597C"/>
    <w:rsid w:val="0178210B"/>
    <w:rsid w:val="017A2B60"/>
    <w:rsid w:val="017D1035"/>
    <w:rsid w:val="0184241E"/>
    <w:rsid w:val="01967DCC"/>
    <w:rsid w:val="019D73AC"/>
    <w:rsid w:val="01A30F3F"/>
    <w:rsid w:val="01B34E22"/>
    <w:rsid w:val="01BA22B8"/>
    <w:rsid w:val="01BD17FD"/>
    <w:rsid w:val="01C26E13"/>
    <w:rsid w:val="01C34939"/>
    <w:rsid w:val="01E92357"/>
    <w:rsid w:val="01FC54F7"/>
    <w:rsid w:val="020617E0"/>
    <w:rsid w:val="02076F1C"/>
    <w:rsid w:val="020A2568"/>
    <w:rsid w:val="021533E7"/>
    <w:rsid w:val="022278B2"/>
    <w:rsid w:val="022A49B8"/>
    <w:rsid w:val="0235060A"/>
    <w:rsid w:val="024E7E30"/>
    <w:rsid w:val="025114D9"/>
    <w:rsid w:val="02511F45"/>
    <w:rsid w:val="02587777"/>
    <w:rsid w:val="025A34EF"/>
    <w:rsid w:val="026305F6"/>
    <w:rsid w:val="02896F36"/>
    <w:rsid w:val="029F53A6"/>
    <w:rsid w:val="02A4579A"/>
    <w:rsid w:val="02AE7397"/>
    <w:rsid w:val="02B0622C"/>
    <w:rsid w:val="02B7449E"/>
    <w:rsid w:val="02C1356F"/>
    <w:rsid w:val="02E80AFB"/>
    <w:rsid w:val="02FE031F"/>
    <w:rsid w:val="02FE0C2D"/>
    <w:rsid w:val="03123DCA"/>
    <w:rsid w:val="03196F07"/>
    <w:rsid w:val="03215DBB"/>
    <w:rsid w:val="03265180"/>
    <w:rsid w:val="03332F5F"/>
    <w:rsid w:val="03343D40"/>
    <w:rsid w:val="033C0E47"/>
    <w:rsid w:val="03407E6D"/>
    <w:rsid w:val="03457CFC"/>
    <w:rsid w:val="03490D8B"/>
    <w:rsid w:val="034C72DC"/>
    <w:rsid w:val="034D095E"/>
    <w:rsid w:val="035241C7"/>
    <w:rsid w:val="035E1A52"/>
    <w:rsid w:val="036A59B4"/>
    <w:rsid w:val="036C34DA"/>
    <w:rsid w:val="036F4D79"/>
    <w:rsid w:val="03710AF1"/>
    <w:rsid w:val="038A3960"/>
    <w:rsid w:val="03A72764"/>
    <w:rsid w:val="03AC1B29"/>
    <w:rsid w:val="03C03826"/>
    <w:rsid w:val="03C230FA"/>
    <w:rsid w:val="03C52BEB"/>
    <w:rsid w:val="03C86237"/>
    <w:rsid w:val="03C9092D"/>
    <w:rsid w:val="03E05C76"/>
    <w:rsid w:val="03E203E0"/>
    <w:rsid w:val="03E413E4"/>
    <w:rsid w:val="03EF1A15"/>
    <w:rsid w:val="0402322C"/>
    <w:rsid w:val="04275653"/>
    <w:rsid w:val="0437561C"/>
    <w:rsid w:val="045F6B9B"/>
    <w:rsid w:val="04754611"/>
    <w:rsid w:val="04812FB5"/>
    <w:rsid w:val="048C134C"/>
    <w:rsid w:val="048D195A"/>
    <w:rsid w:val="04912ACD"/>
    <w:rsid w:val="04C44C50"/>
    <w:rsid w:val="04D23811"/>
    <w:rsid w:val="04DC4690"/>
    <w:rsid w:val="04DE21B6"/>
    <w:rsid w:val="04DF7CDC"/>
    <w:rsid w:val="04E452F2"/>
    <w:rsid w:val="04F35535"/>
    <w:rsid w:val="04FD0162"/>
    <w:rsid w:val="050339CA"/>
    <w:rsid w:val="050414F1"/>
    <w:rsid w:val="050D4849"/>
    <w:rsid w:val="051536FE"/>
    <w:rsid w:val="052C2F85"/>
    <w:rsid w:val="052E656D"/>
    <w:rsid w:val="052F2A11"/>
    <w:rsid w:val="0532605E"/>
    <w:rsid w:val="05465FAD"/>
    <w:rsid w:val="054B552D"/>
    <w:rsid w:val="054D733B"/>
    <w:rsid w:val="05557F9E"/>
    <w:rsid w:val="056D178C"/>
    <w:rsid w:val="05720B50"/>
    <w:rsid w:val="05924D4E"/>
    <w:rsid w:val="059C5FC0"/>
    <w:rsid w:val="05A056BD"/>
    <w:rsid w:val="05A84572"/>
    <w:rsid w:val="05B66C8F"/>
    <w:rsid w:val="05BF1A37"/>
    <w:rsid w:val="05C228EF"/>
    <w:rsid w:val="05CA098C"/>
    <w:rsid w:val="05D76C05"/>
    <w:rsid w:val="05E732EC"/>
    <w:rsid w:val="05EA06E6"/>
    <w:rsid w:val="05F41565"/>
    <w:rsid w:val="05FB0B46"/>
    <w:rsid w:val="06035C4C"/>
    <w:rsid w:val="06255BC2"/>
    <w:rsid w:val="06287461"/>
    <w:rsid w:val="064047AA"/>
    <w:rsid w:val="06477D96"/>
    <w:rsid w:val="064A387B"/>
    <w:rsid w:val="06585F98"/>
    <w:rsid w:val="066761DB"/>
    <w:rsid w:val="067C2CE7"/>
    <w:rsid w:val="06913258"/>
    <w:rsid w:val="069F3BC7"/>
    <w:rsid w:val="06A411DD"/>
    <w:rsid w:val="06A93796"/>
    <w:rsid w:val="06B238FA"/>
    <w:rsid w:val="06B86A37"/>
    <w:rsid w:val="06C673A5"/>
    <w:rsid w:val="06C90C44"/>
    <w:rsid w:val="06DF3FC3"/>
    <w:rsid w:val="06F21F49"/>
    <w:rsid w:val="06F3181D"/>
    <w:rsid w:val="06FA5CC9"/>
    <w:rsid w:val="07034156"/>
    <w:rsid w:val="070B305B"/>
    <w:rsid w:val="070E2AFA"/>
    <w:rsid w:val="071A324D"/>
    <w:rsid w:val="07241C47"/>
    <w:rsid w:val="072A7934"/>
    <w:rsid w:val="072B7208"/>
    <w:rsid w:val="07372051"/>
    <w:rsid w:val="073E6F3C"/>
    <w:rsid w:val="07556D7C"/>
    <w:rsid w:val="076646E5"/>
    <w:rsid w:val="076D3604"/>
    <w:rsid w:val="0781507A"/>
    <w:rsid w:val="0788465B"/>
    <w:rsid w:val="078D3A1F"/>
    <w:rsid w:val="078D7EC3"/>
    <w:rsid w:val="07911761"/>
    <w:rsid w:val="07B05960"/>
    <w:rsid w:val="07D93108"/>
    <w:rsid w:val="07DC4CBE"/>
    <w:rsid w:val="07E01DA1"/>
    <w:rsid w:val="07EF6488"/>
    <w:rsid w:val="08030185"/>
    <w:rsid w:val="08193505"/>
    <w:rsid w:val="08283748"/>
    <w:rsid w:val="08296CA4"/>
    <w:rsid w:val="082C4FE6"/>
    <w:rsid w:val="082E5202"/>
    <w:rsid w:val="082F2D28"/>
    <w:rsid w:val="08315A33"/>
    <w:rsid w:val="08395955"/>
    <w:rsid w:val="083C45B4"/>
    <w:rsid w:val="083D2818"/>
    <w:rsid w:val="08493DEA"/>
    <w:rsid w:val="087F5A5E"/>
    <w:rsid w:val="08966904"/>
    <w:rsid w:val="089D5EE4"/>
    <w:rsid w:val="089F7EAE"/>
    <w:rsid w:val="08A059D4"/>
    <w:rsid w:val="08CC0577"/>
    <w:rsid w:val="08D15B8E"/>
    <w:rsid w:val="08D94642"/>
    <w:rsid w:val="08DD2784"/>
    <w:rsid w:val="08E04023"/>
    <w:rsid w:val="08E7715F"/>
    <w:rsid w:val="08F0261D"/>
    <w:rsid w:val="08FF0C82"/>
    <w:rsid w:val="09012917"/>
    <w:rsid w:val="09047D11"/>
    <w:rsid w:val="09093579"/>
    <w:rsid w:val="09104908"/>
    <w:rsid w:val="09153CCC"/>
    <w:rsid w:val="09167A44"/>
    <w:rsid w:val="092E1232"/>
    <w:rsid w:val="0930139D"/>
    <w:rsid w:val="0932487E"/>
    <w:rsid w:val="09336848"/>
    <w:rsid w:val="0946032A"/>
    <w:rsid w:val="094B5940"/>
    <w:rsid w:val="0952109C"/>
    <w:rsid w:val="095E1B17"/>
    <w:rsid w:val="096B41CE"/>
    <w:rsid w:val="09734E97"/>
    <w:rsid w:val="0992531D"/>
    <w:rsid w:val="09C63218"/>
    <w:rsid w:val="09CF6571"/>
    <w:rsid w:val="09EF42C8"/>
    <w:rsid w:val="09EF451D"/>
    <w:rsid w:val="09FB7366"/>
    <w:rsid w:val="09FC30DE"/>
    <w:rsid w:val="0A0501E5"/>
    <w:rsid w:val="0A3D172D"/>
    <w:rsid w:val="0A466107"/>
    <w:rsid w:val="0A583F07"/>
    <w:rsid w:val="0A5D1DCF"/>
    <w:rsid w:val="0A7809B7"/>
    <w:rsid w:val="0A7B2255"/>
    <w:rsid w:val="0A960E3D"/>
    <w:rsid w:val="0AAC240E"/>
    <w:rsid w:val="0AB3379D"/>
    <w:rsid w:val="0AC0410C"/>
    <w:rsid w:val="0AC05EBA"/>
    <w:rsid w:val="0AC534D0"/>
    <w:rsid w:val="0ACB4F8A"/>
    <w:rsid w:val="0AD32091"/>
    <w:rsid w:val="0ADD081A"/>
    <w:rsid w:val="0AF12517"/>
    <w:rsid w:val="0AFA13CC"/>
    <w:rsid w:val="0B0B182B"/>
    <w:rsid w:val="0B187AA4"/>
    <w:rsid w:val="0B1A7CC0"/>
    <w:rsid w:val="0B2D79F3"/>
    <w:rsid w:val="0B30303F"/>
    <w:rsid w:val="0B325009"/>
    <w:rsid w:val="0B554854"/>
    <w:rsid w:val="0B563C61"/>
    <w:rsid w:val="0B626F71"/>
    <w:rsid w:val="0B8A683F"/>
    <w:rsid w:val="0BBC2B25"/>
    <w:rsid w:val="0BBF43C3"/>
    <w:rsid w:val="0BC814CA"/>
    <w:rsid w:val="0BCD088E"/>
    <w:rsid w:val="0BD87233"/>
    <w:rsid w:val="0BE04A65"/>
    <w:rsid w:val="0BE81B6C"/>
    <w:rsid w:val="0C063434"/>
    <w:rsid w:val="0C1B3CF0"/>
    <w:rsid w:val="0C234952"/>
    <w:rsid w:val="0C3B7EEE"/>
    <w:rsid w:val="0C3C4B6C"/>
    <w:rsid w:val="0C594818"/>
    <w:rsid w:val="0C5D60B6"/>
    <w:rsid w:val="0C6133EF"/>
    <w:rsid w:val="0C61547A"/>
    <w:rsid w:val="0C782EF0"/>
    <w:rsid w:val="0C7B29E0"/>
    <w:rsid w:val="0C8C24F7"/>
    <w:rsid w:val="0C8D626F"/>
    <w:rsid w:val="0C915D60"/>
    <w:rsid w:val="0CA44101"/>
    <w:rsid w:val="0CA535B9"/>
    <w:rsid w:val="0CAE6912"/>
    <w:rsid w:val="0CAF61E6"/>
    <w:rsid w:val="0CC25F19"/>
    <w:rsid w:val="0CC45D8E"/>
    <w:rsid w:val="0CCE2B10"/>
    <w:rsid w:val="0CD65E68"/>
    <w:rsid w:val="0CEC1C98"/>
    <w:rsid w:val="0CEC2F96"/>
    <w:rsid w:val="0CEF2A86"/>
    <w:rsid w:val="0CF26CB9"/>
    <w:rsid w:val="0CF32576"/>
    <w:rsid w:val="0CF956B3"/>
    <w:rsid w:val="0CFF0F1B"/>
    <w:rsid w:val="0D0429D6"/>
    <w:rsid w:val="0D10137A"/>
    <w:rsid w:val="0D1424ED"/>
    <w:rsid w:val="0D162709"/>
    <w:rsid w:val="0D2210AE"/>
    <w:rsid w:val="0D407F3C"/>
    <w:rsid w:val="0D5325AD"/>
    <w:rsid w:val="0D5D3E94"/>
    <w:rsid w:val="0D613984"/>
    <w:rsid w:val="0D654C7D"/>
    <w:rsid w:val="0D690A8B"/>
    <w:rsid w:val="0D70006B"/>
    <w:rsid w:val="0D7116ED"/>
    <w:rsid w:val="0D7D4536"/>
    <w:rsid w:val="0D8633EB"/>
    <w:rsid w:val="0D9A50E8"/>
    <w:rsid w:val="0DA16476"/>
    <w:rsid w:val="0DAB2E51"/>
    <w:rsid w:val="0DB02216"/>
    <w:rsid w:val="0DB81C94"/>
    <w:rsid w:val="0DBC6E0C"/>
    <w:rsid w:val="0DC363ED"/>
    <w:rsid w:val="0DC42165"/>
    <w:rsid w:val="0DCE08EE"/>
    <w:rsid w:val="0DDA3736"/>
    <w:rsid w:val="0DE10621"/>
    <w:rsid w:val="0DE85E53"/>
    <w:rsid w:val="0DEA1BCB"/>
    <w:rsid w:val="0DFF319D"/>
    <w:rsid w:val="0E034A3B"/>
    <w:rsid w:val="0E045C9D"/>
    <w:rsid w:val="0E0E518E"/>
    <w:rsid w:val="0E15651D"/>
    <w:rsid w:val="0E1F1149"/>
    <w:rsid w:val="0E2B2934"/>
    <w:rsid w:val="0E325320"/>
    <w:rsid w:val="0E4C42D5"/>
    <w:rsid w:val="0E4D7179"/>
    <w:rsid w:val="0E527771"/>
    <w:rsid w:val="0E574D87"/>
    <w:rsid w:val="0E686F94"/>
    <w:rsid w:val="0E7476E7"/>
    <w:rsid w:val="0E7616B1"/>
    <w:rsid w:val="0EB61AAE"/>
    <w:rsid w:val="0EC817E1"/>
    <w:rsid w:val="0ED62150"/>
    <w:rsid w:val="0EE32037"/>
    <w:rsid w:val="0EE7435D"/>
    <w:rsid w:val="0EEF4FBF"/>
    <w:rsid w:val="0EF252AA"/>
    <w:rsid w:val="0EF83E74"/>
    <w:rsid w:val="0F000F7B"/>
    <w:rsid w:val="0F0A3BA7"/>
    <w:rsid w:val="0F1450CE"/>
    <w:rsid w:val="0F1A64E0"/>
    <w:rsid w:val="0F2044B8"/>
    <w:rsid w:val="0F25113D"/>
    <w:rsid w:val="0F2E7896"/>
    <w:rsid w:val="0F2F1860"/>
    <w:rsid w:val="0F3D5D2B"/>
    <w:rsid w:val="0F503CB0"/>
    <w:rsid w:val="0F563291"/>
    <w:rsid w:val="0F582B65"/>
    <w:rsid w:val="0F5F3EF3"/>
    <w:rsid w:val="0F6E4136"/>
    <w:rsid w:val="0F7729A5"/>
    <w:rsid w:val="0F7C5B6A"/>
    <w:rsid w:val="0F87344A"/>
    <w:rsid w:val="0F8D4881"/>
    <w:rsid w:val="0F933B9D"/>
    <w:rsid w:val="0FA638D0"/>
    <w:rsid w:val="0FAB0EE6"/>
    <w:rsid w:val="0FB35FED"/>
    <w:rsid w:val="0FB81855"/>
    <w:rsid w:val="0FBC1346"/>
    <w:rsid w:val="0FC65D20"/>
    <w:rsid w:val="0FCD3553"/>
    <w:rsid w:val="0FCE0B27"/>
    <w:rsid w:val="0FED36F1"/>
    <w:rsid w:val="0FF56606"/>
    <w:rsid w:val="0FF705D0"/>
    <w:rsid w:val="0FFA3C1C"/>
    <w:rsid w:val="100B5E29"/>
    <w:rsid w:val="100E76C7"/>
    <w:rsid w:val="10207B26"/>
    <w:rsid w:val="1021389E"/>
    <w:rsid w:val="102F7D69"/>
    <w:rsid w:val="104F21BA"/>
    <w:rsid w:val="10525806"/>
    <w:rsid w:val="1052642D"/>
    <w:rsid w:val="10633BB0"/>
    <w:rsid w:val="106A2B50"/>
    <w:rsid w:val="107514F4"/>
    <w:rsid w:val="107C0AD5"/>
    <w:rsid w:val="108A4FA0"/>
    <w:rsid w:val="10A51DDA"/>
    <w:rsid w:val="10B1077E"/>
    <w:rsid w:val="10B36C78"/>
    <w:rsid w:val="10B97633"/>
    <w:rsid w:val="10BB784F"/>
    <w:rsid w:val="10C761F4"/>
    <w:rsid w:val="10CA1840"/>
    <w:rsid w:val="10CD7582"/>
    <w:rsid w:val="10DE658D"/>
    <w:rsid w:val="10F945B7"/>
    <w:rsid w:val="10FB5E9E"/>
    <w:rsid w:val="110034B4"/>
    <w:rsid w:val="11020FDA"/>
    <w:rsid w:val="1109296B"/>
    <w:rsid w:val="11140D0D"/>
    <w:rsid w:val="113E3FDC"/>
    <w:rsid w:val="11427629"/>
    <w:rsid w:val="11472E91"/>
    <w:rsid w:val="115D26B4"/>
    <w:rsid w:val="116B3023"/>
    <w:rsid w:val="11731ED8"/>
    <w:rsid w:val="117479FE"/>
    <w:rsid w:val="117A5014"/>
    <w:rsid w:val="117F6ACF"/>
    <w:rsid w:val="118916FB"/>
    <w:rsid w:val="11951E4E"/>
    <w:rsid w:val="11A7392F"/>
    <w:rsid w:val="11B30526"/>
    <w:rsid w:val="11B61DC5"/>
    <w:rsid w:val="11C826A1"/>
    <w:rsid w:val="11C97D4A"/>
    <w:rsid w:val="11DC5CCF"/>
    <w:rsid w:val="11DC7A7D"/>
    <w:rsid w:val="11E42DD6"/>
    <w:rsid w:val="11E84674"/>
    <w:rsid w:val="11E93F48"/>
    <w:rsid w:val="11EE155E"/>
    <w:rsid w:val="11F748B7"/>
    <w:rsid w:val="11FF376C"/>
    <w:rsid w:val="12111F42"/>
    <w:rsid w:val="12174F59"/>
    <w:rsid w:val="121865DB"/>
    <w:rsid w:val="122030DE"/>
    <w:rsid w:val="12211934"/>
    <w:rsid w:val="122B630F"/>
    <w:rsid w:val="12445622"/>
    <w:rsid w:val="124473D0"/>
    <w:rsid w:val="125F420A"/>
    <w:rsid w:val="12614426"/>
    <w:rsid w:val="126D2DCB"/>
    <w:rsid w:val="126E269F"/>
    <w:rsid w:val="12723F3D"/>
    <w:rsid w:val="12753A2E"/>
    <w:rsid w:val="128123D2"/>
    <w:rsid w:val="128B14A3"/>
    <w:rsid w:val="1290485A"/>
    <w:rsid w:val="12954B76"/>
    <w:rsid w:val="12A762DD"/>
    <w:rsid w:val="12AC38F3"/>
    <w:rsid w:val="12CC5D44"/>
    <w:rsid w:val="12CD1ABC"/>
    <w:rsid w:val="12D06EB6"/>
    <w:rsid w:val="12D673A1"/>
    <w:rsid w:val="12E34E3B"/>
    <w:rsid w:val="12E666D9"/>
    <w:rsid w:val="12ED1816"/>
    <w:rsid w:val="131D034D"/>
    <w:rsid w:val="131E5E73"/>
    <w:rsid w:val="132A5068"/>
    <w:rsid w:val="132F62D2"/>
    <w:rsid w:val="137141F5"/>
    <w:rsid w:val="13785584"/>
    <w:rsid w:val="1384217A"/>
    <w:rsid w:val="13900165"/>
    <w:rsid w:val="13914897"/>
    <w:rsid w:val="13960100"/>
    <w:rsid w:val="139D148E"/>
    <w:rsid w:val="13B80076"/>
    <w:rsid w:val="13C133CE"/>
    <w:rsid w:val="13C609E5"/>
    <w:rsid w:val="13D604FC"/>
    <w:rsid w:val="13F15336"/>
    <w:rsid w:val="13F5196D"/>
    <w:rsid w:val="13F94565"/>
    <w:rsid w:val="13FA68E0"/>
    <w:rsid w:val="14261483"/>
    <w:rsid w:val="14280D4F"/>
    <w:rsid w:val="142C636E"/>
    <w:rsid w:val="142E658A"/>
    <w:rsid w:val="143A4F2F"/>
    <w:rsid w:val="144744AF"/>
    <w:rsid w:val="144C07BE"/>
    <w:rsid w:val="14531B4D"/>
    <w:rsid w:val="1461426A"/>
    <w:rsid w:val="146855F8"/>
    <w:rsid w:val="14706BA3"/>
    <w:rsid w:val="14755F67"/>
    <w:rsid w:val="147F6DE6"/>
    <w:rsid w:val="148A7C64"/>
    <w:rsid w:val="14AB7BDB"/>
    <w:rsid w:val="14B20F69"/>
    <w:rsid w:val="14D47131"/>
    <w:rsid w:val="14E804E7"/>
    <w:rsid w:val="14ED3D4F"/>
    <w:rsid w:val="14F055ED"/>
    <w:rsid w:val="14F926F4"/>
    <w:rsid w:val="15033573"/>
    <w:rsid w:val="150C68CB"/>
    <w:rsid w:val="15145780"/>
    <w:rsid w:val="151632A6"/>
    <w:rsid w:val="15194B44"/>
    <w:rsid w:val="152116FE"/>
    <w:rsid w:val="152359C3"/>
    <w:rsid w:val="152D6842"/>
    <w:rsid w:val="1542409B"/>
    <w:rsid w:val="15477903"/>
    <w:rsid w:val="15574660"/>
    <w:rsid w:val="15610299"/>
    <w:rsid w:val="157E709D"/>
    <w:rsid w:val="15A46B04"/>
    <w:rsid w:val="15A5462A"/>
    <w:rsid w:val="15CC1BB7"/>
    <w:rsid w:val="15D942D4"/>
    <w:rsid w:val="15FA2BC8"/>
    <w:rsid w:val="16085EA4"/>
    <w:rsid w:val="16104199"/>
    <w:rsid w:val="16133C89"/>
    <w:rsid w:val="16135A37"/>
    <w:rsid w:val="1618304E"/>
    <w:rsid w:val="162B0FD3"/>
    <w:rsid w:val="1638549E"/>
    <w:rsid w:val="1638724C"/>
    <w:rsid w:val="16454AA0"/>
    <w:rsid w:val="164B3423"/>
    <w:rsid w:val="164E6403"/>
    <w:rsid w:val="1663076D"/>
    <w:rsid w:val="16646293"/>
    <w:rsid w:val="16714ED2"/>
    <w:rsid w:val="167F30CD"/>
    <w:rsid w:val="16897AA8"/>
    <w:rsid w:val="168C1346"/>
    <w:rsid w:val="168C2DF5"/>
    <w:rsid w:val="169750FB"/>
    <w:rsid w:val="16A843D2"/>
    <w:rsid w:val="16B20DAC"/>
    <w:rsid w:val="16BE3BF5"/>
    <w:rsid w:val="16CA259A"/>
    <w:rsid w:val="16CC28AA"/>
    <w:rsid w:val="16D03928"/>
    <w:rsid w:val="16DF3B6C"/>
    <w:rsid w:val="16E318AE"/>
    <w:rsid w:val="17081314"/>
    <w:rsid w:val="17092996"/>
    <w:rsid w:val="17173305"/>
    <w:rsid w:val="17263548"/>
    <w:rsid w:val="17317C0B"/>
    <w:rsid w:val="173B5246"/>
    <w:rsid w:val="17463BEB"/>
    <w:rsid w:val="17602EFE"/>
    <w:rsid w:val="176522C3"/>
    <w:rsid w:val="177B5642"/>
    <w:rsid w:val="17944956"/>
    <w:rsid w:val="17A728DB"/>
    <w:rsid w:val="17B172B6"/>
    <w:rsid w:val="17BD70FB"/>
    <w:rsid w:val="17BE19D3"/>
    <w:rsid w:val="17C074F9"/>
    <w:rsid w:val="17C74D2B"/>
    <w:rsid w:val="17D42FA4"/>
    <w:rsid w:val="17E851CB"/>
    <w:rsid w:val="17EF6030"/>
    <w:rsid w:val="1800023D"/>
    <w:rsid w:val="18001FEB"/>
    <w:rsid w:val="1807337A"/>
    <w:rsid w:val="180B10BC"/>
    <w:rsid w:val="180E64B6"/>
    <w:rsid w:val="18137F71"/>
    <w:rsid w:val="181635BD"/>
    <w:rsid w:val="181E225B"/>
    <w:rsid w:val="182513C0"/>
    <w:rsid w:val="182B52BA"/>
    <w:rsid w:val="182F467F"/>
    <w:rsid w:val="183F0D66"/>
    <w:rsid w:val="1864257A"/>
    <w:rsid w:val="18695DE3"/>
    <w:rsid w:val="18730A0F"/>
    <w:rsid w:val="18784278"/>
    <w:rsid w:val="187F73B4"/>
    <w:rsid w:val="1881137E"/>
    <w:rsid w:val="18826EA4"/>
    <w:rsid w:val="1890336F"/>
    <w:rsid w:val="18954E2A"/>
    <w:rsid w:val="18A1732B"/>
    <w:rsid w:val="18AB63FB"/>
    <w:rsid w:val="18B84674"/>
    <w:rsid w:val="18BC23B6"/>
    <w:rsid w:val="18BD7EDC"/>
    <w:rsid w:val="18C13529"/>
    <w:rsid w:val="18C439DD"/>
    <w:rsid w:val="18CE3E98"/>
    <w:rsid w:val="18D07C10"/>
    <w:rsid w:val="18D34F04"/>
    <w:rsid w:val="18E63C50"/>
    <w:rsid w:val="19081158"/>
    <w:rsid w:val="192D0BBE"/>
    <w:rsid w:val="194A79C2"/>
    <w:rsid w:val="19575C3B"/>
    <w:rsid w:val="19731396"/>
    <w:rsid w:val="197467ED"/>
    <w:rsid w:val="197762DD"/>
    <w:rsid w:val="19882298"/>
    <w:rsid w:val="198C7FDB"/>
    <w:rsid w:val="199C5D44"/>
    <w:rsid w:val="19A370D2"/>
    <w:rsid w:val="19A861C3"/>
    <w:rsid w:val="19AF7825"/>
    <w:rsid w:val="19B47531"/>
    <w:rsid w:val="19C44B2D"/>
    <w:rsid w:val="19C72DC1"/>
    <w:rsid w:val="19C92FDD"/>
    <w:rsid w:val="19D13C3F"/>
    <w:rsid w:val="19D35C0A"/>
    <w:rsid w:val="19D43730"/>
    <w:rsid w:val="19DE010A"/>
    <w:rsid w:val="19EA4EEF"/>
    <w:rsid w:val="19EF40C6"/>
    <w:rsid w:val="19F649D6"/>
    <w:rsid w:val="1A02204B"/>
    <w:rsid w:val="1A0A0EFF"/>
    <w:rsid w:val="1A0A70AB"/>
    <w:rsid w:val="1A2C3A27"/>
    <w:rsid w:val="1A4527A6"/>
    <w:rsid w:val="1A4C59BC"/>
    <w:rsid w:val="1A4E318B"/>
    <w:rsid w:val="1A564145"/>
    <w:rsid w:val="1A5A1E87"/>
    <w:rsid w:val="1A807414"/>
    <w:rsid w:val="1A8567D8"/>
    <w:rsid w:val="1A8B0292"/>
    <w:rsid w:val="1AA13BF7"/>
    <w:rsid w:val="1AC9700C"/>
    <w:rsid w:val="1AD5775F"/>
    <w:rsid w:val="1ADF238C"/>
    <w:rsid w:val="1AF23E6D"/>
    <w:rsid w:val="1AF5570C"/>
    <w:rsid w:val="1AFC4CEC"/>
    <w:rsid w:val="1B067919"/>
    <w:rsid w:val="1B0C6C17"/>
    <w:rsid w:val="1B0E67CD"/>
    <w:rsid w:val="1B100797"/>
    <w:rsid w:val="1B124510"/>
    <w:rsid w:val="1B23671D"/>
    <w:rsid w:val="1B261D69"/>
    <w:rsid w:val="1B334486"/>
    <w:rsid w:val="1B395F40"/>
    <w:rsid w:val="1B46240B"/>
    <w:rsid w:val="1B476E3B"/>
    <w:rsid w:val="1B495A57"/>
    <w:rsid w:val="1B5543FC"/>
    <w:rsid w:val="1B6C00C4"/>
    <w:rsid w:val="1B6F1962"/>
    <w:rsid w:val="1B742AD4"/>
    <w:rsid w:val="1B75356E"/>
    <w:rsid w:val="1B8151F1"/>
    <w:rsid w:val="1B854CE1"/>
    <w:rsid w:val="1B8C46FA"/>
    <w:rsid w:val="1B9413C8"/>
    <w:rsid w:val="1BA37980"/>
    <w:rsid w:val="1BB04D0E"/>
    <w:rsid w:val="1BB6133F"/>
    <w:rsid w:val="1BBE4697"/>
    <w:rsid w:val="1BC7354C"/>
    <w:rsid w:val="1BD47A17"/>
    <w:rsid w:val="1BDB2B53"/>
    <w:rsid w:val="1BE85270"/>
    <w:rsid w:val="1BE966A9"/>
    <w:rsid w:val="1BEC2219"/>
    <w:rsid w:val="1BF34341"/>
    <w:rsid w:val="1BF400B9"/>
    <w:rsid w:val="1C0025BA"/>
    <w:rsid w:val="1C057BD0"/>
    <w:rsid w:val="1C3861F8"/>
    <w:rsid w:val="1C393B23"/>
    <w:rsid w:val="1C3D55BC"/>
    <w:rsid w:val="1C4032FE"/>
    <w:rsid w:val="1C47643B"/>
    <w:rsid w:val="1C4F3541"/>
    <w:rsid w:val="1C6C2B3F"/>
    <w:rsid w:val="1C735482"/>
    <w:rsid w:val="1C737230"/>
    <w:rsid w:val="1C8C0A33"/>
    <w:rsid w:val="1C9B0535"/>
    <w:rsid w:val="1CA95970"/>
    <w:rsid w:val="1CB03FE0"/>
    <w:rsid w:val="1CBC0BD7"/>
    <w:rsid w:val="1CC311E2"/>
    <w:rsid w:val="1CC97FC1"/>
    <w:rsid w:val="1CE41EDC"/>
    <w:rsid w:val="1CF0262F"/>
    <w:rsid w:val="1CF30371"/>
    <w:rsid w:val="1CFF0AC4"/>
    <w:rsid w:val="1D1F4CC2"/>
    <w:rsid w:val="1D2147FC"/>
    <w:rsid w:val="1D271DC8"/>
    <w:rsid w:val="1D383A92"/>
    <w:rsid w:val="1D3A5FA0"/>
    <w:rsid w:val="1D434E54"/>
    <w:rsid w:val="1D4806BC"/>
    <w:rsid w:val="1D4C4073"/>
    <w:rsid w:val="1D5F5A06"/>
    <w:rsid w:val="1D76522A"/>
    <w:rsid w:val="1D772D50"/>
    <w:rsid w:val="1D7C2114"/>
    <w:rsid w:val="1D864D41"/>
    <w:rsid w:val="1D8965DF"/>
    <w:rsid w:val="1D8E2D2B"/>
    <w:rsid w:val="1D9C4C7C"/>
    <w:rsid w:val="1DA10708"/>
    <w:rsid w:val="1DA358F3"/>
    <w:rsid w:val="1DA376A1"/>
    <w:rsid w:val="1DB042FE"/>
    <w:rsid w:val="1DBC0763"/>
    <w:rsid w:val="1DC75A85"/>
    <w:rsid w:val="1DE57CB9"/>
    <w:rsid w:val="1DE85453"/>
    <w:rsid w:val="1DF63C75"/>
    <w:rsid w:val="1DF75C3F"/>
    <w:rsid w:val="1DFC0789"/>
    <w:rsid w:val="1E17083B"/>
    <w:rsid w:val="1E200CF1"/>
    <w:rsid w:val="1E206F43"/>
    <w:rsid w:val="1E253C0C"/>
    <w:rsid w:val="1E281110"/>
    <w:rsid w:val="1E293F73"/>
    <w:rsid w:val="1E403142"/>
    <w:rsid w:val="1E426C87"/>
    <w:rsid w:val="1E440132"/>
    <w:rsid w:val="1E4569AA"/>
    <w:rsid w:val="1E4A5D6E"/>
    <w:rsid w:val="1E4B75AE"/>
    <w:rsid w:val="1E5866DD"/>
    <w:rsid w:val="1E5E7A6C"/>
    <w:rsid w:val="1E601A36"/>
    <w:rsid w:val="1E62755C"/>
    <w:rsid w:val="1E672DC4"/>
    <w:rsid w:val="1E9809A5"/>
    <w:rsid w:val="1E990AA4"/>
    <w:rsid w:val="1EA71413"/>
    <w:rsid w:val="1EB12291"/>
    <w:rsid w:val="1EE00481"/>
    <w:rsid w:val="1EE241F9"/>
    <w:rsid w:val="1EE6018D"/>
    <w:rsid w:val="1EEA12FF"/>
    <w:rsid w:val="1F0C3225"/>
    <w:rsid w:val="1F0F6936"/>
    <w:rsid w:val="1F120F82"/>
    <w:rsid w:val="1F182311"/>
    <w:rsid w:val="1F2217D2"/>
    <w:rsid w:val="1F2264E5"/>
    <w:rsid w:val="1F3D1C70"/>
    <w:rsid w:val="1F443106"/>
    <w:rsid w:val="1F502D2F"/>
    <w:rsid w:val="1F536EA5"/>
    <w:rsid w:val="1F5C044F"/>
    <w:rsid w:val="1F61475A"/>
    <w:rsid w:val="1F66307C"/>
    <w:rsid w:val="1F682897"/>
    <w:rsid w:val="1F6D7F66"/>
    <w:rsid w:val="1F703EFB"/>
    <w:rsid w:val="1F7556D4"/>
    <w:rsid w:val="1F7A08D5"/>
    <w:rsid w:val="1F843502"/>
    <w:rsid w:val="1F9E45C4"/>
    <w:rsid w:val="1FAA11BB"/>
    <w:rsid w:val="1FAF3818"/>
    <w:rsid w:val="1FBE6A14"/>
    <w:rsid w:val="1FC64832"/>
    <w:rsid w:val="1FCD30FB"/>
    <w:rsid w:val="1FDF0FA7"/>
    <w:rsid w:val="1FEE015C"/>
    <w:rsid w:val="1FFF3EF4"/>
    <w:rsid w:val="20140D2A"/>
    <w:rsid w:val="201C2AE2"/>
    <w:rsid w:val="202F7912"/>
    <w:rsid w:val="203C3DDD"/>
    <w:rsid w:val="20542F58"/>
    <w:rsid w:val="20592BE1"/>
    <w:rsid w:val="206165B6"/>
    <w:rsid w:val="209459C7"/>
    <w:rsid w:val="20A26336"/>
    <w:rsid w:val="20A7394C"/>
    <w:rsid w:val="20AC37BC"/>
    <w:rsid w:val="20AC4ABE"/>
    <w:rsid w:val="20B10327"/>
    <w:rsid w:val="20B147CB"/>
    <w:rsid w:val="20B41BC5"/>
    <w:rsid w:val="20B63B8F"/>
    <w:rsid w:val="20C52024"/>
    <w:rsid w:val="20C752EE"/>
    <w:rsid w:val="20CC5161"/>
    <w:rsid w:val="20D94C44"/>
    <w:rsid w:val="20EA2A65"/>
    <w:rsid w:val="20EE157B"/>
    <w:rsid w:val="20F14BC7"/>
    <w:rsid w:val="20FF1092"/>
    <w:rsid w:val="21025026"/>
    <w:rsid w:val="21132D8F"/>
    <w:rsid w:val="2116462E"/>
    <w:rsid w:val="211803A6"/>
    <w:rsid w:val="212134AD"/>
    <w:rsid w:val="212263A4"/>
    <w:rsid w:val="213F5933"/>
    <w:rsid w:val="214E39D9"/>
    <w:rsid w:val="21577120"/>
    <w:rsid w:val="217F0425"/>
    <w:rsid w:val="218B501C"/>
    <w:rsid w:val="219C2D85"/>
    <w:rsid w:val="219E18C5"/>
    <w:rsid w:val="21AD72C6"/>
    <w:rsid w:val="21AF0D0A"/>
    <w:rsid w:val="21BE0F4D"/>
    <w:rsid w:val="21BE2E1C"/>
    <w:rsid w:val="21C66054"/>
    <w:rsid w:val="21C978F2"/>
    <w:rsid w:val="21D00C4E"/>
    <w:rsid w:val="21EA1D42"/>
    <w:rsid w:val="21F273B2"/>
    <w:rsid w:val="21F7620D"/>
    <w:rsid w:val="22432FD4"/>
    <w:rsid w:val="226F0499"/>
    <w:rsid w:val="2280067B"/>
    <w:rsid w:val="228850B7"/>
    <w:rsid w:val="228E4DC3"/>
    <w:rsid w:val="22910410"/>
    <w:rsid w:val="229323DA"/>
    <w:rsid w:val="22A31239"/>
    <w:rsid w:val="22B35D2B"/>
    <w:rsid w:val="22B660C8"/>
    <w:rsid w:val="22C73E32"/>
    <w:rsid w:val="22D16A5E"/>
    <w:rsid w:val="22DB78DD"/>
    <w:rsid w:val="22E42C35"/>
    <w:rsid w:val="22E9024C"/>
    <w:rsid w:val="22F10EAE"/>
    <w:rsid w:val="22F312E3"/>
    <w:rsid w:val="22F55FE0"/>
    <w:rsid w:val="2307511C"/>
    <w:rsid w:val="23076924"/>
    <w:rsid w:val="23167D3D"/>
    <w:rsid w:val="231B417D"/>
    <w:rsid w:val="232A4990"/>
    <w:rsid w:val="232F19D7"/>
    <w:rsid w:val="23405992"/>
    <w:rsid w:val="234A44CD"/>
    <w:rsid w:val="23517B9F"/>
    <w:rsid w:val="23576A95"/>
    <w:rsid w:val="23580F2E"/>
    <w:rsid w:val="23582CDC"/>
    <w:rsid w:val="23634301"/>
    <w:rsid w:val="23735D67"/>
    <w:rsid w:val="237A5348"/>
    <w:rsid w:val="237D0795"/>
    <w:rsid w:val="237D208A"/>
    <w:rsid w:val="23841D23"/>
    <w:rsid w:val="23860F70"/>
    <w:rsid w:val="23A45F21"/>
    <w:rsid w:val="23AB3753"/>
    <w:rsid w:val="23B51EDC"/>
    <w:rsid w:val="23E12CD1"/>
    <w:rsid w:val="23F65AA3"/>
    <w:rsid w:val="23FB1651"/>
    <w:rsid w:val="23FF584D"/>
    <w:rsid w:val="24003A9F"/>
    <w:rsid w:val="242F6132"/>
    <w:rsid w:val="243674C1"/>
    <w:rsid w:val="24392B0D"/>
    <w:rsid w:val="24552F99"/>
    <w:rsid w:val="245D270F"/>
    <w:rsid w:val="245F7619"/>
    <w:rsid w:val="24653902"/>
    <w:rsid w:val="246D0A09"/>
    <w:rsid w:val="24741D97"/>
    <w:rsid w:val="247C6E9E"/>
    <w:rsid w:val="24885842"/>
    <w:rsid w:val="248A15BB"/>
    <w:rsid w:val="249146F7"/>
    <w:rsid w:val="2492221D"/>
    <w:rsid w:val="249315A6"/>
    <w:rsid w:val="24A26904"/>
    <w:rsid w:val="24BC729A"/>
    <w:rsid w:val="24C85C3F"/>
    <w:rsid w:val="24CF6FCD"/>
    <w:rsid w:val="24DB3BC4"/>
    <w:rsid w:val="24EE1B49"/>
    <w:rsid w:val="24F904EE"/>
    <w:rsid w:val="24FD4063"/>
    <w:rsid w:val="24FE5B05"/>
    <w:rsid w:val="25001B3E"/>
    <w:rsid w:val="25056E93"/>
    <w:rsid w:val="250824DF"/>
    <w:rsid w:val="250D6DDF"/>
    <w:rsid w:val="251175E6"/>
    <w:rsid w:val="251610A0"/>
    <w:rsid w:val="251A0B90"/>
    <w:rsid w:val="253B75C0"/>
    <w:rsid w:val="253D487F"/>
    <w:rsid w:val="25592D3B"/>
    <w:rsid w:val="255A0F8D"/>
    <w:rsid w:val="2567270B"/>
    <w:rsid w:val="256E17D1"/>
    <w:rsid w:val="257064BA"/>
    <w:rsid w:val="257638ED"/>
    <w:rsid w:val="258204E4"/>
    <w:rsid w:val="258A2FBA"/>
    <w:rsid w:val="258C3110"/>
    <w:rsid w:val="258E6E89"/>
    <w:rsid w:val="259D0E7A"/>
    <w:rsid w:val="259D531E"/>
    <w:rsid w:val="25A20B86"/>
    <w:rsid w:val="25AB3597"/>
    <w:rsid w:val="25B01F9A"/>
    <w:rsid w:val="25B12B77"/>
    <w:rsid w:val="25BF5294"/>
    <w:rsid w:val="25CB59E7"/>
    <w:rsid w:val="25D6438C"/>
    <w:rsid w:val="25DC3EE8"/>
    <w:rsid w:val="25DC4098"/>
    <w:rsid w:val="25F74A2E"/>
    <w:rsid w:val="25FC2044"/>
    <w:rsid w:val="26000619"/>
    <w:rsid w:val="260C2ECE"/>
    <w:rsid w:val="260E7FC9"/>
    <w:rsid w:val="260F621B"/>
    <w:rsid w:val="26153106"/>
    <w:rsid w:val="261B23D1"/>
    <w:rsid w:val="26284BE7"/>
    <w:rsid w:val="262E41C8"/>
    <w:rsid w:val="263D0137"/>
    <w:rsid w:val="263D0E95"/>
    <w:rsid w:val="26502390"/>
    <w:rsid w:val="26526108"/>
    <w:rsid w:val="26541E80"/>
    <w:rsid w:val="26606A77"/>
    <w:rsid w:val="266A0D19"/>
    <w:rsid w:val="267B565F"/>
    <w:rsid w:val="268D0EEE"/>
    <w:rsid w:val="268D7140"/>
    <w:rsid w:val="26995AE5"/>
    <w:rsid w:val="26A00A38"/>
    <w:rsid w:val="26A06E73"/>
    <w:rsid w:val="26A10E3D"/>
    <w:rsid w:val="26AA1AA0"/>
    <w:rsid w:val="26B40B71"/>
    <w:rsid w:val="26BE554B"/>
    <w:rsid w:val="26C07516"/>
    <w:rsid w:val="26C16DEA"/>
    <w:rsid w:val="26C8461C"/>
    <w:rsid w:val="26CA0394"/>
    <w:rsid w:val="26D05DE5"/>
    <w:rsid w:val="26D42FC1"/>
    <w:rsid w:val="26D97AE9"/>
    <w:rsid w:val="26E10E4C"/>
    <w:rsid w:val="26E52AD8"/>
    <w:rsid w:val="26EE4083"/>
    <w:rsid w:val="26F471BF"/>
    <w:rsid w:val="26FB054E"/>
    <w:rsid w:val="26FC0034"/>
    <w:rsid w:val="27075144"/>
    <w:rsid w:val="270F7B55"/>
    <w:rsid w:val="2714160F"/>
    <w:rsid w:val="272A2BE1"/>
    <w:rsid w:val="27473793"/>
    <w:rsid w:val="2749750B"/>
    <w:rsid w:val="275A4209"/>
    <w:rsid w:val="277D5407"/>
    <w:rsid w:val="27800A53"/>
    <w:rsid w:val="27814EF7"/>
    <w:rsid w:val="2786250D"/>
    <w:rsid w:val="278F0C96"/>
    <w:rsid w:val="27942908"/>
    <w:rsid w:val="27AE736E"/>
    <w:rsid w:val="27C9064C"/>
    <w:rsid w:val="27CE17BE"/>
    <w:rsid w:val="27D00F92"/>
    <w:rsid w:val="27D17500"/>
    <w:rsid w:val="27DE3507"/>
    <w:rsid w:val="27DF39CB"/>
    <w:rsid w:val="27E17743"/>
    <w:rsid w:val="27E81C35"/>
    <w:rsid w:val="27EE00B2"/>
    <w:rsid w:val="27F76F67"/>
    <w:rsid w:val="280176DC"/>
    <w:rsid w:val="280A0A8A"/>
    <w:rsid w:val="280D0539"/>
    <w:rsid w:val="28302479"/>
    <w:rsid w:val="28506677"/>
    <w:rsid w:val="2864541F"/>
    <w:rsid w:val="287A1946"/>
    <w:rsid w:val="288D1679"/>
    <w:rsid w:val="288F53F1"/>
    <w:rsid w:val="28930C7B"/>
    <w:rsid w:val="2895052E"/>
    <w:rsid w:val="28A6273B"/>
    <w:rsid w:val="28B74948"/>
    <w:rsid w:val="28B83236"/>
    <w:rsid w:val="28BC5ABB"/>
    <w:rsid w:val="28C36E49"/>
    <w:rsid w:val="28DE1ED5"/>
    <w:rsid w:val="28E84B02"/>
    <w:rsid w:val="28F33BD2"/>
    <w:rsid w:val="2903193C"/>
    <w:rsid w:val="290A3B72"/>
    <w:rsid w:val="292813A2"/>
    <w:rsid w:val="29310257"/>
    <w:rsid w:val="2939710B"/>
    <w:rsid w:val="294A756A"/>
    <w:rsid w:val="294F2DD3"/>
    <w:rsid w:val="29514455"/>
    <w:rsid w:val="2973261D"/>
    <w:rsid w:val="29763EBB"/>
    <w:rsid w:val="298C1B25"/>
    <w:rsid w:val="298D082E"/>
    <w:rsid w:val="29A924E3"/>
    <w:rsid w:val="29BE79F2"/>
    <w:rsid w:val="29E17ECF"/>
    <w:rsid w:val="29E452C9"/>
    <w:rsid w:val="29E928DF"/>
    <w:rsid w:val="29F23E8A"/>
    <w:rsid w:val="2A04596B"/>
    <w:rsid w:val="2A0B7865"/>
    <w:rsid w:val="2A1831C5"/>
    <w:rsid w:val="2A2953D2"/>
    <w:rsid w:val="2A32072A"/>
    <w:rsid w:val="2A44220C"/>
    <w:rsid w:val="2A461AE0"/>
    <w:rsid w:val="2A473AAA"/>
    <w:rsid w:val="2A4D0BFB"/>
    <w:rsid w:val="2A521C1D"/>
    <w:rsid w:val="2A522B7B"/>
    <w:rsid w:val="2A5F29CC"/>
    <w:rsid w:val="2A64465C"/>
    <w:rsid w:val="2A6843C4"/>
    <w:rsid w:val="2A6B59EA"/>
    <w:rsid w:val="2A6D1762"/>
    <w:rsid w:val="2A724EF5"/>
    <w:rsid w:val="2A9C2048"/>
    <w:rsid w:val="2A9E191C"/>
    <w:rsid w:val="2A9E7B6E"/>
    <w:rsid w:val="2A9F5694"/>
    <w:rsid w:val="2AAF1A65"/>
    <w:rsid w:val="2ABA24CE"/>
    <w:rsid w:val="2AC1385C"/>
    <w:rsid w:val="2ACB6489"/>
    <w:rsid w:val="2AD25A69"/>
    <w:rsid w:val="2AE15CAC"/>
    <w:rsid w:val="2AE9690F"/>
    <w:rsid w:val="2AF14141"/>
    <w:rsid w:val="2AF552B4"/>
    <w:rsid w:val="2B0D6FF4"/>
    <w:rsid w:val="2B1240B8"/>
    <w:rsid w:val="2B133692"/>
    <w:rsid w:val="2B225CB9"/>
    <w:rsid w:val="2B2B6F28"/>
    <w:rsid w:val="2B33475A"/>
    <w:rsid w:val="2B373B1E"/>
    <w:rsid w:val="2B395AE8"/>
    <w:rsid w:val="2B3D7387"/>
    <w:rsid w:val="2B4A1AA4"/>
    <w:rsid w:val="2B4D3342"/>
    <w:rsid w:val="2B54022C"/>
    <w:rsid w:val="2B5708EE"/>
    <w:rsid w:val="2B5E10AB"/>
    <w:rsid w:val="2B6B0546"/>
    <w:rsid w:val="2B794137"/>
    <w:rsid w:val="2B7D59D5"/>
    <w:rsid w:val="2B801021"/>
    <w:rsid w:val="2B8A6344"/>
    <w:rsid w:val="2B8E7BE2"/>
    <w:rsid w:val="2B906F6D"/>
    <w:rsid w:val="2B913DE4"/>
    <w:rsid w:val="2B9D7E25"/>
    <w:rsid w:val="2BB94533"/>
    <w:rsid w:val="2BBD04C8"/>
    <w:rsid w:val="2BC43604"/>
    <w:rsid w:val="2BD1187D"/>
    <w:rsid w:val="2BD9744F"/>
    <w:rsid w:val="2BDA2E28"/>
    <w:rsid w:val="2BDA4BD6"/>
    <w:rsid w:val="2BE47802"/>
    <w:rsid w:val="2BEF61A7"/>
    <w:rsid w:val="2BF10171"/>
    <w:rsid w:val="2BFE3009"/>
    <w:rsid w:val="2C046685"/>
    <w:rsid w:val="2C0B1233"/>
    <w:rsid w:val="2C0E0D23"/>
    <w:rsid w:val="2C1D2D14"/>
    <w:rsid w:val="2C210A56"/>
    <w:rsid w:val="2C292012"/>
    <w:rsid w:val="2C363DD6"/>
    <w:rsid w:val="2C42277B"/>
    <w:rsid w:val="2C4402A1"/>
    <w:rsid w:val="2C4C35F9"/>
    <w:rsid w:val="2C4E1120"/>
    <w:rsid w:val="2C54393F"/>
    <w:rsid w:val="2C5A7703"/>
    <w:rsid w:val="2C6820E3"/>
    <w:rsid w:val="2C6A14C6"/>
    <w:rsid w:val="2C6B7F24"/>
    <w:rsid w:val="2C7072E8"/>
    <w:rsid w:val="2C8E776E"/>
    <w:rsid w:val="2CA3146B"/>
    <w:rsid w:val="2CA451E4"/>
    <w:rsid w:val="2CBC077F"/>
    <w:rsid w:val="2CC969F8"/>
    <w:rsid w:val="2CCA2E9C"/>
    <w:rsid w:val="2CCB2770"/>
    <w:rsid w:val="2CCB6C14"/>
    <w:rsid w:val="2CCD473A"/>
    <w:rsid w:val="2CCE400E"/>
    <w:rsid w:val="2CD0422B"/>
    <w:rsid w:val="2CDA0C05"/>
    <w:rsid w:val="2CDA6E57"/>
    <w:rsid w:val="2CDD4252"/>
    <w:rsid w:val="2CE675AA"/>
    <w:rsid w:val="2CF55A3F"/>
    <w:rsid w:val="2CF9552F"/>
    <w:rsid w:val="2CFC6DCE"/>
    <w:rsid w:val="2D095047"/>
    <w:rsid w:val="2D0E4255"/>
    <w:rsid w:val="2D151C3D"/>
    <w:rsid w:val="2D1660E1"/>
    <w:rsid w:val="2D177764"/>
    <w:rsid w:val="2D1C4D7A"/>
    <w:rsid w:val="2D2105E2"/>
    <w:rsid w:val="2D2C76B3"/>
    <w:rsid w:val="2D2F2CFF"/>
    <w:rsid w:val="2D3622E0"/>
    <w:rsid w:val="2D4875BA"/>
    <w:rsid w:val="2D4B38B1"/>
    <w:rsid w:val="2D5E35E4"/>
    <w:rsid w:val="2D652BC5"/>
    <w:rsid w:val="2D71156A"/>
    <w:rsid w:val="2D7C1CBC"/>
    <w:rsid w:val="2D7D7F0E"/>
    <w:rsid w:val="2D8017AD"/>
    <w:rsid w:val="2D8154D4"/>
    <w:rsid w:val="2D870D8D"/>
    <w:rsid w:val="2D8E2BB9"/>
    <w:rsid w:val="2D8F7C42"/>
    <w:rsid w:val="2DB63420"/>
    <w:rsid w:val="2DC1367A"/>
    <w:rsid w:val="2DCD42C6"/>
    <w:rsid w:val="2DDD275B"/>
    <w:rsid w:val="2DE25FC3"/>
    <w:rsid w:val="2DE75388"/>
    <w:rsid w:val="2DE955A4"/>
    <w:rsid w:val="2DEA131C"/>
    <w:rsid w:val="2DEF248E"/>
    <w:rsid w:val="2DFB0384"/>
    <w:rsid w:val="2DFE26D1"/>
    <w:rsid w:val="2E00469C"/>
    <w:rsid w:val="2E1343CF"/>
    <w:rsid w:val="2E1F2D74"/>
    <w:rsid w:val="2E20089A"/>
    <w:rsid w:val="2E334A71"/>
    <w:rsid w:val="2E3600BD"/>
    <w:rsid w:val="2E4C5B33"/>
    <w:rsid w:val="2E5844D8"/>
    <w:rsid w:val="2E6609A2"/>
    <w:rsid w:val="2E701821"/>
    <w:rsid w:val="2E76495E"/>
    <w:rsid w:val="2E9D638E"/>
    <w:rsid w:val="2EA27501"/>
    <w:rsid w:val="2EB07E70"/>
    <w:rsid w:val="2EB45BB2"/>
    <w:rsid w:val="2EBD258D"/>
    <w:rsid w:val="2EC61441"/>
    <w:rsid w:val="2EC658E5"/>
    <w:rsid w:val="2ED973C6"/>
    <w:rsid w:val="2EDE0530"/>
    <w:rsid w:val="2EF51122"/>
    <w:rsid w:val="2F053E65"/>
    <w:rsid w:val="2F10090E"/>
    <w:rsid w:val="2F2443BA"/>
    <w:rsid w:val="2F2B1BEC"/>
    <w:rsid w:val="2F325AAA"/>
    <w:rsid w:val="2F407445"/>
    <w:rsid w:val="2F4772C6"/>
    <w:rsid w:val="2F4A02C4"/>
    <w:rsid w:val="2F56121E"/>
    <w:rsid w:val="2F6A1DB5"/>
    <w:rsid w:val="2F713AA3"/>
    <w:rsid w:val="2F855C44"/>
    <w:rsid w:val="2F882B9B"/>
    <w:rsid w:val="2F902FD5"/>
    <w:rsid w:val="2F967065"/>
    <w:rsid w:val="2FC02334"/>
    <w:rsid w:val="2FCF07C9"/>
    <w:rsid w:val="2FE04785"/>
    <w:rsid w:val="2FE7304B"/>
    <w:rsid w:val="2FEC3129"/>
    <w:rsid w:val="30004E27"/>
    <w:rsid w:val="300F506A"/>
    <w:rsid w:val="3011493E"/>
    <w:rsid w:val="301507B9"/>
    <w:rsid w:val="301937F3"/>
    <w:rsid w:val="301D32E3"/>
    <w:rsid w:val="301F34FF"/>
    <w:rsid w:val="30201025"/>
    <w:rsid w:val="302503E9"/>
    <w:rsid w:val="30402547"/>
    <w:rsid w:val="304050A9"/>
    <w:rsid w:val="30406FD1"/>
    <w:rsid w:val="304545E8"/>
    <w:rsid w:val="305331A8"/>
    <w:rsid w:val="30550CCF"/>
    <w:rsid w:val="305B02AF"/>
    <w:rsid w:val="30751371"/>
    <w:rsid w:val="307750E9"/>
    <w:rsid w:val="309335A5"/>
    <w:rsid w:val="309A4933"/>
    <w:rsid w:val="309D61D2"/>
    <w:rsid w:val="30A6777C"/>
    <w:rsid w:val="30A9101A"/>
    <w:rsid w:val="30AE38E8"/>
    <w:rsid w:val="30B5176D"/>
    <w:rsid w:val="30C45E54"/>
    <w:rsid w:val="30E84403"/>
    <w:rsid w:val="30EE2021"/>
    <w:rsid w:val="30FE0870"/>
    <w:rsid w:val="310C2E74"/>
    <w:rsid w:val="31161062"/>
    <w:rsid w:val="311F12DD"/>
    <w:rsid w:val="312B1A2F"/>
    <w:rsid w:val="313905F0"/>
    <w:rsid w:val="314D5E4A"/>
    <w:rsid w:val="314E571E"/>
    <w:rsid w:val="315247F3"/>
    <w:rsid w:val="3155147F"/>
    <w:rsid w:val="31572824"/>
    <w:rsid w:val="31576E63"/>
    <w:rsid w:val="316E7B6E"/>
    <w:rsid w:val="3179279B"/>
    <w:rsid w:val="31794E91"/>
    <w:rsid w:val="318A0E4C"/>
    <w:rsid w:val="3192385D"/>
    <w:rsid w:val="319F5F79"/>
    <w:rsid w:val="31A0241D"/>
    <w:rsid w:val="31A35A6A"/>
    <w:rsid w:val="31B639EF"/>
    <w:rsid w:val="31BE28A4"/>
    <w:rsid w:val="31C53C32"/>
    <w:rsid w:val="31CF68C7"/>
    <w:rsid w:val="31D04385"/>
    <w:rsid w:val="31D2634F"/>
    <w:rsid w:val="31D420C7"/>
    <w:rsid w:val="31F2254D"/>
    <w:rsid w:val="31F77B64"/>
    <w:rsid w:val="31FD161E"/>
    <w:rsid w:val="31FE0EF2"/>
    <w:rsid w:val="320C1861"/>
    <w:rsid w:val="3216448E"/>
    <w:rsid w:val="321D3A6E"/>
    <w:rsid w:val="322E5C7B"/>
    <w:rsid w:val="3234700A"/>
    <w:rsid w:val="32476D3D"/>
    <w:rsid w:val="3269502F"/>
    <w:rsid w:val="326A47D9"/>
    <w:rsid w:val="32715B68"/>
    <w:rsid w:val="32717916"/>
    <w:rsid w:val="32745651"/>
    <w:rsid w:val="32755658"/>
    <w:rsid w:val="32764F2C"/>
    <w:rsid w:val="328A6C2A"/>
    <w:rsid w:val="328C0147"/>
    <w:rsid w:val="329E0511"/>
    <w:rsid w:val="32AC37E9"/>
    <w:rsid w:val="32B1065A"/>
    <w:rsid w:val="32BF2D77"/>
    <w:rsid w:val="32BF4B25"/>
    <w:rsid w:val="32C61056"/>
    <w:rsid w:val="32CC2D9E"/>
    <w:rsid w:val="32D11119"/>
    <w:rsid w:val="32D16607"/>
    <w:rsid w:val="32E12EB1"/>
    <w:rsid w:val="32EB3B6C"/>
    <w:rsid w:val="32FA5B5D"/>
    <w:rsid w:val="330469DC"/>
    <w:rsid w:val="330D3AE3"/>
    <w:rsid w:val="33174961"/>
    <w:rsid w:val="331C04D2"/>
    <w:rsid w:val="331C3D26"/>
    <w:rsid w:val="332E1CAB"/>
    <w:rsid w:val="33353386"/>
    <w:rsid w:val="33386686"/>
    <w:rsid w:val="333A41AC"/>
    <w:rsid w:val="33446DD8"/>
    <w:rsid w:val="33466FF4"/>
    <w:rsid w:val="334D0383"/>
    <w:rsid w:val="3355526A"/>
    <w:rsid w:val="335E433E"/>
    <w:rsid w:val="335F3C12"/>
    <w:rsid w:val="336254B1"/>
    <w:rsid w:val="33630F85"/>
    <w:rsid w:val="33633703"/>
    <w:rsid w:val="33661445"/>
    <w:rsid w:val="33745910"/>
    <w:rsid w:val="337F6063"/>
    <w:rsid w:val="33857B1D"/>
    <w:rsid w:val="338D4C23"/>
    <w:rsid w:val="33941B0E"/>
    <w:rsid w:val="33973471"/>
    <w:rsid w:val="33995376"/>
    <w:rsid w:val="33B757FC"/>
    <w:rsid w:val="33CC574C"/>
    <w:rsid w:val="33D04B10"/>
    <w:rsid w:val="33D22636"/>
    <w:rsid w:val="33D26ADA"/>
    <w:rsid w:val="33D77C4D"/>
    <w:rsid w:val="33FE78CF"/>
    <w:rsid w:val="34050C5E"/>
    <w:rsid w:val="343B642D"/>
    <w:rsid w:val="344F1ED9"/>
    <w:rsid w:val="345B5FB9"/>
    <w:rsid w:val="346D4150"/>
    <w:rsid w:val="346F257B"/>
    <w:rsid w:val="34711E4F"/>
    <w:rsid w:val="347B35FE"/>
    <w:rsid w:val="34847DD4"/>
    <w:rsid w:val="348A2F11"/>
    <w:rsid w:val="349A75F8"/>
    <w:rsid w:val="34A01106"/>
    <w:rsid w:val="34AE28E6"/>
    <w:rsid w:val="34B306BA"/>
    <w:rsid w:val="34B44B59"/>
    <w:rsid w:val="34BD5094"/>
    <w:rsid w:val="34C12DD7"/>
    <w:rsid w:val="34CB5A03"/>
    <w:rsid w:val="34D4418C"/>
    <w:rsid w:val="34E42621"/>
    <w:rsid w:val="34EF1396"/>
    <w:rsid w:val="350E3B42"/>
    <w:rsid w:val="35123632"/>
    <w:rsid w:val="35156C7E"/>
    <w:rsid w:val="353F1F4D"/>
    <w:rsid w:val="354632DC"/>
    <w:rsid w:val="354B6B44"/>
    <w:rsid w:val="355377A7"/>
    <w:rsid w:val="35624D04"/>
    <w:rsid w:val="356419B4"/>
    <w:rsid w:val="3575771D"/>
    <w:rsid w:val="35794D6E"/>
    <w:rsid w:val="35847960"/>
    <w:rsid w:val="358B5193"/>
    <w:rsid w:val="359027A9"/>
    <w:rsid w:val="35957DBF"/>
    <w:rsid w:val="35AE2C2F"/>
    <w:rsid w:val="35B75F88"/>
    <w:rsid w:val="35B91D00"/>
    <w:rsid w:val="35B93AAE"/>
    <w:rsid w:val="35BF6BEA"/>
    <w:rsid w:val="35C91817"/>
    <w:rsid w:val="35D00DF7"/>
    <w:rsid w:val="35E901F7"/>
    <w:rsid w:val="35ED7BFB"/>
    <w:rsid w:val="35F5260C"/>
    <w:rsid w:val="35FA7C22"/>
    <w:rsid w:val="35FD6267"/>
    <w:rsid w:val="35FE7713"/>
    <w:rsid w:val="3600792F"/>
    <w:rsid w:val="360D5FB1"/>
    <w:rsid w:val="36274EBB"/>
    <w:rsid w:val="36280C33"/>
    <w:rsid w:val="36370E76"/>
    <w:rsid w:val="36372C24"/>
    <w:rsid w:val="36462F9D"/>
    <w:rsid w:val="364C66D0"/>
    <w:rsid w:val="365612FD"/>
    <w:rsid w:val="365C268B"/>
    <w:rsid w:val="367125DA"/>
    <w:rsid w:val="36780B29"/>
    <w:rsid w:val="367E02E8"/>
    <w:rsid w:val="36820D95"/>
    <w:rsid w:val="368A71F8"/>
    <w:rsid w:val="368D0A96"/>
    <w:rsid w:val="369E0BFD"/>
    <w:rsid w:val="36A35226"/>
    <w:rsid w:val="36AF3103"/>
    <w:rsid w:val="36B424C7"/>
    <w:rsid w:val="36B50719"/>
    <w:rsid w:val="36C721FA"/>
    <w:rsid w:val="36C941C4"/>
    <w:rsid w:val="36CD3F2F"/>
    <w:rsid w:val="36DB5CA6"/>
    <w:rsid w:val="36E326B9"/>
    <w:rsid w:val="36EA5EE9"/>
    <w:rsid w:val="36EE59D9"/>
    <w:rsid w:val="36F40B16"/>
    <w:rsid w:val="36F86858"/>
    <w:rsid w:val="36FB1EA4"/>
    <w:rsid w:val="371D1E1A"/>
    <w:rsid w:val="371E22F5"/>
    <w:rsid w:val="372B2789"/>
    <w:rsid w:val="37347FB9"/>
    <w:rsid w:val="373F6235"/>
    <w:rsid w:val="3743283D"/>
    <w:rsid w:val="37607F59"/>
    <w:rsid w:val="376143FD"/>
    <w:rsid w:val="37623CD1"/>
    <w:rsid w:val="37766722"/>
    <w:rsid w:val="377F0D27"/>
    <w:rsid w:val="378123A9"/>
    <w:rsid w:val="37893954"/>
    <w:rsid w:val="37983C1D"/>
    <w:rsid w:val="379F0A81"/>
    <w:rsid w:val="37A4078E"/>
    <w:rsid w:val="37A75B88"/>
    <w:rsid w:val="37AC319E"/>
    <w:rsid w:val="37AE5168"/>
    <w:rsid w:val="37B81B43"/>
    <w:rsid w:val="37C36E66"/>
    <w:rsid w:val="37C404E8"/>
    <w:rsid w:val="37C87FD8"/>
    <w:rsid w:val="37CE1367"/>
    <w:rsid w:val="37E312B6"/>
    <w:rsid w:val="37ED5C91"/>
    <w:rsid w:val="38044D88"/>
    <w:rsid w:val="380A4A95"/>
    <w:rsid w:val="380E11B5"/>
    <w:rsid w:val="38194CD8"/>
    <w:rsid w:val="381F01AD"/>
    <w:rsid w:val="382316B2"/>
    <w:rsid w:val="382F0057"/>
    <w:rsid w:val="383218F5"/>
    <w:rsid w:val="383E64EC"/>
    <w:rsid w:val="384A30E3"/>
    <w:rsid w:val="38635F53"/>
    <w:rsid w:val="38653A79"/>
    <w:rsid w:val="386C12AB"/>
    <w:rsid w:val="38795776"/>
    <w:rsid w:val="387C0200"/>
    <w:rsid w:val="388A1731"/>
    <w:rsid w:val="388E270B"/>
    <w:rsid w:val="38932075"/>
    <w:rsid w:val="389600D6"/>
    <w:rsid w:val="38A26A7B"/>
    <w:rsid w:val="38AD5420"/>
    <w:rsid w:val="38B93DC5"/>
    <w:rsid w:val="38BB7B3D"/>
    <w:rsid w:val="38C42E95"/>
    <w:rsid w:val="38C5276A"/>
    <w:rsid w:val="38CA7D80"/>
    <w:rsid w:val="38CC1D4A"/>
    <w:rsid w:val="38D34E86"/>
    <w:rsid w:val="38D40BFF"/>
    <w:rsid w:val="38D86941"/>
    <w:rsid w:val="38DB1F8D"/>
    <w:rsid w:val="38EA0710"/>
    <w:rsid w:val="38F372D7"/>
    <w:rsid w:val="38FD63A7"/>
    <w:rsid w:val="390F11EF"/>
    <w:rsid w:val="390F7E89"/>
    <w:rsid w:val="39186D3D"/>
    <w:rsid w:val="391B05DB"/>
    <w:rsid w:val="391D359F"/>
    <w:rsid w:val="39276F80"/>
    <w:rsid w:val="39292CF8"/>
    <w:rsid w:val="393618B9"/>
    <w:rsid w:val="39385E8A"/>
    <w:rsid w:val="395C1320"/>
    <w:rsid w:val="396106E4"/>
    <w:rsid w:val="396471C4"/>
    <w:rsid w:val="396A50BF"/>
    <w:rsid w:val="397228F1"/>
    <w:rsid w:val="397A79F8"/>
    <w:rsid w:val="3986639D"/>
    <w:rsid w:val="39A90240"/>
    <w:rsid w:val="39B32F0A"/>
    <w:rsid w:val="39C742BF"/>
    <w:rsid w:val="39CD2CDE"/>
    <w:rsid w:val="39D76BF8"/>
    <w:rsid w:val="39F71049"/>
    <w:rsid w:val="3A070042"/>
    <w:rsid w:val="3A1761DC"/>
    <w:rsid w:val="3A176FF5"/>
    <w:rsid w:val="3A211C22"/>
    <w:rsid w:val="3A233BEC"/>
    <w:rsid w:val="3A2B6F44"/>
    <w:rsid w:val="3A2E433E"/>
    <w:rsid w:val="3A3527C6"/>
    <w:rsid w:val="3A3E4582"/>
    <w:rsid w:val="3A563FC1"/>
    <w:rsid w:val="3A575643"/>
    <w:rsid w:val="3A777A93"/>
    <w:rsid w:val="3A7B57D6"/>
    <w:rsid w:val="3A824DB6"/>
    <w:rsid w:val="3A8A5A19"/>
    <w:rsid w:val="3A904CEE"/>
    <w:rsid w:val="3A960861"/>
    <w:rsid w:val="3A9B514C"/>
    <w:rsid w:val="3AA0523C"/>
    <w:rsid w:val="3AB26D1E"/>
    <w:rsid w:val="3AB40CE8"/>
    <w:rsid w:val="3AB94550"/>
    <w:rsid w:val="3ACC4283"/>
    <w:rsid w:val="3ADD1FEC"/>
    <w:rsid w:val="3AEA4709"/>
    <w:rsid w:val="3AF37A62"/>
    <w:rsid w:val="3AFB2473"/>
    <w:rsid w:val="3B0A6B5A"/>
    <w:rsid w:val="3B0C034B"/>
    <w:rsid w:val="3B135A0E"/>
    <w:rsid w:val="3B255741"/>
    <w:rsid w:val="3B2929B3"/>
    <w:rsid w:val="3B2A0FAA"/>
    <w:rsid w:val="3B2F036E"/>
    <w:rsid w:val="3B3140E6"/>
    <w:rsid w:val="3B530501"/>
    <w:rsid w:val="3B581673"/>
    <w:rsid w:val="3B5B73B5"/>
    <w:rsid w:val="3B5F0C53"/>
    <w:rsid w:val="3B820DE6"/>
    <w:rsid w:val="3B912DD7"/>
    <w:rsid w:val="3BAD6C67"/>
    <w:rsid w:val="3BB15227"/>
    <w:rsid w:val="3BB32D4D"/>
    <w:rsid w:val="3BBD597A"/>
    <w:rsid w:val="3BC27434"/>
    <w:rsid w:val="3BCE6C1F"/>
    <w:rsid w:val="3BD86C58"/>
    <w:rsid w:val="3BDD601C"/>
    <w:rsid w:val="3BE42ACC"/>
    <w:rsid w:val="3BE64ED1"/>
    <w:rsid w:val="3C102C2A"/>
    <w:rsid w:val="3C1501DD"/>
    <w:rsid w:val="3C3245BA"/>
    <w:rsid w:val="3C3A346E"/>
    <w:rsid w:val="3C3E2F5F"/>
    <w:rsid w:val="3C5738CA"/>
    <w:rsid w:val="3C5C6123"/>
    <w:rsid w:val="3C5E53AF"/>
    <w:rsid w:val="3C600C64"/>
    <w:rsid w:val="3C6329C5"/>
    <w:rsid w:val="3C6504EB"/>
    <w:rsid w:val="3C6978B0"/>
    <w:rsid w:val="3C6A5B02"/>
    <w:rsid w:val="3C6F136A"/>
    <w:rsid w:val="3C7324DC"/>
    <w:rsid w:val="3C766C4A"/>
    <w:rsid w:val="3C795D45"/>
    <w:rsid w:val="3C8C1F1C"/>
    <w:rsid w:val="3C8F37BA"/>
    <w:rsid w:val="3C94492D"/>
    <w:rsid w:val="3CA10D21"/>
    <w:rsid w:val="3CA66605"/>
    <w:rsid w:val="3CB13731"/>
    <w:rsid w:val="3CC1358A"/>
    <w:rsid w:val="3CCA034E"/>
    <w:rsid w:val="3CD15B81"/>
    <w:rsid w:val="3CE04016"/>
    <w:rsid w:val="3CE27D8E"/>
    <w:rsid w:val="3CEB0831"/>
    <w:rsid w:val="3CEF6007"/>
    <w:rsid w:val="3CF33D49"/>
    <w:rsid w:val="3CFD4BC8"/>
    <w:rsid w:val="3CFE624A"/>
    <w:rsid w:val="3D0221DE"/>
    <w:rsid w:val="3D023F8C"/>
    <w:rsid w:val="3D1362F8"/>
    <w:rsid w:val="3D22018A"/>
    <w:rsid w:val="3D2263DC"/>
    <w:rsid w:val="3D393B4A"/>
    <w:rsid w:val="3D3E2AEA"/>
    <w:rsid w:val="3D430101"/>
    <w:rsid w:val="3D5347E8"/>
    <w:rsid w:val="3D5E4F88"/>
    <w:rsid w:val="3D6975F0"/>
    <w:rsid w:val="3D6F7A43"/>
    <w:rsid w:val="3D7A6218"/>
    <w:rsid w:val="3D8C7CFA"/>
    <w:rsid w:val="3D98669F"/>
    <w:rsid w:val="3D9F5C7F"/>
    <w:rsid w:val="3DA46DF1"/>
    <w:rsid w:val="3DB35286"/>
    <w:rsid w:val="3DB42DAD"/>
    <w:rsid w:val="3DD0408A"/>
    <w:rsid w:val="3DD1395F"/>
    <w:rsid w:val="3DD31485"/>
    <w:rsid w:val="3DD5344F"/>
    <w:rsid w:val="3DE73182"/>
    <w:rsid w:val="3DF17B5D"/>
    <w:rsid w:val="3DF5764D"/>
    <w:rsid w:val="3DFA2EB5"/>
    <w:rsid w:val="3DFFDF8E"/>
    <w:rsid w:val="3E0055CC"/>
    <w:rsid w:val="3E083824"/>
    <w:rsid w:val="3E104487"/>
    <w:rsid w:val="3E1C107E"/>
    <w:rsid w:val="3E1F291C"/>
    <w:rsid w:val="3E2E0DB1"/>
    <w:rsid w:val="3E353EED"/>
    <w:rsid w:val="3E391C30"/>
    <w:rsid w:val="3E3A59A8"/>
    <w:rsid w:val="3E43485C"/>
    <w:rsid w:val="3E4D56DB"/>
    <w:rsid w:val="3E524A9F"/>
    <w:rsid w:val="3E5500EC"/>
    <w:rsid w:val="3E5527E2"/>
    <w:rsid w:val="3E554590"/>
    <w:rsid w:val="3E5D1C81"/>
    <w:rsid w:val="3E66679D"/>
    <w:rsid w:val="3E693B97"/>
    <w:rsid w:val="3E7E5894"/>
    <w:rsid w:val="3E8804C1"/>
    <w:rsid w:val="3E950C88"/>
    <w:rsid w:val="3E9C21BE"/>
    <w:rsid w:val="3EA80B63"/>
    <w:rsid w:val="3EAD43CC"/>
    <w:rsid w:val="3EC60FE9"/>
    <w:rsid w:val="3EC647A9"/>
    <w:rsid w:val="3EC82FB3"/>
    <w:rsid w:val="3ED731F7"/>
    <w:rsid w:val="3EDA6843"/>
    <w:rsid w:val="3EE25D0C"/>
    <w:rsid w:val="3EF20030"/>
    <w:rsid w:val="3EF5367D"/>
    <w:rsid w:val="3F025137"/>
    <w:rsid w:val="3F163D1F"/>
    <w:rsid w:val="3F165ACD"/>
    <w:rsid w:val="3F19380F"/>
    <w:rsid w:val="3F1B30E3"/>
    <w:rsid w:val="3F2F3033"/>
    <w:rsid w:val="3F375A43"/>
    <w:rsid w:val="3F3C6758"/>
    <w:rsid w:val="3F3E6DD2"/>
    <w:rsid w:val="3F6031EC"/>
    <w:rsid w:val="3F6820A1"/>
    <w:rsid w:val="3F6E5909"/>
    <w:rsid w:val="3F7A60AE"/>
    <w:rsid w:val="3F7E18C4"/>
    <w:rsid w:val="3F8C3FE1"/>
    <w:rsid w:val="3F95733A"/>
    <w:rsid w:val="3F964E60"/>
    <w:rsid w:val="3FAB6A81"/>
    <w:rsid w:val="3FBA0B4E"/>
    <w:rsid w:val="3FBE7F13"/>
    <w:rsid w:val="3FD634AE"/>
    <w:rsid w:val="3FF7269F"/>
    <w:rsid w:val="3FFA00A4"/>
    <w:rsid w:val="3FFA53EF"/>
    <w:rsid w:val="3FFA719D"/>
    <w:rsid w:val="401C5365"/>
    <w:rsid w:val="40322DDA"/>
    <w:rsid w:val="4045789F"/>
    <w:rsid w:val="404B7DB0"/>
    <w:rsid w:val="40552625"/>
    <w:rsid w:val="406238EE"/>
    <w:rsid w:val="40694322"/>
    <w:rsid w:val="406E36E7"/>
    <w:rsid w:val="407A6D2B"/>
    <w:rsid w:val="40890521"/>
    <w:rsid w:val="4090365D"/>
    <w:rsid w:val="409072AC"/>
    <w:rsid w:val="40925627"/>
    <w:rsid w:val="40953369"/>
    <w:rsid w:val="409D5D7A"/>
    <w:rsid w:val="40A435AC"/>
    <w:rsid w:val="40A4535A"/>
    <w:rsid w:val="40BF3F42"/>
    <w:rsid w:val="40CF0629"/>
    <w:rsid w:val="40CF2A93"/>
    <w:rsid w:val="40D354F3"/>
    <w:rsid w:val="40D914A8"/>
    <w:rsid w:val="40E439A9"/>
    <w:rsid w:val="40E57E4D"/>
    <w:rsid w:val="40ED4F53"/>
    <w:rsid w:val="41032081"/>
    <w:rsid w:val="410B53D9"/>
    <w:rsid w:val="41114BBA"/>
    <w:rsid w:val="41166258"/>
    <w:rsid w:val="411918A4"/>
    <w:rsid w:val="411A73CB"/>
    <w:rsid w:val="411E335F"/>
    <w:rsid w:val="41214BFD"/>
    <w:rsid w:val="41255DE0"/>
    <w:rsid w:val="412F106E"/>
    <w:rsid w:val="41326E0A"/>
    <w:rsid w:val="4134048C"/>
    <w:rsid w:val="413F350F"/>
    <w:rsid w:val="415919D0"/>
    <w:rsid w:val="415D5C35"/>
    <w:rsid w:val="41614FF9"/>
    <w:rsid w:val="41666A34"/>
    <w:rsid w:val="416A2100"/>
    <w:rsid w:val="416D399E"/>
    <w:rsid w:val="41760AA5"/>
    <w:rsid w:val="418C02C8"/>
    <w:rsid w:val="41924A76"/>
    <w:rsid w:val="419E624E"/>
    <w:rsid w:val="41BE244C"/>
    <w:rsid w:val="41CE268F"/>
    <w:rsid w:val="41E225DE"/>
    <w:rsid w:val="41EF0857"/>
    <w:rsid w:val="42044303"/>
    <w:rsid w:val="42051E29"/>
    <w:rsid w:val="420605A3"/>
    <w:rsid w:val="4209374A"/>
    <w:rsid w:val="420A5691"/>
    <w:rsid w:val="420D71AC"/>
    <w:rsid w:val="4211715A"/>
    <w:rsid w:val="4214206C"/>
    <w:rsid w:val="42164036"/>
    <w:rsid w:val="42176969"/>
    <w:rsid w:val="421F738E"/>
    <w:rsid w:val="42246753"/>
    <w:rsid w:val="42274495"/>
    <w:rsid w:val="422936B2"/>
    <w:rsid w:val="423A5F76"/>
    <w:rsid w:val="4253528A"/>
    <w:rsid w:val="425A2175"/>
    <w:rsid w:val="426B6130"/>
    <w:rsid w:val="426C3C56"/>
    <w:rsid w:val="42707BEA"/>
    <w:rsid w:val="42894808"/>
    <w:rsid w:val="429E4757"/>
    <w:rsid w:val="42A87384"/>
    <w:rsid w:val="42B775C7"/>
    <w:rsid w:val="42D11315"/>
    <w:rsid w:val="42D57A4D"/>
    <w:rsid w:val="42DC702D"/>
    <w:rsid w:val="42DD0D78"/>
    <w:rsid w:val="42EA174A"/>
    <w:rsid w:val="42F308B1"/>
    <w:rsid w:val="430345BA"/>
    <w:rsid w:val="430A3B9B"/>
    <w:rsid w:val="432946E3"/>
    <w:rsid w:val="432A400D"/>
    <w:rsid w:val="432A7D99"/>
    <w:rsid w:val="43324E9F"/>
    <w:rsid w:val="43362BE2"/>
    <w:rsid w:val="434F15AD"/>
    <w:rsid w:val="435968D0"/>
    <w:rsid w:val="435E7A42"/>
    <w:rsid w:val="43670FED"/>
    <w:rsid w:val="43681D2F"/>
    <w:rsid w:val="43790D20"/>
    <w:rsid w:val="43880F63"/>
    <w:rsid w:val="439416B6"/>
    <w:rsid w:val="43AA712C"/>
    <w:rsid w:val="43B34232"/>
    <w:rsid w:val="43B92ECB"/>
    <w:rsid w:val="43BB30E7"/>
    <w:rsid w:val="43BF3FB9"/>
    <w:rsid w:val="43CF26EE"/>
    <w:rsid w:val="43D1290A"/>
    <w:rsid w:val="43DB3530"/>
    <w:rsid w:val="43E20674"/>
    <w:rsid w:val="43EE2A18"/>
    <w:rsid w:val="43F14D5A"/>
    <w:rsid w:val="43F81C45"/>
    <w:rsid w:val="43FD54AD"/>
    <w:rsid w:val="44184095"/>
    <w:rsid w:val="44250560"/>
    <w:rsid w:val="44307631"/>
    <w:rsid w:val="443C4228"/>
    <w:rsid w:val="445F1CC4"/>
    <w:rsid w:val="446612A5"/>
    <w:rsid w:val="446C43E1"/>
    <w:rsid w:val="447D214A"/>
    <w:rsid w:val="44894F93"/>
    <w:rsid w:val="448B5125"/>
    <w:rsid w:val="4493196E"/>
    <w:rsid w:val="449D0A3E"/>
    <w:rsid w:val="44A122DD"/>
    <w:rsid w:val="44A21BB1"/>
    <w:rsid w:val="44A6065D"/>
    <w:rsid w:val="44B244EA"/>
    <w:rsid w:val="44B33DBE"/>
    <w:rsid w:val="44B71B00"/>
    <w:rsid w:val="44BA339E"/>
    <w:rsid w:val="44CC0184"/>
    <w:rsid w:val="45091C30"/>
    <w:rsid w:val="45280308"/>
    <w:rsid w:val="4530540F"/>
    <w:rsid w:val="45401AF6"/>
    <w:rsid w:val="454378FD"/>
    <w:rsid w:val="454669E0"/>
    <w:rsid w:val="45633A36"/>
    <w:rsid w:val="45682DFA"/>
    <w:rsid w:val="45774DEB"/>
    <w:rsid w:val="45790B64"/>
    <w:rsid w:val="458B6AE9"/>
    <w:rsid w:val="45991206"/>
    <w:rsid w:val="45C76CFE"/>
    <w:rsid w:val="45D264C6"/>
    <w:rsid w:val="45E0774E"/>
    <w:rsid w:val="460074D7"/>
    <w:rsid w:val="46116FEE"/>
    <w:rsid w:val="461865CE"/>
    <w:rsid w:val="462A6302"/>
    <w:rsid w:val="463351B6"/>
    <w:rsid w:val="46362EF9"/>
    <w:rsid w:val="465869CB"/>
    <w:rsid w:val="46592743"/>
    <w:rsid w:val="465D66D7"/>
    <w:rsid w:val="466E2692"/>
    <w:rsid w:val="46737941"/>
    <w:rsid w:val="467E6B57"/>
    <w:rsid w:val="469A3487"/>
    <w:rsid w:val="46A63BDA"/>
    <w:rsid w:val="46A77C72"/>
    <w:rsid w:val="46A936CA"/>
    <w:rsid w:val="46B1432D"/>
    <w:rsid w:val="46BC33FE"/>
    <w:rsid w:val="46CC1167"/>
    <w:rsid w:val="46D5626E"/>
    <w:rsid w:val="46D63D94"/>
    <w:rsid w:val="46F5246C"/>
    <w:rsid w:val="47022DDB"/>
    <w:rsid w:val="47040901"/>
    <w:rsid w:val="47176886"/>
    <w:rsid w:val="471F398D"/>
    <w:rsid w:val="47321912"/>
    <w:rsid w:val="47392CA0"/>
    <w:rsid w:val="473C009B"/>
    <w:rsid w:val="47503B46"/>
    <w:rsid w:val="475E6263"/>
    <w:rsid w:val="476F0470"/>
    <w:rsid w:val="47867568"/>
    <w:rsid w:val="478D08F6"/>
    <w:rsid w:val="4799729B"/>
    <w:rsid w:val="47A0687C"/>
    <w:rsid w:val="47A619B8"/>
    <w:rsid w:val="47A65E5C"/>
    <w:rsid w:val="47B13127"/>
    <w:rsid w:val="47B2035D"/>
    <w:rsid w:val="47B93109"/>
    <w:rsid w:val="47BA5463"/>
    <w:rsid w:val="47D367C1"/>
    <w:rsid w:val="47D57F3B"/>
    <w:rsid w:val="47E30E5E"/>
    <w:rsid w:val="47E81FD1"/>
    <w:rsid w:val="47EA3F9B"/>
    <w:rsid w:val="47F366F7"/>
    <w:rsid w:val="47FF02E4"/>
    <w:rsid w:val="480212E4"/>
    <w:rsid w:val="480640A4"/>
    <w:rsid w:val="480F755D"/>
    <w:rsid w:val="481B05F8"/>
    <w:rsid w:val="48314ADF"/>
    <w:rsid w:val="48401E0D"/>
    <w:rsid w:val="48507E7F"/>
    <w:rsid w:val="48623B31"/>
    <w:rsid w:val="486378A9"/>
    <w:rsid w:val="4867383D"/>
    <w:rsid w:val="48710218"/>
    <w:rsid w:val="48763A80"/>
    <w:rsid w:val="487D061D"/>
    <w:rsid w:val="487E032C"/>
    <w:rsid w:val="48802209"/>
    <w:rsid w:val="48897310"/>
    <w:rsid w:val="48B06F92"/>
    <w:rsid w:val="48BF0F83"/>
    <w:rsid w:val="48D72771"/>
    <w:rsid w:val="48E00EFA"/>
    <w:rsid w:val="48E24BBA"/>
    <w:rsid w:val="48E24C72"/>
    <w:rsid w:val="48E72288"/>
    <w:rsid w:val="48F6071D"/>
    <w:rsid w:val="48F74BC1"/>
    <w:rsid w:val="48FC21D7"/>
    <w:rsid w:val="48FF5824"/>
    <w:rsid w:val="490177EE"/>
    <w:rsid w:val="49044BE8"/>
    <w:rsid w:val="49066BB2"/>
    <w:rsid w:val="49156DF5"/>
    <w:rsid w:val="49282FCC"/>
    <w:rsid w:val="493F4F1F"/>
    <w:rsid w:val="49423962"/>
    <w:rsid w:val="49431BB4"/>
    <w:rsid w:val="494D47E1"/>
    <w:rsid w:val="495F62C2"/>
    <w:rsid w:val="497004D0"/>
    <w:rsid w:val="497179F9"/>
    <w:rsid w:val="497A30FC"/>
    <w:rsid w:val="497E2BEC"/>
    <w:rsid w:val="49940662"/>
    <w:rsid w:val="499F2B63"/>
    <w:rsid w:val="49AE2DA6"/>
    <w:rsid w:val="49B20AE8"/>
    <w:rsid w:val="49B22896"/>
    <w:rsid w:val="49B52386"/>
    <w:rsid w:val="49CF169A"/>
    <w:rsid w:val="49E14F29"/>
    <w:rsid w:val="49E17E97"/>
    <w:rsid w:val="4A0A6C7A"/>
    <w:rsid w:val="4A17094B"/>
    <w:rsid w:val="4A191ED4"/>
    <w:rsid w:val="4A233794"/>
    <w:rsid w:val="4A2F038B"/>
    <w:rsid w:val="4A547DF1"/>
    <w:rsid w:val="4A662314"/>
    <w:rsid w:val="4A6F5A6E"/>
    <w:rsid w:val="4A7B537E"/>
    <w:rsid w:val="4A8F2BD7"/>
    <w:rsid w:val="4A9326C8"/>
    <w:rsid w:val="4A9B5A20"/>
    <w:rsid w:val="4AAF5028"/>
    <w:rsid w:val="4AC7350D"/>
    <w:rsid w:val="4AD8632C"/>
    <w:rsid w:val="4ADB7BCB"/>
    <w:rsid w:val="4ADD7DE7"/>
    <w:rsid w:val="4AEE3DA2"/>
    <w:rsid w:val="4AF86972"/>
    <w:rsid w:val="4AFC64BF"/>
    <w:rsid w:val="4B007631"/>
    <w:rsid w:val="4B052E99"/>
    <w:rsid w:val="4B0A43E7"/>
    <w:rsid w:val="4B0E7FA0"/>
    <w:rsid w:val="4B133808"/>
    <w:rsid w:val="4B1F21AD"/>
    <w:rsid w:val="4B223A4B"/>
    <w:rsid w:val="4B3B68BB"/>
    <w:rsid w:val="4B3C4B0D"/>
    <w:rsid w:val="4B4614E8"/>
    <w:rsid w:val="4B475260"/>
    <w:rsid w:val="4B4C5754"/>
    <w:rsid w:val="4B5A0AB7"/>
    <w:rsid w:val="4B6E0A3F"/>
    <w:rsid w:val="4B7F49FA"/>
    <w:rsid w:val="4B902A9C"/>
    <w:rsid w:val="4B9366F7"/>
    <w:rsid w:val="4B965437"/>
    <w:rsid w:val="4B993E6F"/>
    <w:rsid w:val="4BB02E05"/>
    <w:rsid w:val="4BD72A88"/>
    <w:rsid w:val="4BED22AB"/>
    <w:rsid w:val="4BF278C2"/>
    <w:rsid w:val="4BF61160"/>
    <w:rsid w:val="4C03387D"/>
    <w:rsid w:val="4C140BD0"/>
    <w:rsid w:val="4C1635B0"/>
    <w:rsid w:val="4C1D6881"/>
    <w:rsid w:val="4C2D26A8"/>
    <w:rsid w:val="4C2F0F0C"/>
    <w:rsid w:val="4C365A00"/>
    <w:rsid w:val="4C39104D"/>
    <w:rsid w:val="4C583BC9"/>
    <w:rsid w:val="4C653BF0"/>
    <w:rsid w:val="4C667968"/>
    <w:rsid w:val="4C742085"/>
    <w:rsid w:val="4C7D7706"/>
    <w:rsid w:val="4C7E2F03"/>
    <w:rsid w:val="4C823586"/>
    <w:rsid w:val="4C891FD4"/>
    <w:rsid w:val="4C9314EA"/>
    <w:rsid w:val="4C9444D5"/>
    <w:rsid w:val="4CA23096"/>
    <w:rsid w:val="4CA566E2"/>
    <w:rsid w:val="4CAA019C"/>
    <w:rsid w:val="4CBF59F6"/>
    <w:rsid w:val="4CC254E6"/>
    <w:rsid w:val="4CC76658"/>
    <w:rsid w:val="4CCA5ABE"/>
    <w:rsid w:val="4CCF19B1"/>
    <w:rsid w:val="4CD15729"/>
    <w:rsid w:val="4CD40D75"/>
    <w:rsid w:val="4CD82614"/>
    <w:rsid w:val="4CDB2104"/>
    <w:rsid w:val="4CE36E90"/>
    <w:rsid w:val="4CFB27A6"/>
    <w:rsid w:val="4D005B8D"/>
    <w:rsid w:val="4D0F7FFF"/>
    <w:rsid w:val="4D115B26"/>
    <w:rsid w:val="4D241CFD"/>
    <w:rsid w:val="4D27359B"/>
    <w:rsid w:val="4D2C0BB1"/>
    <w:rsid w:val="4D2E492A"/>
    <w:rsid w:val="4D4952BF"/>
    <w:rsid w:val="4D4E28D6"/>
    <w:rsid w:val="4D5325E2"/>
    <w:rsid w:val="4D553C64"/>
    <w:rsid w:val="4D6D36A4"/>
    <w:rsid w:val="4D73233C"/>
    <w:rsid w:val="4D7F33D7"/>
    <w:rsid w:val="4D814A59"/>
    <w:rsid w:val="4D8207D1"/>
    <w:rsid w:val="4D88228C"/>
    <w:rsid w:val="4D9724CF"/>
    <w:rsid w:val="4DAB5F7A"/>
    <w:rsid w:val="4DAF7C6B"/>
    <w:rsid w:val="4DBA440F"/>
    <w:rsid w:val="4DC62DB4"/>
    <w:rsid w:val="4DCB03CA"/>
    <w:rsid w:val="4DCD7C9F"/>
    <w:rsid w:val="4DD01DFD"/>
    <w:rsid w:val="4DD04FA8"/>
    <w:rsid w:val="4DD728CB"/>
    <w:rsid w:val="4DE17BEE"/>
    <w:rsid w:val="4E1517BE"/>
    <w:rsid w:val="4E2B2C17"/>
    <w:rsid w:val="4E471216"/>
    <w:rsid w:val="4E4B5067"/>
    <w:rsid w:val="4E604FB7"/>
    <w:rsid w:val="4E6323B1"/>
    <w:rsid w:val="4E686225"/>
    <w:rsid w:val="4E6D1482"/>
    <w:rsid w:val="4E742810"/>
    <w:rsid w:val="4E994025"/>
    <w:rsid w:val="4EA8070C"/>
    <w:rsid w:val="4EAA4484"/>
    <w:rsid w:val="4EAF3848"/>
    <w:rsid w:val="4EBD7EC9"/>
    <w:rsid w:val="4EC70B92"/>
    <w:rsid w:val="4ED43C66"/>
    <w:rsid w:val="4EDB63EB"/>
    <w:rsid w:val="4EDF17E5"/>
    <w:rsid w:val="4EF179BD"/>
    <w:rsid w:val="4EFA4BA2"/>
    <w:rsid w:val="4F027E1C"/>
    <w:rsid w:val="4F0C0C9A"/>
    <w:rsid w:val="4F0C39F5"/>
    <w:rsid w:val="4F2E29BF"/>
    <w:rsid w:val="4F42646A"/>
    <w:rsid w:val="4F471CD3"/>
    <w:rsid w:val="4F4C6AE6"/>
    <w:rsid w:val="4F560168"/>
    <w:rsid w:val="4F6783C4"/>
    <w:rsid w:val="4F782B41"/>
    <w:rsid w:val="4F7A5C04"/>
    <w:rsid w:val="4F894099"/>
    <w:rsid w:val="4F8B1BBF"/>
    <w:rsid w:val="4F9273F2"/>
    <w:rsid w:val="4F9842DC"/>
    <w:rsid w:val="4F9B2C02"/>
    <w:rsid w:val="4F9D7B44"/>
    <w:rsid w:val="4FA62E9D"/>
    <w:rsid w:val="4FB541B4"/>
    <w:rsid w:val="4FBF3F5F"/>
    <w:rsid w:val="4FC8660F"/>
    <w:rsid w:val="4FC96B8B"/>
    <w:rsid w:val="4FCE41A2"/>
    <w:rsid w:val="4FD07F1A"/>
    <w:rsid w:val="4FD27620"/>
    <w:rsid w:val="4FE43F41"/>
    <w:rsid w:val="4FF34EAE"/>
    <w:rsid w:val="4FF77255"/>
    <w:rsid w:val="50083210"/>
    <w:rsid w:val="50120532"/>
    <w:rsid w:val="50153262"/>
    <w:rsid w:val="5015592D"/>
    <w:rsid w:val="50265D8C"/>
    <w:rsid w:val="502838B2"/>
    <w:rsid w:val="50324731"/>
    <w:rsid w:val="503F0BFC"/>
    <w:rsid w:val="50463D38"/>
    <w:rsid w:val="504E494E"/>
    <w:rsid w:val="50577CF3"/>
    <w:rsid w:val="50770396"/>
    <w:rsid w:val="50923421"/>
    <w:rsid w:val="50966A6E"/>
    <w:rsid w:val="50974594"/>
    <w:rsid w:val="50A15412"/>
    <w:rsid w:val="50B769E4"/>
    <w:rsid w:val="50C3182D"/>
    <w:rsid w:val="50D11C9A"/>
    <w:rsid w:val="50D9480F"/>
    <w:rsid w:val="50E13A61"/>
    <w:rsid w:val="50E33C7D"/>
    <w:rsid w:val="5119144D"/>
    <w:rsid w:val="512D6CA6"/>
    <w:rsid w:val="51497F84"/>
    <w:rsid w:val="5153495F"/>
    <w:rsid w:val="515B7993"/>
    <w:rsid w:val="515B7CB7"/>
    <w:rsid w:val="516B5E4D"/>
    <w:rsid w:val="518965D2"/>
    <w:rsid w:val="519478E5"/>
    <w:rsid w:val="519D207E"/>
    <w:rsid w:val="51A27E07"/>
    <w:rsid w:val="51AA65D8"/>
    <w:rsid w:val="51B15B29"/>
    <w:rsid w:val="51C55131"/>
    <w:rsid w:val="51CB0999"/>
    <w:rsid w:val="51CE4C15"/>
    <w:rsid w:val="51E1640E"/>
    <w:rsid w:val="51F577C4"/>
    <w:rsid w:val="52097713"/>
    <w:rsid w:val="520D7203"/>
    <w:rsid w:val="520E4D2A"/>
    <w:rsid w:val="5212481A"/>
    <w:rsid w:val="52140592"/>
    <w:rsid w:val="52171E30"/>
    <w:rsid w:val="52350508"/>
    <w:rsid w:val="52466271"/>
    <w:rsid w:val="524B3888"/>
    <w:rsid w:val="525F7333"/>
    <w:rsid w:val="526C663E"/>
    <w:rsid w:val="52727066"/>
    <w:rsid w:val="52741030"/>
    <w:rsid w:val="527A5F1B"/>
    <w:rsid w:val="527C1C93"/>
    <w:rsid w:val="527F1783"/>
    <w:rsid w:val="52834D6E"/>
    <w:rsid w:val="52880638"/>
    <w:rsid w:val="52927709"/>
    <w:rsid w:val="52972F71"/>
    <w:rsid w:val="529F262B"/>
    <w:rsid w:val="52A64F62"/>
    <w:rsid w:val="52B551A5"/>
    <w:rsid w:val="52BD6DD9"/>
    <w:rsid w:val="52C61160"/>
    <w:rsid w:val="52D63A99"/>
    <w:rsid w:val="52DC0984"/>
    <w:rsid w:val="52E55A8A"/>
    <w:rsid w:val="52F61DEB"/>
    <w:rsid w:val="53073C53"/>
    <w:rsid w:val="530F48B5"/>
    <w:rsid w:val="531620E8"/>
    <w:rsid w:val="531B14AC"/>
    <w:rsid w:val="532365B3"/>
    <w:rsid w:val="53277E51"/>
    <w:rsid w:val="53364538"/>
    <w:rsid w:val="533D58C6"/>
    <w:rsid w:val="533E33EC"/>
    <w:rsid w:val="533E5903"/>
    <w:rsid w:val="535B7AFB"/>
    <w:rsid w:val="53613F50"/>
    <w:rsid w:val="53746E0E"/>
    <w:rsid w:val="537904C0"/>
    <w:rsid w:val="538E7ED0"/>
    <w:rsid w:val="53980D4F"/>
    <w:rsid w:val="539D0113"/>
    <w:rsid w:val="53E06252"/>
    <w:rsid w:val="53E75832"/>
    <w:rsid w:val="53E93358"/>
    <w:rsid w:val="53F02939"/>
    <w:rsid w:val="53F7592F"/>
    <w:rsid w:val="53FC2179"/>
    <w:rsid w:val="53FF2B7C"/>
    <w:rsid w:val="54040192"/>
    <w:rsid w:val="540D34EB"/>
    <w:rsid w:val="540F2883"/>
    <w:rsid w:val="54160619"/>
    <w:rsid w:val="542720D3"/>
    <w:rsid w:val="5427219D"/>
    <w:rsid w:val="543C3DD0"/>
    <w:rsid w:val="543F741C"/>
    <w:rsid w:val="54462559"/>
    <w:rsid w:val="54534C76"/>
    <w:rsid w:val="54547704"/>
    <w:rsid w:val="545D78A2"/>
    <w:rsid w:val="5463135D"/>
    <w:rsid w:val="54786129"/>
    <w:rsid w:val="5488491F"/>
    <w:rsid w:val="548B2661"/>
    <w:rsid w:val="54977258"/>
    <w:rsid w:val="54AB2D04"/>
    <w:rsid w:val="54B716A8"/>
    <w:rsid w:val="54BE11AD"/>
    <w:rsid w:val="54D758A7"/>
    <w:rsid w:val="54E35FFA"/>
    <w:rsid w:val="54F00716"/>
    <w:rsid w:val="54F232A5"/>
    <w:rsid w:val="54FC355F"/>
    <w:rsid w:val="55061CE8"/>
    <w:rsid w:val="55081F04"/>
    <w:rsid w:val="55195EBF"/>
    <w:rsid w:val="551C2340"/>
    <w:rsid w:val="551D59AF"/>
    <w:rsid w:val="5521466C"/>
    <w:rsid w:val="55456CB4"/>
    <w:rsid w:val="556A161F"/>
    <w:rsid w:val="556E7FB9"/>
    <w:rsid w:val="557F21C6"/>
    <w:rsid w:val="55833339"/>
    <w:rsid w:val="55840D31"/>
    <w:rsid w:val="55855303"/>
    <w:rsid w:val="559A7000"/>
    <w:rsid w:val="55A75279"/>
    <w:rsid w:val="55AB1785"/>
    <w:rsid w:val="55BB6F76"/>
    <w:rsid w:val="560B2DD5"/>
    <w:rsid w:val="560C0B22"/>
    <w:rsid w:val="561843C9"/>
    <w:rsid w:val="5620231C"/>
    <w:rsid w:val="56293EE0"/>
    <w:rsid w:val="5653538C"/>
    <w:rsid w:val="565D002E"/>
    <w:rsid w:val="56822B19"/>
    <w:rsid w:val="568D446F"/>
    <w:rsid w:val="56933A4F"/>
    <w:rsid w:val="56A30136"/>
    <w:rsid w:val="56A86C06"/>
    <w:rsid w:val="56CA56C3"/>
    <w:rsid w:val="56CD0D0F"/>
    <w:rsid w:val="56CE4A87"/>
    <w:rsid w:val="56D402F0"/>
    <w:rsid w:val="56D976B4"/>
    <w:rsid w:val="56E147BB"/>
    <w:rsid w:val="56EA7B13"/>
    <w:rsid w:val="56F664B8"/>
    <w:rsid w:val="57236B81"/>
    <w:rsid w:val="5726041F"/>
    <w:rsid w:val="57342B3C"/>
    <w:rsid w:val="573963A5"/>
    <w:rsid w:val="573A3ECB"/>
    <w:rsid w:val="573A5F50"/>
    <w:rsid w:val="573E1C0D"/>
    <w:rsid w:val="57405985"/>
    <w:rsid w:val="57435475"/>
    <w:rsid w:val="574A05B2"/>
    <w:rsid w:val="575B631B"/>
    <w:rsid w:val="575D6537"/>
    <w:rsid w:val="576158FB"/>
    <w:rsid w:val="57631674"/>
    <w:rsid w:val="576A47B0"/>
    <w:rsid w:val="57A557E8"/>
    <w:rsid w:val="57AC0592"/>
    <w:rsid w:val="57B50F74"/>
    <w:rsid w:val="57C33EC0"/>
    <w:rsid w:val="57C739B1"/>
    <w:rsid w:val="57C87729"/>
    <w:rsid w:val="57D336B2"/>
    <w:rsid w:val="57D80DB6"/>
    <w:rsid w:val="57EF1159"/>
    <w:rsid w:val="57EF41FA"/>
    <w:rsid w:val="580615B7"/>
    <w:rsid w:val="58064575"/>
    <w:rsid w:val="580C1D0B"/>
    <w:rsid w:val="58150BC0"/>
    <w:rsid w:val="583059FA"/>
    <w:rsid w:val="58346B6C"/>
    <w:rsid w:val="58360B36"/>
    <w:rsid w:val="58382B00"/>
    <w:rsid w:val="58421289"/>
    <w:rsid w:val="5855720E"/>
    <w:rsid w:val="5858676E"/>
    <w:rsid w:val="585B234B"/>
    <w:rsid w:val="585D4315"/>
    <w:rsid w:val="586650C3"/>
    <w:rsid w:val="58727DC0"/>
    <w:rsid w:val="587358E6"/>
    <w:rsid w:val="58773629"/>
    <w:rsid w:val="587C0C3F"/>
    <w:rsid w:val="587F072F"/>
    <w:rsid w:val="58896EB8"/>
    <w:rsid w:val="589046EA"/>
    <w:rsid w:val="58947D5E"/>
    <w:rsid w:val="589870FB"/>
    <w:rsid w:val="58AD2E92"/>
    <w:rsid w:val="58BF1BF5"/>
    <w:rsid w:val="58CD3249"/>
    <w:rsid w:val="58D2260D"/>
    <w:rsid w:val="58D81BED"/>
    <w:rsid w:val="58E660B8"/>
    <w:rsid w:val="58ED7447"/>
    <w:rsid w:val="58F06F37"/>
    <w:rsid w:val="58FE045E"/>
    <w:rsid w:val="5903310E"/>
    <w:rsid w:val="590B5B1F"/>
    <w:rsid w:val="590E1346"/>
    <w:rsid w:val="591250FF"/>
    <w:rsid w:val="591470C9"/>
    <w:rsid w:val="59162E41"/>
    <w:rsid w:val="592F5CB1"/>
    <w:rsid w:val="5932754F"/>
    <w:rsid w:val="593432C8"/>
    <w:rsid w:val="59396B30"/>
    <w:rsid w:val="59421300"/>
    <w:rsid w:val="5943337F"/>
    <w:rsid w:val="5960230F"/>
    <w:rsid w:val="596811C3"/>
    <w:rsid w:val="596B480F"/>
    <w:rsid w:val="598853C1"/>
    <w:rsid w:val="59A57D21"/>
    <w:rsid w:val="59A97480"/>
    <w:rsid w:val="59B85CA7"/>
    <w:rsid w:val="59BB7545"/>
    <w:rsid w:val="59CE54CA"/>
    <w:rsid w:val="59CF2A87"/>
    <w:rsid w:val="59D2488F"/>
    <w:rsid w:val="59DE1485"/>
    <w:rsid w:val="59F40CA9"/>
    <w:rsid w:val="59F82547"/>
    <w:rsid w:val="5A0233C6"/>
    <w:rsid w:val="5A026F22"/>
    <w:rsid w:val="5A0C1B4F"/>
    <w:rsid w:val="5A0E3B19"/>
    <w:rsid w:val="5A146C55"/>
    <w:rsid w:val="5A1A3741"/>
    <w:rsid w:val="5A225816"/>
    <w:rsid w:val="5A3B2434"/>
    <w:rsid w:val="5A3E3CD2"/>
    <w:rsid w:val="5A4412E8"/>
    <w:rsid w:val="5A6B0F6B"/>
    <w:rsid w:val="5A767910"/>
    <w:rsid w:val="5A7A7400"/>
    <w:rsid w:val="5A897643"/>
    <w:rsid w:val="5A9102A6"/>
    <w:rsid w:val="5A9A35FE"/>
    <w:rsid w:val="5ACB4E94"/>
    <w:rsid w:val="5ACD5782"/>
    <w:rsid w:val="5AD84127"/>
    <w:rsid w:val="5AD85ED5"/>
    <w:rsid w:val="5ADD34EB"/>
    <w:rsid w:val="5AE42ACB"/>
    <w:rsid w:val="5AEC590E"/>
    <w:rsid w:val="5AF70A51"/>
    <w:rsid w:val="5AFC1BC3"/>
    <w:rsid w:val="5B0647F0"/>
    <w:rsid w:val="5B1433B1"/>
    <w:rsid w:val="5B1F58B2"/>
    <w:rsid w:val="5B2479CD"/>
    <w:rsid w:val="5B265683"/>
    <w:rsid w:val="5B2B24A8"/>
    <w:rsid w:val="5B323837"/>
    <w:rsid w:val="5B3550D5"/>
    <w:rsid w:val="5B496C62"/>
    <w:rsid w:val="5B6245B1"/>
    <w:rsid w:val="5B6A2FD1"/>
    <w:rsid w:val="5B8E2927"/>
    <w:rsid w:val="5B914A01"/>
    <w:rsid w:val="5B977B3E"/>
    <w:rsid w:val="5B9C33A6"/>
    <w:rsid w:val="5BAF30D9"/>
    <w:rsid w:val="5BB66216"/>
    <w:rsid w:val="5BC621D1"/>
    <w:rsid w:val="5BCA7F13"/>
    <w:rsid w:val="5BDF731D"/>
    <w:rsid w:val="5BE2525D"/>
    <w:rsid w:val="5BF3746A"/>
    <w:rsid w:val="5C0A6F4C"/>
    <w:rsid w:val="5C182A2D"/>
    <w:rsid w:val="5C1B076F"/>
    <w:rsid w:val="5C1E200D"/>
    <w:rsid w:val="5C237623"/>
    <w:rsid w:val="5C2C64D8"/>
    <w:rsid w:val="5C4A2E02"/>
    <w:rsid w:val="5C4D6F35"/>
    <w:rsid w:val="5C5477DD"/>
    <w:rsid w:val="5C58551F"/>
    <w:rsid w:val="5C6509A5"/>
    <w:rsid w:val="5C7B1A0A"/>
    <w:rsid w:val="5C7F2AAC"/>
    <w:rsid w:val="5C8271B2"/>
    <w:rsid w:val="5C835DA4"/>
    <w:rsid w:val="5C89392A"/>
    <w:rsid w:val="5C8A1451"/>
    <w:rsid w:val="5C8C4D37"/>
    <w:rsid w:val="5C9F6CAA"/>
    <w:rsid w:val="5CAC7619"/>
    <w:rsid w:val="5CAE513F"/>
    <w:rsid w:val="5CC91F79"/>
    <w:rsid w:val="5CCB5CF1"/>
    <w:rsid w:val="5CD32DF8"/>
    <w:rsid w:val="5CE45005"/>
    <w:rsid w:val="5CF039A9"/>
    <w:rsid w:val="5CF60894"/>
    <w:rsid w:val="5CFA65D6"/>
    <w:rsid w:val="5D03088A"/>
    <w:rsid w:val="5D0B2591"/>
    <w:rsid w:val="5D2128E5"/>
    <w:rsid w:val="5D283143"/>
    <w:rsid w:val="5D30024A"/>
    <w:rsid w:val="5D365F57"/>
    <w:rsid w:val="5D3A2E77"/>
    <w:rsid w:val="5D69550A"/>
    <w:rsid w:val="5D866758"/>
    <w:rsid w:val="5D8B722E"/>
    <w:rsid w:val="5D950196"/>
    <w:rsid w:val="5D9562FF"/>
    <w:rsid w:val="5DCC7F73"/>
    <w:rsid w:val="5DCF1811"/>
    <w:rsid w:val="5DD24E5D"/>
    <w:rsid w:val="5DE592B3"/>
    <w:rsid w:val="5DE74DAC"/>
    <w:rsid w:val="5DF474C9"/>
    <w:rsid w:val="5DFB2606"/>
    <w:rsid w:val="5DFC2E44"/>
    <w:rsid w:val="5E040E8E"/>
    <w:rsid w:val="5E096584"/>
    <w:rsid w:val="5E0E058B"/>
    <w:rsid w:val="5E14191A"/>
    <w:rsid w:val="5E174F66"/>
    <w:rsid w:val="5E1E00A2"/>
    <w:rsid w:val="5E2D78A3"/>
    <w:rsid w:val="5E3A075C"/>
    <w:rsid w:val="5E473A9D"/>
    <w:rsid w:val="5E512226"/>
    <w:rsid w:val="5E532442"/>
    <w:rsid w:val="5E7423B8"/>
    <w:rsid w:val="5E7A5C21"/>
    <w:rsid w:val="5E8072DA"/>
    <w:rsid w:val="5E856373"/>
    <w:rsid w:val="5E8720EC"/>
    <w:rsid w:val="5E9F5687"/>
    <w:rsid w:val="5EB50A07"/>
    <w:rsid w:val="5ECC3FA2"/>
    <w:rsid w:val="5ED335D9"/>
    <w:rsid w:val="5ED55715"/>
    <w:rsid w:val="5EDB41E5"/>
    <w:rsid w:val="5EDF3CD6"/>
    <w:rsid w:val="5EE402E6"/>
    <w:rsid w:val="5EEA61D6"/>
    <w:rsid w:val="5EEB267A"/>
    <w:rsid w:val="5EF62DCD"/>
    <w:rsid w:val="5F0059FA"/>
    <w:rsid w:val="5F115981"/>
    <w:rsid w:val="5F155949"/>
    <w:rsid w:val="5F214DF0"/>
    <w:rsid w:val="5F230066"/>
    <w:rsid w:val="5F2D2C93"/>
    <w:rsid w:val="5F301D28"/>
    <w:rsid w:val="5F36567E"/>
    <w:rsid w:val="5F4F6756"/>
    <w:rsid w:val="5F530220"/>
    <w:rsid w:val="5F5A15AE"/>
    <w:rsid w:val="5F5F0972"/>
    <w:rsid w:val="5F697A43"/>
    <w:rsid w:val="5F772160"/>
    <w:rsid w:val="5F8D3732"/>
    <w:rsid w:val="5FA56CCD"/>
    <w:rsid w:val="5FAD45A1"/>
    <w:rsid w:val="5FB7392A"/>
    <w:rsid w:val="5FD70E51"/>
    <w:rsid w:val="5FEA46E0"/>
    <w:rsid w:val="5FF90DC7"/>
    <w:rsid w:val="5FFB4B3F"/>
    <w:rsid w:val="602E4F80"/>
    <w:rsid w:val="6031230F"/>
    <w:rsid w:val="603E67DA"/>
    <w:rsid w:val="6042276E"/>
    <w:rsid w:val="604F30F3"/>
    <w:rsid w:val="607246D5"/>
    <w:rsid w:val="6074044E"/>
    <w:rsid w:val="60771CEC"/>
    <w:rsid w:val="607D37A6"/>
    <w:rsid w:val="608C1C3B"/>
    <w:rsid w:val="608E7761"/>
    <w:rsid w:val="6094289E"/>
    <w:rsid w:val="60B30F76"/>
    <w:rsid w:val="60B371C8"/>
    <w:rsid w:val="60B847DE"/>
    <w:rsid w:val="60C018E5"/>
    <w:rsid w:val="60C2565D"/>
    <w:rsid w:val="60C50CA9"/>
    <w:rsid w:val="60C969EB"/>
    <w:rsid w:val="60DB04CD"/>
    <w:rsid w:val="60E23609"/>
    <w:rsid w:val="60EC4488"/>
    <w:rsid w:val="60FD3BA3"/>
    <w:rsid w:val="61385EC9"/>
    <w:rsid w:val="61386B7E"/>
    <w:rsid w:val="613A1697"/>
    <w:rsid w:val="613C493B"/>
    <w:rsid w:val="613D4CE3"/>
    <w:rsid w:val="615D7134"/>
    <w:rsid w:val="615E35D8"/>
    <w:rsid w:val="616D381B"/>
    <w:rsid w:val="61730D44"/>
    <w:rsid w:val="61747DE2"/>
    <w:rsid w:val="61761C72"/>
    <w:rsid w:val="617D1584"/>
    <w:rsid w:val="61923281"/>
    <w:rsid w:val="6192502F"/>
    <w:rsid w:val="61930DA7"/>
    <w:rsid w:val="61932B55"/>
    <w:rsid w:val="61970898"/>
    <w:rsid w:val="61A53167"/>
    <w:rsid w:val="61A66D2D"/>
    <w:rsid w:val="61B72CE8"/>
    <w:rsid w:val="61BE18D7"/>
    <w:rsid w:val="61C251E9"/>
    <w:rsid w:val="61CD6067"/>
    <w:rsid w:val="61EF2482"/>
    <w:rsid w:val="61F061FA"/>
    <w:rsid w:val="61FC332A"/>
    <w:rsid w:val="62143C96"/>
    <w:rsid w:val="621912AD"/>
    <w:rsid w:val="62214605"/>
    <w:rsid w:val="62252DA7"/>
    <w:rsid w:val="625E4C50"/>
    <w:rsid w:val="627666FF"/>
    <w:rsid w:val="628D57F7"/>
    <w:rsid w:val="628F77C1"/>
    <w:rsid w:val="62922E0D"/>
    <w:rsid w:val="62944DD7"/>
    <w:rsid w:val="62AA0157"/>
    <w:rsid w:val="62B47227"/>
    <w:rsid w:val="62C31218"/>
    <w:rsid w:val="62C51434"/>
    <w:rsid w:val="62CA6A4B"/>
    <w:rsid w:val="62D410C9"/>
    <w:rsid w:val="62DB2A06"/>
    <w:rsid w:val="62DD677E"/>
    <w:rsid w:val="62ED58C4"/>
    <w:rsid w:val="62FF4946"/>
    <w:rsid w:val="63041F5D"/>
    <w:rsid w:val="630C2BBF"/>
    <w:rsid w:val="631B72A6"/>
    <w:rsid w:val="63260125"/>
    <w:rsid w:val="632D30AA"/>
    <w:rsid w:val="633914DA"/>
    <w:rsid w:val="633F4D43"/>
    <w:rsid w:val="63456C74"/>
    <w:rsid w:val="63473BF7"/>
    <w:rsid w:val="63627A46"/>
    <w:rsid w:val="63660521"/>
    <w:rsid w:val="636B5B38"/>
    <w:rsid w:val="63770981"/>
    <w:rsid w:val="637F7835"/>
    <w:rsid w:val="63827325"/>
    <w:rsid w:val="638D6ECA"/>
    <w:rsid w:val="639C3F43"/>
    <w:rsid w:val="63A31776"/>
    <w:rsid w:val="63A4729C"/>
    <w:rsid w:val="63B05C41"/>
    <w:rsid w:val="63B514A9"/>
    <w:rsid w:val="63BA086D"/>
    <w:rsid w:val="63BC45E5"/>
    <w:rsid w:val="63C17E4E"/>
    <w:rsid w:val="63C60FC0"/>
    <w:rsid w:val="63CE4319"/>
    <w:rsid w:val="63CF256B"/>
    <w:rsid w:val="63D92749"/>
    <w:rsid w:val="63DF2082"/>
    <w:rsid w:val="63F43D7F"/>
    <w:rsid w:val="63FD075A"/>
    <w:rsid w:val="64025D70"/>
    <w:rsid w:val="640F7A42"/>
    <w:rsid w:val="64292951"/>
    <w:rsid w:val="642A59F3"/>
    <w:rsid w:val="644B1A3D"/>
    <w:rsid w:val="64572560"/>
    <w:rsid w:val="645835D9"/>
    <w:rsid w:val="64634A61"/>
    <w:rsid w:val="647040BB"/>
    <w:rsid w:val="64761009"/>
    <w:rsid w:val="647C5B23"/>
    <w:rsid w:val="64803865"/>
    <w:rsid w:val="6488096B"/>
    <w:rsid w:val="648D1ADE"/>
    <w:rsid w:val="648F3AA8"/>
    <w:rsid w:val="649C61C5"/>
    <w:rsid w:val="64A137DB"/>
    <w:rsid w:val="64A15589"/>
    <w:rsid w:val="64A81F36"/>
    <w:rsid w:val="64AC28AC"/>
    <w:rsid w:val="64C179D9"/>
    <w:rsid w:val="64CA2D32"/>
    <w:rsid w:val="64CE2822"/>
    <w:rsid w:val="64D63485"/>
    <w:rsid w:val="64D771FD"/>
    <w:rsid w:val="64E2007C"/>
    <w:rsid w:val="64E36E7E"/>
    <w:rsid w:val="64EB7FE5"/>
    <w:rsid w:val="64F47DAF"/>
    <w:rsid w:val="64FF0C2E"/>
    <w:rsid w:val="651F307E"/>
    <w:rsid w:val="6526661E"/>
    <w:rsid w:val="65271F32"/>
    <w:rsid w:val="653E102A"/>
    <w:rsid w:val="65404DA2"/>
    <w:rsid w:val="655232BF"/>
    <w:rsid w:val="655961DE"/>
    <w:rsid w:val="655F791E"/>
    <w:rsid w:val="65646CE3"/>
    <w:rsid w:val="659F41BF"/>
    <w:rsid w:val="65A07482"/>
    <w:rsid w:val="65B55790"/>
    <w:rsid w:val="65BC6B1F"/>
    <w:rsid w:val="65BD63F3"/>
    <w:rsid w:val="65D5198E"/>
    <w:rsid w:val="65E6594A"/>
    <w:rsid w:val="65F10827"/>
    <w:rsid w:val="65F75DA9"/>
    <w:rsid w:val="65FB3052"/>
    <w:rsid w:val="660109D5"/>
    <w:rsid w:val="66044022"/>
    <w:rsid w:val="6605757F"/>
    <w:rsid w:val="6609788A"/>
    <w:rsid w:val="661A55F3"/>
    <w:rsid w:val="66212E26"/>
    <w:rsid w:val="662326FA"/>
    <w:rsid w:val="662F5543"/>
    <w:rsid w:val="663366B5"/>
    <w:rsid w:val="6640264D"/>
    <w:rsid w:val="66417024"/>
    <w:rsid w:val="66552ACF"/>
    <w:rsid w:val="66577643"/>
    <w:rsid w:val="665804CE"/>
    <w:rsid w:val="665A00E6"/>
    <w:rsid w:val="6669113C"/>
    <w:rsid w:val="666D606B"/>
    <w:rsid w:val="66742F55"/>
    <w:rsid w:val="667473F9"/>
    <w:rsid w:val="668A2779"/>
    <w:rsid w:val="668D2269"/>
    <w:rsid w:val="669058B5"/>
    <w:rsid w:val="66985919"/>
    <w:rsid w:val="669B4986"/>
    <w:rsid w:val="669C24AC"/>
    <w:rsid w:val="66A80E51"/>
    <w:rsid w:val="66AF3F8D"/>
    <w:rsid w:val="66B6356E"/>
    <w:rsid w:val="66B75538"/>
    <w:rsid w:val="66B81813"/>
    <w:rsid w:val="66B9305E"/>
    <w:rsid w:val="66BC66AA"/>
    <w:rsid w:val="66CA0DC7"/>
    <w:rsid w:val="66CD4D5B"/>
    <w:rsid w:val="66CF2882"/>
    <w:rsid w:val="66D470B2"/>
    <w:rsid w:val="66DB1226"/>
    <w:rsid w:val="66E04A8F"/>
    <w:rsid w:val="66E0683D"/>
    <w:rsid w:val="66E856F1"/>
    <w:rsid w:val="66F83B86"/>
    <w:rsid w:val="66F9345B"/>
    <w:rsid w:val="670047E9"/>
    <w:rsid w:val="670544F5"/>
    <w:rsid w:val="67114C48"/>
    <w:rsid w:val="67191D4F"/>
    <w:rsid w:val="671B1623"/>
    <w:rsid w:val="672030DD"/>
    <w:rsid w:val="67310E46"/>
    <w:rsid w:val="673B1B2B"/>
    <w:rsid w:val="673D3C8F"/>
    <w:rsid w:val="673D77EB"/>
    <w:rsid w:val="674B16A7"/>
    <w:rsid w:val="67546B95"/>
    <w:rsid w:val="675D7E8D"/>
    <w:rsid w:val="67662E07"/>
    <w:rsid w:val="67694A84"/>
    <w:rsid w:val="67A27F96"/>
    <w:rsid w:val="67AE693B"/>
    <w:rsid w:val="67AF7FBD"/>
    <w:rsid w:val="67CD5013"/>
    <w:rsid w:val="67D839B8"/>
    <w:rsid w:val="67DA328C"/>
    <w:rsid w:val="68095B31"/>
    <w:rsid w:val="6819075E"/>
    <w:rsid w:val="681F3395"/>
    <w:rsid w:val="6823134B"/>
    <w:rsid w:val="68276302"/>
    <w:rsid w:val="68324E76"/>
    <w:rsid w:val="6841330B"/>
    <w:rsid w:val="684F3C7A"/>
    <w:rsid w:val="68580655"/>
    <w:rsid w:val="68784779"/>
    <w:rsid w:val="68790CF7"/>
    <w:rsid w:val="68821533"/>
    <w:rsid w:val="68833924"/>
    <w:rsid w:val="688431F8"/>
    <w:rsid w:val="688A4CB2"/>
    <w:rsid w:val="68975621"/>
    <w:rsid w:val="68B0223F"/>
    <w:rsid w:val="68CA50AF"/>
    <w:rsid w:val="68CB0E27"/>
    <w:rsid w:val="68CE02CC"/>
    <w:rsid w:val="68DB72BC"/>
    <w:rsid w:val="68E02B24"/>
    <w:rsid w:val="68F62348"/>
    <w:rsid w:val="68FC02BC"/>
    <w:rsid w:val="6900026F"/>
    <w:rsid w:val="692112C9"/>
    <w:rsid w:val="69272501"/>
    <w:rsid w:val="693E5A9D"/>
    <w:rsid w:val="6942153C"/>
    <w:rsid w:val="696E6382"/>
    <w:rsid w:val="69762A18"/>
    <w:rsid w:val="697D65C5"/>
    <w:rsid w:val="698C1452"/>
    <w:rsid w:val="69934FDB"/>
    <w:rsid w:val="699658D9"/>
    <w:rsid w:val="699B4C9D"/>
    <w:rsid w:val="699F653B"/>
    <w:rsid w:val="69AA3132"/>
    <w:rsid w:val="69AF0748"/>
    <w:rsid w:val="69C53AC8"/>
    <w:rsid w:val="69C9180A"/>
    <w:rsid w:val="69CC4E56"/>
    <w:rsid w:val="69E623BC"/>
    <w:rsid w:val="69F45B07"/>
    <w:rsid w:val="6A026ACA"/>
    <w:rsid w:val="6A10568B"/>
    <w:rsid w:val="6A114F5F"/>
    <w:rsid w:val="6A122A29"/>
    <w:rsid w:val="6A16113C"/>
    <w:rsid w:val="6A222CC8"/>
    <w:rsid w:val="6A2922A9"/>
    <w:rsid w:val="6A2931AF"/>
    <w:rsid w:val="6A2C1D99"/>
    <w:rsid w:val="6A3F1ACC"/>
    <w:rsid w:val="6A425119"/>
    <w:rsid w:val="6A4A1222"/>
    <w:rsid w:val="6A4E3ABD"/>
    <w:rsid w:val="6A56527A"/>
    <w:rsid w:val="6A580EEF"/>
    <w:rsid w:val="6A696B49"/>
    <w:rsid w:val="6A94006A"/>
    <w:rsid w:val="6A96318B"/>
    <w:rsid w:val="6A9E2F92"/>
    <w:rsid w:val="6A9F256B"/>
    <w:rsid w:val="6AB53B3C"/>
    <w:rsid w:val="6ADC556D"/>
    <w:rsid w:val="6AE306AA"/>
    <w:rsid w:val="6B013226"/>
    <w:rsid w:val="6B250CC2"/>
    <w:rsid w:val="6B2D401B"/>
    <w:rsid w:val="6B460397"/>
    <w:rsid w:val="6B4C733B"/>
    <w:rsid w:val="6B792DBC"/>
    <w:rsid w:val="6B7C465A"/>
    <w:rsid w:val="6B7D28AC"/>
    <w:rsid w:val="6B8C2AEF"/>
    <w:rsid w:val="6B99520C"/>
    <w:rsid w:val="6B9B0278"/>
    <w:rsid w:val="6B9F7293"/>
    <w:rsid w:val="6BA20565"/>
    <w:rsid w:val="6BA3608B"/>
    <w:rsid w:val="6BAA11C7"/>
    <w:rsid w:val="6BAC13E3"/>
    <w:rsid w:val="6BB139C7"/>
    <w:rsid w:val="6BBF1117"/>
    <w:rsid w:val="6BC54253"/>
    <w:rsid w:val="6BCC55E2"/>
    <w:rsid w:val="6BCF6E80"/>
    <w:rsid w:val="6BDF3567"/>
    <w:rsid w:val="6BE21B12"/>
    <w:rsid w:val="6BE24E05"/>
    <w:rsid w:val="6BE50451"/>
    <w:rsid w:val="6BE566A3"/>
    <w:rsid w:val="6BEC358E"/>
    <w:rsid w:val="6BEE7306"/>
    <w:rsid w:val="6BF07522"/>
    <w:rsid w:val="6BF16DF6"/>
    <w:rsid w:val="6C066D46"/>
    <w:rsid w:val="6C0B435C"/>
    <w:rsid w:val="6C0B610A"/>
    <w:rsid w:val="6C215B15"/>
    <w:rsid w:val="6C2B2308"/>
    <w:rsid w:val="6C4D6722"/>
    <w:rsid w:val="6C5C4BB7"/>
    <w:rsid w:val="6C705F6D"/>
    <w:rsid w:val="6C832144"/>
    <w:rsid w:val="6C9E6F7E"/>
    <w:rsid w:val="6CA95923"/>
    <w:rsid w:val="6CAB51F7"/>
    <w:rsid w:val="6CC539D8"/>
    <w:rsid w:val="6CDE737B"/>
    <w:rsid w:val="6CED5EB8"/>
    <w:rsid w:val="6D0122F2"/>
    <w:rsid w:val="6D140FEE"/>
    <w:rsid w:val="6D147240"/>
    <w:rsid w:val="6D162FB8"/>
    <w:rsid w:val="6D2E7D96"/>
    <w:rsid w:val="6D323B6A"/>
    <w:rsid w:val="6D3C6797"/>
    <w:rsid w:val="6D415B5B"/>
    <w:rsid w:val="6D452192"/>
    <w:rsid w:val="6D5238C5"/>
    <w:rsid w:val="6D54588F"/>
    <w:rsid w:val="6D633D24"/>
    <w:rsid w:val="6D65499E"/>
    <w:rsid w:val="6D725D15"/>
    <w:rsid w:val="6D7777CF"/>
    <w:rsid w:val="6D7D5A70"/>
    <w:rsid w:val="6D8F68C7"/>
    <w:rsid w:val="6DA22A9E"/>
    <w:rsid w:val="6DB63E53"/>
    <w:rsid w:val="6DBE17BC"/>
    <w:rsid w:val="6DBE71AC"/>
    <w:rsid w:val="6DE210EC"/>
    <w:rsid w:val="6DEC1F6B"/>
    <w:rsid w:val="6DEE183F"/>
    <w:rsid w:val="6E072F09"/>
    <w:rsid w:val="6E0A23F1"/>
    <w:rsid w:val="6E1D2124"/>
    <w:rsid w:val="6E46167B"/>
    <w:rsid w:val="6E4771A1"/>
    <w:rsid w:val="6E5A0C83"/>
    <w:rsid w:val="6E6164B5"/>
    <w:rsid w:val="6E661D1D"/>
    <w:rsid w:val="6E6A4892"/>
    <w:rsid w:val="6E7066F8"/>
    <w:rsid w:val="6E751F61"/>
    <w:rsid w:val="6E82642B"/>
    <w:rsid w:val="6E8F2127"/>
    <w:rsid w:val="6E9323E7"/>
    <w:rsid w:val="6E9A3775"/>
    <w:rsid w:val="6E9C62EF"/>
    <w:rsid w:val="6E9D3265"/>
    <w:rsid w:val="6EA97E5C"/>
    <w:rsid w:val="6EDA6267"/>
    <w:rsid w:val="6EE3336E"/>
    <w:rsid w:val="6F094457"/>
    <w:rsid w:val="6F1E6154"/>
    <w:rsid w:val="6F2177A4"/>
    <w:rsid w:val="6F3239AE"/>
    <w:rsid w:val="6F347726"/>
    <w:rsid w:val="6F3B4F58"/>
    <w:rsid w:val="6F4A69AF"/>
    <w:rsid w:val="6F4A6F49"/>
    <w:rsid w:val="6F4D4C8B"/>
    <w:rsid w:val="6F566E91"/>
    <w:rsid w:val="6F6A0A78"/>
    <w:rsid w:val="6F8A1A3C"/>
    <w:rsid w:val="6F964E3F"/>
    <w:rsid w:val="6F993A2D"/>
    <w:rsid w:val="6F9C351D"/>
    <w:rsid w:val="6FAD74D8"/>
    <w:rsid w:val="6FBE16E5"/>
    <w:rsid w:val="6FC54822"/>
    <w:rsid w:val="6FCE7B7A"/>
    <w:rsid w:val="6FCF56A0"/>
    <w:rsid w:val="6FED5B27"/>
    <w:rsid w:val="6FEDB092"/>
    <w:rsid w:val="70052E70"/>
    <w:rsid w:val="700F0193"/>
    <w:rsid w:val="701557A9"/>
    <w:rsid w:val="701D01BA"/>
    <w:rsid w:val="7029228A"/>
    <w:rsid w:val="703B4AE4"/>
    <w:rsid w:val="70497201"/>
    <w:rsid w:val="704A516B"/>
    <w:rsid w:val="704B11CB"/>
    <w:rsid w:val="705067E1"/>
    <w:rsid w:val="70622071"/>
    <w:rsid w:val="70683CFB"/>
    <w:rsid w:val="70710506"/>
    <w:rsid w:val="70877D29"/>
    <w:rsid w:val="70967F6C"/>
    <w:rsid w:val="70A95EF1"/>
    <w:rsid w:val="70AB7EBB"/>
    <w:rsid w:val="70BA3C5B"/>
    <w:rsid w:val="70BD199D"/>
    <w:rsid w:val="70C1323B"/>
    <w:rsid w:val="70CD3B44"/>
    <w:rsid w:val="70CE5958"/>
    <w:rsid w:val="70DA254F"/>
    <w:rsid w:val="70E1568B"/>
    <w:rsid w:val="70EB475C"/>
    <w:rsid w:val="70F441DD"/>
    <w:rsid w:val="71094BE2"/>
    <w:rsid w:val="711517D9"/>
    <w:rsid w:val="71186BD3"/>
    <w:rsid w:val="7121017E"/>
    <w:rsid w:val="71237A52"/>
    <w:rsid w:val="712A4F61"/>
    <w:rsid w:val="712B2DAA"/>
    <w:rsid w:val="712E5597"/>
    <w:rsid w:val="71341C5F"/>
    <w:rsid w:val="71445C1A"/>
    <w:rsid w:val="715F2A54"/>
    <w:rsid w:val="715F4802"/>
    <w:rsid w:val="71655A4E"/>
    <w:rsid w:val="718A3BCA"/>
    <w:rsid w:val="718D348F"/>
    <w:rsid w:val="71A14E1B"/>
    <w:rsid w:val="71A843FB"/>
    <w:rsid w:val="71B2527A"/>
    <w:rsid w:val="71C101C6"/>
    <w:rsid w:val="71CB1E97"/>
    <w:rsid w:val="71D53613"/>
    <w:rsid w:val="71D776F6"/>
    <w:rsid w:val="71DB032D"/>
    <w:rsid w:val="71E01DE7"/>
    <w:rsid w:val="71EA67C2"/>
    <w:rsid w:val="71F80EDE"/>
    <w:rsid w:val="71F907B3"/>
    <w:rsid w:val="72005FE5"/>
    <w:rsid w:val="722019ED"/>
    <w:rsid w:val="722241AD"/>
    <w:rsid w:val="72233A82"/>
    <w:rsid w:val="7229553C"/>
    <w:rsid w:val="723839D1"/>
    <w:rsid w:val="7238752D"/>
    <w:rsid w:val="72592D74"/>
    <w:rsid w:val="72606251"/>
    <w:rsid w:val="726245AA"/>
    <w:rsid w:val="72697ED9"/>
    <w:rsid w:val="726B5B54"/>
    <w:rsid w:val="726E0966"/>
    <w:rsid w:val="72710C91"/>
    <w:rsid w:val="72750781"/>
    <w:rsid w:val="7289422C"/>
    <w:rsid w:val="72914E8F"/>
    <w:rsid w:val="72A050D2"/>
    <w:rsid w:val="72A9151F"/>
    <w:rsid w:val="72B03567"/>
    <w:rsid w:val="72B33057"/>
    <w:rsid w:val="72C708F5"/>
    <w:rsid w:val="72DF5BFA"/>
    <w:rsid w:val="72E17BC5"/>
    <w:rsid w:val="72F0605A"/>
    <w:rsid w:val="72F13B80"/>
    <w:rsid w:val="73012015"/>
    <w:rsid w:val="73137F9A"/>
    <w:rsid w:val="7315786E"/>
    <w:rsid w:val="73186167"/>
    <w:rsid w:val="73221F8B"/>
    <w:rsid w:val="73261A7B"/>
    <w:rsid w:val="732B0E40"/>
    <w:rsid w:val="73301751"/>
    <w:rsid w:val="733028FA"/>
    <w:rsid w:val="73320420"/>
    <w:rsid w:val="73373C88"/>
    <w:rsid w:val="733E6DC5"/>
    <w:rsid w:val="734F0FD2"/>
    <w:rsid w:val="735008A6"/>
    <w:rsid w:val="73584DE1"/>
    <w:rsid w:val="736B1B84"/>
    <w:rsid w:val="73700F48"/>
    <w:rsid w:val="73830C7C"/>
    <w:rsid w:val="73836ECE"/>
    <w:rsid w:val="7386251A"/>
    <w:rsid w:val="738642C8"/>
    <w:rsid w:val="73993FFB"/>
    <w:rsid w:val="73A66718"/>
    <w:rsid w:val="73A806E2"/>
    <w:rsid w:val="73AB01D2"/>
    <w:rsid w:val="73AF32CE"/>
    <w:rsid w:val="73BE077C"/>
    <w:rsid w:val="73E21E46"/>
    <w:rsid w:val="73E54CAD"/>
    <w:rsid w:val="73F97190"/>
    <w:rsid w:val="74025143"/>
    <w:rsid w:val="7408706A"/>
    <w:rsid w:val="740A4EF9"/>
    <w:rsid w:val="74212243"/>
    <w:rsid w:val="743B50B2"/>
    <w:rsid w:val="74454183"/>
    <w:rsid w:val="745D327B"/>
    <w:rsid w:val="74602D6B"/>
    <w:rsid w:val="746A1E3C"/>
    <w:rsid w:val="746A3BEA"/>
    <w:rsid w:val="74704AA1"/>
    <w:rsid w:val="74761DA3"/>
    <w:rsid w:val="747D1B6F"/>
    <w:rsid w:val="747F7695"/>
    <w:rsid w:val="74820F33"/>
    <w:rsid w:val="748E78D8"/>
    <w:rsid w:val="749E3893"/>
    <w:rsid w:val="74AC7D5E"/>
    <w:rsid w:val="74AD4A43"/>
    <w:rsid w:val="74B87DFA"/>
    <w:rsid w:val="74D3353D"/>
    <w:rsid w:val="74E86282"/>
    <w:rsid w:val="74EE65C9"/>
    <w:rsid w:val="7507768A"/>
    <w:rsid w:val="7508401D"/>
    <w:rsid w:val="750A781A"/>
    <w:rsid w:val="75241FEA"/>
    <w:rsid w:val="752B15CB"/>
    <w:rsid w:val="752C0E9F"/>
    <w:rsid w:val="753F6E24"/>
    <w:rsid w:val="75460E7E"/>
    <w:rsid w:val="757840E4"/>
    <w:rsid w:val="758D5DE2"/>
    <w:rsid w:val="7592164A"/>
    <w:rsid w:val="759C4277"/>
    <w:rsid w:val="759F44AB"/>
    <w:rsid w:val="759F78C3"/>
    <w:rsid w:val="75A11C71"/>
    <w:rsid w:val="75A3343A"/>
    <w:rsid w:val="75A66EA3"/>
    <w:rsid w:val="75B3511C"/>
    <w:rsid w:val="75CA2B92"/>
    <w:rsid w:val="75D03F20"/>
    <w:rsid w:val="75D25EEA"/>
    <w:rsid w:val="75E165E3"/>
    <w:rsid w:val="75E832AF"/>
    <w:rsid w:val="75F776FF"/>
    <w:rsid w:val="75F95225"/>
    <w:rsid w:val="75FB71EF"/>
    <w:rsid w:val="7601232C"/>
    <w:rsid w:val="7610256F"/>
    <w:rsid w:val="76361FD5"/>
    <w:rsid w:val="76366479"/>
    <w:rsid w:val="763A215C"/>
    <w:rsid w:val="763B583E"/>
    <w:rsid w:val="76402E54"/>
    <w:rsid w:val="76407928"/>
    <w:rsid w:val="764741E2"/>
    <w:rsid w:val="764F12E9"/>
    <w:rsid w:val="765406AD"/>
    <w:rsid w:val="765B4BC9"/>
    <w:rsid w:val="766C14B7"/>
    <w:rsid w:val="768014A2"/>
    <w:rsid w:val="7686733D"/>
    <w:rsid w:val="76872831"/>
    <w:rsid w:val="768C42EB"/>
    <w:rsid w:val="76AA6412"/>
    <w:rsid w:val="76AE6010"/>
    <w:rsid w:val="76B80C3C"/>
    <w:rsid w:val="76BB24DB"/>
    <w:rsid w:val="76CE28E0"/>
    <w:rsid w:val="76D0242A"/>
    <w:rsid w:val="76DB2B7D"/>
    <w:rsid w:val="76DF570D"/>
    <w:rsid w:val="76E45ED5"/>
    <w:rsid w:val="76EA1012"/>
    <w:rsid w:val="76F65C09"/>
    <w:rsid w:val="76FB4FCD"/>
    <w:rsid w:val="76FF4ABD"/>
    <w:rsid w:val="7702635B"/>
    <w:rsid w:val="770B16B4"/>
    <w:rsid w:val="77145374"/>
    <w:rsid w:val="773329B9"/>
    <w:rsid w:val="77361410"/>
    <w:rsid w:val="77505319"/>
    <w:rsid w:val="77534E09"/>
    <w:rsid w:val="775F730A"/>
    <w:rsid w:val="776C21E8"/>
    <w:rsid w:val="776E39F1"/>
    <w:rsid w:val="77780B88"/>
    <w:rsid w:val="777F175A"/>
    <w:rsid w:val="77813724"/>
    <w:rsid w:val="778154D2"/>
    <w:rsid w:val="77950F7E"/>
    <w:rsid w:val="77A109B2"/>
    <w:rsid w:val="77A411C1"/>
    <w:rsid w:val="77AB595B"/>
    <w:rsid w:val="77B51620"/>
    <w:rsid w:val="77CB499F"/>
    <w:rsid w:val="77D0645A"/>
    <w:rsid w:val="77D34946"/>
    <w:rsid w:val="77D575CC"/>
    <w:rsid w:val="77D71596"/>
    <w:rsid w:val="77E44686"/>
    <w:rsid w:val="77EC7614"/>
    <w:rsid w:val="77F02658"/>
    <w:rsid w:val="77FF289B"/>
    <w:rsid w:val="780A196C"/>
    <w:rsid w:val="780B224D"/>
    <w:rsid w:val="78120820"/>
    <w:rsid w:val="781400F4"/>
    <w:rsid w:val="782A5B6A"/>
    <w:rsid w:val="7840538D"/>
    <w:rsid w:val="784C1F84"/>
    <w:rsid w:val="784F6D1C"/>
    <w:rsid w:val="785B3F75"/>
    <w:rsid w:val="7866291A"/>
    <w:rsid w:val="786646C8"/>
    <w:rsid w:val="786A065C"/>
    <w:rsid w:val="786C7F30"/>
    <w:rsid w:val="786F7A21"/>
    <w:rsid w:val="78866B18"/>
    <w:rsid w:val="78994A9D"/>
    <w:rsid w:val="78A27DF6"/>
    <w:rsid w:val="78AA6CAB"/>
    <w:rsid w:val="78B148EF"/>
    <w:rsid w:val="78B2790D"/>
    <w:rsid w:val="78C33554"/>
    <w:rsid w:val="78CA2EA9"/>
    <w:rsid w:val="78CA4C57"/>
    <w:rsid w:val="78CE505B"/>
    <w:rsid w:val="78D41F79"/>
    <w:rsid w:val="78E201F2"/>
    <w:rsid w:val="78E421BD"/>
    <w:rsid w:val="78EF290F"/>
    <w:rsid w:val="78F32400"/>
    <w:rsid w:val="78F63C9E"/>
    <w:rsid w:val="78F9378E"/>
    <w:rsid w:val="79053AB0"/>
    <w:rsid w:val="790E0FE8"/>
    <w:rsid w:val="790E7239"/>
    <w:rsid w:val="791B1956"/>
    <w:rsid w:val="7923019B"/>
    <w:rsid w:val="7931480B"/>
    <w:rsid w:val="79314CD6"/>
    <w:rsid w:val="793622EC"/>
    <w:rsid w:val="793836EE"/>
    <w:rsid w:val="79386064"/>
    <w:rsid w:val="794369E2"/>
    <w:rsid w:val="794E3ADA"/>
    <w:rsid w:val="79584959"/>
    <w:rsid w:val="79660E24"/>
    <w:rsid w:val="796666FB"/>
    <w:rsid w:val="79782905"/>
    <w:rsid w:val="797A193B"/>
    <w:rsid w:val="798017B9"/>
    <w:rsid w:val="79A13C0A"/>
    <w:rsid w:val="79A436FA"/>
    <w:rsid w:val="79BF6786"/>
    <w:rsid w:val="79C618C2"/>
    <w:rsid w:val="79E85CDC"/>
    <w:rsid w:val="79F20909"/>
    <w:rsid w:val="79F3507F"/>
    <w:rsid w:val="7A016D9E"/>
    <w:rsid w:val="7A3E58FC"/>
    <w:rsid w:val="7A513882"/>
    <w:rsid w:val="7A5544DF"/>
    <w:rsid w:val="7A5549F4"/>
    <w:rsid w:val="7A6F5AB6"/>
    <w:rsid w:val="7A85177D"/>
    <w:rsid w:val="7A917106"/>
    <w:rsid w:val="7A94376E"/>
    <w:rsid w:val="7AAB2866"/>
    <w:rsid w:val="7AAB500C"/>
    <w:rsid w:val="7ABC4A73"/>
    <w:rsid w:val="7ABF2DE3"/>
    <w:rsid w:val="7AC2652D"/>
    <w:rsid w:val="7AD7365B"/>
    <w:rsid w:val="7AD85D51"/>
    <w:rsid w:val="7ADB75EF"/>
    <w:rsid w:val="7AF34939"/>
    <w:rsid w:val="7B14665D"/>
    <w:rsid w:val="7B152B01"/>
    <w:rsid w:val="7B1B79EC"/>
    <w:rsid w:val="7B4D5E28"/>
    <w:rsid w:val="7B590514"/>
    <w:rsid w:val="7B71191C"/>
    <w:rsid w:val="7B737828"/>
    <w:rsid w:val="7B890DF9"/>
    <w:rsid w:val="7BA45C33"/>
    <w:rsid w:val="7BB3231A"/>
    <w:rsid w:val="7BC260B9"/>
    <w:rsid w:val="7BCB31C0"/>
    <w:rsid w:val="7BCF5443"/>
    <w:rsid w:val="7BE25BDD"/>
    <w:rsid w:val="7BE6624C"/>
    <w:rsid w:val="7BEE3352"/>
    <w:rsid w:val="7BFE17E7"/>
    <w:rsid w:val="7C150A6C"/>
    <w:rsid w:val="7C1E1D84"/>
    <w:rsid w:val="7C2D6DC6"/>
    <w:rsid w:val="7C30396B"/>
    <w:rsid w:val="7C324FED"/>
    <w:rsid w:val="7C570EF7"/>
    <w:rsid w:val="7C596A1E"/>
    <w:rsid w:val="7C63789C"/>
    <w:rsid w:val="7C743857"/>
    <w:rsid w:val="7C7C270C"/>
    <w:rsid w:val="7C8F0691"/>
    <w:rsid w:val="7C9061B7"/>
    <w:rsid w:val="7C9932BE"/>
    <w:rsid w:val="7C9F63FA"/>
    <w:rsid w:val="7CAA54CB"/>
    <w:rsid w:val="7CAE37FE"/>
    <w:rsid w:val="7CB023B6"/>
    <w:rsid w:val="7CB2548A"/>
    <w:rsid w:val="7CBB3234"/>
    <w:rsid w:val="7CC77E2B"/>
    <w:rsid w:val="7CC94403"/>
    <w:rsid w:val="7CCF4F32"/>
    <w:rsid w:val="7CD24A22"/>
    <w:rsid w:val="7CD662C0"/>
    <w:rsid w:val="7CE81B50"/>
    <w:rsid w:val="7CE9012A"/>
    <w:rsid w:val="7CEA3B1A"/>
    <w:rsid w:val="7CEC7892"/>
    <w:rsid w:val="7CEF2EDE"/>
    <w:rsid w:val="7D0B6DDA"/>
    <w:rsid w:val="7D32101D"/>
    <w:rsid w:val="7D3248FA"/>
    <w:rsid w:val="7D364964"/>
    <w:rsid w:val="7D3D00ED"/>
    <w:rsid w:val="7D450D50"/>
    <w:rsid w:val="7D494CE4"/>
    <w:rsid w:val="7D5176F5"/>
    <w:rsid w:val="7D6116ED"/>
    <w:rsid w:val="7D637428"/>
    <w:rsid w:val="7D781125"/>
    <w:rsid w:val="7D7D498E"/>
    <w:rsid w:val="7D850A19"/>
    <w:rsid w:val="7D9677FD"/>
    <w:rsid w:val="7DCF4ABD"/>
    <w:rsid w:val="7DD24CD9"/>
    <w:rsid w:val="7DD50326"/>
    <w:rsid w:val="7DDD367E"/>
    <w:rsid w:val="7DE93DD1"/>
    <w:rsid w:val="7DF12C86"/>
    <w:rsid w:val="7DF42489"/>
    <w:rsid w:val="7DF82266"/>
    <w:rsid w:val="7E0429B9"/>
    <w:rsid w:val="7E106042"/>
    <w:rsid w:val="7E2E5C88"/>
    <w:rsid w:val="7E3314F3"/>
    <w:rsid w:val="7E3808B5"/>
    <w:rsid w:val="7E3F39F1"/>
    <w:rsid w:val="7E437985"/>
    <w:rsid w:val="7E4B683A"/>
    <w:rsid w:val="7E5971A9"/>
    <w:rsid w:val="7E834226"/>
    <w:rsid w:val="7E8B4E88"/>
    <w:rsid w:val="7E9957F7"/>
    <w:rsid w:val="7E9A50CB"/>
    <w:rsid w:val="7E9E4BBC"/>
    <w:rsid w:val="7EAD3051"/>
    <w:rsid w:val="7EAF501B"/>
    <w:rsid w:val="7EB0669D"/>
    <w:rsid w:val="7EB443DF"/>
    <w:rsid w:val="7EB937A4"/>
    <w:rsid w:val="7ECD36F3"/>
    <w:rsid w:val="7EE057AB"/>
    <w:rsid w:val="7EE54599"/>
    <w:rsid w:val="7EE767C9"/>
    <w:rsid w:val="7EEA7E01"/>
    <w:rsid w:val="7F037115"/>
    <w:rsid w:val="7F0C5FC9"/>
    <w:rsid w:val="7F1B26B0"/>
    <w:rsid w:val="7F1C3BEB"/>
    <w:rsid w:val="7F1F20DA"/>
    <w:rsid w:val="7F21759B"/>
    <w:rsid w:val="7F2A644F"/>
    <w:rsid w:val="7F2D7CEE"/>
    <w:rsid w:val="7F3A2D05"/>
    <w:rsid w:val="7F4E1AFF"/>
    <w:rsid w:val="7F565496"/>
    <w:rsid w:val="7F565B5F"/>
    <w:rsid w:val="7F71407E"/>
    <w:rsid w:val="7F740E12"/>
    <w:rsid w:val="7F842003"/>
    <w:rsid w:val="7F873D31"/>
    <w:rsid w:val="7F89761A"/>
    <w:rsid w:val="7F8A15E4"/>
    <w:rsid w:val="7F8A3392"/>
    <w:rsid w:val="7F8C0EB8"/>
    <w:rsid w:val="7F930498"/>
    <w:rsid w:val="7F9F6E3D"/>
    <w:rsid w:val="7FA04963"/>
    <w:rsid w:val="7FBE45A5"/>
    <w:rsid w:val="7FC57170"/>
    <w:rsid w:val="7FCB5E84"/>
    <w:rsid w:val="7FD4460D"/>
    <w:rsid w:val="7FE17456"/>
    <w:rsid w:val="7FE74340"/>
    <w:rsid w:val="7FF16F6D"/>
    <w:rsid w:val="7FFB603E"/>
    <w:rsid w:val="DBEFB02E"/>
    <w:rsid w:val="FDAF7A9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5">
    <w:name w:val="heading 1"/>
    <w:basedOn w:val="1"/>
    <w:next w:val="1"/>
    <w:link w:val="29"/>
    <w:qFormat/>
    <w:uiPriority w:val="0"/>
    <w:pPr>
      <w:spacing w:before="100" w:beforeAutospacing="1" w:after="100" w:afterAutospacing="1"/>
      <w:jc w:val="left"/>
      <w:outlineLvl w:val="0"/>
    </w:pPr>
    <w:rPr>
      <w:rFonts w:ascii="宋体" w:eastAsia="宋体" w:cs="宋体"/>
      <w:b/>
      <w:bCs/>
      <w:kern w:val="44"/>
      <w:sz w:val="48"/>
      <w:szCs w:val="48"/>
      <w:lang w:val="en-US" w:eastAsia="zh-CN"/>
    </w:rPr>
  </w:style>
  <w:style w:type="paragraph" w:styleId="6">
    <w:name w:val="heading 2"/>
    <w:basedOn w:val="1"/>
    <w:next w:val="1"/>
    <w:link w:val="31"/>
    <w:qFormat/>
    <w:uiPriority w:val="0"/>
    <w:pPr>
      <w:spacing w:before="100" w:beforeAutospacing="1" w:after="100" w:afterAutospacing="1"/>
      <w:jc w:val="left"/>
      <w:outlineLvl w:val="1"/>
    </w:pPr>
    <w:rPr>
      <w:rFonts w:ascii="宋体" w:eastAsia="宋体" w:cs="宋体"/>
      <w:b/>
      <w:bCs/>
      <w:kern w:val="0"/>
      <w:sz w:val="36"/>
      <w:szCs w:val="36"/>
      <w:lang w:val="en-US" w:eastAsia="zh-CN"/>
    </w:rPr>
  </w:style>
  <w:style w:type="paragraph" w:styleId="7">
    <w:name w:val="heading 3"/>
    <w:basedOn w:val="1"/>
    <w:next w:val="1"/>
    <w:qFormat/>
    <w:uiPriority w:val="0"/>
    <w:pPr>
      <w:keepNext/>
      <w:keepLines/>
      <w:spacing w:before="260" w:after="260" w:line="415" w:lineRule="auto"/>
      <w:outlineLvl w:val="2"/>
    </w:pPr>
    <w:rPr>
      <w:b/>
      <w:sz w:val="32"/>
    </w:rPr>
  </w:style>
  <w:style w:type="character" w:default="1" w:styleId="19">
    <w:name w:val="Default Paragraph Font"/>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qFormat/>
    <w:uiPriority w:val="0"/>
    <w:pPr>
      <w:ind w:firstLine="200" w:firstLineChars="200"/>
    </w:pPr>
  </w:style>
  <w:style w:type="paragraph" w:styleId="4">
    <w:name w:val="Body Text Indent"/>
    <w:basedOn w:val="1"/>
    <w:next w:val="3"/>
    <w:qFormat/>
    <w:uiPriority w:val="0"/>
    <w:pPr>
      <w:spacing w:after="120"/>
      <w:ind w:left="200" w:leftChars="200"/>
    </w:pPr>
  </w:style>
  <w:style w:type="paragraph" w:styleId="8">
    <w:name w:val="Normal Indent"/>
    <w:basedOn w:val="1"/>
    <w:next w:val="1"/>
    <w:qFormat/>
    <w:uiPriority w:val="0"/>
    <w:pPr>
      <w:widowControl/>
      <w:ind w:firstLine="200" w:firstLineChars="200"/>
      <w:textAlignment w:val="baseline"/>
    </w:pPr>
    <w:rPr>
      <w:rFonts w:ascii="Times New Roman" w:hAnsi="Times New Roman" w:eastAsia="宋体" w:cs="Calibri"/>
      <w:szCs w:val="21"/>
    </w:rPr>
  </w:style>
  <w:style w:type="paragraph" w:styleId="9">
    <w:name w:val="Body Text"/>
    <w:basedOn w:val="1"/>
    <w:qFormat/>
    <w:uiPriority w:val="0"/>
    <w:pPr>
      <w:spacing w:before="30" w:beforeLines="30"/>
    </w:pPr>
    <w:rPr>
      <w:rFonts w:ascii="仿宋_GB2312" w:eastAsia="仿宋_GB2312"/>
      <w:kern w:val="0"/>
      <w:sz w:val="24"/>
      <w:szCs w:val="20"/>
    </w:rPr>
  </w:style>
  <w:style w:type="paragraph" w:styleId="10">
    <w:name w:val="footer"/>
    <w:basedOn w:val="1"/>
    <w:next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pPr>
      <w:spacing w:before="120" w:after="120"/>
      <w:jc w:val="left"/>
    </w:pPr>
    <w:rPr>
      <w:rFonts w:ascii="等线" w:eastAsia="等线"/>
      <w:b/>
      <w:bCs/>
      <w:caps/>
      <w:sz w:val="20"/>
      <w:szCs w:val="20"/>
    </w:rPr>
  </w:style>
  <w:style w:type="paragraph" w:styleId="13">
    <w:name w:val="table of figures"/>
    <w:basedOn w:val="1"/>
    <w:next w:val="1"/>
    <w:unhideWhenUsed/>
    <w:qFormat/>
    <w:uiPriority w:val="99"/>
    <w:pPr>
      <w:ind w:left="400" w:leftChars="200" w:hanging="200" w:hangingChars="200"/>
    </w:pPr>
  </w:style>
  <w:style w:type="paragraph" w:styleId="14">
    <w:name w:val="toc 2"/>
    <w:basedOn w:val="1"/>
    <w:next w:val="1"/>
    <w:qFormat/>
    <w:uiPriority w:val="0"/>
    <w:pPr>
      <w:ind w:left="200" w:leftChars="200"/>
    </w:pPr>
  </w:style>
  <w:style w:type="paragraph" w:styleId="1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6">
    <w:name w:val="Normal (Web)"/>
    <w:basedOn w:val="1"/>
    <w:qFormat/>
    <w:uiPriority w:val="0"/>
    <w:pPr>
      <w:spacing w:before="100" w:beforeAutospacing="1" w:after="100" w:afterAutospacing="1"/>
      <w:ind w:left="0" w:right="0"/>
      <w:jc w:val="left"/>
    </w:pPr>
    <w:rPr>
      <w:kern w:val="0"/>
      <w:sz w:val="24"/>
      <w:lang w:val="en-US" w:eastAsia="zh-CN"/>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rPr>
  </w:style>
  <w:style w:type="paragraph" w:customStyle="1" w:styleId="2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22">
    <w:name w:val="TOC 标题1"/>
    <w:basedOn w:val="5"/>
    <w:next w:val="1"/>
    <w:qFormat/>
    <w:uiPriority w:val="99"/>
    <w:pPr>
      <w:spacing w:before="480" w:after="0" w:line="276" w:lineRule="auto"/>
      <w:outlineLvl w:val="9"/>
    </w:pPr>
    <w:rPr>
      <w:rFonts w:ascii="仿宋" w:hAnsi="仿宋"/>
      <w:color w:val="000000"/>
      <w:kern w:val="0"/>
      <w:szCs w:val="32"/>
    </w:rPr>
  </w:style>
  <w:style w:type="paragraph" w:customStyle="1" w:styleId="23">
    <w:name w:val="图表目录1"/>
    <w:basedOn w:val="1"/>
    <w:next w:val="1"/>
    <w:qFormat/>
    <w:uiPriority w:val="0"/>
    <w:pPr>
      <w:ind w:left="400" w:leftChars="200" w:hanging="200" w:hangingChars="200"/>
    </w:pPr>
  </w:style>
  <w:style w:type="paragraph" w:customStyle="1" w:styleId="24">
    <w:name w:val="文档正文"/>
    <w:basedOn w:val="1"/>
    <w:qFormat/>
    <w:uiPriority w:val="0"/>
    <w:pPr>
      <w:adjustRightInd w:val="0"/>
      <w:spacing w:line="480" w:lineRule="atLeast"/>
      <w:textAlignment w:val="baseline"/>
    </w:pPr>
    <w:rPr>
      <w:kern w:val="0"/>
    </w:rPr>
  </w:style>
  <w:style w:type="paragraph" w:customStyle="1" w:styleId="25">
    <w:name w:val="列表段落1"/>
    <w:basedOn w:val="1"/>
    <w:qFormat/>
    <w:uiPriority w:val="0"/>
    <w:pPr>
      <w:ind w:firstLine="200" w:firstLineChars="200"/>
    </w:pPr>
  </w:style>
  <w:style w:type="paragraph" w:customStyle="1" w:styleId="26">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customStyle="1" w:styleId="27">
    <w:name w:val="四号正文"/>
    <w:basedOn w:val="1"/>
    <w:qFormat/>
    <w:uiPriority w:val="0"/>
    <w:pPr>
      <w:spacing w:line="360" w:lineRule="auto"/>
    </w:pPr>
    <w:rPr>
      <w:rFonts w:ascii="??" w:hAnsi="??" w:eastAsia="宋体"/>
      <w:color w:val="000000"/>
      <w:kern w:val="0"/>
      <w:sz w:val="28"/>
      <w:szCs w:val="21"/>
      <w:lang w:val="zh-CN"/>
    </w:rPr>
  </w:style>
  <w:style w:type="paragraph" w:customStyle="1" w:styleId="28">
    <w:name w:val="普通(网站) Char"/>
    <w:basedOn w:val="1"/>
    <w:qFormat/>
    <w:uiPriority w:val="0"/>
    <w:pPr>
      <w:spacing w:before="0" w:beforeAutospacing="1" w:after="0" w:afterAutospacing="1"/>
      <w:ind w:left="0" w:right="0"/>
      <w:jc w:val="left"/>
    </w:pPr>
    <w:rPr>
      <w:rFonts w:ascii="宋体" w:eastAsia="宋体" w:cs="宋体"/>
      <w:kern w:val="0"/>
      <w:sz w:val="24"/>
      <w:szCs w:val="24"/>
      <w:lang w:val="en-US" w:eastAsia="zh-CN"/>
    </w:rPr>
  </w:style>
  <w:style w:type="character" w:customStyle="1" w:styleId="29">
    <w:name w:val="标题 1 Char"/>
    <w:basedOn w:val="19"/>
    <w:link w:val="5"/>
    <w:qFormat/>
    <w:uiPriority w:val="9"/>
    <w:rPr>
      <w:rFonts w:ascii="宋体" w:eastAsia="宋体" w:cs="宋体"/>
      <w:b/>
      <w:bCs/>
      <w:kern w:val="44"/>
      <w:sz w:val="48"/>
      <w:szCs w:val="48"/>
      <w:lang w:val="en-US" w:eastAsia="zh-CN"/>
    </w:rPr>
  </w:style>
  <w:style w:type="character" w:customStyle="1" w:styleId="30">
    <w:name w:val="NormalCharacter"/>
    <w:qFormat/>
    <w:uiPriority w:val="0"/>
    <w:rPr>
      <w:rFonts w:ascii="Calibri" w:hAnsi="Calibri" w:eastAsia="宋体"/>
      <w:kern w:val="2"/>
      <w:sz w:val="21"/>
      <w:szCs w:val="24"/>
      <w:lang w:val="en-US" w:eastAsia="zh-CN" w:bidi="ar-SA"/>
    </w:rPr>
  </w:style>
  <w:style w:type="character" w:customStyle="1" w:styleId="31">
    <w:name w:val="标题 2 Char"/>
    <w:basedOn w:val="19"/>
    <w:link w:val="6"/>
    <w:qFormat/>
    <w:uiPriority w:val="9"/>
    <w:rPr>
      <w:rFonts w:ascii="宋体" w:eastAsia="宋体" w:cs="宋体"/>
      <w:b/>
      <w:bCs/>
      <w:kern w:val="0"/>
      <w:sz w:val="36"/>
      <w:szCs w:val="36"/>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themeOverride" Target="../theme/themeOverride1.xml"/><Relationship Id="rId1" Type="http://schemas.openxmlformats.org/officeDocument/2006/relationships/oleObject" Target="file:///E:\Desktop\&#31185;&#20892;&#23616;&#26448;&#26009;\&#31185;&#20892;&#23616;&#20915;&#31639;&#36164;&#26009;\2025&#24180;&#20915;&#31639;&#20844;&#24320;\2025&#24180;&#31185;&#20892;&#23616;&#20915;&#31639;&#34920;\&#39292;&#29366;&#22270;&#27719;&#2463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Desktop\&#31185;&#20892;&#23616;&#26448;&#26009;\&#31185;&#20892;&#23616;&#20915;&#31639;&#36164;&#26009;\2025&#24180;&#20915;&#31639;&#20844;&#24320;\2025&#24180;&#31185;&#20892;&#23616;&#20915;&#31639;&#34920;\&#39292;&#29366;&#22270;&#27719;&#2463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Desktop\&#31185;&#20892;&#23616;&#26448;&#26009;\&#31185;&#20892;&#23616;&#20915;&#31639;&#36164;&#26009;\2025&#24180;&#20915;&#31639;&#20844;&#24320;\2025&#24180;&#31185;&#20892;&#23616;&#20915;&#31639;&#34920;\&#39292;&#29366;&#22270;&#27719;&#24635;.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Desktop\&#31185;&#20892;&#23616;&#26448;&#26009;\&#31185;&#20892;&#23616;&#20915;&#31639;&#36164;&#26009;\2025&#24180;&#20915;&#31639;&#20844;&#24320;\2025&#24180;&#31185;&#20892;&#23616;&#20915;&#31639;&#34920;\&#39292;&#29366;&#22270;&#27719;&#24635;.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Desktop\&#31185;&#20892;&#23616;&#26448;&#26009;\&#31185;&#20892;&#23616;&#20915;&#31639;&#36164;&#26009;\2025&#24180;&#20915;&#31639;&#20844;&#24320;\2025&#24180;&#31185;&#20892;&#23616;&#20915;&#31639;&#34920;\&#39292;&#29366;&#22270;&#27719;&#24635;.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Desktop\&#31185;&#20892;&#23616;&#26448;&#26009;\&#31185;&#20892;&#23616;&#20915;&#31639;&#36164;&#26009;\2025&#24180;&#20915;&#31639;&#20844;&#24320;\2025&#24180;&#31185;&#20892;&#23616;&#20915;&#31639;&#34920;\&#39292;&#29366;&#22270;&#27719;&#24635;.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Desktop\&#31185;&#20892;&#23616;&#26448;&#26009;\&#31185;&#20892;&#23616;&#20915;&#31639;&#36164;&#26009;\2025&#24180;&#20915;&#31639;&#20844;&#24320;\2025&#24180;&#31185;&#20892;&#23616;&#20915;&#31639;&#34920;\&#39292;&#29366;&#22270;&#27719;&#2463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3611111111111"/>
          <c:y val="0.154708994708995"/>
          <c:w val="0.817916666666667"/>
          <c:h val="0.737566137566138"/>
        </c:manualLayout>
      </c:layout>
      <c:barChart>
        <c:barDir val="col"/>
        <c:grouping val="clustered"/>
        <c:varyColors val="0"/>
        <c:ser>
          <c:idx val="0"/>
          <c:order val="0"/>
          <c:tx>
            <c:strRef>
              <c:f>[饼状图汇总.xlsx]Sheet1!$C$8</c:f>
              <c:strCache>
                <c:ptCount val="1"/>
                <c:pt idx="0">
                  <c:v>图一.收入、支出决算总计变动情况图</c:v>
                </c:pt>
              </c:strCache>
            </c:strRef>
          </c:tx>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[饼状图汇总.xlsx]Sheet1!$B$9:$B$10</c:f>
              <c:strCache>
                <c:ptCount val="2"/>
                <c:pt idx="0">
                  <c:v>2024年</c:v>
                </c:pt>
                <c:pt idx="1">
                  <c:v>2025年</c:v>
                </c:pt>
              </c:strCache>
            </c:strRef>
          </c:cat>
          <c:val>
            <c:numRef>
              <c:f>[饼状图汇总.xlsx]Sheet1!$C$9:$C$10</c:f>
              <c:numCache>
                <c:formatCode>#,##0.00</c:formatCode>
                <c:ptCount val="2"/>
                <c:pt idx="0">
                  <c:v>11245.04</c:v>
                </c:pt>
                <c:pt idx="1">
                  <c:v>14289.64</c:v>
                </c:pt>
              </c:numCache>
            </c:numRef>
          </c:val>
        </c:ser>
        <c:dLbls>
          <c:showLegendKey val="0"/>
          <c:showVal val="1"/>
          <c:showCatName val="0"/>
          <c:showSerName val="0"/>
          <c:showPercent val="0"/>
          <c:showBubbleSize val="0"/>
        </c:dLbls>
        <c:gapWidth val="75"/>
        <c:axId val="80053376"/>
        <c:axId val="80054912"/>
      </c:barChart>
      <c:catAx>
        <c:axId val="80053376"/>
        <c:scaling>
          <c:orientation val="minMax"/>
        </c:scaling>
        <c:delete val="0"/>
        <c:axPos val="b"/>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80054912"/>
        <c:crosses val="autoZero"/>
        <c:auto val="1"/>
        <c:lblAlgn val="ctr"/>
        <c:lblOffset val="100"/>
        <c:noMultiLvlLbl val="0"/>
      </c:catAx>
      <c:valAx>
        <c:axId val="80054912"/>
        <c:scaling>
          <c:orientation val="minMax"/>
        </c:scaling>
        <c:delete val="0"/>
        <c:axPos val="l"/>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80053376"/>
        <c:crosses val="autoZero"/>
        <c:crossBetween val="between"/>
      </c:valAx>
      <c:spPr>
        <a:solidFill>
          <a:schemeClr val="bg1"/>
        </a:solidFill>
        <a:ln>
          <a:noFill/>
        </a:ln>
        <a:effectLst/>
      </c:spPr>
    </c:plotArea>
    <c:legend>
      <c:legendPos val="b"/>
      <c:legendEntry>
        <c:idx val="0"/>
        <c:txPr>
          <a:bodyPr rot="0" spcFirstLastPara="0" vertOverflow="ellipsis" vert="horz" wrap="square" anchor="ctr" anchorCtr="1"/>
          <a:lstStyle/>
          <a:p>
            <a:pPr>
              <a:defRPr lang="zh-CN" sz="1400" b="0" i="0" u="none" strike="noStrike" kern="1200" baseline="0">
                <a:solidFill>
                  <a:schemeClr val="tx1"/>
                </a:solidFill>
                <a:latin typeface="+mn-ea"/>
                <a:ea typeface="+mn-ea"/>
                <a:cs typeface="+mn-ea"/>
                <a:sym typeface="+mn-ea"/>
              </a:defRPr>
            </a:pPr>
          </a:p>
        </c:txPr>
      </c:legendEntry>
      <c:layout>
        <c:manualLayout>
          <c:xMode val="edge"/>
          <c:yMode val="edge"/>
          <c:x val="0.179166666666667"/>
          <c:y val="0.0290196078431373"/>
          <c:w val="0.591666666666667"/>
          <c:h val="0.100588235294118"/>
        </c:manualLayout>
      </c:layout>
      <c:overlay val="0"/>
      <c:txPr>
        <a:bodyPr rot="0" spcFirstLastPara="0" vertOverflow="ellipsis" vert="horz" wrap="square" anchor="ctr" anchorCtr="1"/>
        <a:lstStyle/>
        <a:p>
          <a:pPr>
            <a:defRPr lang="zh-CN" sz="1400" b="0" i="0" u="none" strike="noStrike" kern="1200" baseline="0">
              <a:solidFill>
                <a:schemeClr val="tx1"/>
              </a:solidFill>
              <a:latin typeface="+mn-ea"/>
              <a:ea typeface="+mn-ea"/>
              <a:cs typeface="+mn-ea"/>
              <a:sym typeface="+mn-ea"/>
            </a:defRPr>
          </a:pPr>
        </a:p>
      </c:txPr>
    </c:legend>
    <c:plotVisOnly val="1"/>
    <c:dispBlanksAs val="gap"/>
    <c:showDLblsOverMax val="0"/>
    <c:extLst>
      <c:ext uri="{0b15fc19-7d7d-44ad-8c2d-2c3a37ce22c3}">
        <chartProps xmlns="https://web.wps.cn/et/2018/main" chartId="{a385842d-da6c-459b-a3d6-0820841c3806}"/>
      </c:ext>
    </c:extLst>
  </c:chart>
  <c:txPr>
    <a:bodyPr/>
    <a:lstStyle/>
    <a:p>
      <a:pPr>
        <a:defRPr lang="zh-CN" sz="1000"/>
      </a:pPr>
    </a:p>
  </c:txPr>
  <c:externalData r:id="rId1">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view3D>
      <c:rotX val="30"/>
      <c:rotY val="0"/>
      <c:depthPercent val="100"/>
      <c:rAngAx val="0"/>
      <c:perspective val="30"/>
    </c:view3D>
    <c:floor>
      <c:thickness val="0"/>
    </c:floor>
    <c:sideWall>
      <c:thickness val="0"/>
    </c:sideWall>
    <c:backWall>
      <c:thickness val="0"/>
    </c:backWall>
    <c:plotArea>
      <c:layout>
        <c:manualLayout>
          <c:layoutTarget val="inner"/>
          <c:xMode val="edge"/>
          <c:yMode val="edge"/>
          <c:x val="0.02140189182634"/>
          <c:y val="0.346884700665188"/>
          <c:w val="0.529109871452826"/>
          <c:h val="0.61609756097561"/>
        </c:manualLayout>
      </c:layout>
      <c:pie3DChart>
        <c:varyColors val="1"/>
        <c:ser>
          <c:idx val="0"/>
          <c:order val="0"/>
          <c:tx>
            <c:strRef>
              <c:f>[饼状图汇总.xlsx]Sheet1!$C$20</c:f>
              <c:strCache>
                <c:ptCount val="1"/>
                <c:pt idx="0">
                  <c:v>图二.2025年收入决算结构图</c:v>
                </c:pt>
              </c:strCache>
            </c:strRef>
          </c:tx>
          <c:explosion val="25"/>
          <c:dPt>
            <c:idx val="0"/>
            <c:bubble3D val="0"/>
          </c:dPt>
          <c:dPt>
            <c:idx val="1"/>
            <c:bubble3D val="0"/>
          </c:dPt>
          <c:dPt>
            <c:idx val="2"/>
            <c:bubble3D val="0"/>
          </c:dPt>
          <c:dLbls>
            <c:dLbl>
              <c:idx val="0"/>
              <c:layout>
                <c:manualLayout>
                  <c:x val="0.227598295509268"/>
                  <c:y val="-0.063030821305873"/>
                </c:manualLayout>
              </c:layout>
              <c:dLblPos val="bestFit"/>
              <c:showLegendKey val="0"/>
              <c:showVal val="1"/>
              <c:showCatName val="0"/>
              <c:showSerName val="0"/>
              <c:showPercent val="0"/>
              <c:showBubbleSize val="0"/>
              <c:extLst>
                <c:ext xmlns:c15="http://schemas.microsoft.com/office/drawing/2012/chart" uri="{CE6537A1-D6FC-4f65-9D91-7224C49458BB}">
                  <c15:layout>
                    <c:manualLayout>
                      <c:w val="0.164775530340405"/>
                      <c:h val="0.154919413038249"/>
                    </c:manualLayout>
                  </c15:layout>
                </c:ext>
              </c:extLst>
            </c:dLbl>
            <c:dLbl>
              <c:idx val="1"/>
              <c:layout>
                <c:manualLayout>
                  <c:x val="-0.120561361709094"/>
                  <c:y val="-0.0541033023665905"/>
                </c:manualLayout>
              </c:layout>
              <c:dLblPos val="bestFit"/>
              <c:showLegendKey val="0"/>
              <c:showVal val="1"/>
              <c:showCatName val="0"/>
              <c:showSerName val="0"/>
              <c:showPercent val="0"/>
              <c:showBubbleSize val="0"/>
              <c:extLst>
                <c:ext xmlns:c15="http://schemas.microsoft.com/office/drawing/2012/chart" uri="{CE6537A1-D6FC-4f65-9D91-7224C49458BB}">
                  <c15:layout>
                    <c:manualLayout>
                      <c:w val="0.125636672325976"/>
                      <c:h val="0.189578713968958"/>
                    </c:manualLayout>
                  </c15:layout>
                </c:ext>
              </c:extLst>
            </c:dLbl>
            <c:dLbl>
              <c:idx val="2"/>
              <c:layout>
                <c:manualLayout>
                  <c:x val="0.25039857270051"/>
                  <c:y val="-0.0600290456564328"/>
                </c:manualLayout>
              </c:layout>
              <c:dLblPos val="bestFit"/>
              <c:showLegendKey val="0"/>
              <c:showVal val="1"/>
              <c:showCatName val="0"/>
              <c:showSerName val="0"/>
              <c:showPercent val="0"/>
              <c:showBubbleSize val="0"/>
              <c:extLst>
                <c:ext xmlns:c15="http://schemas.microsoft.com/office/drawing/2012/chart" uri="{CE6537A1-D6FC-4f65-9D91-7224C49458BB}">
                  <c15:layout>
                    <c:manualLayout>
                      <c:w val="0.155032067094228"/>
                      <c:h val="0.15275439018523"/>
                    </c:manualLayout>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[饼状图汇总.xlsx]Sheet1!$B$21:$B$23</c:f>
              <c:strCache>
                <c:ptCount val="3"/>
                <c:pt idx="0">
                  <c:v>一般公共预算财政拨款收入占91.73%</c:v>
                </c:pt>
                <c:pt idx="1">
                  <c:v>政府性基金预算财政拨款收入占8.13%</c:v>
                </c:pt>
                <c:pt idx="2">
                  <c:v>其他预算财政拨款收入占0.14%</c:v>
                </c:pt>
              </c:strCache>
            </c:strRef>
          </c:cat>
          <c:val>
            <c:numRef>
              <c:f>[饼状图汇总.xlsx]Sheet1!$C$21:$C$23</c:f>
              <c:numCache>
                <c:formatCode>General</c:formatCode>
                <c:ptCount val="3"/>
                <c:pt idx="0">
                  <c:v>13107.93</c:v>
                </c:pt>
                <c:pt idx="1">
                  <c:v>1161.71</c:v>
                </c:pt>
                <c:pt idx="2" c:formatCode="0.00_ ">
                  <c:v>20</c:v>
                </c:pt>
              </c:numCache>
            </c:numRef>
          </c:val>
        </c:ser>
        <c:dLbls>
          <c:showLegendKey val="0"/>
          <c:showVal val="0"/>
          <c:showCatName val="0"/>
          <c:showSerName val="0"/>
          <c:showPercent val="1"/>
          <c:showBubbleSize val="0"/>
        </c:dLbls>
      </c:pie3DChart>
    </c:plotArea>
    <c:legend>
      <c:legendPos val="r"/>
      <c:layout>
        <c:manualLayout>
          <c:xMode val="edge"/>
          <c:yMode val="edge"/>
          <c:x val="0.651948692649235"/>
          <c:y val="0.218907866249699"/>
          <c:w val="0.3332511100148"/>
          <c:h val="0.622323791195574"/>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5cb523fc-c2c6-42a1-bfaa-b0f042321181}"/>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[饼状图汇总.xlsx]Sheet1!$C$38</c:f>
              <c:strCache>
                <c:ptCount val="1"/>
                <c:pt idx="0">
                  <c:v>图三.2025年支出决算结构图</c:v>
                </c:pt>
              </c:strCache>
            </c:strRef>
          </c:tx>
          <c:explosion val="25"/>
          <c:dPt>
            <c:idx val="0"/>
            <c:bubble3D val="0"/>
          </c:dPt>
          <c:dPt>
            <c:idx val="1"/>
            <c:bubble3D val="0"/>
          </c:dPt>
          <c:dLbls>
            <c:dLbl>
              <c:idx val="0"/>
              <c:layout>
                <c:manualLayout>
                  <c:x val="0.152806690553553"/>
                  <c:y val="0.0522976631140043"/>
                </c:manualLayout>
              </c:layout>
              <c:dLblPos val="bestFit"/>
              <c:showLegendKey val="0"/>
              <c:showVal val="0"/>
              <c:showCatName val="1"/>
              <c:showSerName val="0"/>
              <c:showPercent val="0"/>
              <c:showBubbleSize val="0"/>
              <c:extLst>
                <c:ext xmlns:c15="http://schemas.microsoft.com/office/drawing/2012/chart" uri="{CE6537A1-D6FC-4f65-9D91-7224C49458BB}">
                  <c15:layout>
                    <c:manualLayout>
                      <c:w val="0.218320202964348"/>
                      <c:h val="0.22400919012062"/>
                    </c:manualLayout>
                  </c15:layout>
                </c:ext>
              </c:extLst>
            </c:dLbl>
            <c:dLbl>
              <c:idx val="1"/>
              <c:layout>
                <c:manualLayout>
                  <c:x val="-0.204100535555979"/>
                  <c:y val="-0.0259326068578122"/>
                </c:manualLayout>
              </c:layout>
              <c:dLblPos val="bestFit"/>
              <c:showLegendKey val="0"/>
              <c:showVal val="0"/>
              <c:showCatName val="1"/>
              <c:showSerName val="0"/>
              <c:showPercent val="0"/>
              <c:showBubbleSize val="0"/>
              <c:extLst>
                <c:ext xmlns:c15="http://schemas.microsoft.com/office/drawing/2012/chart" uri="{CE6537A1-D6FC-4f65-9D91-7224C49458BB}">
                  <c15:layout>
                    <c:manualLayout>
                      <c:w val="0.205367872880224"/>
                      <c:h val="0.265651924181505"/>
                    </c:manualLayout>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[饼状图汇总.xlsx]Sheet1!$B$39:$B$40</c:f>
              <c:strCache>
                <c:ptCount val="2"/>
                <c:pt idx="0">
                  <c:v>基本支出占14.78%</c:v>
                </c:pt>
                <c:pt idx="1">
                  <c:v>项目支出占85.22%</c:v>
                </c:pt>
              </c:strCache>
            </c:strRef>
          </c:cat>
          <c:val>
            <c:numRef>
              <c:f>[饼状图汇总.xlsx]Sheet1!$C$39:$C$40</c:f>
              <c:numCache>
                <c:formatCode>General</c:formatCode>
                <c:ptCount val="2"/>
                <c:pt idx="0">
                  <c:v>2111.74</c:v>
                </c:pt>
                <c:pt idx="1">
                  <c:v>12174.87</c:v>
                </c:pt>
              </c:numCache>
            </c:numRef>
          </c:val>
        </c:ser>
        <c:dLbls>
          <c:showLegendKey val="0"/>
          <c:showVal val="0"/>
          <c:showCatName val="1"/>
          <c:showSerName val="0"/>
          <c:showPercent val="0"/>
          <c:showBubbleSize val="0"/>
        </c:dLbls>
      </c:pie3DChart>
    </c:plotArea>
    <c:plotVisOnly val="1"/>
    <c:dispBlanksAs val="gap"/>
    <c:showDLblsOverMax val="0"/>
    <c:extLst>
      <c:ext uri="{0b15fc19-7d7d-44ad-8c2d-2c3a37ce22c3}">
        <chartProps xmlns="https://web.wps.cn/et/2018/main" chartId="{15e4a44a-0d6a-4613-84d6-9e6ad52394f8}"/>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solidFill>
                <a:latin typeface="+mn-lt"/>
                <a:ea typeface="+mn-ea"/>
                <a:cs typeface="+mn-cs"/>
              </a:defRPr>
            </a:pPr>
            <a:r>
              <a:rPr sz="1400"/>
              <a:t>图四</a:t>
            </a:r>
            <a:r>
              <a:rPr lang="en-US" altLang="zh-CN" sz="1400"/>
              <a:t>.</a:t>
            </a:r>
            <a:r>
              <a:rPr altLang="en-US" sz="1400"/>
              <a:t>财政拨款收、支决算总计变动情况</a:t>
            </a:r>
            <a:endParaRPr altLang="en-US" sz="1400"/>
          </a:p>
        </c:rich>
      </c:tx>
      <c:layout>
        <c:manualLayout>
          <c:xMode val="edge"/>
          <c:yMode val="edge"/>
          <c:x val="0.166530571154681"/>
          <c:y val="0.0557081144070718"/>
        </c:manualLayout>
      </c:layout>
      <c:overlay val="0"/>
    </c:title>
    <c:autoTitleDeleted val="0"/>
    <c:plotArea>
      <c:layout>
        <c:manualLayout>
          <c:layoutTarget val="inner"/>
          <c:xMode val="edge"/>
          <c:yMode val="edge"/>
          <c:x val="0.163195808775377"/>
          <c:y val="0.209920634920635"/>
          <c:w val="0.767256057629339"/>
          <c:h val="0.638690476190476"/>
        </c:manualLayout>
      </c:layout>
      <c:barChart>
        <c:barDir val="col"/>
        <c:grouping val="clustered"/>
        <c:varyColors val="0"/>
        <c:ser>
          <c:idx val="0"/>
          <c:order val="0"/>
          <c:tx>
            <c:strRef>
              <c:f>[饼状图汇总.xlsx]Sheet1!$B$59</c:f>
              <c:strCache>
                <c:ptCount val="1"/>
                <c:pt idx="0">
                  <c:v>2024年</c:v>
                </c:pt>
              </c:strCache>
            </c:strRef>
          </c:tx>
          <c:invertIfNegative val="0"/>
          <c:dLbls>
            <c:delete val="1"/>
          </c:dLbls>
          <c:cat>
            <c:strRef>
              <c:f>[饼状图汇总.xlsx]Sheet1!$C$58:$D$58</c:f>
              <c:strCache>
                <c:ptCount val="2"/>
                <c:pt idx="0">
                  <c:v>图四.政拨款收入</c:v>
                </c:pt>
              </c:strCache>
            </c:strRef>
          </c:cat>
          <c:val>
            <c:numRef>
              <c:f>[饼状图汇总.xlsx]Sheet1!$C$59:$D$59</c:f>
              <c:numCache>
                <c:formatCode>#,##0.00</c:formatCode>
                <c:ptCount val="2"/>
                <c:pt idx="0">
                  <c:v>11245.04</c:v>
                </c:pt>
              </c:numCache>
            </c:numRef>
          </c:val>
        </c:ser>
        <c:ser>
          <c:idx val="1"/>
          <c:order val="1"/>
          <c:tx>
            <c:strRef>
              <c:f>[饼状图汇总.xlsx]Sheet1!$B$60</c:f>
              <c:strCache>
                <c:ptCount val="1"/>
                <c:pt idx="0">
                  <c:v>2025年</c:v>
                </c:pt>
              </c:strCache>
            </c:strRef>
          </c:tx>
          <c:invertIfNegative val="0"/>
          <c:dLbls>
            <c:delete val="1"/>
          </c:dLbls>
          <c:cat>
            <c:strRef>
              <c:f>[饼状图汇总.xlsx]Sheet1!$C$58:$D$58</c:f>
              <c:strCache>
                <c:ptCount val="2"/>
                <c:pt idx="0">
                  <c:v>图四.政拨款收入</c:v>
                </c:pt>
              </c:strCache>
            </c:strRef>
          </c:cat>
          <c:val>
            <c:numRef>
              <c:f>[饼状图汇总.xlsx]Sheet1!$C$60:$D$60</c:f>
              <c:numCache>
                <c:formatCode>#,##0.00</c:formatCode>
                <c:ptCount val="2"/>
                <c:pt idx="0">
                  <c:v>14289.64</c:v>
                </c:pt>
              </c:numCache>
            </c:numRef>
          </c:val>
        </c:ser>
        <c:dLbls>
          <c:showLegendKey val="0"/>
          <c:showVal val="0"/>
          <c:showCatName val="0"/>
          <c:showSerName val="0"/>
          <c:showPercent val="0"/>
          <c:showBubbleSize val="0"/>
        </c:dLbls>
        <c:gapWidth val="150"/>
        <c:axId val="64526592"/>
        <c:axId val="64540672"/>
      </c:barChart>
      <c:catAx>
        <c:axId val="64526592"/>
        <c:scaling>
          <c:orientation val="minMax"/>
        </c:scaling>
        <c:delete val="1"/>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64540672"/>
        <c:crosses val="autoZero"/>
        <c:auto val="1"/>
        <c:lblAlgn val="ctr"/>
        <c:lblOffset val="100"/>
        <c:noMultiLvlLbl val="0"/>
      </c:catAx>
      <c:valAx>
        <c:axId val="64540672"/>
        <c:scaling>
          <c:orientation val="minMax"/>
        </c:scaling>
        <c:delete val="0"/>
        <c:axPos val="l"/>
        <c:majorGridlines/>
        <c:numFmt formatCode="#,##0.00"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64526592"/>
        <c:crosses val="autoZero"/>
        <c:crossBetween val="between"/>
      </c:valAx>
      <c:spPr>
        <a:solidFill>
          <a:schemeClr val="bg1"/>
        </a:solidFill>
        <a:ln>
          <a:noFill/>
        </a:ln>
        <a:effectLst/>
      </c:spPr>
    </c:plotArea>
    <c:legend>
      <c:legendPos val="r"/>
      <c:layout>
        <c:manualLayout>
          <c:xMode val="edge"/>
          <c:yMode val="edge"/>
          <c:x val="0.229600523903078"/>
          <c:y val="0.85218253968254"/>
          <c:w val="0.550229207596595"/>
          <c:h val="0.135119047619048"/>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a949c644-df7d-49eb-874e-8505b3750ad7}"/>
      </c:ext>
    </c:extLst>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125"/>
          <c:y val="0.17962962962963"/>
          <c:w val="0.859861111111111"/>
          <c:h val="0.712962962962963"/>
        </c:manualLayout>
      </c:layout>
      <c:barChart>
        <c:barDir val="col"/>
        <c:grouping val="clustered"/>
        <c:varyColors val="0"/>
        <c:ser>
          <c:idx val="0"/>
          <c:order val="0"/>
          <c:tx>
            <c:strRef>
              <c:f>[饼状图汇总.xlsx]Sheet1!$C$77</c:f>
              <c:strCache>
                <c:ptCount val="1"/>
                <c:pt idx="0">
                  <c:v>图五.一般公共预算财政拨款支出决算变动情况</c:v>
                </c:pt>
              </c:strCache>
            </c:strRef>
          </c:tx>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[饼状图汇总.xlsx]Sheet1!$B$78:$B$79</c:f>
              <c:strCache>
                <c:ptCount val="2"/>
                <c:pt idx="0">
                  <c:v>2024年</c:v>
                </c:pt>
                <c:pt idx="1">
                  <c:v>2025年</c:v>
                </c:pt>
              </c:strCache>
            </c:strRef>
          </c:cat>
          <c:val>
            <c:numRef>
              <c:f>[饼状图汇总.xlsx]Sheet1!$C$78:$C$79</c:f>
              <c:numCache>
                <c:formatCode>General</c:formatCode>
                <c:ptCount val="2"/>
                <c:pt idx="0">
                  <c:v>11245.04</c:v>
                </c:pt>
                <c:pt idx="1">
                  <c:v>13107.93</c:v>
                </c:pt>
              </c:numCache>
            </c:numRef>
          </c:val>
        </c:ser>
        <c:dLbls>
          <c:showLegendKey val="0"/>
          <c:showVal val="1"/>
          <c:showCatName val="0"/>
          <c:showSerName val="0"/>
          <c:showPercent val="0"/>
          <c:showBubbleSize val="0"/>
        </c:dLbls>
        <c:gapWidth val="75"/>
        <c:axId val="73993600"/>
        <c:axId val="73999488"/>
      </c:barChart>
      <c:catAx>
        <c:axId val="73993600"/>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73999488"/>
        <c:crosses val="autoZero"/>
        <c:auto val="1"/>
        <c:lblAlgn val="ctr"/>
        <c:lblOffset val="100"/>
        <c:noMultiLvlLbl val="0"/>
      </c:catAx>
      <c:valAx>
        <c:axId val="73999488"/>
        <c:scaling>
          <c:orientation val="minMax"/>
        </c:scaling>
        <c:delete val="0"/>
        <c:axPos val="l"/>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73993600"/>
        <c:crosses val="autoZero"/>
        <c:crossBetween val="between"/>
      </c:valAx>
      <c:spPr>
        <a:solidFill>
          <a:schemeClr val="bg1"/>
        </a:solidFill>
        <a:ln>
          <a:noFill/>
        </a:ln>
        <a:effectLst/>
      </c:spPr>
    </c:plotArea>
    <c:legend>
      <c:legendPos val="b"/>
      <c:legendEntry>
        <c:idx val="0"/>
        <c:txPr>
          <a:bodyPr rot="0" spcFirstLastPara="0" vertOverflow="ellipsis" vert="horz" wrap="square" anchor="ctr" anchorCtr="1"/>
          <a:lstStyle/>
          <a:p>
            <a:pPr>
              <a:defRPr lang="zh-CN" sz="1400" b="0" i="0" u="none" strike="noStrike" kern="1200" baseline="0">
                <a:solidFill>
                  <a:schemeClr val="tx1"/>
                </a:solidFill>
                <a:latin typeface="+mn-lt"/>
                <a:ea typeface="+mn-ea"/>
                <a:cs typeface="+mn-cs"/>
              </a:defRPr>
            </a:pPr>
          </a:p>
        </c:txPr>
      </c:legendEntry>
      <c:layout>
        <c:manualLayout>
          <c:xMode val="edge"/>
          <c:yMode val="edge"/>
          <c:x val="0.129344587884806"/>
          <c:y val="0.028169014084507"/>
          <c:w val="0.795307845084409"/>
          <c:h val="0.115977112676056"/>
        </c:manualLayout>
      </c:layout>
      <c:overlay val="0"/>
      <c:txPr>
        <a:bodyPr rot="0" spcFirstLastPara="0" vertOverflow="ellipsis" vert="horz" wrap="square" anchor="ctr" anchorCtr="1"/>
        <a:lstStyle/>
        <a:p>
          <a:pPr>
            <a:defRPr lang="zh-CN" sz="14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acb693d1-ece2-4587-990f-c8d124e3ce1b}"/>
      </c:ext>
    </c:extLst>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38104211863821"/>
          <c:y val="0.0321892375702777"/>
        </c:manualLayout>
      </c:layout>
      <c:overlay val="0"/>
      <c:txPr>
        <a:bodyPr rot="0" spcFirstLastPara="0" vertOverflow="ellipsis" vert="horz" wrap="square" anchor="ctr" anchorCtr="1"/>
        <a:lstStyle/>
        <a:p>
          <a:pPr>
            <a:defRPr lang="zh-CN" sz="1400" b="1" i="0" u="none" strike="noStrike" kern="1200" baseline="0">
              <a:solidFill>
                <a:schemeClr val="tx1"/>
              </a:solidFill>
              <a:latin typeface="+mn-lt"/>
              <a:ea typeface="+mn-ea"/>
              <a:cs typeface="+mn-cs"/>
            </a:defRPr>
          </a:pPr>
        </a:p>
      </c:txPr>
    </c:title>
    <c:autoTitleDeleted val="0"/>
    <c:view3D>
      <c:rotX val="30"/>
      <c:rotY val="0"/>
      <c:depthPercent val="100"/>
      <c:rAngAx val="0"/>
      <c:perspective val="30"/>
    </c:view3D>
    <c:floor>
      <c:thickness val="0"/>
    </c:floor>
    <c:sideWall>
      <c:thickness val="0"/>
    </c:sideWall>
    <c:backWall>
      <c:thickness val="0"/>
    </c:backWall>
    <c:plotArea>
      <c:layout>
        <c:manualLayout>
          <c:layoutTarget val="inner"/>
          <c:xMode val="edge"/>
          <c:yMode val="edge"/>
          <c:x val="0.0990855781413539"/>
          <c:y val="0.351739929514354"/>
          <c:w val="0.826222222222222"/>
          <c:h val="0.64058939802336"/>
        </c:manualLayout>
      </c:layout>
      <c:pie3DChart>
        <c:varyColors val="1"/>
        <c:ser>
          <c:idx val="0"/>
          <c:order val="0"/>
          <c:tx>
            <c:strRef>
              <c:f>[饼状图汇总.xlsx]Sheet1!$C$99</c:f>
              <c:strCache>
                <c:ptCount val="1"/>
                <c:pt idx="0">
                  <c:v>图六.2025年一般公共预算财政拨款支出决算结构</c:v>
                </c:pt>
              </c:strCache>
            </c:strRef>
          </c:tx>
          <c:explosion val="0"/>
          <c:dPt>
            <c:idx val="0"/>
            <c:bubble3D val="0"/>
          </c:dPt>
          <c:dPt>
            <c:idx val="1"/>
            <c:bubble3D val="0"/>
          </c:dPt>
          <c:dPt>
            <c:idx val="2"/>
            <c:bubble3D val="0"/>
          </c:dPt>
          <c:dPt>
            <c:idx val="3"/>
            <c:bubble3D val="0"/>
            <c:explosion val="2"/>
          </c:dPt>
          <c:dPt>
            <c:idx val="4"/>
            <c:bubble3D val="0"/>
          </c:dPt>
          <c:dLbls>
            <c:dLbl>
              <c:idx val="0"/>
              <c:layout>
                <c:manualLayout>
                  <c:x val="-0.333245537927615"/>
                  <c:y val="-0.128964715069559"/>
                </c:manualLayout>
              </c:layout>
              <c:dLblPos val="bestFit"/>
              <c:showLegendKey val="0"/>
              <c:showVal val="0"/>
              <c:showCatName val="1"/>
              <c:showSerName val="0"/>
              <c:showPercent val="0"/>
              <c:showBubbleSize val="0"/>
              <c:extLst>
                <c:ext xmlns:c15="http://schemas.microsoft.com/office/drawing/2012/chart" uri="{CE6537A1-D6FC-4f65-9D91-7224C49458BB}">
                  <c15:layout>
                    <c:manualLayout>
                      <c:w val="0.183355969872824"/>
                      <c:h val="0.17870419543282"/>
                    </c:manualLayout>
                  </c15:layout>
                </c:ext>
              </c:extLst>
            </c:dLbl>
            <c:dLbl>
              <c:idx val="1"/>
              <c:layout>
                <c:manualLayout>
                  <c:x val="0.0838774724695194"/>
                  <c:y val="-0.105307142440322"/>
                </c:manualLayout>
              </c:layout>
              <c:dLblPos val="bestFit"/>
              <c:showLegendKey val="0"/>
              <c:showVal val="0"/>
              <c:showCatName val="1"/>
              <c:showSerName val="0"/>
              <c:showPercent val="0"/>
              <c:showBubbleSize val="0"/>
              <c:extLst>
                <c:ext xmlns:c15="http://schemas.microsoft.com/office/drawing/2012/chart" uri="{CE6537A1-D6FC-4f65-9D91-7224C49458BB}">
                  <c15:layout>
                    <c:manualLayout>
                      <c:w val="0.197555253735029"/>
                      <c:h val="0.179235262878386"/>
                    </c:manualLayout>
                  </c15:layout>
                </c:ext>
              </c:extLst>
            </c:dLbl>
            <c:dLbl>
              <c:idx val="2"/>
              <c:layout>
                <c:manualLayout>
                  <c:x val="0.147189467835535"/>
                  <c:y val="0.101058884083433"/>
                </c:manualLayout>
              </c:layout>
              <c:dLblPos val="bestFit"/>
              <c:showLegendKey val="0"/>
              <c:showVal val="0"/>
              <c:showCatName val="1"/>
              <c:showSerName val="0"/>
              <c:showPercent val="0"/>
              <c:showBubbleSize val="0"/>
              <c:extLst>
                <c:ext xmlns:c15="http://schemas.microsoft.com/office/drawing/2012/chart" uri="{CE6537A1-D6FC-4f65-9D91-7224C49458BB}">
                  <c15:layout>
                    <c:manualLayout>
                      <c:w val="0.183355969872824"/>
                      <c:h val="0.19012214551248"/>
                    </c:manualLayout>
                  </c15:layout>
                </c:ext>
              </c:extLst>
            </c:dLbl>
            <c:dLbl>
              <c:idx val="3"/>
              <c:layout>
                <c:manualLayout>
                  <c:x val="-0.302411489612887"/>
                  <c:y val="-0.0185716138242159"/>
                </c:manualLayout>
              </c:layout>
              <c:dLblPos val="bestFit"/>
              <c:showLegendKey val="0"/>
              <c:showVal val="0"/>
              <c:showCatName val="1"/>
              <c:showSerName val="0"/>
              <c:showPercent val="0"/>
              <c:showBubbleSize val="0"/>
              <c:extLst>
                <c:ext xmlns:c15="http://schemas.microsoft.com/office/drawing/2012/chart" uri="{CE6537A1-D6FC-4f65-9D91-7224C49458BB}">
                  <c15:layout>
                    <c:manualLayout>
                      <c:w val="0.147094876195146"/>
                      <c:h val="0.216047959418953"/>
                    </c:manualLayout>
                  </c15:layout>
                </c:ext>
              </c:extLst>
            </c:dLbl>
            <c:dLbl>
              <c:idx val="4"/>
              <c:layout>
                <c:manualLayout>
                  <c:x val="-0.398243780732727"/>
                  <c:y val="0.102039624076322"/>
                </c:manualLayout>
              </c:layout>
              <c:dLblPos val="bestFit"/>
              <c:showLegendKey val="0"/>
              <c:showVal val="0"/>
              <c:showCatName val="1"/>
              <c:showSerName val="0"/>
              <c:showPercent val="0"/>
              <c:showBubbleSize val="0"/>
              <c:extLst>
                <c:ext xmlns:c15="http://schemas.microsoft.com/office/drawing/2012/chart" uri="{CE6537A1-D6FC-4f65-9D91-7224C49458BB}">
                  <c15:layout>
                    <c:manualLayout>
                      <c:w val="0.183378278989949"/>
                      <c:h val="0.172930597186996"/>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[饼状图汇总.xlsx]Sheet1!$B$100:$B$104</c:f>
              <c:strCache>
                <c:ptCount val="5"/>
                <c:pt idx="0">
                  <c:v>科学技术支出占5.11%</c:v>
                </c:pt>
                <c:pt idx="1">
                  <c:v>社会保障和就业支出占1.94%</c:v>
                </c:pt>
                <c:pt idx="2">
                  <c:v>卫生健康支出占0.82%</c:v>
                </c:pt>
                <c:pt idx="3">
                  <c:v>农林水支出占91.02%</c:v>
                </c:pt>
                <c:pt idx="4">
                  <c:v>住房保障支出占1.11%</c:v>
                </c:pt>
              </c:strCache>
            </c:strRef>
          </c:cat>
          <c:val>
            <c:numRef>
              <c:f>[饼状图汇总.xlsx]Sheet1!$C$100:$C$104</c:f>
              <c:numCache>
                <c:formatCode>General</c:formatCode>
                <c:ptCount val="5"/>
                <c:pt idx="0">
                  <c:v>669.22</c:v>
                </c:pt>
                <c:pt idx="1">
                  <c:v>254.77</c:v>
                </c:pt>
                <c:pt idx="2">
                  <c:v>108.14</c:v>
                </c:pt>
                <c:pt idx="3">
                  <c:v>11930.85</c:v>
                </c:pt>
                <c:pt idx="4" c:formatCode="0.00_ ">
                  <c:v>144.95</c:v>
                </c:pt>
              </c:numCache>
            </c:numRef>
          </c:val>
        </c:ser>
        <c:dLbls>
          <c:showLegendKey val="0"/>
          <c:showVal val="0"/>
          <c:showCatName val="1"/>
          <c:showSerName val="0"/>
          <c:showPercent val="0"/>
          <c:showBubbleSize val="0"/>
        </c:dLbls>
      </c:pie3DChart>
    </c:plotArea>
    <c:plotVisOnly val="1"/>
    <c:dispBlanksAs val="gap"/>
    <c:showDLblsOverMax val="0"/>
    <c:extLst>
      <c:ext uri="{0b15fc19-7d7d-44ad-8c2d-2c3a37ce22c3}">
        <chartProps xmlns="https://web.wps.cn/et/2018/main" chartId="{91148de7-b027-46e0-904a-622f50015c4a}"/>
      </c:ext>
    </c:extLst>
  </c:chart>
  <c:txPr>
    <a:bodyPr/>
    <a:lstStyle/>
    <a:p>
      <a:pPr>
        <a:defRPr lang="zh-CN" sz="900"/>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[饼状图汇总.xlsx]Sheet1!$C$121</c:f>
              <c:strCache>
                <c:ptCount val="1"/>
                <c:pt idx="0">
                  <c:v>图七.2025年“三公”经费财政拨款支出结构图</c:v>
                </c:pt>
              </c:strCache>
            </c:strRef>
          </c:tx>
          <c:explosion val="25"/>
          <c:dPt>
            <c:idx val="0"/>
            <c:bubble3D val="0"/>
          </c:dPt>
          <c:dPt>
            <c:idx val="1"/>
            <c:bubble3D val="0"/>
          </c:dPt>
          <c:dPt>
            <c:idx val="2"/>
            <c:bubble3D val="0"/>
          </c:dPt>
          <c:dLbls>
            <c:dLbl>
              <c:idx val="1"/>
              <c:layout>
                <c:manualLayout>
                  <c:x val="0.203917781988771"/>
                  <c:y val="-0.0456761581227832"/>
                </c:manualLayout>
              </c:layout>
              <c:dLblPos val="bestFit"/>
              <c:showLegendKey val="0"/>
              <c:showVal val="0"/>
              <c:showCatName val="1"/>
              <c:showSerName val="0"/>
              <c:showPercent val="0"/>
              <c:showBubbleSize val="0"/>
              <c:extLst>
                <c:ext xmlns:c15="http://schemas.microsoft.com/office/drawing/2012/chart" uri="{CE6537A1-D6FC-4f65-9D91-7224C49458BB}">
                  <c15:layout>
                    <c:manualLayout>
                      <c:w val="0.225789746245469"/>
                      <c:h val="0.25854584915898"/>
                    </c:manualLayout>
                  </c15:layout>
                </c:ext>
              </c:extLst>
            </c:dLbl>
            <c:dLbl>
              <c:idx val="2"/>
              <c:layout>
                <c:manualLayout>
                  <c:x val="-0.174244213164561"/>
                  <c:y val="-0.0459454890026501"/>
                </c:manualLayout>
              </c:layout>
              <c:dLblPos val="bestFit"/>
              <c:showLegendKey val="0"/>
              <c:showVal val="0"/>
              <c:showCatName val="1"/>
              <c:showSerName val="0"/>
              <c:showPercent val="0"/>
              <c:showBubbleSize val="0"/>
              <c:extLst>
                <c:ext xmlns:c15="http://schemas.microsoft.com/office/drawing/2012/chart" uri="{CE6537A1-D6FC-4f65-9D91-7224C49458BB}">
                  <c15:layout>
                    <c:manualLayout>
                      <c:w val="0.19847229414811"/>
                      <c:h val="0.218665219750407"/>
                    </c:manualLayout>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[饼状图汇总.xlsx]Sheet1!$B$122:$B$124</c:f>
              <c:strCache>
                <c:ptCount val="3"/>
                <c:pt idx="1">
                  <c:v>公务用车购置及运行维护费支出占86.21%</c:v>
                </c:pt>
                <c:pt idx="2">
                  <c:v>公务接待费支出占13.79%</c:v>
                </c:pt>
              </c:strCache>
            </c:strRef>
          </c:cat>
          <c:val>
            <c:numRef>
              <c:f>[饼状图汇总.xlsx]Sheet1!$C$122:$C$124</c:f>
              <c:numCache>
                <c:formatCode>General</c:formatCode>
                <c:ptCount val="3"/>
                <c:pt idx="1">
                  <c:v>4</c:v>
                </c:pt>
                <c:pt idx="2">
                  <c:v>0.64</c:v>
                </c:pt>
              </c:numCache>
            </c:numRef>
          </c:val>
        </c:ser>
        <c:dLbls>
          <c:showLegendKey val="0"/>
          <c:showVal val="0"/>
          <c:showCatName val="1"/>
          <c:showSerName val="0"/>
          <c:showPercent val="0"/>
          <c:showBubbleSize val="0"/>
        </c:dLbls>
      </c:pie3DChart>
    </c:plotArea>
    <c:plotVisOnly val="1"/>
    <c:dispBlanksAs val="gap"/>
    <c:showDLblsOverMax val="0"/>
    <c:extLst>
      <c:ext uri="{0b15fc19-7d7d-44ad-8c2d-2c3a37ce22c3}">
        <chartProps xmlns="https://web.wps.cn/et/2018/main" chartId="{d451da39-b7d5-4067-a15e-db7cd480aa38}"/>
      </c:ext>
    </c:extLst>
  </c:chart>
  <c:txPr>
    <a:bodyPr/>
    <a:lstStyle/>
    <a:p>
      <a:pPr>
        <a:defRPr lang="zh-CN"/>
      </a:pPr>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0.38958</cdr:x>
      <cdr:y>0.18697</cdr:y>
    </cdr:from>
    <cdr:to>
      <cdr:x>0.58333</cdr:x>
      <cdr:y>0.29178</cdr:y>
    </cdr:to>
    <cdr:sp>
      <cdr:nvSpPr>
        <cdr:cNvPr id="2" name="矩形 1"/>
        <cdr:cNvSpPr/>
      </cdr:nvSpPr>
      <cdr:spPr xmlns:a="http://schemas.openxmlformats.org/drawingml/2006/main">
        <a:xfrm xmlns:a="http://schemas.openxmlformats.org/drawingml/2006/main">
          <a:off x="1781175" y="628651"/>
          <a:ext cx="885825" cy="352425"/>
        </a:xfrm>
        <a:prstGeom xmlns:a="http://schemas.openxmlformats.org/drawingml/2006/main" prst="rect">
          <a:avLst/>
        </a:prstGeom>
      </cdr:spPr>
      <cdr:txBody xmlns:a="http://schemas.openxmlformats.org/drawingml/2006/main">
        <a:bodyPr vertOverflow="clip" vert="horz" wrap="none" lIns="45720" tIns="45720" rIns="45720" bIns="45720" rtlCol="0" anchor="t" anchorCtr="0">
          <a:normAutofit/>
        </a:bodyPr>
        <a:lstStyle/>
        <a:p>
          <a:endParaRPr lang="zh-CN" altLang="en-US" sz="1100"/>
        </a:p>
      </cdr:txBody>
    </cdr:sp>
  </cdr:relSizeAnchor>
  <cdr:relSizeAnchor xmlns:cdr="http://schemas.openxmlformats.org/drawingml/2006/chartDrawing">
    <cdr:from>
      <cdr:x>0.23542</cdr:x>
      <cdr:y>0.38527</cdr:y>
    </cdr:from>
    <cdr:to>
      <cdr:x>0.47292</cdr:x>
      <cdr:y>0.45892</cdr:y>
    </cdr:to>
    <cdr:sp>
      <cdr:nvSpPr>
        <cdr:cNvPr id="3" name="矩形 2"/>
        <cdr:cNvSpPr/>
      </cdr:nvSpPr>
      <cdr:spPr xmlns:a="http://schemas.openxmlformats.org/drawingml/2006/main">
        <a:xfrm xmlns:a="http://schemas.openxmlformats.org/drawingml/2006/main">
          <a:off x="1076325" y="1295401"/>
          <a:ext cx="1085850" cy="247650"/>
        </a:xfrm>
        <a:prstGeom xmlns:a="http://schemas.openxmlformats.org/drawingml/2006/main" prst="rect">
          <a:avLst/>
        </a:prstGeom>
        <a:noFill/>
      </cdr:spPr>
      <cdr:txBody xmlns:a="http://schemas.openxmlformats.org/drawingml/2006/main">
        <a:bodyPr vert="horz" wrap="square" lIns="91440" tIns="45720" rIns="91440" bIns="45720" anchor="t" anchorCtr="0">
          <a:noAutofit/>
        </a:bodyPr>
        <a:lstStyle/>
        <a:p>
          <a:pPr algn="ctr"/>
          <a:endParaRPr lang="zh-CN" altLang="en-US" sz="1100" b="1" cap="none" spc="300">
            <a:ln w="11430" cmpd="sng">
              <a:solidFill>
                <a:schemeClr val="accent1">
                  <a:tint val="10000"/>
                </a:schemeClr>
              </a:solidFill>
              <a:prstDash val="solid"/>
              <a:miter lim="800000"/>
            </a:ln>
            <a:gradFill>
              <a:gsLst>
                <a:gs pos="10000">
                  <a:schemeClr val="accent1">
                    <a:tint val="83000"/>
                    <a:shade val="100000"/>
                    <a:satMod val="200000"/>
                  </a:schemeClr>
                </a:gs>
                <a:gs pos="75000">
                  <a:schemeClr val="accent1">
                    <a:tint val="100000"/>
                    <a:shade val="50000"/>
                    <a:satMod val="150000"/>
                  </a:schemeClr>
                </a:gs>
              </a:gsLst>
              <a:lin ang="5400000"/>
            </a:gradFill>
            <a:effectLst>
              <a:glow rad="45500">
                <a:schemeClr val="accent1">
                  <a:satMod val="220000"/>
                  <a:alpha val="35000"/>
                </a:schemeClr>
              </a:glow>
            </a:effectLst>
          </a:endParaRPr>
        </a:p>
      </cdr:txBody>
    </cdr:sp>
  </cdr:relSizeAnchor>
  <cdr:relSizeAnchor xmlns:cdr="http://schemas.openxmlformats.org/drawingml/2006/chartDrawing">
    <cdr:from>
      <cdr:x>0.8</cdr:x>
      <cdr:y>0.37394</cdr:y>
    </cdr:from>
    <cdr:to>
      <cdr:x>1</cdr:x>
      <cdr:y>0.64589</cdr:y>
    </cdr:to>
    <cdr:sp>
      <cdr:nvSpPr>
        <cdr:cNvPr id="4" name="矩形 3"/>
        <cdr:cNvSpPr/>
      </cdr:nvSpPr>
      <cdr:spPr xmlns:a="http://schemas.openxmlformats.org/drawingml/2006/main">
        <a:xfrm xmlns:a="http://schemas.openxmlformats.org/drawingml/2006/main">
          <a:off x="4010025" y="1257301"/>
          <a:ext cx="914400" cy="914400"/>
        </a:xfrm>
        <a:prstGeom xmlns:a="http://schemas.openxmlformats.org/drawingml/2006/main" prst="rect">
          <a:avLst/>
        </a:prstGeom>
      </cdr:spPr>
      <cdr:txBody xmlns:a="http://schemas.openxmlformats.org/drawingml/2006/main">
        <a:bodyPr vertOverflow="clip" vert="horz" wrap="none" lIns="45720" tIns="45720" rIns="45720" bIns="45720" rtlCol="0" anchor="t" anchorCtr="0">
          <a:normAutofit/>
        </a:bodyPr>
        <a:lstStyle/>
        <a:p>
          <a:endParaRPr lang="zh-CN" altLang="en-US" sz="1100"/>
        </a:p>
      </cdr:txBody>
    </cdr:sp>
  </cdr:relSizeAnchor>
</c:userShape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39</Pages>
  <Words>12409</Words>
  <Characters>13534</Characters>
  <Lines>1958</Lines>
  <Paragraphs>959</Paragraphs>
  <TotalTime>2</TotalTime>
  <ScaleCrop>false</ScaleCrop>
  <LinksUpToDate>false</LinksUpToDate>
  <CharactersWithSpaces>13612</CharactersWithSpaces>
  <Application>WPS Office_12.1.2.24722_F1E327BC-269C-435d-A152-05C5408002CA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2023-09-13T01:47:00Z</dcterms:created>
  <dc:creator>Administrator</dc:creator>
  <cp:lastModifiedBy>kylin</cp:lastModifiedBy>
  <cp:lastPrinted>2026-09-02T17:08:00Z</cp:lastPrinted>
  <dcterms:modified xsi:type="dcterms:W3CDTF">2026-09-03T11:26:00Z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CD0E3DABBC53720C7F4E8E6AD8C37660_43</vt:lpwstr>
  </property>
  <property fmtid="{D5CDD505-2E9C-101B-9397-08002B2CF9AE}" pid="4" name="KSOTemplateDocerSaveRecord">
    <vt:lpwstr>eyJoZGlkIjoiZjRmYzVhMTg2MDdjYTY1YTYzNDNlM2I0M2ZkYWYyNGYiLCJ1c2VySWQiOiI0MTY4Mzk0ODcifQ==</vt:lpwstr>
  </property>
</Properties>
</file>