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4BDE6">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96476"/>
      <w:bookmarkStart w:id="2" w:name="_Toc15377426"/>
      <w:bookmarkStart w:id="3" w:name="_Toc15378442"/>
      <w:bookmarkStart w:id="4" w:name="_Toc15396598"/>
      <w:bookmarkStart w:id="5" w:name="_Toc15377194"/>
    </w:p>
    <w:p w14:paraId="37E426A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F21476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20ED00F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020042A5">
      <w:pPr>
        <w:pStyle w:val="5"/>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Times New Roman" w:hAnsi="Times New Roman" w:eastAsia="方正小标宋简体" w:cs="Times New Roman"/>
          <w:color w:val="auto"/>
          <w:kern w:val="2"/>
          <w:sz w:val="44"/>
          <w:szCs w:val="44"/>
          <w:highlight w:val="none"/>
          <w:lang w:val="en-US" w:eastAsia="zh-CN" w:bidi="ar-SA"/>
        </w:rPr>
        <w:t>年度四川省</w:t>
      </w:r>
      <w:bookmarkEnd w:id="0"/>
      <w:bookmarkStart w:id="6" w:name="_Toc15306268"/>
      <w:r>
        <w:rPr>
          <w:rFonts w:hint="eastAsia" w:ascii="Times New Roman" w:eastAsia="方正小标宋简体" w:cs="Times New Roman"/>
          <w:color w:val="auto"/>
          <w:kern w:val="2"/>
          <w:sz w:val="44"/>
          <w:szCs w:val="44"/>
          <w:highlight w:val="none"/>
          <w:lang w:val="en-US" w:eastAsia="zh-CN" w:bidi="ar-SA"/>
        </w:rPr>
        <w:t>阿坝州</w:t>
      </w:r>
    </w:p>
    <w:p w14:paraId="68B2BDA4">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茂县民族宗教局</w:t>
      </w:r>
      <w:r>
        <w:rPr>
          <w:rFonts w:hint="eastAsia" w:ascii="Times New Roman" w:hAnsi="Times New Roman" w:eastAsia="方正小标宋简体" w:cs="Times New Roman"/>
          <w:color w:val="auto"/>
          <w:kern w:val="2"/>
          <w:sz w:val="44"/>
          <w:szCs w:val="44"/>
          <w:highlight w:val="none"/>
          <w:lang w:val="en-US" w:eastAsia="zh-CN" w:bidi="ar-SA"/>
        </w:rPr>
        <w:t>决算</w:t>
      </w:r>
      <w:bookmarkEnd w:id="1"/>
      <w:bookmarkEnd w:id="2"/>
      <w:bookmarkEnd w:id="3"/>
      <w:bookmarkEnd w:id="4"/>
      <w:bookmarkEnd w:id="5"/>
      <w:bookmarkEnd w:id="6"/>
      <w:r>
        <w:rPr>
          <w:rFonts w:hint="eastAsia" w:ascii="Times New Roman" w:eastAsia="方正小标宋简体" w:cs="Times New Roman"/>
          <w:color w:val="auto"/>
          <w:kern w:val="2"/>
          <w:sz w:val="44"/>
          <w:szCs w:val="44"/>
          <w:highlight w:val="none"/>
          <w:lang w:val="en-US" w:eastAsia="zh-CN" w:bidi="ar-SA"/>
        </w:rPr>
        <w:t>公开报告</w:t>
      </w:r>
    </w:p>
    <w:p w14:paraId="47211D51">
      <w:pPr>
        <w:widowControl/>
        <w:jc w:val="center"/>
        <w:rPr>
          <w:rFonts w:ascii="Times New Roman" w:hAnsi="Times New Roman" w:eastAsia="黑体" w:cstheme="minorBidi"/>
          <w:color w:val="auto"/>
          <w:sz w:val="28"/>
          <w:szCs w:val="28"/>
          <w:highlight w:val="none"/>
        </w:rPr>
      </w:pP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30FD6539">
      <w:pPr>
        <w:pStyle w:val="1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80245"/>
        <w15:color w:val="DBDBDB"/>
        <w:docPartObj>
          <w:docPartGallery w:val="Table of Contents"/>
          <w:docPartUnique/>
        </w:docPartObj>
      </w:sdtPr>
      <w:sdtEndPr>
        <w:rPr>
          <w:rFonts w:ascii="Times New Roman" w:hAnsi="Times New Roman" w:eastAsia="宋体" w:cs="Times New Roman"/>
          <w:kern w:val="2"/>
          <w:sz w:val="18"/>
          <w:szCs w:val="18"/>
          <w:lang w:val="en-US" w:eastAsia="zh-CN" w:bidi="ar-SA"/>
        </w:rPr>
      </w:sdtEndPr>
      <w:sdtContent>
        <w:p w14:paraId="300EC93F">
          <w:pPr>
            <w:keepNext w:val="0"/>
            <w:keepLines w:val="0"/>
            <w:pageBreakBefore w:val="0"/>
            <w:widowControl w:val="0"/>
            <w:kinsoku/>
            <w:wordWrap/>
            <w:overflowPunct/>
            <w:topLinePunct w:val="0"/>
            <w:autoSpaceDE/>
            <w:autoSpaceDN/>
            <w:bidi w:val="0"/>
            <w:adjustRightInd/>
            <w:spacing w:before="0" w:after="0" w:line="576" w:lineRule="exact"/>
            <w:ind w:left="0" w:leftChars="0" w:right="0" w:rightChars="0" w:firstLine="0" w:firstLineChars="0"/>
            <w:jc w:val="left"/>
            <w:textAlignment w:val="auto"/>
          </w:pPr>
          <w:r>
            <w:rPr>
              <w:rFonts w:hint="eastAsia" w:ascii="宋体" w:hAnsi="宋体" w:cs="Times New Roman"/>
              <w:kern w:val="2"/>
              <w:sz w:val="21"/>
              <w:szCs w:val="24"/>
              <w:lang w:val="en-US" w:eastAsia="zh-CN" w:bidi="ar-SA"/>
            </w:rPr>
            <w:t xml:space="preserve"> </w:t>
          </w:r>
          <w:r>
            <w:fldChar w:fldCharType="begin"/>
          </w:r>
          <w:r>
            <w:instrText xml:space="preserve">TOC \o "1-2" \h \u </w:instrText>
          </w:r>
          <w:r>
            <w:fldChar w:fldCharType="separate"/>
          </w:r>
          <w:r>
            <w:rPr>
              <w:rFonts w:hint="eastAsia" w:ascii="Times New Roman" w:hAnsi="Times New Roman" w:eastAsia="方正小标宋简体" w:cs="方正小标宋简体"/>
              <w:kern w:val="2"/>
              <w:sz w:val="28"/>
              <w:szCs w:val="28"/>
              <w:highlight w:val="none"/>
              <w:lang w:val="en-US" w:eastAsia="zh-CN" w:bidi="ar-SA"/>
            </w:rPr>
            <w:fldChar w:fldCharType="begin"/>
          </w:r>
          <w:r>
            <w:rPr>
              <w:rFonts w:hint="eastAsia" w:ascii="Times New Roman" w:hAnsi="Times New Roman" w:eastAsia="方正小标宋简体" w:cs="方正小标宋简体"/>
              <w:kern w:val="2"/>
              <w:sz w:val="28"/>
              <w:szCs w:val="28"/>
              <w:highlight w:val="none"/>
              <w:lang w:val="en-US" w:eastAsia="zh-CN" w:bidi="ar-SA"/>
            </w:rPr>
            <w:instrText xml:space="preserve"> HYPERLINK \l _Toc32092 </w:instrText>
          </w:r>
          <w:r>
            <w:rPr>
              <w:rFonts w:hint="eastAsia" w:ascii="Times New Roman" w:hAnsi="Times New Roman" w:eastAsia="方正小标宋简体" w:cs="方正小标宋简体"/>
              <w:kern w:val="2"/>
              <w:sz w:val="28"/>
              <w:szCs w:val="28"/>
              <w:highlight w:val="none"/>
              <w:lang w:val="en-US" w:eastAsia="zh-CN" w:bidi="ar-SA"/>
            </w:rPr>
            <w:fldChar w:fldCharType="separate"/>
          </w:r>
          <w:r>
            <w:rPr>
              <w:rFonts w:hint="eastAsia" w:ascii="Times New Roman" w:hAnsi="Times New Roman" w:eastAsia="方正小标宋简体" w:cs="方正小标宋简体"/>
              <w:kern w:val="2"/>
              <w:sz w:val="28"/>
              <w:szCs w:val="28"/>
              <w:highlight w:val="none"/>
              <w:lang w:val="en-US" w:eastAsia="zh-CN" w:bidi="ar-SA"/>
            </w:rPr>
            <w:t>第一部分  部门概况</w:t>
          </w:r>
          <w:r>
            <w:rPr>
              <w:rFonts w:hint="eastAsia" w:ascii="Times New Roman" w:hAnsi="Times New Roman" w:eastAsia="方正小标宋简体" w:cs="方正小标宋简体"/>
              <w:kern w:val="2"/>
              <w:sz w:val="28"/>
              <w:szCs w:val="28"/>
              <w:highlight w:val="none"/>
              <w:lang w:val="en-US" w:eastAsia="zh-CN" w:bidi="ar-SA"/>
            </w:rPr>
            <w:tab/>
          </w:r>
          <w:r>
            <w:rPr>
              <w:rFonts w:hint="eastAsia" w:ascii="Times New Roman" w:hAnsi="Times New Roman" w:eastAsia="方正小标宋简体" w:cs="方正小标宋简体"/>
              <w:kern w:val="2"/>
              <w:sz w:val="28"/>
              <w:szCs w:val="28"/>
              <w:highlight w:val="none"/>
              <w:lang w:val="en-US" w:eastAsia="zh-CN" w:bidi="ar-SA"/>
            </w:rPr>
            <w:t xml:space="preserve">                                   </w:t>
          </w:r>
          <w:r>
            <w:rPr>
              <w:rFonts w:hint="eastAsia" w:eastAsia="方正小标宋简体" w:cs="方正小标宋简体"/>
              <w:kern w:val="2"/>
              <w:sz w:val="28"/>
              <w:szCs w:val="28"/>
              <w:highlight w:val="none"/>
              <w:lang w:val="en-US" w:eastAsia="zh-CN" w:bidi="ar-SA"/>
            </w:rPr>
            <w:t xml:space="preserve">   </w:t>
          </w:r>
          <w:r>
            <w:rPr>
              <w:rFonts w:hint="eastAsia" w:ascii="Times New Roman" w:hAnsi="Times New Roman" w:eastAsia="方正小标宋简体" w:cs="方正小标宋简体"/>
              <w:kern w:val="2"/>
              <w:sz w:val="28"/>
              <w:szCs w:val="28"/>
              <w:highlight w:val="none"/>
              <w:lang w:val="en-US" w:eastAsia="zh-CN" w:bidi="ar-SA"/>
            </w:rPr>
            <w:fldChar w:fldCharType="begin"/>
          </w:r>
          <w:r>
            <w:rPr>
              <w:rFonts w:hint="eastAsia" w:ascii="Times New Roman" w:hAnsi="Times New Roman" w:eastAsia="方正小标宋简体" w:cs="方正小标宋简体"/>
              <w:kern w:val="2"/>
              <w:sz w:val="28"/>
              <w:szCs w:val="28"/>
              <w:highlight w:val="none"/>
              <w:lang w:val="en-US" w:eastAsia="zh-CN" w:bidi="ar-SA"/>
            </w:rPr>
            <w:instrText xml:space="preserve"> PAGEREF _Toc32092 \h </w:instrText>
          </w:r>
          <w:r>
            <w:rPr>
              <w:rFonts w:hint="eastAsia" w:ascii="Times New Roman" w:hAnsi="Times New Roman" w:eastAsia="方正小标宋简体" w:cs="方正小标宋简体"/>
              <w:kern w:val="2"/>
              <w:sz w:val="28"/>
              <w:szCs w:val="28"/>
              <w:highlight w:val="none"/>
              <w:lang w:val="en-US" w:eastAsia="zh-CN" w:bidi="ar-SA"/>
            </w:rPr>
            <w:fldChar w:fldCharType="separate"/>
          </w:r>
          <w:r>
            <w:rPr>
              <w:rFonts w:hint="eastAsia" w:ascii="Times New Roman" w:hAnsi="Times New Roman" w:eastAsia="方正小标宋简体" w:cs="方正小标宋简体"/>
              <w:kern w:val="2"/>
              <w:sz w:val="28"/>
              <w:szCs w:val="28"/>
              <w:highlight w:val="none"/>
              <w:lang w:val="en-US" w:eastAsia="zh-CN" w:bidi="ar-SA"/>
            </w:rPr>
            <w:t>- 4 -</w:t>
          </w:r>
          <w:r>
            <w:rPr>
              <w:rFonts w:hint="eastAsia" w:ascii="Times New Roman" w:hAnsi="Times New Roman" w:eastAsia="方正小标宋简体" w:cs="方正小标宋简体"/>
              <w:kern w:val="2"/>
              <w:sz w:val="28"/>
              <w:szCs w:val="28"/>
              <w:highlight w:val="none"/>
              <w:lang w:val="en-US" w:eastAsia="zh-CN" w:bidi="ar-SA"/>
            </w:rPr>
            <w:fldChar w:fldCharType="end"/>
          </w:r>
          <w:r>
            <w:rPr>
              <w:rFonts w:hint="eastAsia" w:ascii="Times New Roman" w:hAnsi="Times New Roman" w:eastAsia="方正小标宋简体" w:cs="方正小标宋简体"/>
              <w:kern w:val="2"/>
              <w:sz w:val="28"/>
              <w:szCs w:val="28"/>
              <w:highlight w:val="none"/>
              <w:lang w:val="en-US" w:eastAsia="zh-CN" w:bidi="ar-SA"/>
            </w:rPr>
            <w:fldChar w:fldCharType="end"/>
          </w:r>
        </w:p>
        <w:p w14:paraId="7954B90F">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_Toc3715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rPr>
              <w:rFonts w:hint="eastAsia" w:eastAsia="黑体"/>
              <w:highlight w:val="none"/>
              <w:lang w:val="en-US" w:eastAsia="zh-CN"/>
            </w:rPr>
            <w:t xml:space="preserve">                                                                </w:t>
          </w:r>
          <w:r>
            <w:fldChar w:fldCharType="begin"/>
          </w:r>
          <w:r>
            <w:instrText xml:space="preserve"> PAGEREF _Toc3715 \h </w:instrText>
          </w:r>
          <w:r>
            <w:fldChar w:fldCharType="separate"/>
          </w:r>
          <w:r>
            <w:t>- 4 -</w:t>
          </w:r>
          <w:r>
            <w:fldChar w:fldCharType="end"/>
          </w:r>
          <w:r>
            <w:fldChar w:fldCharType="end"/>
          </w:r>
        </w:p>
        <w:p w14:paraId="484682D1">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_Toc31591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rPr>
              <w:rFonts w:hint="eastAsia"/>
              <w:lang w:val="en-US" w:eastAsia="zh-CN"/>
            </w:rPr>
            <w:t xml:space="preserve"> </w:t>
          </w:r>
          <w:r>
            <w:fldChar w:fldCharType="begin"/>
          </w:r>
          <w:r>
            <w:instrText xml:space="preserve"> PAGEREF _Toc31591 \h </w:instrText>
          </w:r>
          <w:r>
            <w:fldChar w:fldCharType="separate"/>
          </w:r>
          <w:r>
            <w:t>- 4 -</w:t>
          </w:r>
          <w:r>
            <w:fldChar w:fldCharType="end"/>
          </w:r>
          <w:r>
            <w:fldChar w:fldCharType="end"/>
          </w:r>
        </w:p>
        <w:p w14:paraId="77F03044">
          <w:pPr>
            <w:pStyle w:val="11"/>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_Toc3874 </w:instrText>
          </w:r>
          <w:r>
            <w:fldChar w:fldCharType="separate"/>
          </w:r>
          <w:r>
            <w:rPr>
              <w:rFonts w:hint="eastAsia" w:ascii="Times New Roman" w:hAnsi="Times New Roman" w:eastAsia="方正小标宋简体" w:cs="方正小标宋简体"/>
              <w:highlight w:val="none"/>
            </w:rPr>
            <w:t>第二部分</w:t>
          </w:r>
          <w:r>
            <w:tab/>
          </w:r>
          <w:r>
            <w:fldChar w:fldCharType="begin"/>
          </w:r>
          <w:r>
            <w:instrText xml:space="preserve"> PAGEREF _Toc3874 \h </w:instrText>
          </w:r>
          <w:r>
            <w:fldChar w:fldCharType="separate"/>
          </w:r>
          <w:r>
            <w:t>- 5 -</w:t>
          </w:r>
          <w:r>
            <w:fldChar w:fldCharType="end"/>
          </w:r>
          <w:r>
            <w:fldChar w:fldCharType="end"/>
          </w:r>
        </w:p>
        <w:p w14:paraId="24BD0C09">
          <w:pPr>
            <w:pStyle w:val="11"/>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_Toc21098 </w:instrText>
          </w:r>
          <w:r>
            <w:fldChar w:fldCharType="separate"/>
          </w:r>
          <w:r>
            <w:rPr>
              <w:rFonts w:hint="eastAsia" w:ascii="Times New Roman" w:hAnsi="Times New Roman" w:eastAsia="方正小标宋简体" w:cs="方正小标宋简体"/>
              <w:sz w:val="24"/>
              <w:szCs w:val="24"/>
              <w:highlight w:val="none"/>
              <w:lang w:val="en-US" w:eastAsia="zh-CN"/>
            </w:rPr>
            <w:t>2024年度</w:t>
          </w:r>
          <w:r>
            <w:rPr>
              <w:rFonts w:hint="eastAsia" w:ascii="Times New Roman" w:hAnsi="Times New Roman" w:eastAsia="方正小标宋简体" w:cs="方正小标宋简体"/>
              <w:sz w:val="24"/>
              <w:szCs w:val="24"/>
              <w:highlight w:val="none"/>
            </w:rPr>
            <w:t>部门决算情况说明</w:t>
          </w:r>
          <w:r>
            <w:tab/>
          </w:r>
          <w:r>
            <w:fldChar w:fldCharType="begin"/>
          </w:r>
          <w:r>
            <w:instrText xml:space="preserve"> PAGEREF _Toc21098 \h </w:instrText>
          </w:r>
          <w:r>
            <w:fldChar w:fldCharType="separate"/>
          </w:r>
          <w:r>
            <w:t>- 5 -</w:t>
          </w:r>
          <w:r>
            <w:fldChar w:fldCharType="end"/>
          </w:r>
          <w:r>
            <w:fldChar w:fldCharType="end"/>
          </w:r>
        </w:p>
        <w:p w14:paraId="6811FE57">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_Toc9239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_Toc9239 \h </w:instrText>
          </w:r>
          <w:r>
            <w:fldChar w:fldCharType="separate"/>
          </w:r>
          <w:r>
            <w:t>- 5 -</w:t>
          </w:r>
          <w:r>
            <w:fldChar w:fldCharType="end"/>
          </w:r>
          <w:r>
            <w:fldChar w:fldCharType="end"/>
          </w:r>
        </w:p>
        <w:p w14:paraId="11141398">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_Toc22450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_Toc22450 \h </w:instrText>
          </w:r>
          <w:r>
            <w:fldChar w:fldCharType="separate"/>
          </w:r>
          <w:r>
            <w:t>- 5 -</w:t>
          </w:r>
          <w:r>
            <w:fldChar w:fldCharType="end"/>
          </w:r>
          <w:r>
            <w:fldChar w:fldCharType="end"/>
          </w:r>
        </w:p>
        <w:p w14:paraId="6B3D6F5D">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_Toc15169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_Toc15169 \h </w:instrText>
          </w:r>
          <w:r>
            <w:fldChar w:fldCharType="separate"/>
          </w:r>
          <w:r>
            <w:t>- 6 -</w:t>
          </w:r>
          <w:r>
            <w:fldChar w:fldCharType="end"/>
          </w:r>
          <w:r>
            <w:fldChar w:fldCharType="end"/>
          </w:r>
        </w:p>
        <w:p w14:paraId="297DF97C">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_Toc30230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_Toc30230 \h </w:instrText>
          </w:r>
          <w:r>
            <w:fldChar w:fldCharType="separate"/>
          </w:r>
          <w:r>
            <w:t>- 7 -</w:t>
          </w:r>
          <w:r>
            <w:fldChar w:fldCharType="end"/>
          </w:r>
          <w:r>
            <w:fldChar w:fldCharType="end"/>
          </w:r>
        </w:p>
        <w:p w14:paraId="2AF1B9A7">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_Toc19579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_Toc19579 \h </w:instrText>
          </w:r>
          <w:r>
            <w:fldChar w:fldCharType="separate"/>
          </w:r>
          <w:r>
            <w:t>- 7 -</w:t>
          </w:r>
          <w:r>
            <w:fldChar w:fldCharType="end"/>
          </w:r>
          <w:r>
            <w:fldChar w:fldCharType="end"/>
          </w:r>
        </w:p>
        <w:p w14:paraId="4979AE85">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_Toc32164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_Toc32164 \h </w:instrText>
          </w:r>
          <w:r>
            <w:fldChar w:fldCharType="separate"/>
          </w:r>
          <w:r>
            <w:t>- 9 -</w:t>
          </w:r>
          <w:r>
            <w:fldChar w:fldCharType="end"/>
          </w:r>
          <w:r>
            <w:fldChar w:fldCharType="end"/>
          </w:r>
        </w:p>
        <w:p w14:paraId="015DC57B">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_Toc30288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_Toc30288 \h </w:instrText>
          </w:r>
          <w:r>
            <w:fldChar w:fldCharType="separate"/>
          </w:r>
          <w:r>
            <w:t>- 10 -</w:t>
          </w:r>
          <w:r>
            <w:fldChar w:fldCharType="end"/>
          </w:r>
          <w:r>
            <w:fldChar w:fldCharType="end"/>
          </w:r>
        </w:p>
        <w:p w14:paraId="68BADB79">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_Toc11336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_Toc11336 \h </w:instrText>
          </w:r>
          <w:r>
            <w:fldChar w:fldCharType="separate"/>
          </w:r>
          <w:r>
            <w:t>- 11 -</w:t>
          </w:r>
          <w:r>
            <w:fldChar w:fldCharType="end"/>
          </w:r>
          <w:r>
            <w:fldChar w:fldCharType="end"/>
          </w:r>
        </w:p>
        <w:p w14:paraId="65C42FD3">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_Toc7448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_Toc7448 \h </w:instrText>
          </w:r>
          <w:r>
            <w:fldChar w:fldCharType="separate"/>
          </w:r>
          <w:r>
            <w:t>- 11 -</w:t>
          </w:r>
          <w:r>
            <w:fldChar w:fldCharType="end"/>
          </w:r>
          <w:r>
            <w:fldChar w:fldCharType="end"/>
          </w:r>
        </w:p>
        <w:p w14:paraId="593C37BF">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_Toc31341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_Toc31341 \h </w:instrText>
          </w:r>
          <w:r>
            <w:fldChar w:fldCharType="separate"/>
          </w:r>
          <w:r>
            <w:t>- 11 -</w:t>
          </w:r>
          <w:r>
            <w:fldChar w:fldCharType="end"/>
          </w:r>
          <w:r>
            <w:fldChar w:fldCharType="end"/>
          </w:r>
        </w:p>
        <w:p w14:paraId="6685A21D">
          <w:pPr>
            <w:pStyle w:val="11"/>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pPr>
          <w:r>
            <w:fldChar w:fldCharType="begin"/>
          </w:r>
          <w:r>
            <w:instrText xml:space="preserve"> HYPERLINK \l _Toc23377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_Toc23377 \h </w:instrText>
          </w:r>
          <w:r>
            <w:fldChar w:fldCharType="separate"/>
          </w:r>
          <w:r>
            <w:t>- 12 -</w:t>
          </w:r>
          <w:r>
            <w:fldChar w:fldCharType="end"/>
          </w:r>
          <w:r>
            <w:fldChar w:fldCharType="end"/>
          </w:r>
        </w:p>
        <w:p w14:paraId="7B8462E5">
          <w:pPr>
            <w:pStyle w:val="11"/>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eastAsia="仿宋"/>
              <w:lang w:val="en-US" w:eastAsia="zh-CN"/>
            </w:rPr>
          </w:pPr>
          <w:r>
            <w:fldChar w:fldCharType="begin"/>
          </w:r>
          <w:r>
            <w:instrText xml:space="preserve"> HYPERLINK \l _Toc5182 </w:instrText>
          </w:r>
          <w:r>
            <w:fldChar w:fldCharType="separate"/>
          </w:r>
          <w:r>
            <w:rPr>
              <w:rFonts w:hint="eastAsia"/>
              <w:b/>
              <w:bCs/>
            </w:rPr>
            <w:t>第四部分</w:t>
          </w:r>
          <w:r>
            <w:rPr>
              <w:rFonts w:hint="eastAsia"/>
              <w:b/>
              <w:bCs/>
              <w:lang w:val="en-US" w:eastAsia="zh-CN"/>
            </w:rPr>
            <w:t xml:space="preserve"> </w:t>
          </w:r>
          <w:r>
            <w:rPr>
              <w:rFonts w:hint="eastAsia"/>
              <w:b/>
              <w:bCs/>
            </w:rPr>
            <w:t xml:space="preserve"> 附件</w:t>
          </w:r>
          <w:r>
            <w:tab/>
          </w:r>
          <w:r>
            <w:fldChar w:fldCharType="end"/>
          </w:r>
          <w:r>
            <w:rPr>
              <w:rFonts w:hint="eastAsia"/>
              <w:lang w:val="en-US" w:eastAsia="zh-CN"/>
            </w:rPr>
            <w:t>20</w:t>
          </w:r>
        </w:p>
        <w:p w14:paraId="127B3F6F">
          <w:pPr>
            <w:pStyle w:val="11"/>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_Toc6260 </w:instrText>
          </w:r>
          <w:r>
            <w:fldChar w:fldCharType="separate"/>
          </w:r>
          <w:r>
            <w:rPr>
              <w:rFonts w:hint="eastAsia" w:ascii="黑体" w:eastAsia="黑体" w:cs="黑体"/>
              <w:bCs w:val="0"/>
            </w:rPr>
            <w:t>第五部分 附表</w:t>
          </w:r>
          <w:r>
            <w:tab/>
          </w:r>
          <w:r>
            <w:rPr>
              <w:rFonts w:hint="default"/>
              <w:lang w:val="en-US"/>
            </w:rPr>
            <w:t>2</w:t>
          </w:r>
          <w:r>
            <w:fldChar w:fldCharType="end"/>
          </w:r>
          <w:r>
            <w:rPr>
              <w:rFonts w:hint="default"/>
              <w:lang w:val="en-US"/>
            </w:rPr>
            <w:t>6</w:t>
          </w:r>
        </w:p>
        <w:p w14:paraId="652B311F">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_Toc10262 </w:instrText>
          </w:r>
          <w:r>
            <w:fldChar w:fldCharType="separate"/>
          </w:r>
          <w:r>
            <w:rPr>
              <w:rFonts w:hint="eastAsia" w:ascii="黑体" w:eastAsia="黑体" w:cs="Times New Roman"/>
              <w:bCs w:val="0"/>
            </w:rPr>
            <w:t>一、收入支出决算总表</w:t>
          </w:r>
          <w:r>
            <w:tab/>
          </w:r>
          <w:r>
            <w:rPr>
              <w:rFonts w:hint="default"/>
              <w:lang w:val="en-US"/>
            </w:rPr>
            <w:t xml:space="preserve">  2</w:t>
          </w:r>
          <w:r>
            <w:fldChar w:fldCharType="end"/>
          </w:r>
          <w:r>
            <w:rPr>
              <w:rFonts w:hint="default"/>
              <w:lang w:val="en-US"/>
            </w:rPr>
            <w:t>6</w:t>
          </w:r>
        </w:p>
        <w:p w14:paraId="5CB5CE17">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_Toc1559 </w:instrText>
          </w:r>
          <w:r>
            <w:fldChar w:fldCharType="separate"/>
          </w:r>
          <w:r>
            <w:rPr>
              <w:rFonts w:hint="eastAsia" w:ascii="黑体" w:eastAsia="黑体" w:cs="Times New Roman"/>
              <w:bCs w:val="0"/>
            </w:rPr>
            <w:t>二、收入决算表</w:t>
          </w:r>
          <w:r>
            <w:tab/>
          </w:r>
          <w:r>
            <w:rPr>
              <w:rFonts w:hint="default"/>
              <w:lang w:val="en-US"/>
            </w:rPr>
            <w:t>2</w:t>
          </w:r>
          <w:r>
            <w:fldChar w:fldCharType="end"/>
          </w:r>
          <w:r>
            <w:rPr>
              <w:rFonts w:hint="default"/>
              <w:lang w:val="en-US"/>
            </w:rPr>
            <w:t>6</w:t>
          </w:r>
        </w:p>
        <w:p w14:paraId="31522494">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_Toc21000 </w:instrText>
          </w:r>
          <w:r>
            <w:fldChar w:fldCharType="separate"/>
          </w:r>
          <w:r>
            <w:rPr>
              <w:rFonts w:hint="eastAsia" w:ascii="黑体" w:eastAsia="黑体" w:cs="Times New Roman"/>
              <w:bCs w:val="0"/>
            </w:rPr>
            <w:t>三、支出决算表</w:t>
          </w:r>
          <w:r>
            <w:tab/>
          </w:r>
          <w:r>
            <w:rPr>
              <w:rFonts w:hint="default"/>
              <w:lang w:val="en-US"/>
            </w:rPr>
            <w:t>2</w:t>
          </w:r>
          <w:r>
            <w:fldChar w:fldCharType="end"/>
          </w:r>
          <w:r>
            <w:rPr>
              <w:rFonts w:hint="default"/>
              <w:lang w:val="en-US"/>
            </w:rPr>
            <w:t>6</w:t>
          </w:r>
        </w:p>
        <w:p w14:paraId="3A35A113">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_Toc25926 </w:instrText>
          </w:r>
          <w:r>
            <w:fldChar w:fldCharType="separate"/>
          </w:r>
          <w:r>
            <w:rPr>
              <w:rFonts w:hint="eastAsia" w:ascii="黑体" w:eastAsia="黑体" w:cs="Times New Roman"/>
              <w:bCs w:val="0"/>
            </w:rPr>
            <w:t>四、财政拨款收入支出决算总表</w:t>
          </w:r>
          <w:r>
            <w:tab/>
          </w:r>
          <w:r>
            <w:rPr>
              <w:rFonts w:hint="default"/>
              <w:lang w:val="en-US"/>
            </w:rPr>
            <w:t>2</w:t>
          </w:r>
          <w:r>
            <w:fldChar w:fldCharType="end"/>
          </w:r>
          <w:r>
            <w:rPr>
              <w:rFonts w:hint="default"/>
              <w:lang w:val="en-US"/>
            </w:rPr>
            <w:t>6</w:t>
          </w:r>
          <w:bookmarkStart w:id="113" w:name="_GoBack"/>
          <w:bookmarkEnd w:id="113"/>
        </w:p>
        <w:p w14:paraId="73B4C8CC">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_Toc2957 </w:instrText>
          </w:r>
          <w:r>
            <w:fldChar w:fldCharType="separate"/>
          </w:r>
          <w:r>
            <w:rPr>
              <w:rFonts w:hint="eastAsia" w:ascii="黑体" w:eastAsia="黑体" w:cs="Times New Roman"/>
              <w:bCs w:val="0"/>
            </w:rPr>
            <w:t>五、财政拨款支出决算明细表</w:t>
          </w:r>
          <w:r>
            <w:tab/>
          </w:r>
          <w:r>
            <w:rPr>
              <w:rFonts w:hint="default"/>
              <w:lang w:val="en-US"/>
            </w:rPr>
            <w:t xml:space="preserve"> </w:t>
          </w:r>
          <w:r>
            <w:fldChar w:fldCharType="end"/>
          </w:r>
          <w:r>
            <w:rPr>
              <w:rFonts w:hint="default"/>
              <w:lang w:val="en-US"/>
            </w:rPr>
            <w:t>26</w:t>
          </w:r>
        </w:p>
        <w:p w14:paraId="03A00268">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_Toc26915 </w:instrText>
          </w:r>
          <w:r>
            <w:fldChar w:fldCharType="separate"/>
          </w:r>
          <w:r>
            <w:rPr>
              <w:rFonts w:hint="eastAsia" w:ascii="黑体" w:eastAsia="黑体" w:cs="Times New Roman"/>
              <w:bCs w:val="0"/>
            </w:rPr>
            <w:t>六、一般公共预算财政拨款支出决算表</w:t>
          </w:r>
          <w:r>
            <w:tab/>
          </w:r>
          <w:r>
            <w:rPr>
              <w:rFonts w:hint="default"/>
              <w:lang w:val="en-US"/>
            </w:rPr>
            <w:t>2</w:t>
          </w:r>
          <w:r>
            <w:fldChar w:fldCharType="end"/>
          </w:r>
          <w:r>
            <w:rPr>
              <w:rFonts w:hint="default"/>
              <w:lang w:val="en-US"/>
            </w:rPr>
            <w:t>6</w:t>
          </w:r>
        </w:p>
        <w:p w14:paraId="061F813C">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_Toc19918 </w:instrText>
          </w:r>
          <w:r>
            <w:fldChar w:fldCharType="separate"/>
          </w:r>
          <w:r>
            <w:rPr>
              <w:rFonts w:hint="eastAsia" w:ascii="黑体" w:eastAsia="黑体" w:cs="Times New Roman"/>
              <w:bCs w:val="0"/>
            </w:rPr>
            <w:t>七、一般公共预算财政拨款支出决算明细表</w:t>
          </w:r>
          <w:r>
            <w:tab/>
          </w:r>
          <w:r>
            <w:rPr>
              <w:rFonts w:hint="default"/>
              <w:lang w:val="en-US"/>
            </w:rPr>
            <w:t>2</w:t>
          </w:r>
          <w:r>
            <w:fldChar w:fldCharType="end"/>
          </w:r>
          <w:r>
            <w:rPr>
              <w:rFonts w:hint="default"/>
              <w:lang w:val="en-US"/>
            </w:rPr>
            <w:t>6</w:t>
          </w:r>
        </w:p>
        <w:p w14:paraId="5A3BB12B">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_Toc7031 </w:instrText>
          </w:r>
          <w:r>
            <w:fldChar w:fldCharType="separate"/>
          </w:r>
          <w:r>
            <w:rPr>
              <w:rFonts w:hint="eastAsia" w:ascii="黑体" w:eastAsia="黑体" w:cs="Times New Roman"/>
              <w:bCs w:val="0"/>
            </w:rPr>
            <w:t>八、一般公共预算财政拨款基本支出决算表</w:t>
          </w:r>
          <w:r>
            <w:tab/>
          </w:r>
          <w:r>
            <w:rPr>
              <w:rFonts w:hint="default"/>
              <w:lang w:val="en-US"/>
            </w:rPr>
            <w:t>2</w:t>
          </w:r>
          <w:r>
            <w:fldChar w:fldCharType="end"/>
          </w:r>
          <w:r>
            <w:rPr>
              <w:rFonts w:hint="default"/>
              <w:lang w:val="en-US"/>
            </w:rPr>
            <w:t>6</w:t>
          </w:r>
        </w:p>
        <w:p w14:paraId="0E080F28">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_Toc9131 </w:instrText>
          </w:r>
          <w:r>
            <w:fldChar w:fldCharType="separate"/>
          </w:r>
          <w:r>
            <w:rPr>
              <w:rFonts w:hint="eastAsia" w:ascii="黑体" w:eastAsia="黑体" w:cs="Times New Roman"/>
              <w:bCs w:val="0"/>
            </w:rPr>
            <w:t>九、一般公共预算财政拨款项目支出决算表</w:t>
          </w:r>
          <w:r>
            <w:tab/>
          </w:r>
          <w:r>
            <w:rPr>
              <w:rFonts w:hint="default"/>
              <w:lang w:val="en-US"/>
            </w:rPr>
            <w:t>2</w:t>
          </w:r>
          <w:r>
            <w:fldChar w:fldCharType="end"/>
          </w:r>
          <w:r>
            <w:rPr>
              <w:rFonts w:hint="default"/>
              <w:lang w:val="en-US"/>
            </w:rPr>
            <w:t>6</w:t>
          </w:r>
        </w:p>
        <w:p w14:paraId="4A322786">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_Toc19190 </w:instrText>
          </w:r>
          <w:r>
            <w:fldChar w:fldCharType="separate"/>
          </w:r>
          <w:r>
            <w:rPr>
              <w:rFonts w:hint="eastAsia" w:ascii="黑体" w:eastAsia="黑体" w:cs="Times New Roman"/>
              <w:bCs w:val="0"/>
            </w:rPr>
            <w:t>十、政府性基金预算财政拨款收入支出决算表</w:t>
          </w:r>
          <w:r>
            <w:tab/>
          </w:r>
          <w:r>
            <w:rPr>
              <w:rFonts w:hint="default"/>
              <w:lang w:val="en-US"/>
            </w:rPr>
            <w:t>2</w:t>
          </w:r>
          <w:r>
            <w:fldChar w:fldCharType="end"/>
          </w:r>
          <w:r>
            <w:rPr>
              <w:rFonts w:hint="default"/>
              <w:lang w:val="en-US"/>
            </w:rPr>
            <w:t>6</w:t>
          </w:r>
        </w:p>
        <w:p w14:paraId="1E7EE71A">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_Toc6932 </w:instrText>
          </w:r>
          <w:r>
            <w:fldChar w:fldCharType="separate"/>
          </w:r>
          <w:r>
            <w:rPr>
              <w:rFonts w:hint="eastAsia" w:ascii="黑体" w:eastAsia="黑体" w:cs="Times New Roman"/>
              <w:bCs w:val="0"/>
            </w:rPr>
            <w:t>十一、国有资本经营预算财政拨款收入支出决算表</w:t>
          </w:r>
          <w:r>
            <w:tab/>
          </w:r>
          <w:r>
            <w:rPr>
              <w:rFonts w:hint="default"/>
              <w:lang w:val="en-US"/>
            </w:rPr>
            <w:t>2</w:t>
          </w:r>
          <w:r>
            <w:fldChar w:fldCharType="end"/>
          </w:r>
          <w:r>
            <w:rPr>
              <w:rFonts w:hint="default"/>
              <w:lang w:val="en-US"/>
            </w:rPr>
            <w:t>6</w:t>
          </w:r>
        </w:p>
        <w:p w14:paraId="4F87D651">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_Toc1966 </w:instrText>
          </w:r>
          <w:r>
            <w:fldChar w:fldCharType="separate"/>
          </w:r>
          <w:r>
            <w:rPr>
              <w:rFonts w:hint="eastAsia" w:ascii="黑体" w:eastAsia="黑体" w:cs="Times New Roman"/>
              <w:bCs w:val="0"/>
            </w:rPr>
            <w:t>十二、国有资本经营预算财政拨款支出决算表</w:t>
          </w:r>
          <w:r>
            <w:tab/>
          </w:r>
          <w:r>
            <w:rPr>
              <w:rFonts w:hint="default"/>
              <w:lang w:val="en-US"/>
            </w:rPr>
            <w:t>2</w:t>
          </w:r>
          <w:r>
            <w:fldChar w:fldCharType="end"/>
          </w:r>
          <w:r>
            <w:rPr>
              <w:rFonts w:hint="default"/>
              <w:lang w:val="en-US"/>
            </w:rPr>
            <w:t>6</w:t>
          </w:r>
        </w:p>
        <w:p w14:paraId="7CDDA70C">
          <w:pPr>
            <w:pStyle w:val="15"/>
            <w:keepNext w:val="0"/>
            <w:keepLines w:val="0"/>
            <w:pageBreakBefore w:val="0"/>
            <w:widowControl w:val="0"/>
            <w:tabs>
              <w:tab w:val="right" w:leader="dot" w:pos="8306"/>
              <w:tab w:val="clear" w:pos="8296"/>
            </w:tabs>
            <w:kinsoku/>
            <w:wordWrap/>
            <w:overflowPunct/>
            <w:topLinePunct w:val="0"/>
            <w:autoSpaceDE/>
            <w:autoSpaceDN/>
            <w:bidi w:val="0"/>
            <w:adjustRightInd/>
            <w:spacing w:line="576" w:lineRule="exact"/>
            <w:ind w:left="0" w:leftChars="0"/>
            <w:textAlignment w:val="auto"/>
            <w:rPr>
              <w:rFonts w:hint="default"/>
              <w:lang w:val="en-US"/>
            </w:rPr>
          </w:pPr>
          <w:r>
            <w:fldChar w:fldCharType="begin"/>
          </w:r>
          <w:r>
            <w:instrText xml:space="preserve"> HYPERLINK \l _Toc24118 </w:instrText>
          </w:r>
          <w:r>
            <w:fldChar w:fldCharType="separate"/>
          </w:r>
          <w:r>
            <w:rPr>
              <w:rFonts w:hint="eastAsia" w:ascii="黑体" w:eastAsia="黑体" w:cs="Times New Roman"/>
              <w:bCs w:val="0"/>
            </w:rPr>
            <w:t>十三、财政拨款“三公”经费支出决算表</w:t>
          </w:r>
          <w:r>
            <w:tab/>
          </w:r>
          <w:r>
            <w:rPr>
              <w:rFonts w:hint="default"/>
              <w:lang w:val="en-US"/>
            </w:rPr>
            <w:t>2</w:t>
          </w:r>
          <w:r>
            <w:fldChar w:fldCharType="end"/>
          </w:r>
          <w:r>
            <w:rPr>
              <w:rFonts w:hint="default"/>
              <w:lang w:val="en-US"/>
            </w:rPr>
            <w:t>6</w:t>
          </w:r>
        </w:p>
        <w:p w14:paraId="01A8EC38">
          <w:pPr>
            <w:pStyle w:val="12"/>
            <w:keepNext w:val="0"/>
            <w:keepLines w:val="0"/>
            <w:pageBreakBefore w:val="0"/>
            <w:widowControl w:val="0"/>
            <w:kinsoku/>
            <w:wordWrap/>
            <w:overflowPunct/>
            <w:topLinePunct w:val="0"/>
            <w:autoSpaceDE/>
            <w:autoSpaceDN/>
            <w:bidi w:val="0"/>
            <w:adjustRightInd/>
            <w:spacing w:line="576" w:lineRule="exact"/>
            <w:ind w:left="0" w:leftChars="0"/>
            <w:textAlignment w:val="auto"/>
            <w:rPr>
              <w:rFonts w:ascii="Times New Roman" w:hAnsi="Times New Roman" w:eastAsia="宋体" w:cs="Times New Roman"/>
              <w:kern w:val="2"/>
              <w:sz w:val="18"/>
              <w:szCs w:val="18"/>
              <w:lang w:val="en-US" w:eastAsia="zh-CN" w:bidi="ar-SA"/>
            </w:rPr>
          </w:pPr>
          <w:r>
            <w:fldChar w:fldCharType="end"/>
          </w:r>
        </w:p>
      </w:sdtContent>
    </w:sdt>
    <w:p w14:paraId="09D8D4DC">
      <w:pPr>
        <w:pStyle w:val="2"/>
        <w:ind w:firstLine="1760" w:firstLineChars="400"/>
        <w:jc w:val="both"/>
        <w:rPr>
          <w:rFonts w:hint="eastAsia" w:ascii="Times New Roman" w:hAnsi="Times New Roman" w:eastAsia="方正小标宋简体" w:cs="方正小标宋简体"/>
          <w:b w:val="0"/>
          <w:color w:val="auto"/>
          <w:highlight w:val="none"/>
        </w:rPr>
      </w:pPr>
      <w:bookmarkStart w:id="7" w:name="_Toc32092"/>
    </w:p>
    <w:p w14:paraId="12F79060">
      <w:pPr>
        <w:rPr>
          <w:rFonts w:hint="eastAsia" w:ascii="Times New Roman" w:hAnsi="Times New Roman" w:eastAsia="方正小标宋简体" w:cs="方正小标宋简体"/>
          <w:b w:val="0"/>
          <w:color w:val="auto"/>
          <w:highlight w:val="none"/>
        </w:rPr>
      </w:pPr>
    </w:p>
    <w:p w14:paraId="49EA2A22">
      <w:pPr>
        <w:pStyle w:val="12"/>
        <w:rPr>
          <w:rFonts w:hint="eastAsia"/>
        </w:rPr>
      </w:pPr>
    </w:p>
    <w:p w14:paraId="1F6B4F1C">
      <w:pPr>
        <w:pStyle w:val="2"/>
        <w:ind w:firstLine="2640" w:firstLineChars="600"/>
        <w:jc w:val="both"/>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7"/>
    </w:p>
    <w:p w14:paraId="43A1FFAE">
      <w:pPr>
        <w:pStyle w:val="3"/>
        <w:pageBreakBefore w:val="0"/>
        <w:widowControl w:val="0"/>
        <w:numPr>
          <w:ilvl w:val="0"/>
          <w:numId w:val="0"/>
        </w:numPr>
        <w:kinsoku/>
        <w:wordWrap/>
        <w:overflowPunct/>
        <w:topLinePunct w:val="0"/>
        <w:autoSpaceDE/>
        <w:autoSpaceDN/>
        <w:bidi w:val="0"/>
        <w:spacing w:before="0" w:after="0" w:line="576" w:lineRule="exact"/>
        <w:ind w:firstLine="640" w:firstLineChars="200"/>
        <w:textAlignment w:val="auto"/>
        <w:rPr>
          <w:rFonts w:hint="eastAsia" w:ascii="Times New Roman" w:hAnsi="Times New Roman" w:eastAsia="黑体"/>
          <w:b w:val="0"/>
          <w:color w:val="auto"/>
          <w:highlight w:val="none"/>
          <w:lang w:eastAsia="zh-CN"/>
        </w:rPr>
      </w:pPr>
      <w:bookmarkStart w:id="8" w:name="_Toc16363"/>
      <w:bookmarkStart w:id="9" w:name="_Toc3715"/>
      <w:r>
        <w:rPr>
          <w:rFonts w:hint="eastAsia" w:ascii="Times New Roman" w:hAnsi="Times New Roman" w:eastAsia="黑体"/>
          <w:b w:val="0"/>
          <w:color w:val="auto"/>
          <w:highlight w:val="none"/>
          <w:lang w:eastAsia="zh-CN"/>
        </w:rPr>
        <w:t>一、部门职责</w:t>
      </w:r>
      <w:bookmarkEnd w:id="8"/>
      <w:bookmarkEnd w:id="9"/>
    </w:p>
    <w:p w14:paraId="1DB4BFE1">
      <w:pPr>
        <w:spacing w:line="576" w:lineRule="exact"/>
        <w:ind w:firstLine="640" w:firstLineChars="200"/>
        <w:rPr>
          <w:rStyle w:val="37"/>
          <w:rFonts w:ascii="Times New Roman" w:hAnsi="Times New Roman" w:eastAsia="黑体"/>
          <w:b w:val="0"/>
          <w:bCs w:val="0"/>
        </w:rPr>
      </w:pPr>
      <w:bookmarkStart w:id="10" w:name="_Toc15377200"/>
      <w:bookmarkStart w:id="11" w:name="_Toc402"/>
      <w:bookmarkStart w:id="12" w:name="_Toc31591"/>
      <w:bookmarkStart w:id="13" w:name="_Toc15396601"/>
      <w:r>
        <w:rPr>
          <w:rFonts w:hint="eastAsia" w:ascii="仿宋_GB2312" w:hAnsi="仿宋_GB2312" w:eastAsia="仿宋_GB2312" w:cs="仿宋_GB2312"/>
          <w:sz w:val="32"/>
          <w:szCs w:val="32"/>
        </w:rPr>
        <w:t>负责贯彻执行党和政府关于民族、宗教工作的方针、政策，当好县</w:t>
      </w:r>
      <w:r>
        <w:rPr>
          <w:rFonts w:hint="eastAsia" w:eastAsia="仿宋_GB2312" w:cs="仿宋_GB2312"/>
          <w:sz w:val="32"/>
          <w:szCs w:val="32"/>
        </w:rPr>
        <w:t>委、县政府的民族宗教工作方面参谋助手;负责组织开展民族宗教政策、法律法规的宣传教育并督促贯彻执行。负责协调民族关系，加强民族团结进步教育，对有关宗教的法律法规和政策的贯彻实施进行行政管理和监督，确保宗教场所在法律、法规和政策允许的范围内开展活动，防止和制止不法分子利用宗教进行非法、违法活动，及时处理宗教方面等突发事件和影响社会政治稳定的</w:t>
      </w:r>
      <w:r>
        <w:rPr>
          <w:rFonts w:hint="eastAsia" w:ascii="仿宋_GB2312" w:hAnsi="仿宋_GB2312" w:eastAsia="仿宋_GB2312" w:cs="仿宋_GB2312"/>
          <w:sz w:val="32"/>
          <w:szCs w:val="32"/>
        </w:rPr>
        <w:t>问题，密切配合有关部门抵制、揭露和打击国内外敌对势力利用宗教对我县的渗透破坏活动，维护祖国统一和我县的稳定、团结、繁荣。负责加强国家和省用于扶持民族地区发展的专项资金使用和项目实施情况的检查监督，组织协调对民族地区发展，对口支援，经济技术协作和民族贸易，民族特需用品等的生产，配合承办扶贫开发事宜;负责调查全县宗教现状，掌握动态和发展趋势，及时向县政府报告并提出处理意见和建议，提供政策依据;承办县政府交办的其他工作事项。</w:t>
      </w:r>
      <w:r>
        <w:rPr>
          <w:rFonts w:hint="eastAsia" w:ascii="仿宋" w:eastAsia="仿宋" w:cs="仿宋"/>
          <w:sz w:val="32"/>
          <w:szCs w:val="32"/>
        </w:rPr>
        <w:t xml:space="preserve"> </w:t>
      </w:r>
    </w:p>
    <w:p w14:paraId="3544DC88">
      <w:pPr>
        <w:pStyle w:val="3"/>
        <w:pageBreakBefore w:val="0"/>
        <w:widowControl w:val="0"/>
        <w:kinsoku/>
        <w:wordWrap/>
        <w:overflowPunct/>
        <w:topLinePunct w:val="0"/>
        <w:autoSpaceDE/>
        <w:autoSpaceDN/>
        <w:bidi w:val="0"/>
        <w:spacing w:before="0" w:after="0" w:line="576" w:lineRule="exact"/>
        <w:ind w:firstLine="640" w:firstLineChars="200"/>
        <w:textAlignment w:val="auto"/>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0"/>
      <w:bookmarkEnd w:id="11"/>
      <w:bookmarkEnd w:id="12"/>
      <w:bookmarkEnd w:id="13"/>
    </w:p>
    <w:p w14:paraId="54EBC11A">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茂县</w:t>
      </w:r>
      <w:r>
        <w:rPr>
          <w:rFonts w:hint="eastAsia" w:ascii="仿宋_GB2312" w:hAnsi="仿宋_GB2312" w:eastAsia="仿宋_GB2312" w:cs="仿宋_GB2312"/>
          <w:color w:val="auto"/>
          <w:sz w:val="32"/>
          <w:szCs w:val="32"/>
          <w:highlight w:val="none"/>
          <w:lang w:eastAsia="zh-CN"/>
        </w:rPr>
        <w:t>民族宗教局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eastAsia="zh-CN"/>
        </w:rPr>
        <w:t>，</w:t>
      </w:r>
      <w:r>
        <w:rPr>
          <w:rFonts w:hint="eastAsia" w:ascii="仿宋_GB2312" w:eastAsia="仿宋_GB2312"/>
          <w:bCs/>
          <w:sz w:val="32"/>
          <w:szCs w:val="32"/>
        </w:rPr>
        <w:t>即茂县民族团结服务中心。</w:t>
      </w:r>
    </w:p>
    <w:p w14:paraId="122DECAE">
      <w:pPr>
        <w:pStyle w:val="5"/>
        <w:keepNext w:val="0"/>
        <w:keepLines w:val="0"/>
        <w:pageBreakBefore w:val="0"/>
        <w:widowControl w:val="0"/>
        <w:kinsoku/>
        <w:wordWrap/>
        <w:overflowPunct/>
        <w:topLinePunct w:val="0"/>
        <w:autoSpaceDE/>
        <w:autoSpaceDN/>
        <w:bidi w:val="0"/>
        <w:adjustRightInd w:val="0"/>
        <w:snapToGrid w:val="0"/>
        <w:spacing w:beforeLines="0" w:line="576" w:lineRule="exact"/>
        <w:ind w:firstLine="640" w:firstLineChars="200"/>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纳入</w:t>
      </w:r>
      <w:r>
        <w:rPr>
          <w:sz w:val="32"/>
          <w:szCs w:val="32"/>
        </w:rPr>
        <w:t>茂县</w:t>
      </w:r>
      <w:r>
        <w:rPr>
          <w:rFonts w:hint="eastAsia"/>
          <w:sz w:val="32"/>
          <w:szCs w:val="32"/>
          <w:lang w:eastAsia="zh-CN"/>
        </w:rPr>
        <w:t>民族宗教局</w:t>
      </w:r>
      <w:r>
        <w:rPr>
          <w:rFonts w:hint="eastAsia" w:ascii="Times New Roman" w:hAnsi="Times New Roman" w:eastAsia="仿宋_GB2312" w:cs="仿宋_GB2312"/>
          <w:color w:val="auto"/>
          <w:sz w:val="32"/>
          <w:szCs w:val="32"/>
          <w:highlight w:val="none"/>
          <w:lang w:eastAsia="zh-CN"/>
        </w:rPr>
        <w:t>202</w:t>
      </w:r>
      <w:r>
        <w:rPr>
          <w:rFonts w:hint="eastAsia" w:ascii="Times New Roman"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r>
        <w:rPr>
          <w:rFonts w:hint="eastAsia" w:ascii="仿宋_GB2312" w:hAnsi="仿宋_GB2312" w:eastAsia="仿宋_GB2312" w:cs="仿宋_GB2312"/>
          <w:color w:val="auto"/>
          <w:kern w:val="2"/>
          <w:sz w:val="32"/>
          <w:szCs w:val="32"/>
          <w:highlight w:val="none"/>
          <w:lang w:val="en-US" w:eastAsia="zh-CN" w:bidi="ar-SA"/>
        </w:rPr>
        <w:t>茂县</w:t>
      </w:r>
      <w:r>
        <w:rPr>
          <w:rFonts w:hint="eastAsia" w:ascii="仿宋_GB2312" w:eastAsia="仿宋_GB2312"/>
          <w:bCs/>
          <w:sz w:val="32"/>
          <w:szCs w:val="32"/>
        </w:rPr>
        <w:t>民族团结服务中心</w:t>
      </w:r>
      <w:r>
        <w:rPr>
          <w:rFonts w:hint="eastAsia" w:ascii="Times New Roman" w:cs="仿宋_GB2312"/>
          <w:color w:val="auto"/>
          <w:sz w:val="32"/>
          <w:szCs w:val="32"/>
          <w:highlight w:val="none"/>
          <w:lang w:val="en-US" w:eastAsia="zh-CN"/>
        </w:rPr>
        <w:t>。</w:t>
      </w:r>
    </w:p>
    <w:p w14:paraId="40F402F9">
      <w:pPr>
        <w:keepNext w:val="0"/>
        <w:keepLines w:val="0"/>
        <w:pageBreakBefore w:val="0"/>
        <w:kinsoku/>
        <w:wordWrap/>
        <w:overflowPunct/>
        <w:topLinePunct w:val="0"/>
        <w:bidi w:val="0"/>
        <w:spacing w:before="0" w:after="0" w:line="576" w:lineRule="exact"/>
        <w:ind w:left="0" w:leftChars="0" w:firstLine="420" w:firstLineChars="200"/>
        <w:jc w:val="both"/>
        <w:textAlignment w:val="auto"/>
        <w:outlineLvl w:val="9"/>
        <w:rPr>
          <w:rFonts w:hint="eastAsia" w:ascii="Times New Roman" w:hAnsi="Times New Roman" w:eastAsia="方正小标宋简体" w:cs="方正小标宋简体"/>
          <w:b w:val="0"/>
          <w:color w:val="auto"/>
          <w:highlight w:val="none"/>
        </w:rPr>
      </w:pPr>
      <w:bookmarkStart w:id="14" w:name="_Toc3874"/>
      <w:bookmarkStart w:id="15" w:name="_Toc25079"/>
      <w:bookmarkStart w:id="16" w:name="_Toc15377204"/>
      <w:bookmarkStart w:id="17" w:name="_Toc15396602"/>
    </w:p>
    <w:bookmarkEnd w:id="14"/>
    <w:bookmarkEnd w:id="15"/>
    <w:p w14:paraId="5966B5BF">
      <w:pPr>
        <w:pStyle w:val="2"/>
        <w:numPr>
          <w:ilvl w:val="0"/>
          <w:numId w:val="1"/>
        </w:numPr>
        <w:ind w:firstLine="880" w:firstLineChars="200"/>
        <w:jc w:val="both"/>
        <w:rPr>
          <w:rFonts w:hint="eastAsia"/>
          <w:lang w:val="en-US" w:eastAsia="zh-CN"/>
        </w:rPr>
      </w:pPr>
      <w:bookmarkStart w:id="18" w:name="_Toc21098"/>
      <w:bookmarkStart w:id="19" w:name="_Toc3175"/>
      <w:r>
        <w:rPr>
          <w:rFonts w:hint="eastAsia" w:ascii="Times New Roman" w:hAnsi="Times New Roman" w:eastAsia="方正小标宋简体" w:cs="方正小标宋简体"/>
          <w:b w:val="0"/>
          <w:bCs/>
          <w:color w:val="auto"/>
          <w:kern w:val="44"/>
          <w:sz w:val="44"/>
          <w:szCs w:val="44"/>
          <w:highlight w:val="none"/>
          <w:lang w:val="en-US" w:eastAsia="zh-CN" w:bidi="ar-SA"/>
        </w:rPr>
        <w:t>2025年度部门决算情况说明</w:t>
      </w:r>
      <w:bookmarkEnd w:id="16"/>
      <w:bookmarkEnd w:id="17"/>
      <w:bookmarkEnd w:id="18"/>
      <w:bookmarkEnd w:id="19"/>
    </w:p>
    <w:p w14:paraId="697C59A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Style w:val="30"/>
          <w:rFonts w:hint="eastAsia" w:ascii="Times New Roman" w:hAnsi="Times New Roman" w:eastAsia="黑体"/>
          <w:b w:val="0"/>
          <w:color w:val="auto"/>
          <w:highlight w:val="none"/>
        </w:rPr>
      </w:pPr>
      <w:bookmarkStart w:id="20" w:name="_Toc15377205"/>
      <w:bookmarkStart w:id="21" w:name="_Toc9239"/>
      <w:bookmarkStart w:id="22" w:name="_Toc14125"/>
      <w:bookmarkStart w:id="2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20"/>
      <w:bookmarkEnd w:id="21"/>
      <w:bookmarkEnd w:id="22"/>
      <w:bookmarkEnd w:id="23"/>
    </w:p>
    <w:p w14:paraId="3B88BFEE">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 w:hAnsi="仿宋" w:eastAsia="仿宋"/>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468.55</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eastAsia="仿宋_GB2312" w:cs="仿宋_GB2312"/>
          <w:color w:val="auto"/>
          <w:sz w:val="32"/>
          <w:szCs w:val="32"/>
          <w:highlight w:val="none"/>
          <w:lang w:val="en-US" w:eastAsia="zh-CN"/>
        </w:rPr>
        <w:t>584.48</w:t>
      </w:r>
      <w:r>
        <w:rPr>
          <w:rFonts w:hint="eastAsia" w:ascii="仿宋_GB2312" w:hAnsi="仿宋_GB2312" w:eastAsia="仿宋_GB2312" w:cs="仿宋_GB2312"/>
          <w:sz w:val="32"/>
          <w:szCs w:val="32"/>
        </w:rPr>
        <w:t>万</w:t>
      </w:r>
      <w:r>
        <w:rPr>
          <w:rFonts w:hint="eastAsia" w:ascii="Times New Roman" w:hAnsi="Times New Roman" w:eastAsia="仿宋_GB2312" w:cs="仿宋_GB2312"/>
          <w:color w:val="auto"/>
          <w:sz w:val="32"/>
          <w:szCs w:val="32"/>
          <w:highlight w:val="none"/>
        </w:rPr>
        <w:t>元，</w:t>
      </w:r>
      <w:r>
        <w:rPr>
          <w:rFonts w:hint="eastAsia" w:eastAsia="仿宋_GB2312" w:cs="仿宋_GB2312"/>
          <w:color w:val="auto"/>
          <w:sz w:val="32"/>
          <w:szCs w:val="32"/>
          <w:highlight w:val="none"/>
          <w:lang w:eastAsia="zh-CN"/>
        </w:rPr>
        <w:t>下降</w:t>
      </w:r>
      <w:r>
        <w:rPr>
          <w:rFonts w:hint="eastAsia" w:eastAsia="仿宋_GB2312" w:cs="仿宋_GB2312"/>
          <w:color w:val="auto"/>
          <w:sz w:val="32"/>
          <w:szCs w:val="32"/>
          <w:highlight w:val="none"/>
          <w:lang w:val="en-US" w:eastAsia="zh-CN"/>
        </w:rPr>
        <w:t>55.49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 w:hAnsi="仿宋" w:eastAsia="仿宋"/>
          <w:color w:val="auto"/>
          <w:sz w:val="32"/>
          <w:szCs w:val="32"/>
          <w:highlight w:val="none"/>
          <w:lang w:eastAsia="zh-CN"/>
        </w:rPr>
        <w:t>项目投资减少。</w:t>
      </w:r>
    </w:p>
    <w:p w14:paraId="11476D6B">
      <w:pPr>
        <w:pStyle w:val="2"/>
        <w:bidi w:val="0"/>
        <w:jc w:val="center"/>
        <w:rPr>
          <w:rFonts w:hint="eastAsia"/>
          <w:lang w:val="en-US" w:eastAsia="zh-CN"/>
        </w:rPr>
      </w:pPr>
      <w:r>
        <w:drawing>
          <wp:inline distT="0" distB="0" distL="114300" distR="114300">
            <wp:extent cx="4826000" cy="27432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60D0EE6">
      <w:pPr>
        <w:keepNext w:val="0"/>
        <w:keepLines w:val="0"/>
        <w:pageBreakBefore w:val="0"/>
        <w:widowControl w:val="0"/>
        <w:kinsoku/>
        <w:wordWrap/>
        <w:overflowPunct/>
        <w:topLinePunct w:val="0"/>
        <w:autoSpaceDE/>
        <w:autoSpaceDN/>
        <w:bidi w:val="0"/>
        <w:adjustRightInd/>
        <w:snapToGrid/>
        <w:spacing w:beforeAutospacing="0" w:line="240" w:lineRule="auto"/>
        <w:ind w:left="0" w:leftChars="0" w:firstLine="0" w:firstLineChars="0"/>
        <w:jc w:val="center"/>
        <w:textAlignment w:val="auto"/>
        <w:outlineLvl w:val="9"/>
      </w:pPr>
    </w:p>
    <w:p w14:paraId="64DFA6C4">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Times New Roman" w:hAnsi="Times New Roman" w:eastAsia="黑体"/>
          <w:color w:val="auto"/>
          <w:sz w:val="32"/>
          <w:szCs w:val="32"/>
          <w:highlight w:val="none"/>
          <w:lang w:eastAsia="zh-CN"/>
        </w:rPr>
      </w:pPr>
      <w:bookmarkStart w:id="24" w:name="_Toc15396604"/>
      <w:bookmarkStart w:id="25" w:name="_Toc15377206"/>
      <w:bookmarkStart w:id="26" w:name="_Toc22450"/>
      <w:bookmarkStart w:id="27" w:name="_Toc20941"/>
      <w:r>
        <w:rPr>
          <w:rFonts w:hint="eastAsia" w:ascii="Times New Roman" w:hAnsi="Times New Roman" w:eastAsia="黑体"/>
          <w:color w:val="auto"/>
          <w:sz w:val="32"/>
          <w:szCs w:val="32"/>
          <w:highlight w:val="none"/>
          <w:lang w:eastAsia="zh-CN"/>
        </w:rPr>
        <w:t>二、收入决算情况说明</w:t>
      </w:r>
      <w:bookmarkEnd w:id="24"/>
      <w:bookmarkEnd w:id="25"/>
      <w:bookmarkEnd w:id="26"/>
      <w:bookmarkEnd w:id="27"/>
    </w:p>
    <w:p w14:paraId="2FED181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sz w:val="32"/>
          <w:szCs w:val="32"/>
          <w:lang w:val="en-US" w:eastAsia="zh-CN"/>
        </w:rPr>
      </w:pPr>
      <w:bookmarkStart w:id="28" w:name="_Toc4462"/>
      <w:bookmarkStart w:id="29" w:name="_Toc15247"/>
      <w:bookmarkStart w:id="30" w:name="_Toc18827"/>
      <w:bookmarkStart w:id="31" w:name="_Toc19430"/>
      <w:bookmarkStart w:id="32" w:name="_Toc9605"/>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年度本年收入合计</w:t>
      </w:r>
      <w:r>
        <w:rPr>
          <w:rFonts w:hint="eastAsia" w:ascii="仿宋_GB2312" w:hAnsi="仿宋_GB2312" w:eastAsia="仿宋_GB2312" w:cs="仿宋_GB2312"/>
          <w:sz w:val="32"/>
          <w:szCs w:val="32"/>
          <w:lang w:val="en-US" w:eastAsia="zh-CN"/>
        </w:rPr>
        <w:t>468.55</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468.55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bookmarkEnd w:id="28"/>
      <w:bookmarkEnd w:id="29"/>
      <w:bookmarkEnd w:id="30"/>
      <w:bookmarkEnd w:id="31"/>
      <w:bookmarkEnd w:id="32"/>
      <w:r>
        <w:rPr>
          <w:rFonts w:hint="eastAsia" w:ascii="仿宋_GB2312" w:hAnsi="仿宋_GB2312" w:eastAsia="仿宋_GB2312" w:cs="仿宋_GB2312"/>
          <w:sz w:val="32"/>
          <w:szCs w:val="32"/>
          <w:lang w:val="en-US" w:eastAsia="zh-CN"/>
        </w:rPr>
        <w:t>。</w:t>
      </w:r>
    </w:p>
    <w:p w14:paraId="07F866F7">
      <w:pPr>
        <w:pStyle w:val="2"/>
        <w:bidi w:val="0"/>
        <w:jc w:val="center"/>
        <w:rPr>
          <w:rFonts w:hint="eastAsia" w:ascii="Times New Roman" w:hAnsi="Times New Roman" w:eastAsia="黑体"/>
          <w:color w:val="auto"/>
          <w:sz w:val="32"/>
          <w:szCs w:val="32"/>
          <w:highlight w:val="none"/>
          <w:lang w:eastAsia="zh-CN"/>
        </w:rPr>
      </w:pPr>
      <w:bookmarkStart w:id="33" w:name="_Toc15396605"/>
      <w:bookmarkStart w:id="34" w:name="_Toc8771"/>
      <w:bookmarkStart w:id="35" w:name="_Toc15169"/>
      <w:bookmarkStart w:id="36" w:name="_Toc15377207"/>
      <w:r>
        <w:drawing>
          <wp:inline distT="0" distB="0" distL="114300" distR="114300">
            <wp:extent cx="4826000" cy="2743200"/>
            <wp:effectExtent l="4445" t="4445" r="825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DDE1DA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Style w:val="3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33"/>
      <w:bookmarkEnd w:id="34"/>
      <w:bookmarkEnd w:id="35"/>
      <w:bookmarkEnd w:id="36"/>
    </w:p>
    <w:p w14:paraId="2ADCFEC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bookmarkStart w:id="37" w:name="_Toc23626"/>
      <w:bookmarkStart w:id="38" w:name="_Toc11380"/>
      <w:bookmarkStart w:id="39" w:name="_Toc25789"/>
      <w:bookmarkStart w:id="40" w:name="_Toc31393"/>
      <w:bookmarkStart w:id="41" w:name="_Toc28885"/>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年度本年支出合计</w:t>
      </w:r>
      <w:r>
        <w:rPr>
          <w:rFonts w:hint="eastAsia" w:ascii="仿宋_GB2312" w:hAnsi="仿宋_GB2312" w:eastAsia="仿宋_GB2312" w:cs="仿宋_GB2312"/>
          <w:sz w:val="32"/>
          <w:szCs w:val="32"/>
          <w:lang w:val="en-US" w:eastAsia="zh-CN"/>
        </w:rPr>
        <w:t>468.55</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333.4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71</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135.15</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29</w:t>
      </w:r>
      <w:r>
        <w:rPr>
          <w:rFonts w:hint="eastAsia" w:ascii="仿宋_GB2312" w:hAnsi="仿宋_GB2312" w:eastAsia="仿宋_GB2312" w:cs="仿宋_GB2312"/>
          <w:color w:val="auto"/>
          <w:sz w:val="32"/>
          <w:szCs w:val="32"/>
          <w:highlight w:val="none"/>
          <w:lang w:eastAsia="zh-CN"/>
        </w:rPr>
        <w:t>%</w:t>
      </w:r>
      <w:bookmarkEnd w:id="37"/>
      <w:bookmarkEnd w:id="38"/>
      <w:bookmarkEnd w:id="39"/>
      <w:bookmarkEnd w:id="40"/>
      <w:bookmarkEnd w:id="41"/>
      <w:r>
        <w:rPr>
          <w:rFonts w:hint="eastAsia" w:ascii="仿宋_GB2312" w:hAnsi="仿宋_GB2312" w:eastAsia="仿宋_GB2312" w:cs="仿宋_GB2312"/>
          <w:color w:val="auto"/>
          <w:sz w:val="32"/>
          <w:szCs w:val="32"/>
          <w:highlight w:val="none"/>
          <w:lang w:eastAsia="zh-CN"/>
        </w:rPr>
        <w:t>。</w:t>
      </w:r>
    </w:p>
    <w:p w14:paraId="47A8A3DB">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ascii="仿宋_GB2312" w:hAnsi="仿宋_GB2312" w:eastAsia="仿宋_GB2312" w:cs="仿宋_GB2312"/>
          <w:color w:val="auto"/>
          <w:sz w:val="32"/>
          <w:szCs w:val="32"/>
          <w:highlight w:val="none"/>
          <w:lang w:eastAsia="zh-CN"/>
        </w:rPr>
      </w:pPr>
      <w:r>
        <w:drawing>
          <wp:anchor distT="0" distB="0" distL="114300" distR="114300" simplePos="0" relativeHeight="251659264" behindDoc="1" locked="0" layoutInCell="1" allowOverlap="1">
            <wp:simplePos x="0" y="0"/>
            <wp:positionH relativeFrom="column">
              <wp:posOffset>328295</wp:posOffset>
            </wp:positionH>
            <wp:positionV relativeFrom="paragraph">
              <wp:posOffset>192405</wp:posOffset>
            </wp:positionV>
            <wp:extent cx="4826000" cy="2590165"/>
            <wp:effectExtent l="4445" t="4445" r="8255" b="15240"/>
            <wp:wrapTight wrapText="bothSides">
              <wp:wrapPolygon>
                <wp:start x="-20" y="-37"/>
                <wp:lineTo x="-20" y="21409"/>
                <wp:lineTo x="21552" y="21409"/>
                <wp:lineTo x="21552" y="-37"/>
                <wp:lineTo x="-20" y="-37"/>
              </wp:wrapPolygon>
            </wp:wrapTight>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A7496A6">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26EE9937">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274DAA4A">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3ECED8F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56965821">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sz w:val="32"/>
          <w:szCs w:val="32"/>
          <w:highlight w:val="none"/>
          <w:lang w:eastAsia="zh-CN"/>
        </w:rPr>
      </w:pPr>
    </w:p>
    <w:p w14:paraId="0209B715">
      <w:pPr>
        <w:pStyle w:val="28"/>
        <w:keepNext w:val="0"/>
        <w:keepLines w:val="0"/>
        <w:pageBreakBefore w:val="0"/>
        <w:widowControl w:val="0"/>
        <w:numPr>
          <w:ilvl w:val="0"/>
          <w:numId w:val="0"/>
        </w:numPr>
        <w:kinsoku/>
        <w:wordWrap/>
        <w:overflowPunct/>
        <w:topLinePunct w:val="0"/>
        <w:autoSpaceDE/>
        <w:autoSpaceDN/>
        <w:bidi w:val="0"/>
        <w:adjustRightInd/>
        <w:snapToGrid/>
        <w:spacing w:line="576" w:lineRule="exact"/>
        <w:jc w:val="both"/>
        <w:textAlignment w:val="auto"/>
        <w:outlineLvl w:val="9"/>
        <w:rPr>
          <w:rFonts w:hint="eastAsia" w:ascii="Times New Roman" w:hAnsi="Times New Roman" w:eastAsia="黑体"/>
          <w:color w:val="auto"/>
          <w:sz w:val="32"/>
          <w:szCs w:val="32"/>
          <w:highlight w:val="none"/>
        </w:rPr>
      </w:pPr>
      <w:bookmarkStart w:id="42" w:name="_Toc30230"/>
      <w:bookmarkStart w:id="43" w:name="_Toc2747"/>
      <w:bookmarkStart w:id="44" w:name="_Toc15377208"/>
      <w:bookmarkStart w:id="45" w:name="_Toc15396606"/>
    </w:p>
    <w:p w14:paraId="5990D3A9">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42"/>
      <w:bookmarkEnd w:id="43"/>
      <w:bookmarkEnd w:id="44"/>
      <w:bookmarkEnd w:id="45"/>
    </w:p>
    <w:p w14:paraId="6D77D91A">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 w:hAnsi="仿宋" w:eastAsia="仿宋"/>
          <w:color w:val="auto"/>
          <w:sz w:val="32"/>
          <w:szCs w:val="32"/>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val="en-US" w:eastAsia="zh-CN"/>
        </w:rPr>
        <w:t>468.55</w:t>
      </w:r>
      <w:r>
        <w:rPr>
          <w:rFonts w:hint="eastAsia" w:ascii="Times New Roman" w:hAnsi="Times New Roman" w:eastAsia="仿宋_GB2312" w:cs="仿宋_GB2312"/>
          <w:color w:val="auto"/>
          <w:kern w:val="2"/>
          <w:sz w:val="32"/>
          <w:szCs w:val="32"/>
          <w:highlight w:val="none"/>
          <w:lang w:val="en-US" w:eastAsia="zh-CN" w:bidi="ar-SA"/>
        </w:rPr>
        <w:t>万元。与202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年度相比，财</w:t>
      </w:r>
      <w:r>
        <w:rPr>
          <w:rFonts w:hint="eastAsia" w:ascii="仿宋_GB2312" w:hAnsi="仿宋_GB2312" w:eastAsia="仿宋_GB2312" w:cs="仿宋_GB2312"/>
          <w:sz w:val="32"/>
          <w:szCs w:val="32"/>
          <w:lang w:val="en-US" w:eastAsia="zh-CN"/>
        </w:rPr>
        <w:t>政拨款收入、支出总计各减少</w:t>
      </w:r>
      <w:r>
        <w:rPr>
          <w:rFonts w:hint="eastAsia" w:eastAsia="仿宋_GB2312" w:cs="仿宋_GB2312"/>
          <w:color w:val="auto"/>
          <w:sz w:val="32"/>
          <w:szCs w:val="32"/>
          <w:highlight w:val="none"/>
          <w:lang w:val="en-US" w:eastAsia="zh-CN"/>
        </w:rPr>
        <w:t>584.48</w:t>
      </w:r>
      <w:r>
        <w:rPr>
          <w:rFonts w:hint="eastAsia" w:ascii="仿宋_GB2312" w:hAnsi="仿宋_GB2312" w:eastAsia="仿宋_GB2312" w:cs="仿宋_GB2312"/>
          <w:sz w:val="32"/>
          <w:szCs w:val="32"/>
          <w:lang w:val="en-US" w:eastAsia="zh-CN"/>
        </w:rPr>
        <w:t>万元，下降</w:t>
      </w:r>
      <w:r>
        <w:rPr>
          <w:rFonts w:hint="eastAsia" w:eastAsia="仿宋_GB2312" w:cs="仿宋_GB2312"/>
          <w:color w:val="auto"/>
          <w:sz w:val="32"/>
          <w:szCs w:val="32"/>
          <w:highlight w:val="none"/>
          <w:lang w:val="en-US" w:eastAsia="zh-CN"/>
        </w:rPr>
        <w:t>55.49</w:t>
      </w:r>
      <w:r>
        <w:rPr>
          <w:rFonts w:hint="eastAsia" w:ascii="仿宋_GB2312" w:hAnsi="仿宋_GB2312" w:eastAsia="仿宋_GB2312" w:cs="仿宋_GB2312"/>
          <w:sz w:val="32"/>
          <w:szCs w:val="32"/>
          <w:lang w:val="en-US" w:eastAsia="zh-CN"/>
        </w:rPr>
        <w:t>%。主要变动原因</w:t>
      </w:r>
      <w:r>
        <w:rPr>
          <w:rFonts w:hint="eastAsia" w:ascii="Times New Roman" w:hAnsi="Times New Roman" w:eastAsia="仿宋_GB2312" w:cs="仿宋_GB2312"/>
          <w:color w:val="auto"/>
          <w:sz w:val="32"/>
          <w:szCs w:val="32"/>
          <w:highlight w:val="none"/>
        </w:rPr>
        <w:t>是</w:t>
      </w:r>
      <w:r>
        <w:rPr>
          <w:rFonts w:hint="eastAsia" w:eastAsia="仿宋_GB2312" w:cs="仿宋_GB2312"/>
          <w:color w:val="auto"/>
          <w:sz w:val="32"/>
          <w:szCs w:val="32"/>
          <w:highlight w:val="none"/>
          <w:lang w:val="en-US" w:eastAsia="zh-CN"/>
        </w:rPr>
        <w:t>:</w:t>
      </w:r>
      <w:r>
        <w:rPr>
          <w:rFonts w:hint="eastAsia" w:ascii="仿宋" w:hAnsi="仿宋" w:eastAsia="仿宋"/>
          <w:color w:val="auto"/>
          <w:sz w:val="32"/>
          <w:szCs w:val="32"/>
          <w:highlight w:val="none"/>
          <w:lang w:eastAsia="zh-CN"/>
        </w:rPr>
        <w:t>项目投资减少。</w:t>
      </w:r>
    </w:p>
    <w:p w14:paraId="1F5C3D03">
      <w:pPr>
        <w:pStyle w:val="2"/>
        <w:bidi w:val="0"/>
        <w:jc w:val="center"/>
        <w:rPr>
          <w:rFonts w:hint="eastAsia" w:ascii="Times New Roman" w:hAnsi="Times New Roman" w:eastAsia="黑体"/>
          <w:color w:val="auto"/>
          <w:sz w:val="32"/>
          <w:szCs w:val="32"/>
          <w:highlight w:val="none"/>
        </w:rPr>
      </w:pPr>
      <w:r>
        <w:drawing>
          <wp:inline distT="0" distB="0" distL="114300" distR="114300">
            <wp:extent cx="4826000" cy="2743200"/>
            <wp:effectExtent l="4445" t="4445" r="8255" b="14605"/>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Start w:id="46" w:name="_Toc15377209"/>
      <w:bookmarkStart w:id="47" w:name="_Toc19579"/>
      <w:bookmarkStart w:id="48" w:name="_Toc442"/>
      <w:bookmarkStart w:id="49" w:name="_Toc15396607"/>
    </w:p>
    <w:p w14:paraId="0D637A55">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46"/>
      <w:bookmarkEnd w:id="47"/>
      <w:bookmarkEnd w:id="48"/>
      <w:bookmarkEnd w:id="49"/>
    </w:p>
    <w:p w14:paraId="763C4184">
      <w:pPr>
        <w:keepNext w:val="0"/>
        <w:keepLines w:val="0"/>
        <w:pageBreakBefore w:val="0"/>
        <w:kinsoku/>
        <w:wordWrap/>
        <w:overflowPunct/>
        <w:topLinePunct w:val="0"/>
        <w:bidi w:val="0"/>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5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0"/>
    </w:p>
    <w:p w14:paraId="48565AD4">
      <w:pPr>
        <w:keepNext w:val="0"/>
        <w:keepLines w:val="0"/>
        <w:pageBreakBefore w:val="0"/>
        <w:kinsoku/>
        <w:wordWrap/>
        <w:overflowPunct/>
        <w:topLinePunct w:val="0"/>
        <w:bidi w:val="0"/>
        <w:spacing w:line="576" w:lineRule="exact"/>
        <w:ind w:left="0" w:leftChars="0" w:firstLine="640" w:firstLineChars="200"/>
        <w:jc w:val="both"/>
        <w:textAlignment w:val="auto"/>
        <w:outlineLvl w:val="9"/>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468.55</w:t>
      </w:r>
      <w:r>
        <w:rPr>
          <w:rFonts w:hint="eastAsia" w:ascii="仿宋_GB2312" w:hAnsi="仿宋_GB2312" w:eastAsia="仿宋_GB2312" w:cs="仿宋_GB2312"/>
          <w:color w:val="auto"/>
          <w:kern w:val="2"/>
          <w:sz w:val="32"/>
          <w:szCs w:val="32"/>
          <w:highlight w:val="none"/>
          <w:lang w:val="en-US" w:eastAsia="zh-CN" w:bidi="ar-SA"/>
        </w:rPr>
        <w:t>万元，占本年支出合计的100%。与2024年度相比，一般公共预算财政拨款支出减少</w:t>
      </w:r>
      <w:r>
        <w:rPr>
          <w:rFonts w:hint="eastAsia" w:eastAsia="仿宋_GB2312" w:cs="仿宋_GB2312"/>
          <w:color w:val="auto"/>
          <w:sz w:val="32"/>
          <w:szCs w:val="32"/>
          <w:highlight w:val="none"/>
          <w:lang w:val="en-US" w:eastAsia="zh-CN"/>
        </w:rPr>
        <w:t>584.48</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eastAsia="仿宋_GB2312" w:cs="仿宋_GB2312"/>
          <w:color w:val="auto"/>
          <w:sz w:val="32"/>
          <w:szCs w:val="32"/>
          <w:highlight w:val="none"/>
          <w:lang w:val="en-US" w:eastAsia="zh-CN"/>
        </w:rPr>
        <w:t>55.49</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ascii="Times New Roman" w:hAnsi="Times New Roman" w:eastAsia="仿宋_GB2312" w:cs="仿宋_GB2312"/>
          <w:color w:val="auto"/>
          <w:sz w:val="32"/>
          <w:szCs w:val="32"/>
          <w:highlight w:val="none"/>
        </w:rPr>
        <w:t>是</w:t>
      </w:r>
      <w:r>
        <w:rPr>
          <w:rFonts w:hint="eastAsia" w:eastAsia="仿宋_GB2312" w:cs="仿宋_GB2312"/>
          <w:color w:val="auto"/>
          <w:sz w:val="32"/>
          <w:szCs w:val="32"/>
          <w:highlight w:val="none"/>
          <w:lang w:val="en-US" w:eastAsia="zh-CN"/>
        </w:rPr>
        <w:t>:</w:t>
      </w:r>
      <w:r>
        <w:rPr>
          <w:rFonts w:hint="eastAsia" w:ascii="仿宋" w:hAnsi="仿宋" w:eastAsia="仿宋"/>
          <w:color w:val="auto"/>
          <w:sz w:val="32"/>
          <w:szCs w:val="32"/>
          <w:highlight w:val="none"/>
          <w:lang w:eastAsia="zh-CN"/>
        </w:rPr>
        <w:t>项目投资减少。</w:t>
      </w:r>
    </w:p>
    <w:p w14:paraId="724EEAA6">
      <w:pPr>
        <w:pStyle w:val="2"/>
        <w:bidi w:val="0"/>
        <w:jc w:val="center"/>
      </w:pPr>
      <w:r>
        <w:drawing>
          <wp:inline distT="0" distB="0" distL="114300" distR="114300">
            <wp:extent cx="4826000" cy="2743200"/>
            <wp:effectExtent l="4445" t="4445" r="8255" b="14605"/>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96A1AF1">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5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51"/>
    </w:p>
    <w:p w14:paraId="68956B80">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drawing>
          <wp:anchor distT="0" distB="0" distL="114300" distR="114300" simplePos="0" relativeHeight="251660288" behindDoc="1" locked="0" layoutInCell="1" allowOverlap="1">
            <wp:simplePos x="0" y="0"/>
            <wp:positionH relativeFrom="column">
              <wp:posOffset>617220</wp:posOffset>
            </wp:positionH>
            <wp:positionV relativeFrom="paragraph">
              <wp:posOffset>1797050</wp:posOffset>
            </wp:positionV>
            <wp:extent cx="4826000" cy="2695575"/>
            <wp:effectExtent l="4445" t="4445" r="8255" b="5080"/>
            <wp:wrapTight wrapText="bothSides">
              <wp:wrapPolygon>
                <wp:start x="-20" y="-36"/>
                <wp:lineTo x="-20" y="21488"/>
                <wp:lineTo x="21552" y="21488"/>
                <wp:lineTo x="21552" y="-36"/>
                <wp:lineTo x="-20" y="-36"/>
              </wp:wrapPolygon>
            </wp:wrapTight>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val="en-US" w:eastAsia="zh-CN"/>
        </w:rPr>
        <w:t>468.55</w:t>
      </w:r>
      <w:r>
        <w:rPr>
          <w:rFonts w:hint="eastAsia" w:ascii="仿宋_GB2312" w:hAnsi="仿宋_GB2312" w:eastAsia="仿宋_GB2312" w:cs="仿宋_GB2312"/>
          <w:color w:val="auto"/>
          <w:kern w:val="2"/>
          <w:sz w:val="32"/>
          <w:szCs w:val="32"/>
          <w:highlight w:val="none"/>
          <w:lang w:val="en-US" w:eastAsia="zh-CN" w:bidi="ar-SA"/>
        </w:rPr>
        <w:t>万元，主要用于以下方面：一般公共服务支出378.2万元，占81%；社会保障和就业支出45.81万元，占10%；卫生健康支出15.66万元，占3%；住房保障支出24.93万元，占5%；农林水支出3.96万元，占1%。</w:t>
      </w:r>
    </w:p>
    <w:p w14:paraId="5722738D">
      <w:pPr>
        <w:pStyle w:val="2"/>
        <w:bidi w:val="0"/>
        <w:rPr>
          <w:rFonts w:hint="eastAsia"/>
          <w:lang w:val="en-US" w:eastAsia="zh-CN"/>
        </w:rPr>
      </w:pPr>
      <w:r>
        <w:rPr>
          <w:rFonts w:hint="eastAsia"/>
          <w:lang w:val="en-US" w:eastAsia="zh-CN"/>
        </w:rPr>
        <w:t xml:space="preserve">  </w:t>
      </w:r>
    </w:p>
    <w:p w14:paraId="011008AC">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290C895E">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43F85E05">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49D808C0">
      <w:pPr>
        <w:keepNext w:val="0"/>
        <w:keepLines w:val="0"/>
        <w:pageBreakBefore w:val="0"/>
        <w:widowControl w:val="0"/>
        <w:kinsoku/>
        <w:wordWrap/>
        <w:overflowPunct/>
        <w:topLinePunct w:val="0"/>
        <w:autoSpaceDE/>
        <w:autoSpaceDN/>
        <w:bidi w:val="0"/>
        <w:adjustRightInd/>
        <w:snapToGrid/>
        <w:spacing w:line="576" w:lineRule="exact"/>
        <w:ind w:left="0" w:leftChars="0" w:firstLine="420" w:firstLineChars="200"/>
        <w:jc w:val="both"/>
        <w:textAlignment w:val="auto"/>
        <w:outlineLvl w:val="9"/>
      </w:pPr>
    </w:p>
    <w:p w14:paraId="418A88BC">
      <w:pPr>
        <w:keepNext w:val="0"/>
        <w:keepLines w:val="0"/>
        <w:pageBreakBefore w:val="0"/>
        <w:widowControl w:val="0"/>
        <w:kinsoku/>
        <w:wordWrap/>
        <w:overflowPunct/>
        <w:topLinePunct w:val="0"/>
        <w:autoSpaceDE/>
        <w:autoSpaceDN/>
        <w:bidi w:val="0"/>
        <w:adjustRightInd/>
        <w:snapToGrid/>
        <w:spacing w:line="576" w:lineRule="exact"/>
        <w:jc w:val="both"/>
        <w:textAlignment w:val="auto"/>
        <w:outlineLvl w:val="9"/>
      </w:pPr>
    </w:p>
    <w:p w14:paraId="346BC8AC">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5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2"/>
    </w:p>
    <w:p w14:paraId="5C63338D">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bookmarkStart w:id="53" w:name="_Toc15377213"/>
      <w:bookmarkStart w:id="54" w:name="_Toc15378460"/>
      <w:bookmarkStart w:id="55" w:name="_Toc15377444"/>
      <w:r>
        <w:rPr>
          <w:rFonts w:hint="eastAsia" w:ascii="仿宋_GB2312" w:hAnsi="仿宋_GB2312" w:eastAsia="仿宋_GB2312" w:cs="仿宋_GB2312"/>
          <w:color w:val="auto"/>
          <w:kern w:val="2"/>
          <w:sz w:val="32"/>
          <w:szCs w:val="32"/>
          <w:highlight w:val="none"/>
          <w:lang w:val="en-US" w:eastAsia="zh-CN" w:bidi="ar-SA"/>
        </w:rPr>
        <w:t>2025年度一般公共预算财政拨款支出决算数为</w:t>
      </w:r>
      <w:r>
        <w:rPr>
          <w:rFonts w:hint="eastAsia" w:ascii="仿宋_GB2312" w:hAnsi="仿宋_GB2312" w:eastAsia="仿宋_GB2312" w:cs="仿宋_GB2312"/>
          <w:sz w:val="32"/>
          <w:szCs w:val="32"/>
          <w:lang w:val="en-US" w:eastAsia="zh-CN"/>
        </w:rPr>
        <w:t>468.55</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color w:val="auto"/>
          <w:kern w:val="2"/>
          <w:sz w:val="32"/>
          <w:szCs w:val="32"/>
          <w:highlight w:val="none"/>
          <w:lang w:val="en-US" w:eastAsia="zh-CN" w:bidi="ar-SA"/>
        </w:rPr>
        <w:t>，完成预算100%。其中：</w:t>
      </w:r>
      <w:bookmarkEnd w:id="53"/>
      <w:bookmarkEnd w:id="54"/>
      <w:bookmarkEnd w:id="55"/>
    </w:p>
    <w:p w14:paraId="0EE485DE">
      <w:pPr>
        <w:spacing w:line="600" w:lineRule="exact"/>
        <w:ind w:firstLine="640" w:firstLineChars="200"/>
        <w:rPr>
          <w:rFonts w:hint="eastAsia" w:ascii="仿宋" w:hAnsi="仿宋" w:eastAsia="仿宋" w:cs="仿宋"/>
          <w:sz w:val="32"/>
          <w:szCs w:val="32"/>
        </w:rPr>
      </w:pPr>
      <w:bookmarkStart w:id="56" w:name="_Toc15396608"/>
      <w:bookmarkStart w:id="57" w:name="_Toc15377214"/>
      <w:bookmarkStart w:id="58" w:name="_Toc11479"/>
      <w:bookmarkStart w:id="59" w:name="_Toc32164"/>
      <w:r>
        <w:rPr>
          <w:rFonts w:hint="eastAsia" w:ascii="仿宋" w:hAnsi="仿宋" w:eastAsia="仿宋" w:cs="仿宋"/>
          <w:sz w:val="32"/>
          <w:szCs w:val="32"/>
        </w:rPr>
        <w:t>1.一般公共服务（</w:t>
      </w:r>
      <w:r>
        <w:rPr>
          <w:rFonts w:hint="eastAsia" w:ascii="仿宋" w:hAnsi="仿宋" w:eastAsia="仿宋" w:cs="仿宋"/>
          <w:sz w:val="32"/>
          <w:szCs w:val="32"/>
          <w:lang w:eastAsia="zh-CN"/>
        </w:rPr>
        <w:t>类</w:t>
      </w:r>
      <w:r>
        <w:rPr>
          <w:rFonts w:hint="eastAsia" w:ascii="仿宋" w:hAnsi="仿宋" w:eastAsia="仿宋" w:cs="仿宋"/>
          <w:sz w:val="32"/>
          <w:szCs w:val="32"/>
        </w:rPr>
        <w:t>）民族事务（</w:t>
      </w:r>
      <w:r>
        <w:rPr>
          <w:rFonts w:hint="eastAsia" w:ascii="仿宋" w:hAnsi="仿宋" w:eastAsia="仿宋" w:cs="仿宋"/>
          <w:sz w:val="32"/>
          <w:szCs w:val="32"/>
          <w:lang w:eastAsia="zh-CN"/>
        </w:rPr>
        <w:t>款</w:t>
      </w:r>
      <w:r>
        <w:rPr>
          <w:rFonts w:hint="eastAsia" w:ascii="仿宋" w:hAnsi="仿宋" w:eastAsia="仿宋" w:cs="仿宋"/>
          <w:sz w:val="32"/>
          <w:szCs w:val="32"/>
        </w:rPr>
        <w:t>）行政运行（</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378.2</w:t>
      </w:r>
      <w:r>
        <w:rPr>
          <w:rFonts w:hint="eastAsia" w:ascii="仿宋" w:hAnsi="仿宋" w:eastAsia="仿宋" w:cs="仿宋"/>
          <w:sz w:val="32"/>
          <w:szCs w:val="32"/>
        </w:rPr>
        <w:t>万元，完成预算100%，决算数与预算数持平。</w:t>
      </w:r>
    </w:p>
    <w:p w14:paraId="52DE14B3">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2.一般公共服务（</w:t>
      </w:r>
      <w:r>
        <w:rPr>
          <w:rFonts w:hint="eastAsia" w:ascii="仿宋" w:hAnsi="仿宋" w:eastAsia="仿宋" w:cs="仿宋"/>
          <w:sz w:val="32"/>
          <w:szCs w:val="32"/>
          <w:lang w:eastAsia="zh-CN"/>
        </w:rPr>
        <w:t>类</w:t>
      </w:r>
      <w:r>
        <w:rPr>
          <w:rFonts w:hint="eastAsia" w:ascii="仿宋" w:hAnsi="仿宋" w:eastAsia="仿宋" w:cs="仿宋"/>
          <w:sz w:val="32"/>
          <w:szCs w:val="32"/>
        </w:rPr>
        <w:t>）民族事务（</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）其他民族事务支出（</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108.63</w:t>
      </w:r>
      <w:r>
        <w:rPr>
          <w:rFonts w:hint="eastAsia" w:ascii="仿宋" w:hAnsi="仿宋" w:eastAsia="仿宋" w:cs="仿宋"/>
          <w:sz w:val="32"/>
          <w:szCs w:val="32"/>
        </w:rPr>
        <w:t>万元，完成预算100%，决算数与预算数持平。</w:t>
      </w:r>
    </w:p>
    <w:p w14:paraId="161B640E">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3.一般公共服务（</w:t>
      </w:r>
      <w:r>
        <w:rPr>
          <w:rFonts w:hint="eastAsia" w:ascii="仿宋" w:hAnsi="仿宋" w:eastAsia="仿宋" w:cs="仿宋"/>
          <w:sz w:val="32"/>
          <w:szCs w:val="32"/>
          <w:lang w:eastAsia="zh-CN"/>
        </w:rPr>
        <w:t>类</w:t>
      </w:r>
      <w:r>
        <w:rPr>
          <w:rFonts w:hint="eastAsia" w:ascii="仿宋" w:hAnsi="仿宋" w:eastAsia="仿宋" w:cs="仿宋"/>
          <w:sz w:val="32"/>
          <w:szCs w:val="32"/>
        </w:rPr>
        <w:t>）统战事务（</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）宗教事务（</w:t>
      </w:r>
      <w:r>
        <w:rPr>
          <w:rFonts w:hint="eastAsia" w:ascii="仿宋" w:hAnsi="仿宋" w:eastAsia="仿宋" w:cs="仿宋"/>
          <w:sz w:val="32"/>
          <w:szCs w:val="32"/>
          <w:lang w:eastAsia="zh-CN"/>
        </w:rPr>
        <w:t>项</w:t>
      </w:r>
      <w:r>
        <w:rPr>
          <w:rFonts w:hint="eastAsia" w:ascii="仿宋" w:hAnsi="仿宋" w:eastAsia="仿宋" w:cs="仿宋"/>
          <w:sz w:val="32"/>
          <w:szCs w:val="32"/>
        </w:rPr>
        <w:t>）：支出决算为9.</w:t>
      </w:r>
      <w:r>
        <w:rPr>
          <w:rFonts w:hint="eastAsia" w:ascii="仿宋" w:hAnsi="仿宋" w:eastAsia="仿宋" w:cs="仿宋"/>
          <w:sz w:val="32"/>
          <w:szCs w:val="32"/>
          <w:lang w:val="en-US" w:eastAsia="zh-CN"/>
        </w:rPr>
        <w:t>09</w:t>
      </w:r>
      <w:r>
        <w:rPr>
          <w:rFonts w:hint="eastAsia" w:ascii="仿宋" w:hAnsi="仿宋" w:eastAsia="仿宋" w:cs="仿宋"/>
          <w:sz w:val="32"/>
          <w:szCs w:val="32"/>
        </w:rPr>
        <w:t>万元，完成预算100%，决算数与预算数持平。</w:t>
      </w:r>
    </w:p>
    <w:p w14:paraId="524F4F62">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4.社会保障和就业（</w:t>
      </w:r>
      <w:r>
        <w:rPr>
          <w:rFonts w:hint="eastAsia" w:ascii="仿宋" w:hAnsi="仿宋" w:eastAsia="仿宋" w:cs="仿宋"/>
          <w:sz w:val="32"/>
          <w:szCs w:val="32"/>
          <w:lang w:eastAsia="zh-CN"/>
        </w:rPr>
        <w:t>类</w:t>
      </w:r>
      <w:r>
        <w:rPr>
          <w:rFonts w:hint="eastAsia" w:ascii="仿宋" w:hAnsi="仿宋" w:eastAsia="仿宋" w:cs="仿宋"/>
          <w:sz w:val="32"/>
          <w:szCs w:val="32"/>
        </w:rPr>
        <w:t>）行政事业单位养老支出（</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）机关事业单位基本养老保险缴费支出（</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45.81</w:t>
      </w:r>
      <w:r>
        <w:rPr>
          <w:rFonts w:hint="eastAsia" w:ascii="仿宋" w:hAnsi="仿宋" w:eastAsia="仿宋" w:cs="仿宋"/>
          <w:sz w:val="32"/>
          <w:szCs w:val="32"/>
        </w:rPr>
        <w:t>万元，完成预算100%，决算数与预算数持平。</w:t>
      </w:r>
    </w:p>
    <w:p w14:paraId="227B2FC8">
      <w:pPr>
        <w:spacing w:line="600" w:lineRule="exact"/>
        <w:ind w:firstLine="640" w:firstLineChars="200"/>
        <w:rPr>
          <w:rStyle w:val="18"/>
          <w:rFonts w:hint="eastAsia" w:ascii="仿宋_GB2312" w:hAnsi="仿宋_GB2312" w:eastAsia="仿宋_GB2312" w:cs="仿宋_GB2312"/>
          <w:bCs/>
          <w:sz w:val="32"/>
          <w:szCs w:val="32"/>
        </w:rPr>
      </w:pPr>
      <w:r>
        <w:rPr>
          <w:rFonts w:hint="eastAsia" w:ascii="仿宋" w:hAnsi="仿宋" w:eastAsia="仿宋" w:cs="仿宋"/>
          <w:sz w:val="32"/>
          <w:szCs w:val="32"/>
        </w:rPr>
        <w:t>5.社会保障和就业（</w:t>
      </w:r>
      <w:r>
        <w:rPr>
          <w:rFonts w:hint="eastAsia" w:ascii="仿宋" w:hAnsi="仿宋" w:eastAsia="仿宋" w:cs="仿宋"/>
          <w:sz w:val="32"/>
          <w:szCs w:val="32"/>
          <w:lang w:eastAsia="zh-CN"/>
        </w:rPr>
        <w:t>类</w:t>
      </w:r>
      <w:r>
        <w:rPr>
          <w:rFonts w:hint="eastAsia" w:ascii="仿宋" w:hAnsi="仿宋" w:eastAsia="仿宋" w:cs="仿宋"/>
          <w:sz w:val="32"/>
          <w:szCs w:val="32"/>
        </w:rPr>
        <w:t>）行政事业单位养老支出（</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）机关事业单位职业年金缴费支出（</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15.27</w:t>
      </w:r>
      <w:r>
        <w:rPr>
          <w:rFonts w:hint="eastAsia" w:ascii="仿宋" w:hAnsi="仿宋" w:eastAsia="仿宋" w:cs="仿宋"/>
          <w:sz w:val="32"/>
          <w:szCs w:val="32"/>
        </w:rPr>
        <w:t>万元，完成预算100%，决算数与预算数持平。</w:t>
      </w:r>
    </w:p>
    <w:p w14:paraId="7520A3C0">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6.卫生健康（</w:t>
      </w:r>
      <w:r>
        <w:rPr>
          <w:rFonts w:hint="eastAsia" w:ascii="仿宋" w:hAnsi="仿宋" w:eastAsia="仿宋" w:cs="仿宋"/>
          <w:sz w:val="32"/>
          <w:szCs w:val="32"/>
          <w:lang w:eastAsia="zh-CN"/>
        </w:rPr>
        <w:t>类</w:t>
      </w:r>
      <w:r>
        <w:rPr>
          <w:rFonts w:hint="eastAsia" w:ascii="仿宋" w:hAnsi="仿宋" w:eastAsia="仿宋" w:cs="仿宋"/>
          <w:sz w:val="32"/>
          <w:szCs w:val="32"/>
        </w:rPr>
        <w:t>）行政事业单位医疗（</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）行政单位医疗（</w:t>
      </w:r>
      <w:r>
        <w:rPr>
          <w:rFonts w:hint="eastAsia" w:ascii="仿宋" w:hAnsi="仿宋" w:eastAsia="仿宋" w:cs="仿宋"/>
          <w:sz w:val="32"/>
          <w:szCs w:val="32"/>
          <w:lang w:eastAsia="zh-CN"/>
        </w:rPr>
        <w:t>项</w:t>
      </w:r>
      <w:r>
        <w:rPr>
          <w:rFonts w:hint="eastAsia" w:ascii="仿宋" w:hAnsi="仿宋" w:eastAsia="仿宋" w:cs="仿宋"/>
          <w:sz w:val="32"/>
          <w:szCs w:val="32"/>
        </w:rPr>
        <w:t>）：支出决算为15.28万元，完成预算100%，决算数与预算数持平。</w:t>
      </w:r>
    </w:p>
    <w:p w14:paraId="1F61EACA">
      <w:pPr>
        <w:spacing w:line="600" w:lineRule="exact"/>
        <w:ind w:firstLine="640"/>
        <w:rPr>
          <w:rFonts w:hint="eastAsia" w:ascii="仿宋" w:hAnsi="仿宋" w:eastAsia="仿宋" w:cs="仿宋"/>
          <w:sz w:val="32"/>
          <w:szCs w:val="32"/>
        </w:rPr>
      </w:pPr>
      <w:r>
        <w:rPr>
          <w:rFonts w:hint="eastAsia" w:ascii="仿宋" w:hAnsi="仿宋" w:eastAsia="仿宋" w:cs="仿宋"/>
          <w:sz w:val="32"/>
          <w:szCs w:val="32"/>
        </w:rPr>
        <w:t>7.卫生健康（</w:t>
      </w:r>
      <w:r>
        <w:rPr>
          <w:rFonts w:hint="eastAsia" w:ascii="仿宋" w:hAnsi="仿宋" w:eastAsia="仿宋" w:cs="仿宋"/>
          <w:sz w:val="32"/>
          <w:szCs w:val="32"/>
          <w:lang w:eastAsia="zh-CN"/>
        </w:rPr>
        <w:t>类</w:t>
      </w:r>
      <w:r>
        <w:rPr>
          <w:rFonts w:hint="eastAsia" w:ascii="仿宋" w:hAnsi="仿宋" w:eastAsia="仿宋" w:cs="仿宋"/>
          <w:sz w:val="32"/>
          <w:szCs w:val="32"/>
        </w:rPr>
        <w:t>）行政事业单位医疗（</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）事业单位医疗（</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15.66</w:t>
      </w:r>
      <w:r>
        <w:rPr>
          <w:rFonts w:hint="eastAsia" w:ascii="仿宋" w:hAnsi="仿宋" w:eastAsia="仿宋" w:cs="仿宋"/>
          <w:sz w:val="32"/>
          <w:szCs w:val="32"/>
        </w:rPr>
        <w:t>万元，完成预算100%，决算数与预算数持平。</w:t>
      </w:r>
    </w:p>
    <w:p w14:paraId="3DCF913A">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8.农林水支出（</w:t>
      </w:r>
      <w:r>
        <w:rPr>
          <w:rFonts w:hint="eastAsia" w:ascii="仿宋" w:hAnsi="仿宋" w:eastAsia="仿宋" w:cs="仿宋"/>
          <w:sz w:val="32"/>
          <w:szCs w:val="32"/>
          <w:lang w:eastAsia="zh-CN"/>
        </w:rPr>
        <w:t>类</w:t>
      </w:r>
      <w:r>
        <w:rPr>
          <w:rFonts w:hint="eastAsia" w:ascii="仿宋" w:hAnsi="仿宋" w:eastAsia="仿宋" w:cs="仿宋"/>
          <w:sz w:val="32"/>
          <w:szCs w:val="32"/>
        </w:rPr>
        <w:t>）巩固脱贫攻坚成果衔接乡村振兴（</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）其他巩固脱贫攻坚成果衔接乡村振兴支出（</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3.96</w:t>
      </w:r>
      <w:r>
        <w:rPr>
          <w:rFonts w:hint="eastAsia" w:ascii="仿宋" w:hAnsi="仿宋" w:eastAsia="仿宋" w:cs="仿宋"/>
          <w:sz w:val="32"/>
          <w:szCs w:val="32"/>
        </w:rPr>
        <w:t>万元，完成预算100%，决算数与预算数持平。</w:t>
      </w:r>
    </w:p>
    <w:p w14:paraId="069009E4">
      <w:pPr>
        <w:spacing w:line="600" w:lineRule="exact"/>
        <w:ind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 w:hAnsi="仿宋" w:eastAsia="仿宋" w:cs="仿宋"/>
          <w:sz w:val="32"/>
          <w:szCs w:val="32"/>
          <w:lang w:val="en-US" w:eastAsia="zh-CN"/>
        </w:rPr>
        <w:t>9</w:t>
      </w:r>
      <w:r>
        <w:rPr>
          <w:rFonts w:hint="eastAsia" w:ascii="仿宋" w:hAnsi="仿宋" w:eastAsia="仿宋" w:cs="仿宋"/>
          <w:sz w:val="32"/>
          <w:szCs w:val="32"/>
        </w:rPr>
        <w:t>.住房保障支出（</w:t>
      </w:r>
      <w:r>
        <w:rPr>
          <w:rFonts w:hint="eastAsia" w:ascii="仿宋" w:hAnsi="仿宋" w:eastAsia="仿宋" w:cs="仿宋"/>
          <w:sz w:val="32"/>
          <w:szCs w:val="32"/>
          <w:lang w:eastAsia="zh-CN"/>
        </w:rPr>
        <w:t>类</w:t>
      </w:r>
      <w:r>
        <w:rPr>
          <w:rFonts w:hint="eastAsia" w:ascii="仿宋" w:hAnsi="仿宋" w:eastAsia="仿宋" w:cs="仿宋"/>
          <w:sz w:val="32"/>
          <w:szCs w:val="32"/>
        </w:rPr>
        <w:t>）住房改革支出（</w:t>
      </w:r>
      <w:r>
        <w:rPr>
          <w:rFonts w:hint="eastAsia" w:ascii="仿宋_GB2312" w:hAnsi="仿宋_GB2312" w:eastAsia="仿宋_GB2312" w:cs="仿宋_GB2312"/>
          <w:color w:val="auto"/>
          <w:kern w:val="2"/>
          <w:sz w:val="32"/>
          <w:szCs w:val="32"/>
          <w:highlight w:val="none"/>
          <w:lang w:val="en-US" w:eastAsia="zh-CN" w:bidi="ar-SA"/>
        </w:rPr>
        <w:t>款</w:t>
      </w:r>
      <w:r>
        <w:rPr>
          <w:rFonts w:hint="eastAsia" w:ascii="仿宋" w:hAnsi="仿宋" w:eastAsia="仿宋" w:cs="仿宋"/>
          <w:sz w:val="32"/>
          <w:szCs w:val="32"/>
        </w:rPr>
        <w:t>）住房公积金（</w:t>
      </w:r>
      <w:r>
        <w:rPr>
          <w:rFonts w:hint="eastAsia" w:ascii="仿宋" w:hAnsi="仿宋" w:eastAsia="仿宋" w:cs="仿宋"/>
          <w:sz w:val="32"/>
          <w:szCs w:val="32"/>
          <w:lang w:eastAsia="zh-CN"/>
        </w:rPr>
        <w:t>项</w:t>
      </w:r>
      <w:r>
        <w:rPr>
          <w:rFonts w:hint="eastAsia" w:ascii="仿宋" w:hAnsi="仿宋" w:eastAsia="仿宋" w:cs="仿宋"/>
          <w:sz w:val="32"/>
          <w:szCs w:val="32"/>
        </w:rPr>
        <w:t>）：支出决算为</w:t>
      </w:r>
      <w:r>
        <w:rPr>
          <w:rFonts w:hint="eastAsia" w:ascii="仿宋" w:hAnsi="仿宋" w:eastAsia="仿宋" w:cs="仿宋"/>
          <w:sz w:val="32"/>
          <w:szCs w:val="32"/>
          <w:lang w:val="en-US" w:eastAsia="zh-CN"/>
        </w:rPr>
        <w:t>24.93</w:t>
      </w:r>
      <w:r>
        <w:rPr>
          <w:rFonts w:hint="eastAsia" w:ascii="仿宋" w:hAnsi="仿宋" w:eastAsia="仿宋" w:cs="仿宋"/>
          <w:sz w:val="32"/>
          <w:szCs w:val="32"/>
        </w:rPr>
        <w:t>万元，完成预算100%，决算数与预算数持平。</w:t>
      </w:r>
    </w:p>
    <w:p w14:paraId="50F9C3A4">
      <w:pPr>
        <w:keepNext w:val="0"/>
        <w:keepLines w:val="0"/>
        <w:pageBreakBefore w:val="0"/>
        <w:widowControl w:val="0"/>
        <w:tabs>
          <w:tab w:val="right" w:pos="8306"/>
        </w:tabs>
        <w:kinsoku/>
        <w:wordWrap/>
        <w:overflowPunct/>
        <w:topLinePunct w:val="0"/>
        <w:autoSpaceDE/>
        <w:autoSpaceDN/>
        <w:bidi w:val="0"/>
        <w:adjustRightInd/>
        <w:snapToGrid/>
        <w:spacing w:line="576" w:lineRule="exact"/>
        <w:ind w:left="0" w:leftChars="0" w:firstLine="640" w:firstLineChars="200"/>
        <w:jc w:val="both"/>
        <w:textAlignment w:val="auto"/>
        <w:outlineLvl w:val="9"/>
        <w:rPr>
          <w:rStyle w:val="30"/>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56"/>
      <w:bookmarkEnd w:id="57"/>
      <w:bookmarkEnd w:id="58"/>
      <w:bookmarkEnd w:id="59"/>
      <w:r>
        <w:rPr>
          <w:rStyle w:val="30"/>
          <w:rFonts w:ascii="Times New Roman" w:hAnsi="Times New Roman" w:eastAsia="黑体"/>
          <w:b w:val="0"/>
          <w:color w:val="auto"/>
          <w:highlight w:val="none"/>
        </w:rPr>
        <w:tab/>
      </w:r>
    </w:p>
    <w:p w14:paraId="558E4F50">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sz w:val="32"/>
          <w:szCs w:val="32"/>
          <w:lang w:val="en-US" w:eastAsia="zh-CN"/>
        </w:rPr>
        <w:t>333.4</w:t>
      </w:r>
      <w:r>
        <w:rPr>
          <w:rFonts w:hint="eastAsia" w:ascii="仿宋_GB2312" w:hAnsi="仿宋_GB2312" w:eastAsia="仿宋_GB2312" w:cs="仿宋_GB2312"/>
          <w:color w:val="auto"/>
          <w:kern w:val="2"/>
          <w:sz w:val="32"/>
          <w:szCs w:val="32"/>
          <w:highlight w:val="none"/>
          <w:lang w:val="en-US" w:eastAsia="zh-CN" w:bidi="ar-SA"/>
        </w:rPr>
        <w:t>万元，其中：</w:t>
      </w:r>
    </w:p>
    <w:p w14:paraId="0BAACCD7">
      <w:pPr>
        <w:keepNext w:val="0"/>
        <w:keepLines w:val="0"/>
        <w:pageBreakBefore w:val="0"/>
        <w:widowControl w:val="0"/>
        <w:kinsoku/>
        <w:wordWrap/>
        <w:overflowPunct/>
        <w:topLinePunct w:val="0"/>
        <w:autoSpaceDE/>
        <w:autoSpaceDN/>
        <w:bidi w:val="0"/>
        <w:adjustRightInd/>
        <w:snapToGrid/>
        <w:spacing w:line="568"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310.44</w:t>
      </w:r>
      <w:r>
        <w:rPr>
          <w:rFonts w:hint="eastAsia" w:ascii="仿宋_GB2312" w:hAnsi="仿宋_GB2312"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color w:val="auto"/>
          <w:kern w:val="2"/>
          <w:sz w:val="32"/>
          <w:szCs w:val="32"/>
          <w:highlight w:val="none"/>
          <w:lang w:val="en-US" w:eastAsia="zh-CN" w:bidi="ar-SA"/>
        </w:rPr>
        <w:br w:type="textWrapping"/>
      </w:r>
      <w:r>
        <w:rPr>
          <w:rFonts w:hint="eastAsia" w:ascii="仿宋_GB2312" w:hAnsi="仿宋_GB2312"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lang w:val="en-US" w:eastAsia="zh-CN"/>
        </w:rPr>
        <w:t>22.96</w:t>
      </w:r>
      <w:r>
        <w:rPr>
          <w:rFonts w:hint="eastAsia" w:ascii="仿宋_GB2312" w:hAnsi="仿宋_GB2312"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7768C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Style w:val="30"/>
          <w:rFonts w:ascii="Times New Roman" w:hAnsi="Times New Roman" w:eastAsia="黑体"/>
          <w:b w:val="0"/>
          <w:color w:val="auto"/>
          <w:highlight w:val="none"/>
        </w:rPr>
      </w:pPr>
      <w:bookmarkStart w:id="60" w:name="_Toc30288"/>
      <w:bookmarkStart w:id="61" w:name="_Toc15396609"/>
      <w:bookmarkStart w:id="62" w:name="_Toc614"/>
      <w:bookmarkStart w:id="63" w:name="_Toc15377215"/>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eastAsia="黑体"/>
          <w:b w:val="0"/>
          <w:color w:val="auto"/>
          <w:highlight w:val="none"/>
          <w:lang w:eastAsia="zh-CN"/>
        </w:rPr>
        <w:t>“</w:t>
      </w:r>
      <w:r>
        <w:rPr>
          <w:rStyle w:val="30"/>
          <w:rFonts w:hint="eastAsia" w:ascii="Times New Roman" w:hAnsi="Times New Roman" w:eastAsia="黑体"/>
          <w:b w:val="0"/>
          <w:color w:val="auto"/>
          <w:highlight w:val="none"/>
        </w:rPr>
        <w:t>三公</w:t>
      </w:r>
      <w:r>
        <w:rPr>
          <w:rStyle w:val="30"/>
          <w:rFonts w:hint="eastAsia" w:eastAsia="黑体"/>
          <w:b w:val="0"/>
          <w:color w:val="auto"/>
          <w:highlight w:val="none"/>
          <w:lang w:eastAsia="zh-CN"/>
        </w:rPr>
        <w:t>”</w:t>
      </w:r>
      <w:r>
        <w:rPr>
          <w:rStyle w:val="30"/>
          <w:rFonts w:hint="eastAsia" w:ascii="Times New Roman" w:hAnsi="Times New Roman" w:eastAsia="黑体"/>
          <w:b w:val="0"/>
          <w:color w:val="auto"/>
          <w:highlight w:val="none"/>
        </w:rPr>
        <w:t>经费支出决算情况说明</w:t>
      </w:r>
      <w:bookmarkEnd w:id="60"/>
      <w:bookmarkEnd w:id="61"/>
      <w:bookmarkEnd w:id="62"/>
      <w:bookmarkEnd w:id="63"/>
    </w:p>
    <w:p w14:paraId="280A840A">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64"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64"/>
    </w:p>
    <w:p w14:paraId="79DD1C99">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2025年度“三公”经费财政拨款支出决算为</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p>
    <w:p w14:paraId="71D6FAC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65"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65"/>
    </w:p>
    <w:p w14:paraId="26670E47">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outlineLvl w:val="9"/>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2025年度“三公”经费财政拨款支出决算中，公务用车购置及运行维护费支出决算</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color w:val="auto"/>
          <w:kern w:val="2"/>
          <w:sz w:val="32"/>
          <w:szCs w:val="32"/>
          <w:highlight w:val="none"/>
          <w:lang w:val="en-US" w:eastAsia="zh-CN" w:bidi="ar-SA"/>
        </w:rPr>
        <w:t>万元，占100%。具体情况如下：</w:t>
      </w:r>
    </w:p>
    <w:p w14:paraId="64F3EA98">
      <w:pPr>
        <w:ind w:firstLine="1260" w:firstLineChars="600"/>
      </w:pPr>
    </w:p>
    <w:p w14:paraId="55565E67">
      <w:pPr>
        <w:ind w:firstLine="1260" w:firstLineChars="600"/>
        <w:rPr>
          <w:rFonts w:hint="eastAsia" w:eastAsia="仿宋_GB2312" w:cs="仿宋_GB2312"/>
          <w:b/>
          <w:bCs/>
          <w:color w:val="auto"/>
          <w:kern w:val="2"/>
          <w:sz w:val="32"/>
          <w:szCs w:val="32"/>
          <w:highlight w:val="none"/>
          <w:lang w:val="en-US" w:eastAsia="zh-CN" w:bidi="ar-SA"/>
        </w:rPr>
      </w:pPr>
      <w:r>
        <w:object>
          <v:shape id="_x0000_i1025" o:spt="75" type="#_x0000_t75" style="height:180.25pt;width:299.35pt;" o:ole="t" filled="f" o:preferrelative="t" stroked="f" coordsize="21600,21600" o:gfxdata="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">
            <v:path/>
            <v:fill on="f" focussize="0,0"/>
            <v:stroke on="f"/>
            <v:imagedata r:id="rId14" o:title=""/>
            <o:lock v:ext="edit" aspectratio="t"/>
            <w10:wrap type="none"/>
            <w10:anchorlock/>
          </v:shape>
          <o:OLEObject Type="Embed" ProgID="excel.sheet.8" ShapeID="_x0000_i1025" DrawAspect="Content" ObjectID="_1468075725" r:id="rId13">
            <o:LockedField>false</o:LockedField>
          </o:OLEObject>
        </w:object>
      </w:r>
    </w:p>
    <w:p w14:paraId="3ADD87D3">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p>
    <w:p w14:paraId="0E5F2E04">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4.22万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71F00D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color w:val="auto"/>
          <w:sz w:val="32"/>
          <w:szCs w:val="32"/>
          <w:highlight w:val="none"/>
          <w:lang w:val="en-US" w:eastAsia="zh-CN"/>
        </w:rPr>
      </w:pPr>
      <w:r>
        <w:rPr>
          <w:rFonts w:hint="eastAsia" w:ascii="仿宋_GB2312" w:hAnsi="仿宋_GB2312" w:eastAsia="仿宋_GB2312" w:cs="仿宋_GB2312"/>
          <w:color w:val="auto"/>
          <w:kern w:val="2"/>
          <w:sz w:val="32"/>
          <w:szCs w:val="32"/>
          <w:highlight w:val="none"/>
          <w:lang w:val="en-US" w:eastAsia="zh-CN" w:bidi="ar-SA"/>
        </w:rPr>
        <w:t>截至2025年12月31日，单位共有公务用车1辆，</w:t>
      </w:r>
      <w:r>
        <w:rPr>
          <w:rFonts w:hint="eastAsia" w:ascii="仿宋_GB2312" w:hAnsi="仿宋_GB2312" w:eastAsia="仿宋_GB2312" w:cs="仿宋_GB2312"/>
          <w:color w:val="auto"/>
          <w:sz w:val="32"/>
          <w:szCs w:val="32"/>
          <w:highlight w:val="none"/>
        </w:rPr>
        <w:t>其中：</w:t>
      </w:r>
      <w:r>
        <w:rPr>
          <w:rFonts w:hint="eastAsia" w:eastAsia="仿宋_GB2312" w:cs="仿宋_GB2312"/>
          <w:sz w:val="32"/>
          <w:szCs w:val="32"/>
        </w:rPr>
        <w:t>越野车1辆</w:t>
      </w:r>
      <w:r>
        <w:rPr>
          <w:rFonts w:hint="eastAsia" w:ascii="仿宋_GB2312" w:hAnsi="仿宋_GB2312" w:eastAsia="仿宋_GB2312" w:cs="仿宋_GB2312"/>
          <w:color w:val="auto"/>
          <w:sz w:val="32"/>
          <w:szCs w:val="32"/>
          <w:highlight w:val="none"/>
          <w:lang w:val="en-US" w:eastAsia="zh-CN"/>
        </w:rPr>
        <w:t>。</w:t>
      </w:r>
    </w:p>
    <w:p w14:paraId="2141E9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仿宋_GB2312" w:hAnsi="仿宋_GB2312" w:eastAsia="仿宋_GB2312" w:cs="仿宋_GB2312"/>
          <w:color w:val="auto"/>
          <w:sz w:val="32"/>
          <w:szCs w:val="32"/>
          <w:highlight w:val="none"/>
        </w:rPr>
        <w:t>主要用</w:t>
      </w:r>
      <w:r>
        <w:rPr>
          <w:rFonts w:hint="eastAsia" w:ascii="仿宋_GB2312" w:eastAsia="仿宋_GB2312" w:cs="仿宋_GB2312"/>
          <w:sz w:val="32"/>
          <w:szCs w:val="32"/>
        </w:rPr>
        <w:t>日常工作所需的公务用车燃料费、维修费、过路过桥费、保险费等支出。</w:t>
      </w:r>
    </w:p>
    <w:p w14:paraId="5C4FF09B">
      <w:pPr>
        <w:keepNext w:val="0"/>
        <w:keepLines w:val="0"/>
        <w:pageBreakBefore w:val="0"/>
        <w:numPr>
          <w:ilvl w:val="0"/>
          <w:numId w:val="0"/>
        </w:numPr>
        <w:kinsoku/>
        <w:wordWrap/>
        <w:overflowPunct/>
        <w:topLinePunct w:val="0"/>
        <w:bidi w:val="0"/>
        <w:spacing w:line="576" w:lineRule="exact"/>
        <w:ind w:left="0" w:leftChars="0" w:firstLine="643"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color w:val="000000"/>
          <w:sz w:val="32"/>
          <w:szCs w:val="32"/>
          <w:lang w:val="en-US" w:eastAsia="zh-CN"/>
        </w:rPr>
        <w:t>0.22</w:t>
      </w:r>
      <w:r>
        <w:rPr>
          <w:rFonts w:hint="eastAsia" w:ascii="仿宋_GB2312" w:hAnsi="仿宋_GB2312" w:eastAsia="仿宋_GB2312" w:cs="仿宋_GB2312"/>
          <w:color w:val="000000"/>
          <w:sz w:val="32"/>
          <w:szCs w:val="32"/>
          <w:lang w:eastAsia="zh-CN"/>
        </w:rPr>
        <w:t>万元。</w:t>
      </w:r>
      <w:bookmarkStart w:id="66" w:name="_Toc15396610"/>
      <w:bookmarkStart w:id="67" w:name="_Toc15377218"/>
    </w:p>
    <w:p w14:paraId="1E843B05">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color w:val="auto"/>
          <w:highlight w:val="none"/>
        </w:rPr>
      </w:pPr>
      <w:bookmarkStart w:id="68" w:name="_Toc11336"/>
      <w:bookmarkStart w:id="69" w:name="_Toc10097"/>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66"/>
      <w:bookmarkEnd w:id="67"/>
      <w:bookmarkEnd w:id="68"/>
      <w:bookmarkEnd w:id="69"/>
    </w:p>
    <w:p w14:paraId="38BFBD24">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年度政府性基金预算财政拨款支出0万元</w:t>
      </w:r>
      <w:r>
        <w:rPr>
          <w:rFonts w:hint="eastAsia" w:eastAsia="仿宋_GB2312" w:cs="仿宋_GB2312"/>
          <w:sz w:val="32"/>
          <w:szCs w:val="32"/>
        </w:rPr>
        <w:t>。</w:t>
      </w:r>
    </w:p>
    <w:p w14:paraId="3F90D718">
      <w:pPr>
        <w:keepNext w:val="0"/>
        <w:keepLines w:val="0"/>
        <w:pageBreakBefore w:val="0"/>
        <w:numPr>
          <w:ilvl w:val="0"/>
          <w:numId w:val="0"/>
        </w:numPr>
        <w:kinsoku/>
        <w:wordWrap/>
        <w:overflowPunct/>
        <w:topLinePunct w:val="0"/>
        <w:bidi w:val="0"/>
        <w:spacing w:line="576" w:lineRule="exact"/>
        <w:ind w:left="0" w:leftChars="0" w:firstLine="640" w:firstLineChars="200"/>
        <w:jc w:val="both"/>
        <w:textAlignment w:val="auto"/>
        <w:outlineLvl w:val="9"/>
        <w:rPr>
          <w:rStyle w:val="30"/>
          <w:rFonts w:ascii="Times New Roman" w:hAnsi="Times New Roman" w:eastAsia="黑体"/>
          <w:b w:val="0"/>
          <w:color w:val="auto"/>
          <w:highlight w:val="none"/>
        </w:rPr>
      </w:pPr>
      <w:bookmarkStart w:id="70" w:name="_Toc15396611"/>
      <w:bookmarkStart w:id="71" w:name="_Toc2008"/>
      <w:bookmarkStart w:id="72" w:name="_Toc15377219"/>
      <w:bookmarkStart w:id="73" w:name="_Toc7448"/>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70"/>
      <w:bookmarkEnd w:id="71"/>
      <w:bookmarkEnd w:id="72"/>
      <w:bookmarkEnd w:id="73"/>
    </w:p>
    <w:p w14:paraId="5EFABD1B">
      <w:pPr>
        <w:keepNext w:val="0"/>
        <w:keepLines w:val="0"/>
        <w:pageBreakBefore w:val="0"/>
        <w:kinsoku/>
        <w:wordWrap/>
        <w:overflowPunct/>
        <w:topLinePunct w:val="0"/>
        <w:bidi w:val="0"/>
        <w:spacing w:line="576" w:lineRule="exact"/>
        <w:ind w:left="0" w:leftChars="0" w:firstLine="640" w:firstLineChars="200"/>
        <w:jc w:val="both"/>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w:t>
      </w:r>
    </w:p>
    <w:p w14:paraId="34532CC2">
      <w:pPr>
        <w:keepNext w:val="0"/>
        <w:keepLines w:val="0"/>
        <w:pageBreakBefore w:val="0"/>
        <w:numPr>
          <w:ilvl w:val="0"/>
          <w:numId w:val="0"/>
        </w:numPr>
        <w:kinsoku/>
        <w:wordWrap/>
        <w:overflowPunct/>
        <w:topLinePunct w:val="0"/>
        <w:bidi w:val="0"/>
        <w:spacing w:line="576" w:lineRule="exact"/>
        <w:ind w:left="0" w:leftChars="0" w:firstLine="640" w:firstLineChars="200"/>
        <w:jc w:val="both"/>
        <w:textAlignment w:val="auto"/>
        <w:outlineLvl w:val="9"/>
        <w:rPr>
          <w:rStyle w:val="30"/>
          <w:rFonts w:hint="eastAsia" w:ascii="Times New Roman" w:hAnsi="Times New Roman" w:eastAsia="黑体"/>
          <w:b w:val="0"/>
          <w:color w:val="auto"/>
          <w:highlight w:val="none"/>
          <w:lang w:eastAsia="zh-CN"/>
        </w:rPr>
      </w:pPr>
      <w:bookmarkStart w:id="74" w:name="_Toc31341"/>
      <w:bookmarkStart w:id="75" w:name="_Toc15377221"/>
      <w:bookmarkStart w:id="76" w:name="_Toc15396612"/>
      <w:bookmarkStart w:id="77" w:name="_Toc30205"/>
      <w:r>
        <w:rPr>
          <w:rStyle w:val="30"/>
          <w:rFonts w:hint="eastAsia" w:ascii="Times New Roman" w:hAnsi="Times New Roman" w:eastAsia="黑体"/>
          <w:b w:val="0"/>
          <w:color w:val="auto"/>
          <w:highlight w:val="none"/>
          <w:lang w:eastAsia="zh-CN"/>
        </w:rPr>
        <w:t>十、其他重要事项的情况说明</w:t>
      </w:r>
      <w:bookmarkEnd w:id="74"/>
      <w:bookmarkEnd w:id="75"/>
      <w:bookmarkEnd w:id="76"/>
      <w:bookmarkEnd w:id="77"/>
    </w:p>
    <w:p w14:paraId="47A0E382">
      <w:pPr>
        <w:keepNext w:val="0"/>
        <w:keepLines w:val="0"/>
        <w:pageBreakBefore w:val="0"/>
        <w:widowControl w:val="0"/>
        <w:kinsoku/>
        <w:wordWrap/>
        <w:overflowPunct/>
        <w:topLinePunct w:val="0"/>
        <w:bidi w:val="0"/>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78" w:name="_Toc15377222"/>
      <w:r>
        <w:rPr>
          <w:rFonts w:hint="eastAsia" w:ascii="Times New Roman" w:hAnsi="Times New Roman" w:eastAsia="楷体_GB2312" w:cs="楷体_GB2312"/>
          <w:b/>
          <w:color w:val="auto"/>
          <w:sz w:val="32"/>
          <w:szCs w:val="32"/>
          <w:highlight w:val="none"/>
        </w:rPr>
        <w:t>（一）机关运行经费支出情况</w:t>
      </w:r>
      <w:bookmarkEnd w:id="78"/>
    </w:p>
    <w:p w14:paraId="75A898EC">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茂县</w:t>
      </w:r>
      <w:r>
        <w:rPr>
          <w:rFonts w:hint="eastAsia" w:ascii="仿宋_GB2312" w:hAnsi="仿宋_GB2312" w:eastAsia="仿宋_GB2312" w:cs="仿宋_GB2312"/>
          <w:sz w:val="32"/>
          <w:szCs w:val="32"/>
          <w:lang w:eastAsia="zh-CN"/>
        </w:rPr>
        <w:t>民族宗教局</w:t>
      </w:r>
      <w:r>
        <w:rPr>
          <w:rFonts w:hint="eastAsia" w:ascii="仿宋_GB2312" w:hAnsi="仿宋_GB2312" w:eastAsia="仿宋_GB2312" w:cs="仿宋_GB2312"/>
          <w:color w:val="auto"/>
          <w:kern w:val="2"/>
          <w:sz w:val="32"/>
          <w:szCs w:val="32"/>
          <w:highlight w:val="none"/>
          <w:lang w:val="en-US" w:eastAsia="zh-CN" w:bidi="ar-SA"/>
        </w:rPr>
        <w:t>机关运行经费支出22.96万元，与2024年度相比增加10.04万元，增长77.71%。主要原因是：人员增加，日常公用经费增加。</w:t>
      </w:r>
    </w:p>
    <w:p w14:paraId="6A1D347C">
      <w:pPr>
        <w:keepNext w:val="0"/>
        <w:keepLines w:val="0"/>
        <w:pageBreakBefore w:val="0"/>
        <w:widowControl w:val="0"/>
        <w:kinsoku/>
        <w:wordWrap/>
        <w:overflowPunct/>
        <w:topLinePunct w:val="0"/>
        <w:bidi w:val="0"/>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bookmarkStart w:id="79" w:name="_Toc15377223"/>
      <w:r>
        <w:rPr>
          <w:rFonts w:hint="eastAsia" w:ascii="Times New Roman" w:hAnsi="Times New Roman" w:eastAsia="楷体_GB2312" w:cs="楷体_GB2312"/>
          <w:b/>
          <w:color w:val="auto"/>
          <w:sz w:val="32"/>
          <w:szCs w:val="32"/>
          <w:highlight w:val="none"/>
        </w:rPr>
        <w:t>（二）政府采购支出情况</w:t>
      </w:r>
      <w:bookmarkEnd w:id="79"/>
    </w:p>
    <w:p w14:paraId="2BD4F1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s="Times New Roman"/>
          <w:color w:val="auto"/>
          <w:sz w:val="32"/>
          <w:szCs w:val="32"/>
          <w:highlight w:val="none"/>
        </w:rPr>
      </w:pPr>
      <w:bookmarkStart w:id="80" w:name="_Toc15377224"/>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茂县民族宗教局</w:t>
      </w:r>
      <w:r>
        <w:rPr>
          <w:rFonts w:hint="eastAsia" w:ascii="仿宋_GB2312" w:eastAsia="仿宋_GB2312"/>
          <w:color w:val="auto"/>
          <w:sz w:val="32"/>
          <w:szCs w:val="32"/>
          <w:highlight w:val="none"/>
        </w:rPr>
        <w:t>采购支出总额</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r>
        <w:rPr>
          <w:rFonts w:hint="eastAsia" w:ascii="仿宋_GB2312" w:eastAsia="仿宋_GB2312" w:cs="Times New Roman"/>
          <w:color w:val="auto"/>
          <w:sz w:val="32"/>
          <w:szCs w:val="32"/>
          <w:highlight w:val="none"/>
        </w:rPr>
        <w:t>。</w:t>
      </w:r>
    </w:p>
    <w:p w14:paraId="68D5D096">
      <w:pPr>
        <w:keepNext w:val="0"/>
        <w:keepLines w:val="0"/>
        <w:pageBreakBefore w:val="0"/>
        <w:widowControl w:val="0"/>
        <w:kinsoku/>
        <w:wordWrap/>
        <w:overflowPunct/>
        <w:topLinePunct w:val="0"/>
        <w:bidi w:val="0"/>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80"/>
    </w:p>
    <w:p w14:paraId="29ADCBD9">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left"/>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hAnsi="仿宋_GB2312" w:eastAsia="仿宋_GB2312" w:cs="仿宋_GB2312"/>
          <w:sz w:val="32"/>
          <w:szCs w:val="32"/>
        </w:rPr>
        <w:t>茂县民族宗教局共有车辆1辆，其中：应急保障用车1辆</w:t>
      </w:r>
      <w:r>
        <w:rPr>
          <w:rFonts w:hint="eastAsia" w:ascii="仿宋_GB2312" w:eastAsia="仿宋_GB2312"/>
          <w:color w:val="auto"/>
          <w:sz w:val="32"/>
          <w:szCs w:val="32"/>
          <w:highlight w:val="none"/>
          <w:lang w:eastAsia="zh-CN"/>
        </w:rPr>
        <w:t>。</w:t>
      </w:r>
    </w:p>
    <w:p w14:paraId="2B14165D">
      <w:pPr>
        <w:keepNext w:val="0"/>
        <w:keepLines w:val="0"/>
        <w:pageBreakBefore w:val="0"/>
        <w:widowControl w:val="0"/>
        <w:kinsoku/>
        <w:wordWrap/>
        <w:overflowPunct/>
        <w:topLinePunct w:val="0"/>
        <w:autoSpaceDE/>
        <w:autoSpaceDN/>
        <w:bidi w:val="0"/>
        <w:adjustRightInd/>
        <w:snapToGrid/>
        <w:spacing w:line="576" w:lineRule="exact"/>
        <w:ind w:left="0" w:leftChars="0" w:firstLine="643" w:firstLineChars="200"/>
        <w:jc w:val="both"/>
        <w:textAlignment w:val="auto"/>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01668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val="en-US" w:eastAsia="zh-CN"/>
        </w:rPr>
      </w:pPr>
      <w:bookmarkStart w:id="81" w:name="_Toc23377"/>
      <w:bookmarkStart w:id="82" w:name="_Toc15377225"/>
      <w:bookmarkStart w:id="83" w:name="_Toc17324"/>
      <w:bookmarkStart w:id="84" w:name="_Toc15396613"/>
      <w:r>
        <w:rPr>
          <w:rFonts w:hint="eastAsia" w:ascii="仿宋_GB2312" w:eastAsia="仿宋_GB2312"/>
          <w:color w:val="auto"/>
          <w:sz w:val="32"/>
          <w:szCs w:val="32"/>
          <w:highlight w:val="none"/>
          <w:lang w:val="en-US" w:eastAsia="zh-CN"/>
        </w:rPr>
        <w:t>根据预算绩效管理要求，茂县民族宗教局在2025年度预算编制阶段，组织对</w:t>
      </w:r>
      <w:r>
        <w:rPr>
          <w:rFonts w:hint="eastAsia" w:ascii="仿宋_GB2312" w:eastAsia="仿宋_GB2312"/>
          <w:color w:val="auto"/>
          <w:sz w:val="32"/>
          <w:szCs w:val="32"/>
          <w:highlight w:val="none"/>
          <w:lang w:eastAsia="zh-CN"/>
        </w:rPr>
        <w:t>茂县送茶入户项目</w:t>
      </w:r>
      <w:r>
        <w:rPr>
          <w:rFonts w:hint="eastAsia" w:ascii="仿宋_GB2312" w:eastAsia="仿宋_GB2312"/>
          <w:color w:val="auto"/>
          <w:sz w:val="32"/>
          <w:szCs w:val="32"/>
          <w:highlight w:val="none"/>
          <w:lang w:val="en-US" w:eastAsia="zh-CN"/>
        </w:rPr>
        <w:t>等12个项目开展了预算事前绩效评估，选取12个项目开展绩效监控。</w:t>
      </w:r>
    </w:p>
    <w:p w14:paraId="35B2CA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组织对2025年度一般公共预算、政府性基金预算、国有资本经营预算、社会保险基金预算以及资本资产、债券资金等全面开展绩效自评，形成茂县民族宗教局部门整体（含部门预算项目）绩效自评报告；</w:t>
      </w:r>
      <w:r>
        <w:rPr>
          <w:rFonts w:hint="eastAsia" w:ascii="仿宋_GB2312" w:eastAsia="仿宋_GB2312"/>
          <w:color w:val="auto"/>
          <w:sz w:val="32"/>
          <w:szCs w:val="32"/>
          <w:highlight w:val="none"/>
          <w:lang w:eastAsia="zh-CN"/>
        </w:rPr>
        <w:t>茂县送茶入户项目</w:t>
      </w:r>
      <w:r>
        <w:rPr>
          <w:rFonts w:hint="eastAsia" w:ascii="仿宋_GB2312" w:eastAsia="仿宋_GB2312"/>
          <w:color w:val="auto"/>
          <w:sz w:val="32"/>
          <w:szCs w:val="32"/>
          <w:highlight w:val="none"/>
          <w:lang w:val="en-US" w:eastAsia="zh-CN"/>
        </w:rPr>
        <w:t>绩效自评得分为85分，绩效自评综述整体实施优秀。茂县铸牢中华民族共同体意识创建宣传建设项目绩效自评得分为83分，绩效自评综述整体实施良好。</w:t>
      </w:r>
    </w:p>
    <w:p w14:paraId="17942BB6">
      <w:pPr>
        <w:keepNext w:val="0"/>
        <w:keepLines w:val="0"/>
        <w:pageBreakBefore w:val="0"/>
        <w:numPr>
          <w:ilvl w:val="0"/>
          <w:numId w:val="0"/>
        </w:numPr>
        <w:kinsoku/>
        <w:wordWrap/>
        <w:overflowPunct/>
        <w:topLinePunct w:val="0"/>
        <w:bidi w:val="0"/>
        <w:spacing w:line="576" w:lineRule="exact"/>
        <w:ind w:left="0" w:leftChars="0" w:firstLine="2200" w:firstLineChars="500"/>
        <w:jc w:val="both"/>
        <w:textAlignment w:val="auto"/>
        <w:outlineLvl w:val="9"/>
        <w:rPr>
          <w:rFonts w:hint="eastAsia" w:ascii="Times New Roman" w:hAnsi="Times New Roman" w:eastAsia="黑体"/>
          <w:color w:val="auto"/>
          <w:sz w:val="44"/>
          <w:szCs w:val="44"/>
          <w:highlight w:val="none"/>
        </w:rPr>
      </w:pPr>
    </w:p>
    <w:p w14:paraId="02E80815">
      <w:pPr>
        <w:keepNext w:val="0"/>
        <w:keepLines w:val="0"/>
        <w:pageBreakBefore w:val="0"/>
        <w:numPr>
          <w:ilvl w:val="0"/>
          <w:numId w:val="0"/>
        </w:numPr>
        <w:kinsoku/>
        <w:wordWrap/>
        <w:overflowPunct/>
        <w:topLinePunct w:val="0"/>
        <w:bidi w:val="0"/>
        <w:spacing w:line="576" w:lineRule="exact"/>
        <w:jc w:val="both"/>
        <w:textAlignment w:val="auto"/>
        <w:outlineLvl w:val="9"/>
        <w:rPr>
          <w:rFonts w:hint="eastAsia" w:ascii="Times New Roman" w:hAnsi="Times New Roman" w:eastAsia="黑体"/>
          <w:color w:val="auto"/>
          <w:sz w:val="44"/>
          <w:szCs w:val="44"/>
          <w:highlight w:val="none"/>
        </w:rPr>
      </w:pPr>
    </w:p>
    <w:p w14:paraId="4F30BB7D">
      <w:pPr>
        <w:keepNext w:val="0"/>
        <w:keepLines w:val="0"/>
        <w:pageBreakBefore w:val="0"/>
        <w:numPr>
          <w:ilvl w:val="0"/>
          <w:numId w:val="0"/>
        </w:numPr>
        <w:kinsoku/>
        <w:wordWrap/>
        <w:overflowPunct/>
        <w:topLinePunct w:val="0"/>
        <w:bidi w:val="0"/>
        <w:spacing w:line="576" w:lineRule="exact"/>
        <w:jc w:val="both"/>
        <w:textAlignment w:val="auto"/>
        <w:outlineLvl w:val="9"/>
        <w:rPr>
          <w:rFonts w:hint="eastAsia" w:ascii="Times New Roman" w:hAnsi="Times New Roman" w:eastAsia="黑体"/>
          <w:color w:val="auto"/>
          <w:sz w:val="44"/>
          <w:szCs w:val="44"/>
          <w:highlight w:val="none"/>
        </w:rPr>
      </w:pPr>
    </w:p>
    <w:p w14:paraId="0A67BFA9">
      <w:pPr>
        <w:keepNext w:val="0"/>
        <w:keepLines w:val="0"/>
        <w:pageBreakBefore w:val="0"/>
        <w:numPr>
          <w:ilvl w:val="0"/>
          <w:numId w:val="0"/>
        </w:numPr>
        <w:kinsoku/>
        <w:wordWrap/>
        <w:overflowPunct/>
        <w:topLinePunct w:val="0"/>
        <w:bidi w:val="0"/>
        <w:spacing w:line="576" w:lineRule="exact"/>
        <w:ind w:left="0" w:leftChars="0" w:firstLine="2200" w:firstLineChars="500"/>
        <w:jc w:val="both"/>
        <w:textAlignment w:val="auto"/>
        <w:outlineLvl w:val="9"/>
        <w:rPr>
          <w:rFonts w:ascii="Times New Roman" w:hAnsi="Times New Roman"/>
          <w:b/>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1"/>
      <w:bookmarkEnd w:id="82"/>
      <w:bookmarkEnd w:id="83"/>
      <w:bookmarkEnd w:id="84"/>
    </w:p>
    <w:p w14:paraId="28B415C7">
      <w:pPr>
        <w:pStyle w:val="27"/>
        <w:keepNext w:val="0"/>
        <w:keepLines w:val="0"/>
        <w:pageBreakBefore w:val="0"/>
        <w:kinsoku/>
        <w:wordWrap/>
        <w:overflowPunct/>
        <w:topLinePunct w:val="0"/>
        <w:bidi w:val="0"/>
        <w:spacing w:line="576" w:lineRule="exact"/>
        <w:ind w:left="0" w:leftChars="0" w:firstLine="880" w:firstLineChars="200"/>
        <w:jc w:val="both"/>
        <w:textAlignment w:val="auto"/>
        <w:outlineLvl w:val="9"/>
        <w:rPr>
          <w:rFonts w:ascii="仿宋_GB2312" w:eastAsia="仿宋_GB2312"/>
          <w:color w:val="auto"/>
          <w:sz w:val="44"/>
          <w:szCs w:val="44"/>
          <w:highlight w:val="none"/>
        </w:rPr>
      </w:pPr>
      <w:bookmarkStart w:id="85" w:name="_Toc12880"/>
    </w:p>
    <w:p w14:paraId="69906A2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bookmarkStart w:id="86" w:name="_Toc2237"/>
      <w:bookmarkStart w:id="87" w:name="_Toc32699"/>
      <w:bookmarkStart w:id="88" w:name="_Toc14111"/>
      <w:bookmarkStart w:id="89" w:name="_Toc23056"/>
      <w:bookmarkStart w:id="90" w:name="_Toc30061"/>
      <w:r>
        <w:rPr>
          <w:rFonts w:hint="eastAsia" w:ascii="仿宋_GB2312" w:hAnsi="Times New Roman" w:eastAsia="仿宋_GB2312" w:cs="仿宋_GB2312"/>
          <w:color w:val="000000"/>
          <w:kern w:val="0"/>
          <w:sz w:val="32"/>
          <w:szCs w:val="32"/>
          <w:lang w:val="en-US" w:eastAsia="zh-CN" w:bidi="ar-SA"/>
        </w:rPr>
        <w:t>1.财政拨款收入：指单位从同级财政部门取得的财政预算资金。</w:t>
      </w:r>
      <w:bookmarkEnd w:id="85"/>
      <w:bookmarkEnd w:id="86"/>
      <w:bookmarkEnd w:id="87"/>
      <w:bookmarkEnd w:id="88"/>
      <w:bookmarkEnd w:id="89"/>
      <w:bookmarkEnd w:id="90"/>
    </w:p>
    <w:p w14:paraId="3DDB34B9">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2.事业收入：指事业单位开展专业业务活动及辅助活动取得的收入。</w:t>
      </w:r>
    </w:p>
    <w:p w14:paraId="5F6A4FC8">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3.经营收入：指事业单位在专业业务活动及其辅助活动之外开展非独立核算经营活动取得的收入。</w:t>
      </w:r>
    </w:p>
    <w:p w14:paraId="24401C3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bookmarkStart w:id="91" w:name="_Toc29469"/>
      <w:bookmarkStart w:id="92" w:name="_Toc21558"/>
      <w:bookmarkStart w:id="93" w:name="_Toc14963"/>
      <w:bookmarkStart w:id="94" w:name="_Toc1732"/>
      <w:bookmarkStart w:id="95" w:name="_Toc28467"/>
      <w:bookmarkStart w:id="96" w:name="_Toc21486"/>
      <w:r>
        <w:rPr>
          <w:rFonts w:hint="eastAsia" w:ascii="仿宋_GB2312" w:hAnsi="Times New Roman" w:eastAsia="仿宋_GB2312" w:cs="仿宋_GB2312"/>
          <w:color w:val="000000"/>
          <w:kern w:val="0"/>
          <w:sz w:val="32"/>
          <w:szCs w:val="32"/>
          <w:lang w:val="en-US" w:eastAsia="zh-CN" w:bidi="ar-SA"/>
        </w:rPr>
        <w:t>4.其他收入：指单位取得的除上述收入以外的各项收入。</w:t>
      </w:r>
      <w:bookmarkEnd w:id="91"/>
      <w:bookmarkEnd w:id="92"/>
      <w:bookmarkEnd w:id="93"/>
      <w:bookmarkEnd w:id="94"/>
      <w:bookmarkEnd w:id="95"/>
      <w:bookmarkEnd w:id="96"/>
      <w:r>
        <w:rPr>
          <w:rFonts w:hint="eastAsia" w:ascii="仿宋_GB2312" w:hAnsi="Times New Roman" w:eastAsia="仿宋_GB2312" w:cs="仿宋_GB2312"/>
          <w:color w:val="000000"/>
          <w:kern w:val="0"/>
          <w:sz w:val="32"/>
          <w:szCs w:val="32"/>
          <w:lang w:val="en-US" w:eastAsia="zh-CN" w:bidi="ar-SA"/>
        </w:rPr>
        <w:t xml:space="preserve"> </w:t>
      </w:r>
    </w:p>
    <w:p w14:paraId="758F815C">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 xml:space="preserve">5.使用非财政拨款结余（含专用结余）：指事业单位使用以前年度积累的非财政拨款结余弥补当年收支差额的金额。 </w:t>
      </w:r>
    </w:p>
    <w:p w14:paraId="59F5DAD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 xml:space="preserve">6.年初结转和结余：指以前年度尚未完成、结转到本年按有关规定继续使用的资金。 </w:t>
      </w:r>
    </w:p>
    <w:p w14:paraId="6BE7B5A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7.结余分配：指事业单位按照会计制度规定缴纳的所得税、提取的专用结余以及转入非财政拨款结余的金额等。</w:t>
      </w:r>
    </w:p>
    <w:p w14:paraId="2093B1B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8.年末结转和结余：指单位按有关规定结转到下年或以后年度继续使用的资金。</w:t>
      </w:r>
    </w:p>
    <w:p w14:paraId="48828858">
      <w:pPr>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9.一般公共服务（类）人大事务（款）代表工作（项）：指单位人大召开人民代表大会等专门会议的支出。</w:t>
      </w:r>
    </w:p>
    <w:p w14:paraId="70CC1B68">
      <w:pPr>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10.一般公共服务（类）政府办公厅（室）及相关机构事务（款）行政运行（项）：指单位（包括实行公务员管理的事业单位）的基本支出。</w:t>
      </w:r>
    </w:p>
    <w:p w14:paraId="7EF06759">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11.一般公共服务（类）政府办公厅（室）及相关机构事务（款）其他政府办公厅（室）及相关机构事务支出（项）：指单位用于保障机构正常运行、开展日常工作的基本支出。</w:t>
      </w:r>
    </w:p>
    <w:p w14:paraId="328B766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12.文化旅游体育与传媒（类）其他文化旅游体育与传媒支出（款）其他文化旅游体育与传媒支出（项）：指单位用于安排的其他文化旅游体育与传媒支出。</w:t>
      </w:r>
    </w:p>
    <w:p w14:paraId="45629A3B">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13.社会保障和就业（类）行政事业单位养老支出（款）机关事业单位基本养老保险缴费支出（项）：指单位实施养老保险制度由单位缴纳的养老保险费的支出。</w:t>
      </w:r>
    </w:p>
    <w:p w14:paraId="5F2F4FFE">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14.文社会保障和就业（类）行政事业单位养老支出（款）机关事业单位职业年金缴费支出（项）：指单位实施养老保险制度由单位缴纳的职业年金的支出。</w:t>
      </w:r>
    </w:p>
    <w:p w14:paraId="48074177">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15.社会保障和就业（类）就业补助（款）公益性岗位补贴（项）：指单位对符合条件的就业困难人员在公益性岗位就业给与的岗位补贴支出。</w:t>
      </w:r>
    </w:p>
    <w:p w14:paraId="645A4414">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仿宋_GB2312" w:hAnsi="Times New Roman" w:eastAsia="仿宋_GB2312" w:cs="仿宋_GB2312"/>
          <w:color w:val="000000"/>
          <w:kern w:val="0"/>
          <w:sz w:val="32"/>
          <w:szCs w:val="32"/>
          <w:lang w:val="en-US" w:eastAsia="zh-CN" w:bidi="ar-SA"/>
        </w:rPr>
      </w:pPr>
      <w:r>
        <w:rPr>
          <w:rFonts w:hint="eastAsia" w:ascii="仿宋_GB2312" w:hAnsi="Times New Roman" w:eastAsia="仿宋_GB2312" w:cs="仿宋_GB2312"/>
          <w:color w:val="000000"/>
          <w:kern w:val="0"/>
          <w:sz w:val="32"/>
          <w:szCs w:val="32"/>
          <w:lang w:val="en-US" w:eastAsia="zh-CN" w:bidi="ar-SA"/>
        </w:rPr>
        <w:t>16.卫生健康（类）行政事业单位医疗（款）行政单位医疗（项）：指单位安排的行政单位（包括公务员管理的事业单位，同下）基本医疗保险缴纳经费，未参加医疗保险的行政单位的公费医疗经费，按国家规定享受离休人员、红军老战士待遇人员的医疗经费。</w:t>
      </w:r>
    </w:p>
    <w:p w14:paraId="762531A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Fonts w:hint="eastAsia" w:ascii="仿宋_GB2312" w:hAnsi="Times New Roman" w:eastAsia="仿宋_GB2312" w:cs="仿宋_GB2312"/>
          <w:color w:val="000000"/>
          <w:kern w:val="0"/>
          <w:sz w:val="32"/>
          <w:szCs w:val="32"/>
          <w:lang w:val="en-US" w:eastAsia="zh-CN" w:bidi="ar-SA"/>
        </w:rPr>
        <w:t>17.卫生健康（类）行政事业单位医疗（款）事业单位医疗（项）：</w:t>
      </w:r>
      <w:r>
        <w:rPr>
          <w:rStyle w:val="18"/>
          <w:rFonts w:hint="eastAsia" w:ascii="仿宋_GB2312" w:eastAsia="仿宋_GB2312" w:cs="仿宋_GB2312"/>
          <w:b w:val="0"/>
          <w:color w:val="000000"/>
          <w:sz w:val="32"/>
          <w:szCs w:val="32"/>
        </w:rPr>
        <w:t>指</w:t>
      </w:r>
      <w:r>
        <w:rPr>
          <w:rFonts w:hint="eastAsia" w:ascii="仿宋_GB2312" w:eastAsia="仿宋_GB2312" w:cs="仿宋_GB2312"/>
          <w:color w:val="000000"/>
          <w:kern w:val="0"/>
          <w:sz w:val="32"/>
          <w:szCs w:val="32"/>
        </w:rPr>
        <w:t>单位</w:t>
      </w:r>
      <w:r>
        <w:rPr>
          <w:rFonts w:hint="eastAsia" w:ascii="仿宋_GB2312" w:eastAsia="仿宋_GB2312" w:cs="仿宋_GB2312"/>
          <w:color w:val="000000"/>
          <w:kern w:val="0"/>
          <w:sz w:val="32"/>
          <w:szCs w:val="32"/>
          <w:lang w:eastAsia="zh-CN"/>
        </w:rPr>
        <w:t>安排的事业单位基本医疗保险缴纳经费，未参加</w:t>
      </w:r>
      <w:r>
        <w:rPr>
          <w:rStyle w:val="18"/>
          <w:rFonts w:hint="eastAsia" w:ascii="仿宋_GB2312" w:hAnsi="Times New Roman" w:eastAsia="仿宋_GB2312" w:cs="仿宋_GB2312"/>
          <w:b w:val="0"/>
          <w:color w:val="000000"/>
          <w:sz w:val="32"/>
          <w:szCs w:val="32"/>
          <w:lang w:eastAsia="zh-CN"/>
        </w:rPr>
        <w:t>医疗保险的行政单位的公费医疗经费，按国家规定享受离休人员的医疗经费。</w:t>
      </w:r>
    </w:p>
    <w:p w14:paraId="454F515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18.农林水支出（类）农业农村（款）事业运行（项）：</w:t>
      </w:r>
      <w:r>
        <w:rPr>
          <w:rStyle w:val="18"/>
          <w:rFonts w:hint="eastAsia" w:ascii="仿宋_GB2312" w:hAnsi="Times New Roman" w:eastAsia="仿宋_GB2312" w:cs="仿宋_GB2312"/>
          <w:b w:val="0"/>
          <w:color w:val="000000"/>
          <w:sz w:val="32"/>
          <w:szCs w:val="32"/>
        </w:rPr>
        <w:t>指用于农业事业单位基本支出，事业单位设施、系统运行与资产维护等方面的支出。</w:t>
      </w:r>
    </w:p>
    <w:p w14:paraId="637F16D8">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农林水支出（类）农业农村（款）其他农业农村支出（项）：</w:t>
      </w:r>
      <w:r>
        <w:rPr>
          <w:rStyle w:val="18"/>
          <w:rFonts w:hint="eastAsia" w:ascii="仿宋_GB2312" w:hAnsi="Times New Roman" w:eastAsia="仿宋_GB2312" w:cs="仿宋_GB2312"/>
          <w:b w:val="0"/>
          <w:color w:val="000000"/>
          <w:sz w:val="32"/>
          <w:szCs w:val="32"/>
        </w:rPr>
        <w:t>指用于</w:t>
      </w:r>
      <w:r>
        <w:rPr>
          <w:rStyle w:val="18"/>
          <w:rFonts w:hint="eastAsia" w:ascii="仿宋_GB2312" w:hAnsi="Times New Roman" w:eastAsia="仿宋_GB2312" w:cs="仿宋_GB2312"/>
          <w:b w:val="0"/>
          <w:color w:val="000000"/>
          <w:sz w:val="32"/>
          <w:szCs w:val="32"/>
          <w:lang w:eastAsia="zh-CN"/>
        </w:rPr>
        <w:t>上述项目以外的其他用于农业农村方面的支出。</w:t>
      </w:r>
    </w:p>
    <w:p w14:paraId="158B262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农林水支出（类）巩固脱贫攻坚成果衔接乡村振兴（款）其他巩固脱贫攻坚成果衔接乡村振兴支出（项）：</w:t>
      </w:r>
      <w:r>
        <w:rPr>
          <w:rStyle w:val="18"/>
          <w:rFonts w:hint="eastAsia" w:ascii="仿宋_GB2312" w:hAnsi="Times New Roman" w:eastAsia="仿宋_GB2312" w:cs="仿宋_GB2312"/>
          <w:b w:val="0"/>
          <w:color w:val="000000"/>
          <w:sz w:val="32"/>
          <w:szCs w:val="32"/>
        </w:rPr>
        <w:t>指用于</w:t>
      </w:r>
      <w:r>
        <w:rPr>
          <w:rStyle w:val="18"/>
          <w:rFonts w:hint="eastAsia" w:ascii="仿宋_GB2312" w:hAnsi="Times New Roman" w:eastAsia="仿宋_GB2312" w:cs="仿宋_GB2312"/>
          <w:b w:val="0"/>
          <w:color w:val="000000"/>
          <w:sz w:val="32"/>
          <w:szCs w:val="32"/>
          <w:lang w:eastAsia="zh-CN"/>
        </w:rPr>
        <w:t>上述项目以外的其他用于巩固拓展脱贫攻坚成果同乡村振兴有效衔接方面的支出。</w:t>
      </w:r>
    </w:p>
    <w:p w14:paraId="15576D9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21.农林水支出（类）农村综合改革（款）对村民委员会和村党支部的补助（项）：</w:t>
      </w:r>
      <w:r>
        <w:rPr>
          <w:rStyle w:val="18"/>
          <w:rFonts w:hint="eastAsia" w:ascii="仿宋_GB2312" w:hAnsi="Times New Roman" w:eastAsia="仿宋_GB2312" w:cs="仿宋_GB2312"/>
          <w:b w:val="0"/>
          <w:color w:val="000000"/>
          <w:sz w:val="32"/>
          <w:szCs w:val="32"/>
        </w:rPr>
        <w:t>指对村民委员会和对村党支部的补助支出，以及支持建立县级基本财力保障机制安排的村级组织运转奖补资金。</w:t>
      </w:r>
    </w:p>
    <w:p w14:paraId="50C344C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rPr>
      </w:pPr>
      <w:r>
        <w:rPr>
          <w:rStyle w:val="18"/>
          <w:rFonts w:hint="eastAsia" w:ascii="仿宋_GB2312" w:hAnsi="Times New Roman" w:eastAsia="仿宋_GB2312" w:cs="仿宋_GB2312"/>
          <w:b w:val="0"/>
          <w:color w:val="000000"/>
          <w:sz w:val="32"/>
          <w:szCs w:val="32"/>
          <w:lang w:val="en-US" w:eastAsia="zh-CN"/>
        </w:rPr>
        <w:t>22.住房保障支出（类）住房改革支出（款）住房公积金（项）：</w:t>
      </w:r>
      <w:r>
        <w:rPr>
          <w:rStyle w:val="18"/>
          <w:rFonts w:hint="eastAsia" w:ascii="仿宋_GB2312" w:hAnsi="Times New Roman" w:eastAsia="仿宋_GB2312" w:cs="仿宋_GB2312"/>
          <w:b w:val="0"/>
          <w:color w:val="000000"/>
          <w:sz w:val="32"/>
          <w:szCs w:val="32"/>
        </w:rPr>
        <w:t>指反映行政事业单位按规定为职工缴纳的住房公积金。</w:t>
      </w:r>
    </w:p>
    <w:p w14:paraId="4E4D5A60">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Style w:val="18"/>
          <w:rFonts w:hint="eastAsia" w:ascii="仿宋_GB2312" w:hAnsi="Times New Roman" w:eastAsia="仿宋_GB2312" w:cs="仿宋_GB2312"/>
          <w:b w:val="0"/>
          <w:color w:val="000000"/>
          <w:sz w:val="32"/>
          <w:szCs w:val="32"/>
          <w:lang w:val="en-US" w:eastAsia="zh-CN"/>
        </w:rPr>
        <w:t>23.住房保障支出（类）住房改革支出（款）购房补贴（项）：指按房改政策规定，行政事业单位向符合条件的职工（含离退休人员）、军队（含武警）向转役复员离退休人员发放的用于购买</w:t>
      </w:r>
      <w:r>
        <w:rPr>
          <w:rFonts w:hint="eastAsia" w:eastAsia="仿宋_GB2312" w:cs="仿宋_GB2312"/>
          <w:color w:val="auto"/>
          <w:kern w:val="2"/>
          <w:sz w:val="32"/>
          <w:szCs w:val="32"/>
          <w:highlight w:val="none"/>
          <w:lang w:val="en-US" w:eastAsia="zh-CN" w:bidi="ar-SA"/>
        </w:rPr>
        <w:t>住房的补贴。</w:t>
      </w:r>
    </w:p>
    <w:p w14:paraId="3128A359">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24.灾害防治及应急管理支出（类）自然灾害救灾及恢复重建支出（款）其他自然灾害救灾及恢复重建支出（项）：指除上述项目以外的其他用于自然灾害救灾、灾后恢复重建等方面的支出。</w:t>
      </w:r>
    </w:p>
    <w:p w14:paraId="6C9E0491">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25.基本支出：指为保障机构正常运转、完成日常工作任务而发生的人员支出和公用支出。</w:t>
      </w:r>
    </w:p>
    <w:p w14:paraId="0D924486">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 xml:space="preserve">26.项目支出：指在基本支出之外为完成特定行政任务和事业发展目标所发生的支出。 </w:t>
      </w:r>
    </w:p>
    <w:p w14:paraId="1288A3C3">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27.经营支出：指事业单位在专业业务活动及其辅助活动之外开展非独立核算经营活动发生的支出。</w:t>
      </w:r>
    </w:p>
    <w:p w14:paraId="42BD691F">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Style w:val="18"/>
          <w:rFonts w:hint="eastAsia" w:ascii="仿宋_GB2312" w:hAnsi="Times New Roman" w:eastAsia="仿宋_GB2312" w:cs="仿宋_GB2312"/>
          <w:b w:val="0"/>
          <w:color w:val="000000"/>
          <w:sz w:val="32"/>
          <w:szCs w:val="32"/>
          <w:lang w:val="en-US" w:eastAsia="zh-CN"/>
        </w:rPr>
      </w:pPr>
      <w:r>
        <w:rPr>
          <w:rStyle w:val="18"/>
          <w:rFonts w:hint="eastAsia" w:ascii="仿宋_GB2312" w:hAnsi="Times New Roman" w:eastAsia="仿宋_GB2312" w:cs="仿宋_GB2312"/>
          <w:b w:val="0"/>
          <w:color w:val="000000"/>
          <w:sz w:val="32"/>
          <w:szCs w:val="32"/>
          <w:lang w:val="en-US" w:eastAsia="zh-CN"/>
        </w:rPr>
        <w:t>28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79967D8">
      <w:pPr>
        <w:pStyle w:val="27"/>
        <w:keepNext w:val="0"/>
        <w:keepLines w:val="0"/>
        <w:pageBreakBefore w:val="0"/>
        <w:widowControl w:val="0"/>
        <w:kinsoku/>
        <w:wordWrap/>
        <w:overflowPunct/>
        <w:topLinePunct w:val="0"/>
        <w:bidi w:val="0"/>
        <w:spacing w:line="560" w:lineRule="exact"/>
        <w:ind w:left="0" w:leftChars="0" w:firstLine="640" w:firstLineChars="200"/>
        <w:jc w:val="both"/>
        <w:textAlignment w:val="auto"/>
        <w:outlineLvl w:val="9"/>
        <w:rPr>
          <w:rFonts w:hint="eastAsia" w:ascii="黑体" w:hAnsi="黑体" w:eastAsia="黑体"/>
          <w:color w:val="auto"/>
          <w:sz w:val="44"/>
          <w:szCs w:val="44"/>
          <w:highlight w:val="none"/>
        </w:rPr>
      </w:pPr>
      <w:r>
        <w:rPr>
          <w:rStyle w:val="18"/>
          <w:rFonts w:hint="eastAsia" w:ascii="仿宋_GB2312" w:hAnsi="Times New Roman" w:eastAsia="仿宋_GB2312" w:cs="仿宋_GB2312"/>
          <w:b w:val="0"/>
          <w:color w:val="000000"/>
          <w:sz w:val="32"/>
          <w:szCs w:val="32"/>
          <w:lang w:val="en-US" w:eastAsia="zh-CN"/>
        </w:rPr>
        <w:t>29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97" w:name="_Toc25272"/>
      <w:bookmarkStart w:id="98" w:name="_Toc15377226"/>
    </w:p>
    <w:p w14:paraId="57CF6062">
      <w:pPr>
        <w:spacing w:line="600" w:lineRule="exact"/>
        <w:jc w:val="center"/>
        <w:outlineLvl w:val="0"/>
        <w:rPr>
          <w:rFonts w:hint="eastAsia" w:ascii="黑体" w:hAnsi="黑体" w:eastAsia="黑体"/>
          <w:color w:val="auto"/>
          <w:sz w:val="44"/>
          <w:szCs w:val="44"/>
          <w:highlight w:val="none"/>
        </w:rPr>
      </w:pPr>
    </w:p>
    <w:p w14:paraId="569C380D">
      <w:pPr>
        <w:spacing w:line="600" w:lineRule="exact"/>
        <w:jc w:val="center"/>
        <w:outlineLvl w:val="0"/>
        <w:rPr>
          <w:rStyle w:val="29"/>
          <w:rFonts w:ascii="黑体" w:hAnsi="黑体" w:eastAsia="黑体"/>
          <w:b w:val="0"/>
          <w:color w:val="auto"/>
          <w:highlight w:val="none"/>
        </w:rPr>
      </w:pPr>
      <w:r>
        <w:rPr>
          <w:rFonts w:hint="eastAsia" w:ascii="黑体" w:hAnsi="黑体" w:eastAsia="黑体"/>
          <w:color w:val="auto"/>
          <w:sz w:val="44"/>
          <w:szCs w:val="44"/>
          <w:highlight w:val="none"/>
        </w:rPr>
        <w:t>第</w:t>
      </w:r>
      <w:r>
        <w:rPr>
          <w:rStyle w:val="29"/>
          <w:rFonts w:hint="eastAsia" w:ascii="黑体" w:hAnsi="黑体" w:eastAsia="黑体"/>
          <w:b w:val="0"/>
          <w:color w:val="auto"/>
          <w:highlight w:val="none"/>
        </w:rPr>
        <w:t>四部分 附件</w:t>
      </w:r>
      <w:bookmarkEnd w:id="97"/>
    </w:p>
    <w:p w14:paraId="50DC7B76">
      <w:pPr>
        <w:keepNext w:val="0"/>
        <w:keepLines w:val="0"/>
        <w:pageBreakBefore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14:paraId="0191672D">
      <w:pPr>
        <w:keepNext w:val="0"/>
        <w:keepLines w:val="0"/>
        <w:pageBreakBefore w:val="0"/>
        <w:suppressAutoHyphens/>
        <w:kinsoku/>
        <w:wordWrap/>
        <w:overflowPunct/>
        <w:topLinePunct w:val="0"/>
        <w:autoSpaceDE/>
        <w:autoSpaceDN/>
        <w:bidi w:val="0"/>
        <w:spacing w:line="576" w:lineRule="exact"/>
        <w:jc w:val="left"/>
        <w:textAlignment w:val="auto"/>
        <w:outlineLvl w:val="0"/>
        <w:rPr>
          <w:rFonts w:hint="eastAsia" w:ascii="Times New Roman" w:hAnsi="Times New Roman" w:eastAsia="黑体" w:cs="Times New Roman"/>
          <w:color w:val="auto"/>
          <w:sz w:val="32"/>
          <w:szCs w:val="32"/>
          <w:highlight w:val="none"/>
          <w:lang w:val="en-US" w:eastAsia="zh-CN"/>
        </w:rPr>
      </w:pPr>
      <w:bookmarkStart w:id="99" w:name="_Toc5103"/>
      <w:r>
        <w:rPr>
          <w:rFonts w:hint="default" w:ascii="Times New Roman" w:hAnsi="Times New Roman" w:eastAsia="黑体" w:cs="Times New Roman"/>
          <w:color w:val="auto"/>
          <w:sz w:val="32"/>
          <w:szCs w:val="32"/>
          <w:highlight w:val="none"/>
          <w:lang w:val="zh-CN"/>
        </w:rPr>
        <w:t>附件</w:t>
      </w:r>
      <w:r>
        <w:rPr>
          <w:rFonts w:hint="eastAsia" w:ascii="Times New Roman" w:hAnsi="Times New Roman" w:eastAsia="黑体" w:cs="Times New Roman"/>
          <w:color w:val="auto"/>
          <w:sz w:val="32"/>
          <w:szCs w:val="32"/>
          <w:highlight w:val="none"/>
          <w:lang w:val="en-US" w:eastAsia="zh-CN"/>
        </w:rPr>
        <w:t>1</w:t>
      </w:r>
      <w:bookmarkEnd w:id="99"/>
    </w:p>
    <w:p w14:paraId="0494440D">
      <w:pPr>
        <w:widowControl/>
        <w:spacing w:line="578" w:lineRule="exact"/>
        <w:contextualSpacing/>
        <w:rPr>
          <w:rFonts w:eastAsia="宋体"/>
          <w:b/>
          <w:sz w:val="44"/>
          <w:szCs w:val="44"/>
          <w:shd w:val="clear" w:color="auto" w:fill="FFFFFF"/>
        </w:rPr>
      </w:pPr>
    </w:p>
    <w:p w14:paraId="33676ADB">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 xml:space="preserve"> </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61838DAE">
      <w:pPr>
        <w:widowControl/>
        <w:spacing w:line="578" w:lineRule="exact"/>
        <w:contextualSpacing/>
        <w:jc w:val="center"/>
        <w:rPr>
          <w:rFonts w:hint="default" w:eastAsia="方正小标宋简体"/>
          <w:bCs/>
          <w:sz w:val="44"/>
          <w:szCs w:val="44"/>
          <w:shd w:val="clear" w:color="auto" w:fill="FFFFFF"/>
          <w:lang w:val="en-US"/>
        </w:rPr>
      </w:pPr>
      <w:r>
        <w:rPr>
          <w:rFonts w:hint="eastAsia" w:eastAsia="方正小标宋简体"/>
          <w:bCs/>
          <w:sz w:val="44"/>
          <w:szCs w:val="44"/>
          <w:shd w:val="clear" w:color="auto" w:fill="FFFFFF"/>
          <w:lang w:eastAsia="zh-CN"/>
        </w:rPr>
        <w:t>（茂县民族宗教局</w:t>
      </w:r>
      <w:r>
        <w:rPr>
          <w:rFonts w:hint="eastAsia" w:eastAsia="方正小标宋简体"/>
          <w:bCs/>
          <w:sz w:val="44"/>
          <w:szCs w:val="44"/>
          <w:shd w:val="clear" w:color="auto" w:fill="FFFFFF"/>
          <w:lang w:val="en-US" w:eastAsia="zh-CN"/>
        </w:rPr>
        <w:t>)</w:t>
      </w:r>
    </w:p>
    <w:p w14:paraId="3B4F9B5E">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22A97AEF">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一、部门（单位）基本情况</w:t>
      </w:r>
    </w:p>
    <w:p w14:paraId="64C7DC09">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（一）机构组成。</w:t>
      </w:r>
    </w:p>
    <w:p w14:paraId="09B63309">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default"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茂县民族宗教局设6个内设机构。分别是：办公室（行政审批股）、民族事务股、宗教事务股、两资管理股、少数民族语言及文化古籍办公室（涉民宗网络监管中心），县民族团结服务中心。</w:t>
      </w:r>
    </w:p>
    <w:p w14:paraId="5C0FC302">
      <w:pPr>
        <w:keepNext w:val="0"/>
        <w:keepLines w:val="0"/>
        <w:pageBreakBefore w:val="0"/>
        <w:widowControl w:val="0"/>
        <w:kinsoku/>
        <w:wordWrap/>
        <w:overflowPunct/>
        <w:topLinePunct w:val="0"/>
        <w:autoSpaceDE/>
        <w:autoSpaceDN/>
        <w:bidi w:val="0"/>
        <w:spacing w:line="576" w:lineRule="exact"/>
        <w:ind w:firstLine="643" w:firstLineChars="200"/>
        <w:textAlignment w:val="auto"/>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（二）机构职能。</w:t>
      </w:r>
    </w:p>
    <w:p w14:paraId="2CA4119E">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1.贯彻执行党和国家关于民族宗教工作的方针、政策、法律、法规以及县委、县政府的决策部署；协调推进本系统依法行政，落实行政执法责任制；保障少数民族合法权益，贯彻落实民族区域自治法。</w:t>
      </w:r>
    </w:p>
    <w:p w14:paraId="5910B78B">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2.组织开展民族宗教理论、政策及重大问题的调查研究；负责民族宗教动态和信息的汇总、分析，提出有关民族宗教工作的政策建议。</w:t>
      </w:r>
    </w:p>
    <w:p w14:paraId="362FFFBC">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负责协调推动有关部门履行民族宗教工作相关职责，推进民族宗教事务法治化、社会化管理工作，促进民族宗教政策在经济发展和社会事业等相关领域的实施、衔接；监督有关民族区域自治制度的建设和《中华人民共和国民族区域自治法》以及《阿坝藏族羌族自治州自治条例》的贯彻实施。</w:t>
      </w:r>
    </w:p>
    <w:p w14:paraId="63FD5460">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4.研究提出协调民族关系、宗教关系的工作建议，会同有关部门处理涉及民族关系、宗教关系的重大事项，参与协调民族地区社会稳定工作，促进各民族共同团结奋斗、共同繁荣发展，维护国家统一。</w:t>
      </w:r>
    </w:p>
    <w:p w14:paraId="12ED7F74">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5.配合有关部门研究提出民族工作方面的具体政策措施；参与拟订我县地区经济社会相关领域的发展规划，促进建立和完善少数民族事业发展综合评价监测体系，推进民族宗教事务服务体系和管理信息化建设。</w:t>
      </w:r>
    </w:p>
    <w:p w14:paraId="67CA9BD1">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6.研究分析全县少数民族和民族地区经济发展、社会事业方面的问题并提出特殊政策建议，组织协调或参与配合实施县委、县政府部署的民族地区民生工程相关工作，配合承办民族地区科技发展、对口支援、经济技术合作和扶贫开发等相关工作。</w:t>
      </w:r>
    </w:p>
    <w:p w14:paraId="32946EE4">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7.负责组织指导全县民族宗教方面的法律法规、政策及基本知识的宣传教育工作；组织开展民族团结进步创建活动；协调民族关系，推动民族工作。</w:t>
      </w:r>
    </w:p>
    <w:p w14:paraId="70AA5D38">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8.负责管理全县少数民族语言文字工作，指导少数民族语言文字的翻译、出版和民族古籍的收集、整理、出版工作。</w:t>
      </w:r>
    </w:p>
    <w:p w14:paraId="412E693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9.依法履行宗教事务管理职责，依法保护公民宗教信仰自由和正常的宗教活动，维护宗教界合法权益，促进宗教关系和谐。</w:t>
      </w:r>
    </w:p>
    <w:p w14:paraId="682A12CA">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10.指导宗教团体依法依章开展活动，支持宗教团体加强自身建设，推动宗教团体在宗教界开展爱国主义、社会主义和维护祖国统一、民族团结的自我教育，办理宗教团体需由政府解决或协调的有关事务。</w:t>
      </w:r>
    </w:p>
    <w:p w14:paraId="569CDC33">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11.密切配合有关部门，坚决抵制、揭露、打击境外敌对势力，利用宗教对我县的渗透破坏活动。及时处理宗教方面的突发事件和影响社会政治稳定的问题，确保宗教工作的一方平安。</w:t>
      </w:r>
    </w:p>
    <w:p w14:paraId="75DD3A5F">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12.负责民族宗教事务方面的外事管理工作，组织指导民族宗教工作领域有关对外和对港澳台的交流、交往与合作；参与涉及民族宗教事务的对外宣传工作。</w:t>
      </w:r>
    </w:p>
    <w:p w14:paraId="10FA8DAD">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13.参与拟订宗教工作队伍建设规划。</w:t>
      </w:r>
    </w:p>
    <w:p w14:paraId="3D444AD0">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14.承担县政府公布的有关行政审批事项。</w:t>
      </w:r>
    </w:p>
    <w:p w14:paraId="6FC31F56">
      <w:pPr>
        <w:keepNext w:val="0"/>
        <w:keepLines w:val="0"/>
        <w:pageBreakBefore w:val="0"/>
        <w:widowControl w:val="0"/>
        <w:kinsoku/>
        <w:wordWrap/>
        <w:overflowPunct/>
        <w:topLinePunct w:val="0"/>
        <w:autoSpaceDE/>
        <w:autoSpaceDN/>
        <w:bidi w:val="0"/>
        <w:spacing w:line="576"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15.承办县委、县政府交办的其他事项。</w:t>
      </w:r>
    </w:p>
    <w:p w14:paraId="06BB2235">
      <w:pPr>
        <w:widowControl/>
        <w:adjustRightInd w:val="0"/>
        <w:snapToGrid w:val="0"/>
        <w:spacing w:line="580" w:lineRule="exact"/>
        <w:ind w:firstLine="643" w:firstLineChars="200"/>
        <w:contextualSpacing/>
        <w:jc w:val="left"/>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（三）人员概况。</w:t>
      </w:r>
    </w:p>
    <w:p w14:paraId="385A5B80">
      <w:pPr>
        <w:widowControl/>
        <w:adjustRightInd w:val="0"/>
        <w:snapToGrid w:val="0"/>
        <w:spacing w:line="580" w:lineRule="exact"/>
        <w:ind w:firstLine="640" w:firstLineChars="200"/>
        <w:contextualSpacing/>
        <w:jc w:val="left"/>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rPr>
        <w:t>年末，我单位编制数为</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zh-CN"/>
        </w:rPr>
        <w:t>人，行政编制</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rPr>
        <w:t>人，行政工勤编制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人，事业编制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人。本年度我单位现有在职职工</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zh-CN"/>
        </w:rPr>
        <w:t>人，其中：行政在职</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rPr>
        <w:t>人，机关工勤在职</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rPr>
        <w:t>人,事业人员</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rPr>
        <w:t>人。离退休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rPr>
        <w:t>人。</w:t>
      </w:r>
    </w:p>
    <w:p w14:paraId="071F9F2F">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二、部门资金收支情况</w:t>
      </w:r>
    </w:p>
    <w:p w14:paraId="56088F29">
      <w:pPr>
        <w:spacing w:line="576" w:lineRule="atLeast"/>
        <w:ind w:firstLine="643" w:firstLineChars="200"/>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color w:val="auto"/>
          <w:sz w:val="32"/>
          <w:szCs w:val="32"/>
          <w:highlight w:val="none"/>
          <w:lang w:val="zh-CN"/>
        </w:rPr>
        <w:t>（一）收入情况。</w:t>
      </w:r>
      <w:r>
        <w:rPr>
          <w:rFonts w:hint="eastAsia" w:ascii="仿宋_GB2312" w:hAnsi="仿宋_GB2312" w:eastAsia="仿宋_GB2312" w:cs="仿宋_GB2312"/>
          <w:sz w:val="32"/>
          <w:szCs w:val="32"/>
          <w:lang w:val="zh-CN"/>
        </w:rPr>
        <w:t>2025年我单位财政资金拨款收入468.55万元。本部门财政拨款收入决算总额为468.55万元，其中：当年财政拨款收入468.55万元,均为一般公共预算财政拨款。</w:t>
      </w:r>
    </w:p>
    <w:p w14:paraId="3DF97B2F">
      <w:pPr>
        <w:spacing w:line="576" w:lineRule="atLeast"/>
        <w:ind w:firstLine="643" w:firstLineChars="200"/>
        <w:rPr>
          <w:rFonts w:hint="eastAsia" w:ascii="仿宋_GB2312" w:hAnsi="仿宋_GB2312" w:eastAsia="仿宋_GB2312" w:cs="仿宋_GB2312"/>
          <w:sz w:val="32"/>
          <w:szCs w:val="32"/>
          <w:lang w:val="zh-CN"/>
        </w:rPr>
      </w:pPr>
      <w:r>
        <w:rPr>
          <w:rFonts w:hint="default" w:ascii="Times New Roman" w:hAnsi="Times New Roman" w:eastAsia="楷体_GB2312" w:cs="Times New Roman"/>
          <w:b/>
          <w:color w:val="auto"/>
          <w:sz w:val="32"/>
          <w:szCs w:val="32"/>
          <w:highlight w:val="none"/>
          <w:lang w:val="zh-CN" w:eastAsia="zh-CN"/>
        </w:rPr>
        <w:t>（二）支出情况。</w:t>
      </w:r>
      <w:r>
        <w:rPr>
          <w:rFonts w:hint="eastAsia" w:ascii="仿宋_GB2312" w:hAnsi="仿宋_GB2312" w:eastAsia="仿宋_GB2312" w:cs="仿宋_GB2312"/>
          <w:sz w:val="32"/>
          <w:szCs w:val="32"/>
          <w:lang w:val="zh-CN"/>
        </w:rPr>
        <w:t>2025年一般公共预算财政拨款支出468.55万元。其中：</w:t>
      </w:r>
    </w:p>
    <w:p w14:paraId="2CC4CB6B">
      <w:pPr>
        <w:spacing w:line="576" w:lineRule="atLeast"/>
        <w:ind w:firstLine="640"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1.基本支出333.4万元。</w:t>
      </w:r>
    </w:p>
    <w:p w14:paraId="331D766A">
      <w:pPr>
        <w:spacing w:line="576" w:lineRule="atLeas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2.项目支出135.15万元。</w:t>
      </w:r>
    </w:p>
    <w:p w14:paraId="0465482A">
      <w:pPr>
        <w:widowControl/>
        <w:numPr>
          <w:ilvl w:val="0"/>
          <w:numId w:val="0"/>
        </w:numPr>
        <w:adjustRightInd w:val="0"/>
        <w:snapToGrid w:val="0"/>
        <w:spacing w:line="578" w:lineRule="exact"/>
        <w:ind w:left="0" w:leftChars="0" w:firstLine="643" w:firstLineChars="200"/>
        <w:contextualSpacing/>
        <w:jc w:val="left"/>
        <w:rPr>
          <w:rFonts w:hint="eastAsia" w:ascii="仿宋_GB2312" w:hAnsi="仿宋_GB2312" w:eastAsia="仿宋_GB2312" w:cs="仿宋_GB2312"/>
          <w:sz w:val="32"/>
          <w:szCs w:val="32"/>
          <w:lang w:val="zh-CN" w:eastAsia="zh-CN"/>
        </w:rPr>
      </w:pPr>
      <w:r>
        <w:rPr>
          <w:rFonts w:hint="default" w:ascii="Times New Roman" w:hAnsi="Times New Roman" w:eastAsia="楷体_GB2312" w:cs="Times New Roman"/>
          <w:b/>
          <w:color w:val="auto"/>
          <w:sz w:val="32"/>
          <w:szCs w:val="32"/>
          <w:highlight w:val="none"/>
          <w:lang w:val="zh-CN"/>
        </w:rPr>
        <w:t>（三）结余分配和结转结余情况</w:t>
      </w:r>
      <w:r>
        <w:rPr>
          <w:rFonts w:hint="eastAsia" w:ascii="Times New Roman" w:hAnsi="Times New Roman" w:eastAsia="楷体_GB2312" w:cs="Times New Roman"/>
          <w:b/>
          <w:color w:val="auto"/>
          <w:sz w:val="32"/>
          <w:szCs w:val="32"/>
          <w:highlight w:val="none"/>
          <w:lang w:val="zh-CN" w:eastAsia="zh-CN"/>
        </w:rPr>
        <w:t>。</w:t>
      </w:r>
      <w:r>
        <w:rPr>
          <w:rFonts w:hint="eastAsia" w:ascii="仿宋_GB2312" w:hAnsi="仿宋_GB2312" w:eastAsia="仿宋_GB2312" w:cs="仿宋_GB2312"/>
          <w:sz w:val="32"/>
          <w:szCs w:val="32"/>
          <w:lang w:val="en-US" w:eastAsia="zh-CN"/>
        </w:rPr>
        <w:t>2025年决算报表无结转结余情况。</w:t>
      </w:r>
    </w:p>
    <w:p w14:paraId="69BBFC15">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三、部门预算绩效分析</w:t>
      </w:r>
    </w:p>
    <w:p w14:paraId="23A0D0F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color w:val="auto"/>
          <w:sz w:val="32"/>
          <w:szCs w:val="32"/>
          <w:highlight w:val="none"/>
          <w:lang w:val="zh-CN"/>
        </w:rPr>
      </w:pPr>
      <w:r>
        <w:rPr>
          <w:rFonts w:hint="default" w:ascii="Times New Roman" w:hAnsi="Times New Roman" w:eastAsia="楷体_GB2312" w:cs="Times New Roman"/>
          <w:b/>
          <w:color w:val="auto"/>
          <w:sz w:val="32"/>
          <w:szCs w:val="32"/>
          <w:highlight w:val="none"/>
          <w:lang w:val="zh-CN"/>
        </w:rPr>
        <w:t>（一）部门预算总体绩效分析</w:t>
      </w:r>
    </w:p>
    <w:p w14:paraId="3BC722A2">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履职效能。工作成果方面：项目工作人员能够按时完成任务并达到预期目标；财务人员能够按照项目合同资金支付要求，对验收合格的项目按时足额支付项目资金。工作质量方面</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项目工作人员注重细节，保证工作的准确性和可靠性。执行力方面</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zh-CN" w:eastAsia="zh-CN"/>
        </w:rPr>
        <w:t>项目工作人员能够按照项目要求主动、迅速地执行工作。</w:t>
      </w:r>
    </w:p>
    <w:p w14:paraId="239AB74C">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预算管理。严格按照县级部门预算编制通知和有关要求，按时完成基础库、项目库报送工作，按时完成20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lang w:val="zh-CN" w:eastAsia="zh-CN"/>
        </w:rPr>
        <w:t>年预算编制工作，并按时提交部门预算草案。按规定编制政府采购预算，预算编制全面、科学。</w:t>
      </w:r>
    </w:p>
    <w:p w14:paraId="7F2C534C">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财务管理。在办公室下设财务室，</w:t>
      </w:r>
      <w:r>
        <w:rPr>
          <w:rFonts w:hint="eastAsia" w:ascii="仿宋_GB2312" w:hAnsi="仿宋_GB2312" w:eastAsia="仿宋_GB2312" w:cs="仿宋_GB2312"/>
          <w:sz w:val="32"/>
          <w:szCs w:val="32"/>
          <w:lang w:val="en-US" w:eastAsia="zh-CN"/>
        </w:rPr>
        <w:t>副局长</w:t>
      </w:r>
      <w:r>
        <w:rPr>
          <w:rFonts w:hint="eastAsia" w:ascii="仿宋_GB2312" w:hAnsi="仿宋_GB2312" w:eastAsia="仿宋_GB2312" w:cs="仿宋_GB2312"/>
          <w:sz w:val="32"/>
          <w:szCs w:val="32"/>
          <w:lang w:val="zh-CN" w:eastAsia="zh-CN"/>
        </w:rPr>
        <w:t>为财务负责人，下设会计、出纳各一名，负责本单位日常收支。健全单位财务管理制度，成立财务联审会签制度。各项支出按照批准的预算和有关规定审核办理，防止无计划开支。基本支出必须坚持节约的原则，严格执行规定的开支范围及开支标准。专项支出按照计划或预算批准的项目和用途使用。保障项目资金安全，确保资金专款专用，从资金申请、资金使用、会计核算三个环节加强资金管理。在项目资金申请环节，严格按照国库集中支付流程向县财政局申请财政资金；在资金使用环节，严格按照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lang w:val="zh-CN" w:eastAsia="zh-CN"/>
        </w:rPr>
        <w:t>资金财务审批流程办理款项支付手续，通过一体化系统直接支付。在会计核算环节，对本项目资金实际核算，确保专款专用。</w:t>
      </w:r>
    </w:p>
    <w:p w14:paraId="51E34E57">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eastAsia="zh-CN"/>
        </w:rPr>
        <w:t>资产管理。</w:t>
      </w:r>
      <w:r>
        <w:rPr>
          <w:rFonts w:hint="eastAsia" w:ascii="仿宋_GB2312" w:hAnsi="仿宋_GB2312" w:eastAsia="仿宋_GB2312" w:cs="仿宋_GB2312"/>
          <w:sz w:val="32"/>
          <w:szCs w:val="32"/>
          <w:lang w:val="en-US" w:eastAsia="zh-CN"/>
        </w:rPr>
        <w:t>加强对固定资产的管理，规范机关固定资产的配置、使用和管理，强化固定资产的管理责任，建立节约型机关。</w:t>
      </w:r>
    </w:p>
    <w:p w14:paraId="39A9E636">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zh-CN" w:eastAsia="zh-CN"/>
        </w:rPr>
        <w:t>采购管理。</w:t>
      </w:r>
      <w:r>
        <w:rPr>
          <w:rFonts w:hint="eastAsia" w:ascii="仿宋_GB2312" w:hAnsi="仿宋_GB2312" w:eastAsia="仿宋_GB2312" w:cs="仿宋_GB2312"/>
          <w:sz w:val="32"/>
          <w:szCs w:val="32"/>
          <w:lang w:val="en-US" w:eastAsia="zh-CN"/>
        </w:rPr>
        <w:t xml:space="preserve"> 确保办理采购业务的不相容岗位相互分离制约和监督，并根据具体情况对办理采购业务的人员定期进行岗位轮换。加强采购业务的记录控制。由档案室负责妥善保管采购业务的相关文件。对于大宗设备、物资或重大服务采购业务需求，由单位领导班子集体研究决定，并成立由单位内部资产、财会、审计、纪检监察等部门人员组成的采购工作小组，形成各部门相互协调、相互制约的机制， 加强对采购业务各个环节的控制。</w:t>
      </w:r>
    </w:p>
    <w:p w14:paraId="0FA87209">
      <w:pPr>
        <w:keepNext w:val="0"/>
        <w:keepLines w:val="0"/>
        <w:pageBreakBefore w:val="0"/>
        <w:widowControl w:val="0"/>
        <w:numPr>
          <w:ilvl w:val="0"/>
          <w:numId w:val="0"/>
        </w:numPr>
        <w:suppressAutoHyphens/>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41285045">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常年项目绩效分析。</w:t>
      </w:r>
      <w:r>
        <w:rPr>
          <w:rFonts w:hint="eastAsia" w:ascii="仿宋_GB2312" w:hAnsi="仿宋_GB2312" w:eastAsia="仿宋_GB2312" w:cs="仿宋_GB2312"/>
          <w:sz w:val="32"/>
          <w:szCs w:val="32"/>
          <w:lang w:val="zh-CN" w:eastAsia="zh-CN"/>
        </w:rPr>
        <w:t>该类项目总数</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val="zh-CN" w:eastAsia="zh-CN"/>
        </w:rPr>
        <w:t>个，涉及预算总金额</w:t>
      </w:r>
      <w:r>
        <w:rPr>
          <w:rFonts w:hint="eastAsia" w:ascii="仿宋_GB2312" w:hAnsi="仿宋_GB2312" w:eastAsia="仿宋_GB2312" w:cs="仿宋_GB2312"/>
          <w:sz w:val="32"/>
          <w:szCs w:val="32"/>
          <w:lang w:val="en-US" w:eastAsia="zh-CN"/>
        </w:rPr>
        <w:t>267.66</w:t>
      </w:r>
      <w:r>
        <w:rPr>
          <w:rFonts w:hint="eastAsia" w:ascii="仿宋_GB2312" w:hAnsi="仿宋_GB2312" w:eastAsia="仿宋_GB2312" w:cs="仿宋_GB2312"/>
          <w:sz w:val="32"/>
          <w:szCs w:val="32"/>
          <w:lang w:val="zh-CN" w:eastAsia="zh-CN"/>
        </w:rPr>
        <w:t>万元，1—1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月预算执行总体进度为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val="zh-CN" w:eastAsia="zh-CN"/>
        </w:rPr>
        <w:t>%，其中：预算结余率大于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zh-CN" w:eastAsia="zh-CN"/>
        </w:rPr>
        <w:t>的项目共计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val="zh-CN" w:eastAsia="zh-CN"/>
        </w:rPr>
        <w:t>个。</w:t>
      </w:r>
    </w:p>
    <w:p w14:paraId="14861429">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阶段（含一次性）项目绩效分析。</w:t>
      </w:r>
      <w:r>
        <w:rPr>
          <w:rFonts w:hint="eastAsia" w:ascii="仿宋_GB2312" w:hAnsi="仿宋_GB2312" w:eastAsia="仿宋_GB2312" w:cs="仿宋_GB2312"/>
          <w:sz w:val="32"/>
          <w:szCs w:val="32"/>
          <w:lang w:val="zh-CN" w:eastAsia="zh-CN"/>
        </w:rPr>
        <w:t>该类项目总数</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val="zh-CN" w:eastAsia="zh-CN"/>
        </w:rPr>
        <w:t>个，涉及预算总金额</w:t>
      </w:r>
      <w:r>
        <w:rPr>
          <w:rFonts w:hint="eastAsia" w:ascii="仿宋_GB2312" w:hAnsi="仿宋_GB2312" w:eastAsia="仿宋_GB2312" w:cs="仿宋_GB2312"/>
          <w:sz w:val="32"/>
          <w:szCs w:val="32"/>
          <w:lang w:val="en-US" w:eastAsia="zh-CN"/>
        </w:rPr>
        <w:t>233.56</w:t>
      </w:r>
      <w:r>
        <w:rPr>
          <w:rFonts w:hint="eastAsia" w:ascii="仿宋_GB2312" w:hAnsi="仿宋_GB2312" w:eastAsia="仿宋_GB2312" w:cs="仿宋_GB2312"/>
          <w:sz w:val="32"/>
          <w:szCs w:val="32"/>
          <w:lang w:val="zh-CN" w:eastAsia="zh-CN"/>
        </w:rPr>
        <w:t>万元，1—1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月预算执行总体进度为</w:t>
      </w:r>
      <w:r>
        <w:rPr>
          <w:rFonts w:hint="eastAsia" w:ascii="仿宋_GB2312" w:hAnsi="仿宋_GB2312" w:eastAsia="仿宋_GB2312" w:cs="仿宋_GB2312"/>
          <w:sz w:val="32"/>
          <w:szCs w:val="32"/>
          <w:lang w:val="en-US" w:eastAsia="zh-CN"/>
        </w:rPr>
        <w:t>96</w:t>
      </w:r>
      <w:r>
        <w:rPr>
          <w:rFonts w:hint="eastAsia" w:ascii="仿宋_GB2312" w:hAnsi="仿宋_GB2312" w:eastAsia="仿宋_GB2312" w:cs="仿宋_GB2312"/>
          <w:sz w:val="32"/>
          <w:szCs w:val="32"/>
          <w:lang w:val="zh-CN" w:eastAsia="zh-CN"/>
        </w:rPr>
        <w:t>%，其中：预算结余率大于</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zh-CN" w:eastAsia="zh-CN"/>
        </w:rPr>
        <w:t>的项目共计</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个。</w:t>
      </w:r>
    </w:p>
    <w:p w14:paraId="56CB4FB9">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项目决策。</w:t>
      </w:r>
      <w:r>
        <w:rPr>
          <w:rFonts w:hint="eastAsia" w:ascii="仿宋_GB2312" w:hAnsi="仿宋_GB2312" w:eastAsia="仿宋_GB2312" w:cs="仿宋_GB2312"/>
          <w:sz w:val="32"/>
          <w:szCs w:val="32"/>
          <w:lang w:val="en-US" w:eastAsia="zh-CN"/>
        </w:rPr>
        <w:t xml:space="preserve">围绕决策程序、规划论证、资金投向进行绩效分析。采购、施工、服务类项目采用政府集采、签订合同（协议）方式实施。 </w:t>
      </w:r>
    </w:p>
    <w:p w14:paraId="29AC25FA">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2.项目执行</w:t>
      </w:r>
      <w:r>
        <w:rPr>
          <w:rFonts w:hint="eastAsia" w:ascii="仿宋_GB2312" w:hAnsi="仿宋_GB2312" w:eastAsia="仿宋_GB2312" w:cs="仿宋_GB2312"/>
          <w:sz w:val="32"/>
          <w:szCs w:val="32"/>
          <w:lang w:val="zh-CN" w:eastAsia="zh-CN"/>
        </w:rPr>
        <w:t>。结合项目特点，按照相关法律法规、项目管理制度，按程序进行实施。在项目建设管理中严格按照相关管理制度执行有关建设标准及规范，严格执行招投标、政府采购、项目公示制等相关规定，加强项目质量与安全管理，切实发挥资金投资效益。</w:t>
      </w:r>
    </w:p>
    <w:p w14:paraId="7B684EAA">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目标实现。</w:t>
      </w:r>
      <w:r>
        <w:rPr>
          <w:rFonts w:hint="eastAsia" w:ascii="仿宋_GB2312" w:hAnsi="仿宋_GB2312" w:eastAsia="仿宋_GB2312" w:cs="仿宋_GB2312"/>
          <w:sz w:val="32"/>
          <w:szCs w:val="32"/>
          <w:lang w:val="en-US" w:eastAsia="zh-CN"/>
        </w:rPr>
        <w:t>2025年民族宗教局项目工作符合年初绩效总体目标，未偏离原定计划。下一步工作将继续按照总体绩效目标要求，不断完善制度，落实政策，保障群众利益。</w:t>
      </w:r>
    </w:p>
    <w:p w14:paraId="3A1A41B6">
      <w:pPr>
        <w:widowControl/>
        <w:numPr>
          <w:ilvl w:val="0"/>
          <w:numId w:val="0"/>
        </w:numPr>
        <w:adjustRightInd w:val="0"/>
        <w:snapToGrid w:val="0"/>
        <w:spacing w:line="578" w:lineRule="exact"/>
        <w:ind w:left="0" w:leftChars="0" w:firstLine="640" w:firstLineChars="200"/>
        <w:contextualSpacing/>
        <w:jc w:val="left"/>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我单位2025年度不涉及国有资本经营预算、社会保险基金预算。</w:t>
      </w:r>
    </w:p>
    <w:p w14:paraId="242AB9F2">
      <w:pPr>
        <w:keepNext w:val="0"/>
        <w:keepLines w:val="0"/>
        <w:pageBreakBefore w:val="0"/>
        <w:widowControl/>
        <w:numPr>
          <w:ilvl w:val="0"/>
          <w:numId w:val="0"/>
        </w:numPr>
        <w:suppressAutoHyphens/>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四、评价结论及建议</w:t>
      </w:r>
    </w:p>
    <w:p w14:paraId="71012738">
      <w:pPr>
        <w:spacing w:line="576" w:lineRule="atLeast"/>
        <w:ind w:firstLine="643" w:firstLineChars="200"/>
        <w:rPr>
          <w:rFonts w:hint="eastAsia" w:ascii="仿宋_GB2312" w:hAnsi="仿宋_GB2312" w:eastAsia="仿宋_GB2312" w:cs="仿宋_GB2312"/>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hAnsi="仿宋_GB2312" w:eastAsia="仿宋_GB2312" w:cs="仿宋_GB2312"/>
          <w:sz w:val="32"/>
          <w:szCs w:val="32"/>
          <w:lang w:val="zh-CN" w:eastAsia="zh-CN"/>
        </w:rPr>
        <w:t>按照上级部门及本级财政部门的要求及时完成各项工作，我单位自评合格</w:t>
      </w:r>
      <w:r>
        <w:rPr>
          <w:rFonts w:hint="eastAsia" w:ascii="仿宋_GB2312" w:hAnsi="仿宋_GB2312" w:eastAsia="仿宋_GB2312" w:cs="仿宋_GB2312"/>
          <w:sz w:val="32"/>
          <w:szCs w:val="32"/>
          <w:lang w:val="en-US" w:eastAsia="zh-CN"/>
        </w:rPr>
        <w:t>。</w:t>
      </w:r>
    </w:p>
    <w:p w14:paraId="401517BE">
      <w:pPr>
        <w:pageBreakBefore w:val="0"/>
        <w:widowControl/>
        <w:suppressAutoHyphens/>
        <w:kinsoku/>
        <w:wordWrap/>
        <w:overflowPunct/>
        <w:topLinePunct w:val="0"/>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（二）存在问题</w:t>
      </w:r>
    </w:p>
    <w:p w14:paraId="6A6A150F">
      <w:pPr>
        <w:spacing w:line="576" w:lineRule="atLeas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eastAsia="zh-CN"/>
        </w:rPr>
        <w:t>财务效能提升有待加强，我单位将严格按照财经纪律要求，进一步加大对财务各环节的监督检查，健全完善各项规章制度，有效提高财务工作各项效能。</w:t>
      </w:r>
    </w:p>
    <w:p w14:paraId="5E18F5FD">
      <w:pPr>
        <w:pageBreakBefore w:val="0"/>
        <w:widowControl/>
        <w:suppressAutoHyphens/>
        <w:kinsoku/>
        <w:wordWrap/>
        <w:overflowPunct/>
        <w:topLinePunct w:val="0"/>
        <w:bidi w:val="0"/>
        <w:adjustRightInd w:val="0"/>
        <w:snapToGrid w:val="0"/>
        <w:spacing w:line="576" w:lineRule="exact"/>
        <w:ind w:firstLine="643" w:firstLineChars="200"/>
        <w:contextualSpacing/>
        <w:jc w:val="left"/>
        <w:textAlignment w:val="auto"/>
        <w:rPr>
          <w:rFonts w:hint="default" w:ascii="Times New Roman" w:hAnsi="Times New Roman" w:eastAsia="楷体_GB2312" w:cs="Times New Roman"/>
          <w:b/>
          <w:bCs/>
          <w:color w:val="000000"/>
          <w:kern w:val="0"/>
          <w:sz w:val="32"/>
          <w:szCs w:val="32"/>
          <w:shd w:val="clear" w:color="auto" w:fill="FFFFFF"/>
          <w:lang w:val="zh-CN"/>
        </w:rPr>
      </w:pPr>
      <w:r>
        <w:rPr>
          <w:rFonts w:hint="default" w:ascii="Times New Roman" w:hAnsi="Times New Roman" w:eastAsia="楷体_GB2312" w:cs="Times New Roman"/>
          <w:b/>
          <w:bCs/>
          <w:color w:val="000000"/>
          <w:kern w:val="0"/>
          <w:sz w:val="32"/>
          <w:szCs w:val="32"/>
          <w:shd w:val="clear" w:color="auto" w:fill="FFFFFF"/>
          <w:lang w:val="zh-CN"/>
        </w:rPr>
        <w:t>（三）改进建议</w:t>
      </w:r>
    </w:p>
    <w:p w14:paraId="3FEB50BB">
      <w:pPr>
        <w:spacing w:line="576" w:lineRule="atLeast"/>
        <w:ind w:firstLine="640" w:firstLineChars="200"/>
        <w:rPr>
          <w:rFonts w:hint="eastAsia" w:ascii="黑体" w:hAnsi="黑体" w:eastAsia="黑体"/>
          <w:color w:val="auto"/>
          <w:sz w:val="44"/>
          <w:szCs w:val="44"/>
          <w:highlight w:val="none"/>
        </w:rPr>
      </w:pPr>
      <w:r>
        <w:rPr>
          <w:rFonts w:hint="eastAsia" w:ascii="仿宋_GB2312" w:hAnsi="仿宋_GB2312" w:eastAsia="仿宋_GB2312" w:cs="仿宋_GB2312"/>
          <w:sz w:val="32"/>
          <w:szCs w:val="32"/>
          <w:lang w:val="zh-CN" w:eastAsia="zh-CN"/>
        </w:rPr>
        <w:t>下一步，我单位将严格按照上级财政部门要求及本级财政部门各项工作任务安排，建立科学、统一、完整的财政绩效评价指标体系，并将绩效理念真正贯穿于工作实践中，让绩效评价工作的成果得以充分广泛利用。</w:t>
      </w:r>
    </w:p>
    <w:p w14:paraId="40CF4DBB">
      <w:pPr>
        <w:spacing w:line="600" w:lineRule="exact"/>
        <w:jc w:val="center"/>
        <w:outlineLvl w:val="0"/>
        <w:rPr>
          <w:rFonts w:hint="eastAsia" w:ascii="黑体" w:hAnsi="黑体" w:eastAsia="黑体"/>
          <w:color w:val="auto"/>
          <w:sz w:val="44"/>
          <w:szCs w:val="44"/>
          <w:highlight w:val="none"/>
        </w:rPr>
      </w:pPr>
    </w:p>
    <w:p w14:paraId="14CAE8A4">
      <w:pPr>
        <w:pStyle w:val="20"/>
        <w:rPr>
          <w:rFonts w:hint="eastAsia" w:ascii="黑体" w:hAnsi="黑体" w:eastAsia="黑体"/>
          <w:color w:val="auto"/>
          <w:sz w:val="44"/>
          <w:szCs w:val="44"/>
          <w:highlight w:val="none"/>
        </w:rPr>
      </w:pPr>
    </w:p>
    <w:p w14:paraId="6B2A71E9">
      <w:pPr>
        <w:rPr>
          <w:rFonts w:hint="eastAsia" w:ascii="黑体" w:hAnsi="黑体" w:eastAsia="黑体"/>
          <w:color w:val="auto"/>
          <w:sz w:val="44"/>
          <w:szCs w:val="44"/>
          <w:highlight w:val="none"/>
        </w:rPr>
      </w:pPr>
    </w:p>
    <w:p w14:paraId="3AFD901D">
      <w:pPr>
        <w:rPr>
          <w:rFonts w:hint="eastAsia" w:ascii="黑体" w:hAnsi="黑体" w:eastAsia="黑体"/>
          <w:color w:val="auto"/>
          <w:sz w:val="44"/>
          <w:szCs w:val="44"/>
          <w:highlight w:val="none"/>
        </w:rPr>
      </w:pPr>
    </w:p>
    <w:p w14:paraId="3A8F25F7">
      <w:pPr>
        <w:rPr>
          <w:rFonts w:hint="eastAsia"/>
        </w:rPr>
      </w:pPr>
    </w:p>
    <w:p w14:paraId="65D2D669">
      <w:pPr>
        <w:rPr>
          <w:rFonts w:hint="eastAsia"/>
        </w:rPr>
      </w:pPr>
    </w:p>
    <w:p w14:paraId="76597E9D">
      <w:pPr>
        <w:rPr>
          <w:rFonts w:hint="eastAsia"/>
        </w:rPr>
      </w:pPr>
    </w:p>
    <w:p w14:paraId="41E81625">
      <w:pPr>
        <w:rPr>
          <w:rFonts w:hint="eastAsia"/>
        </w:rPr>
      </w:pPr>
    </w:p>
    <w:p w14:paraId="24306264">
      <w:pPr>
        <w:rPr>
          <w:rFonts w:hint="eastAsia"/>
        </w:rPr>
      </w:pPr>
    </w:p>
    <w:p w14:paraId="2B829E3E">
      <w:pPr>
        <w:rPr>
          <w:rFonts w:hint="eastAsia"/>
        </w:rPr>
      </w:pPr>
    </w:p>
    <w:p w14:paraId="6F85E997">
      <w:pPr>
        <w:rPr>
          <w:rFonts w:hint="eastAsia"/>
        </w:rPr>
      </w:pPr>
    </w:p>
    <w:p w14:paraId="1D643390">
      <w:pPr>
        <w:rPr>
          <w:rFonts w:hint="eastAsia"/>
        </w:rPr>
      </w:pPr>
    </w:p>
    <w:p w14:paraId="27CE12A6">
      <w:pPr>
        <w:widowControl/>
        <w:spacing w:line="600" w:lineRule="exact"/>
        <w:jc w:val="center"/>
        <w:textAlignment w:val="center"/>
        <w:rPr>
          <w:rFonts w:hint="eastAsia" w:eastAsia="方正小标宋简体"/>
          <w:color w:val="000000"/>
          <w:kern w:val="0"/>
          <w:sz w:val="44"/>
          <w:szCs w:val="44"/>
          <w:lang w:bidi="ar"/>
        </w:rPr>
      </w:pPr>
    </w:p>
    <w:p w14:paraId="10D2A68F">
      <w:pPr>
        <w:widowControl/>
        <w:spacing w:line="600" w:lineRule="exact"/>
        <w:jc w:val="center"/>
        <w:textAlignment w:val="center"/>
        <w:rPr>
          <w:rFonts w:hint="eastAsia" w:eastAsia="方正小标宋简体"/>
          <w:color w:val="000000"/>
          <w:kern w:val="0"/>
          <w:sz w:val="44"/>
          <w:szCs w:val="44"/>
          <w:lang w:bidi="ar"/>
        </w:rPr>
      </w:pPr>
      <w:r>
        <w:rPr>
          <w:rFonts w:hint="eastAsia" w:eastAsia="方正小标宋简体"/>
          <w:color w:val="000000"/>
          <w:kern w:val="0"/>
          <w:sz w:val="44"/>
          <w:szCs w:val="44"/>
          <w:lang w:bidi="ar"/>
        </w:rPr>
        <w:t>部门预算绩效自评打分表</w:t>
      </w:r>
    </w:p>
    <w:p w14:paraId="279B4240">
      <w:pPr>
        <w:widowControl/>
        <w:spacing w:line="600" w:lineRule="exact"/>
        <w:jc w:val="center"/>
        <w:textAlignment w:val="center"/>
        <w:rPr>
          <w:rFonts w:hint="eastAsia" w:eastAsia="方正小标宋简体"/>
          <w:color w:val="000000"/>
          <w:kern w:val="0"/>
          <w:sz w:val="44"/>
          <w:szCs w:val="44"/>
          <w:lang w:bidi="ar"/>
        </w:rPr>
      </w:pPr>
    </w:p>
    <w:tbl>
      <w:tblPr>
        <w:tblStyle w:val="16"/>
        <w:tblW w:w="10819" w:type="dxa"/>
        <w:jc w:val="center"/>
        <w:tblLayout w:type="fixed"/>
        <w:tblCellMar>
          <w:top w:w="0" w:type="dxa"/>
          <w:left w:w="108" w:type="dxa"/>
          <w:bottom w:w="0" w:type="dxa"/>
          <w:right w:w="108" w:type="dxa"/>
        </w:tblCellMar>
      </w:tblPr>
      <w:tblGrid>
        <w:gridCol w:w="1252"/>
        <w:gridCol w:w="1214"/>
        <w:gridCol w:w="1665"/>
        <w:gridCol w:w="720"/>
        <w:gridCol w:w="4734"/>
        <w:gridCol w:w="756"/>
        <w:gridCol w:w="478"/>
      </w:tblGrid>
      <w:tr w14:paraId="44CA5FA2">
        <w:tblPrEx>
          <w:tblCellMar>
            <w:top w:w="0" w:type="dxa"/>
            <w:left w:w="108" w:type="dxa"/>
            <w:bottom w:w="0" w:type="dxa"/>
            <w:right w:w="108" w:type="dxa"/>
          </w:tblCellMar>
        </w:tblPrEx>
        <w:trPr>
          <w:trHeight w:val="23" w:hRule="atLeast"/>
          <w:jc w:val="center"/>
        </w:trPr>
        <w:tc>
          <w:tcPr>
            <w:tcW w:w="4851" w:type="dxa"/>
            <w:gridSpan w:val="4"/>
            <w:tcBorders>
              <w:top w:val="single" w:color="000000" w:sz="4" w:space="0"/>
              <w:left w:val="single" w:color="000000" w:sz="4" w:space="0"/>
              <w:bottom w:val="single" w:color="000000" w:sz="4" w:space="0"/>
              <w:right w:val="single" w:color="000000" w:sz="4" w:space="0"/>
            </w:tcBorders>
            <w:noWrap w:val="0"/>
            <w:vAlign w:val="center"/>
          </w:tcPr>
          <w:p w14:paraId="6C6E6E8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绩效评价指标指标分值</w:t>
            </w:r>
          </w:p>
        </w:tc>
        <w:tc>
          <w:tcPr>
            <w:tcW w:w="4734" w:type="dxa"/>
            <w:vMerge w:val="restart"/>
            <w:tcBorders>
              <w:top w:val="single" w:color="000000" w:sz="4" w:space="0"/>
              <w:left w:val="single" w:color="000000" w:sz="4" w:space="0"/>
              <w:bottom w:val="single" w:color="000000" w:sz="4" w:space="0"/>
              <w:right w:val="single" w:color="000000" w:sz="4" w:space="0"/>
            </w:tcBorders>
            <w:noWrap w:val="0"/>
            <w:vAlign w:val="center"/>
          </w:tcPr>
          <w:p w14:paraId="28FEE352">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指标解释</w:t>
            </w:r>
          </w:p>
        </w:tc>
        <w:tc>
          <w:tcPr>
            <w:tcW w:w="756" w:type="dxa"/>
            <w:vMerge w:val="restart"/>
            <w:tcBorders>
              <w:top w:val="single" w:color="000000" w:sz="4" w:space="0"/>
              <w:left w:val="single" w:color="000000" w:sz="4" w:space="0"/>
              <w:right w:val="single" w:color="000000" w:sz="4" w:space="0"/>
            </w:tcBorders>
            <w:noWrap w:val="0"/>
            <w:vAlign w:val="center"/>
          </w:tcPr>
          <w:p w14:paraId="3D2F4D51">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自评得分</w:t>
            </w:r>
          </w:p>
        </w:tc>
        <w:tc>
          <w:tcPr>
            <w:tcW w:w="478" w:type="dxa"/>
            <w:vMerge w:val="restart"/>
            <w:tcBorders>
              <w:top w:val="single" w:color="000000" w:sz="4" w:space="0"/>
              <w:left w:val="single" w:color="000000" w:sz="4" w:space="0"/>
              <w:right w:val="single" w:color="000000" w:sz="4" w:space="0"/>
            </w:tcBorders>
            <w:noWrap w:val="0"/>
            <w:vAlign w:val="center"/>
          </w:tcPr>
          <w:p w14:paraId="5188F14F">
            <w:pPr>
              <w:widowControl/>
              <w:spacing w:line="240" w:lineRule="exact"/>
              <w:jc w:val="center"/>
              <w:textAlignment w:val="center"/>
              <w:rPr>
                <w:rFonts w:ascii="黑体" w:hAnsi="宋体" w:eastAsia="黑体" w:cs="黑体"/>
                <w:color w:val="000000"/>
                <w:kern w:val="0"/>
                <w:sz w:val="24"/>
                <w:lang w:bidi="ar"/>
              </w:rPr>
            </w:pPr>
            <w:r>
              <w:rPr>
                <w:rFonts w:hint="eastAsia" w:ascii="黑体" w:hAnsi="宋体" w:eastAsia="黑体" w:cs="黑体"/>
                <w:color w:val="000000"/>
                <w:kern w:val="0"/>
                <w:sz w:val="24"/>
                <w:lang w:bidi="ar"/>
              </w:rPr>
              <w:t>备注</w:t>
            </w:r>
          </w:p>
        </w:tc>
      </w:tr>
      <w:tr w14:paraId="7C7834A2">
        <w:tblPrEx>
          <w:tblCellMar>
            <w:top w:w="0" w:type="dxa"/>
            <w:left w:w="108" w:type="dxa"/>
            <w:bottom w:w="0" w:type="dxa"/>
            <w:right w:w="108" w:type="dxa"/>
          </w:tblCellMar>
        </w:tblPrEx>
        <w:trPr>
          <w:trHeight w:val="23" w:hRule="atLeast"/>
          <w:jc w:val="center"/>
        </w:trPr>
        <w:tc>
          <w:tcPr>
            <w:tcW w:w="1252" w:type="dxa"/>
            <w:tcBorders>
              <w:top w:val="single" w:color="000000" w:sz="4" w:space="0"/>
              <w:left w:val="single" w:color="000000" w:sz="4" w:space="0"/>
              <w:bottom w:val="single" w:color="000000" w:sz="4" w:space="0"/>
              <w:right w:val="nil"/>
            </w:tcBorders>
            <w:noWrap w:val="0"/>
            <w:vAlign w:val="center"/>
          </w:tcPr>
          <w:p w14:paraId="74A88FA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一级指标</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4925A9E5">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二级指标</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99EF06D">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三级指标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CE1DE3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lang w:bidi="ar"/>
              </w:rPr>
              <w:t>指标</w:t>
            </w:r>
            <w:r>
              <w:rPr>
                <w:rFonts w:hint="eastAsia" w:ascii="黑体" w:hAnsi="宋体" w:eastAsia="黑体" w:cs="黑体"/>
                <w:color w:val="000000"/>
                <w:kern w:val="0"/>
                <w:sz w:val="24"/>
                <w:lang w:bidi="ar"/>
              </w:rPr>
              <w:br w:type="textWrapping"/>
            </w:r>
            <w:r>
              <w:rPr>
                <w:rFonts w:hint="eastAsia" w:ascii="黑体" w:hAnsi="宋体" w:eastAsia="黑体" w:cs="黑体"/>
                <w:color w:val="000000"/>
                <w:kern w:val="0"/>
                <w:sz w:val="24"/>
                <w:lang w:bidi="ar"/>
              </w:rPr>
              <w:t>分值</w:t>
            </w:r>
          </w:p>
        </w:tc>
        <w:tc>
          <w:tcPr>
            <w:tcW w:w="473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DB313">
            <w:pPr>
              <w:widowControl/>
              <w:spacing w:line="240" w:lineRule="exact"/>
              <w:jc w:val="center"/>
              <w:rPr>
                <w:rFonts w:ascii="黑体" w:hAnsi="宋体" w:eastAsia="黑体" w:cs="黑体"/>
                <w:color w:val="000000"/>
                <w:sz w:val="24"/>
              </w:rPr>
            </w:pPr>
          </w:p>
        </w:tc>
        <w:tc>
          <w:tcPr>
            <w:tcW w:w="756" w:type="dxa"/>
            <w:vMerge w:val="continue"/>
            <w:tcBorders>
              <w:left w:val="single" w:color="000000" w:sz="4" w:space="0"/>
              <w:bottom w:val="single" w:color="000000" w:sz="4" w:space="0"/>
              <w:right w:val="single" w:color="000000" w:sz="4" w:space="0"/>
            </w:tcBorders>
            <w:noWrap w:val="0"/>
            <w:vAlign w:val="center"/>
          </w:tcPr>
          <w:p w14:paraId="09292076">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noWrap w:val="0"/>
            <w:vAlign w:val="center"/>
          </w:tcPr>
          <w:p w14:paraId="548F3EDA">
            <w:pPr>
              <w:widowControl/>
              <w:spacing w:line="240" w:lineRule="exact"/>
              <w:jc w:val="center"/>
              <w:rPr>
                <w:rFonts w:ascii="黑体" w:hAnsi="宋体" w:eastAsia="黑体" w:cs="黑体"/>
                <w:color w:val="000000"/>
                <w:sz w:val="24"/>
              </w:rPr>
            </w:pPr>
          </w:p>
        </w:tc>
      </w:tr>
      <w:tr w14:paraId="46F00B91">
        <w:tblPrEx>
          <w:tblCellMar>
            <w:top w:w="0" w:type="dxa"/>
            <w:left w:w="108" w:type="dxa"/>
            <w:bottom w:w="0" w:type="dxa"/>
            <w:right w:w="108" w:type="dxa"/>
          </w:tblCellMar>
        </w:tblPrEx>
        <w:trPr>
          <w:trHeight w:val="23" w:hRule="atLeast"/>
          <w:jc w:val="center"/>
        </w:trPr>
        <w:tc>
          <w:tcPr>
            <w:tcW w:w="12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4A7A481">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总体绩效</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（65分）</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046E80CD">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履职效能</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（15分）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8494A42">
            <w:pPr>
              <w:widowControl/>
              <w:spacing w:line="240" w:lineRule="exact"/>
              <w:jc w:val="center"/>
              <w:textAlignment w:val="center"/>
              <w:rPr>
                <w:rFonts w:ascii="宋体" w:hAnsi="宋体" w:cs="宋体"/>
                <w:color w:val="FF0000"/>
                <w:szCs w:val="21"/>
              </w:rPr>
            </w:pPr>
            <w:r>
              <w:rPr>
                <w:rFonts w:hint="eastAsia" w:ascii="宋体" w:hAnsi="宋体" w:cs="宋体"/>
                <w:color w:val="000000"/>
                <w:kern w:val="0"/>
                <w:szCs w:val="21"/>
                <w:lang w:bidi="ar"/>
              </w:rPr>
              <w:t>履职效果</w:t>
            </w:r>
          </w:p>
        </w:tc>
        <w:tc>
          <w:tcPr>
            <w:tcW w:w="720" w:type="dxa"/>
            <w:tcBorders>
              <w:top w:val="nil"/>
              <w:left w:val="single" w:color="000000" w:sz="4" w:space="0"/>
              <w:bottom w:val="single" w:color="000000" w:sz="4" w:space="0"/>
              <w:right w:val="single" w:color="000000" w:sz="4" w:space="0"/>
            </w:tcBorders>
            <w:noWrap w:val="0"/>
            <w:vAlign w:val="center"/>
          </w:tcPr>
          <w:p w14:paraId="10E66883">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D03F468">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部门整体绩效目标中选定3-5个核心职能目标，反映该项职能目标完成效果情况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22217EA">
            <w:pPr>
              <w:widowControl/>
              <w:spacing w:line="24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15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AC20A1F">
            <w:pPr>
              <w:widowControl/>
              <w:spacing w:line="240" w:lineRule="exact"/>
              <w:jc w:val="left"/>
              <w:textAlignment w:val="center"/>
              <w:rPr>
                <w:rFonts w:ascii="宋体" w:hAnsi="宋体" w:cs="宋体"/>
                <w:color w:val="000000"/>
                <w:kern w:val="0"/>
                <w:szCs w:val="21"/>
                <w:lang w:bidi="ar"/>
              </w:rPr>
            </w:pPr>
          </w:p>
        </w:tc>
      </w:tr>
      <w:tr w14:paraId="55559D4D">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DAAFF7">
            <w:pPr>
              <w:widowControl/>
              <w:spacing w:line="240" w:lineRule="exact"/>
              <w:jc w:val="center"/>
              <w:rPr>
                <w:rFonts w:ascii="宋体" w:hAnsi="宋体" w:cs="宋体"/>
                <w:b/>
                <w:color w:val="000000"/>
                <w:szCs w:val="21"/>
              </w:rPr>
            </w:pP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14:paraId="57B30BA9">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预算管理</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（25分）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A8AF844">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预算编制质量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C221544">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9281E0F">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部门是否严格按要求编制年初部门预算，年初预算编制的科学性和准确性</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5782FFD">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DE6FC2D">
            <w:pPr>
              <w:widowControl/>
              <w:spacing w:line="240" w:lineRule="exact"/>
              <w:jc w:val="left"/>
              <w:textAlignment w:val="center"/>
              <w:rPr>
                <w:rFonts w:ascii="宋体" w:hAnsi="宋体" w:cs="宋体"/>
                <w:color w:val="000000"/>
                <w:kern w:val="0"/>
                <w:szCs w:val="21"/>
                <w:lang w:bidi="ar"/>
              </w:rPr>
            </w:pPr>
          </w:p>
        </w:tc>
      </w:tr>
      <w:tr w14:paraId="479A0498">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F9CA5">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9784A">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22F7995A">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单位收入统筹</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7D8008">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3762495">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部门统筹自有收入程度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90BFB93">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D56CF76">
            <w:pPr>
              <w:widowControl/>
              <w:spacing w:line="240" w:lineRule="exact"/>
              <w:jc w:val="left"/>
              <w:textAlignment w:val="center"/>
              <w:rPr>
                <w:rFonts w:ascii="宋体" w:hAnsi="宋体" w:cs="宋体"/>
                <w:color w:val="000000"/>
                <w:kern w:val="0"/>
                <w:szCs w:val="21"/>
                <w:lang w:bidi="ar"/>
              </w:rPr>
            </w:pPr>
          </w:p>
        </w:tc>
      </w:tr>
      <w:tr w14:paraId="78B22BE5">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423D1C">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6FBA89">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1768D34">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支出执行进度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EF697D6">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0F64F14">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部门1至6月、1至10月预算执行情况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F48A258">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0661143">
            <w:pPr>
              <w:widowControl/>
              <w:spacing w:line="240" w:lineRule="exact"/>
              <w:jc w:val="left"/>
              <w:textAlignment w:val="center"/>
              <w:rPr>
                <w:rFonts w:ascii="宋体" w:hAnsi="宋体" w:cs="宋体"/>
                <w:color w:val="000000"/>
                <w:kern w:val="0"/>
                <w:szCs w:val="21"/>
                <w:lang w:bidi="ar"/>
              </w:rPr>
            </w:pPr>
          </w:p>
        </w:tc>
      </w:tr>
      <w:tr w14:paraId="11BF0039">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B6ADDB">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D2F575">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8CBC3BA">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预算年终结余</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1C5BCC">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3419DC6">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部门整体年终预算结余情况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D59E9B3">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7499992">
            <w:pPr>
              <w:widowControl/>
              <w:spacing w:line="240" w:lineRule="exact"/>
              <w:jc w:val="left"/>
              <w:textAlignment w:val="center"/>
              <w:rPr>
                <w:rFonts w:ascii="宋体" w:hAnsi="宋体" w:cs="宋体"/>
                <w:color w:val="000000"/>
                <w:kern w:val="0"/>
                <w:szCs w:val="21"/>
                <w:lang w:bidi="ar"/>
              </w:rPr>
            </w:pPr>
          </w:p>
        </w:tc>
      </w:tr>
      <w:tr w14:paraId="2DB10C0D">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47BC14">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D7D5F">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8C6EC41">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严控一般性支出</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C44B257">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0334482">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部门严控“三公”经费、会议、培训、差旅、办节办展、办公设备购置、信息网络及软件购置更新、课题经费等8项一般性支出情况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13F94F2">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5</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3715697">
            <w:pPr>
              <w:widowControl/>
              <w:spacing w:line="240" w:lineRule="exact"/>
              <w:jc w:val="left"/>
              <w:textAlignment w:val="center"/>
              <w:rPr>
                <w:rFonts w:ascii="宋体" w:hAnsi="宋体" w:cs="宋体"/>
                <w:color w:val="000000"/>
                <w:kern w:val="0"/>
                <w:szCs w:val="21"/>
                <w:lang w:bidi="ar"/>
              </w:rPr>
            </w:pPr>
          </w:p>
        </w:tc>
      </w:tr>
      <w:tr w14:paraId="66391E78">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A0376E">
            <w:pPr>
              <w:widowControl/>
              <w:spacing w:line="240" w:lineRule="exact"/>
              <w:jc w:val="center"/>
              <w:rPr>
                <w:rFonts w:ascii="宋体" w:hAnsi="宋体" w:cs="宋体"/>
                <w:b/>
                <w:color w:val="000000"/>
                <w:szCs w:val="21"/>
              </w:rPr>
            </w:pP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14:paraId="5245E65E">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财务管理</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（10分）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5E896F5">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财务管理制度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C82D28">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26002C1">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部门财务管理制度建立情况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3D2C95B5">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297C737">
            <w:pPr>
              <w:widowControl/>
              <w:spacing w:line="240" w:lineRule="exact"/>
              <w:jc w:val="left"/>
              <w:textAlignment w:val="center"/>
              <w:rPr>
                <w:rFonts w:ascii="宋体" w:hAnsi="宋体" w:cs="宋体"/>
                <w:color w:val="000000"/>
                <w:kern w:val="0"/>
                <w:szCs w:val="21"/>
                <w:lang w:bidi="ar"/>
              </w:rPr>
            </w:pPr>
          </w:p>
        </w:tc>
      </w:tr>
      <w:tr w14:paraId="475AA069">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3F477E">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D1189">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FC66E69">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财务岗位设置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6787B52">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BBE02D9">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部门财务岗位设置是否符合相关财务管理制度要求</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96C5471">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6881E3C">
            <w:pPr>
              <w:widowControl/>
              <w:spacing w:line="240" w:lineRule="exact"/>
              <w:jc w:val="left"/>
              <w:textAlignment w:val="center"/>
              <w:rPr>
                <w:rFonts w:ascii="宋体" w:hAnsi="宋体" w:cs="宋体"/>
                <w:color w:val="000000"/>
                <w:kern w:val="0"/>
                <w:szCs w:val="21"/>
                <w:lang w:bidi="ar"/>
              </w:rPr>
            </w:pPr>
          </w:p>
        </w:tc>
      </w:tr>
      <w:tr w14:paraId="03C8C336">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1184F5">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63C900">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52B5329">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资金使用规范</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441BD52">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5671434E">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部门资金使用是否符合相关财务管理制度规定</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041B38A">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65D4235">
            <w:pPr>
              <w:widowControl/>
              <w:spacing w:line="240" w:lineRule="exact"/>
              <w:jc w:val="left"/>
              <w:textAlignment w:val="center"/>
              <w:rPr>
                <w:rFonts w:ascii="宋体" w:hAnsi="宋体" w:cs="宋体"/>
                <w:color w:val="000000"/>
                <w:kern w:val="0"/>
                <w:szCs w:val="21"/>
                <w:lang w:bidi="ar"/>
              </w:rPr>
            </w:pPr>
          </w:p>
        </w:tc>
      </w:tr>
      <w:tr w14:paraId="7EF35B75">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02A0E">
            <w:pPr>
              <w:widowControl/>
              <w:spacing w:line="240" w:lineRule="exact"/>
              <w:jc w:val="center"/>
              <w:rPr>
                <w:rFonts w:ascii="宋体" w:hAnsi="宋体" w:cs="宋体"/>
                <w:b/>
                <w:color w:val="000000"/>
                <w:szCs w:val="21"/>
              </w:rPr>
            </w:pP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14:paraId="3466B8EA">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资产管理</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6A30BFD">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人均资产变化率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9751E15">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C8F25E7">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部门人均资产变化情况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2CE07E5">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40AA7B3">
            <w:pPr>
              <w:widowControl/>
              <w:spacing w:line="240" w:lineRule="exact"/>
              <w:jc w:val="left"/>
              <w:textAlignment w:val="center"/>
              <w:rPr>
                <w:rFonts w:ascii="宋体" w:hAnsi="宋体" w:cs="宋体"/>
                <w:color w:val="000000"/>
                <w:kern w:val="0"/>
                <w:szCs w:val="21"/>
                <w:lang w:bidi="ar"/>
              </w:rPr>
            </w:pPr>
          </w:p>
        </w:tc>
      </w:tr>
      <w:tr w14:paraId="0EDA8579">
        <w:tblPrEx>
          <w:tblCellMar>
            <w:top w:w="0" w:type="dxa"/>
            <w:left w:w="108" w:type="dxa"/>
            <w:bottom w:w="0" w:type="dxa"/>
            <w:right w:w="108" w:type="dxa"/>
          </w:tblCellMar>
        </w:tblPrEx>
        <w:trPr>
          <w:trHeight w:val="202"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94783E">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83E8E">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1F562C85">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资产利用率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6D2BE0B">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22F3699A">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部门资产超最低使用年限情况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5833BB7">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04975A5">
            <w:pPr>
              <w:widowControl/>
              <w:spacing w:line="240" w:lineRule="exact"/>
              <w:jc w:val="left"/>
              <w:textAlignment w:val="center"/>
              <w:rPr>
                <w:rFonts w:ascii="宋体" w:hAnsi="宋体" w:cs="宋体"/>
                <w:color w:val="000000"/>
                <w:kern w:val="0"/>
                <w:szCs w:val="21"/>
                <w:lang w:bidi="ar"/>
              </w:rPr>
            </w:pPr>
          </w:p>
        </w:tc>
      </w:tr>
      <w:tr w14:paraId="52F31A16">
        <w:tblPrEx>
          <w:tblCellMar>
            <w:top w:w="0" w:type="dxa"/>
            <w:left w:w="108" w:type="dxa"/>
            <w:bottom w:w="0" w:type="dxa"/>
            <w:right w:w="108" w:type="dxa"/>
          </w:tblCellMar>
        </w:tblPrEx>
        <w:trPr>
          <w:trHeight w:val="23" w:hRule="atLeast"/>
          <w:jc w:val="center"/>
        </w:trPr>
        <w:tc>
          <w:tcPr>
            <w:tcW w:w="12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70A89DB">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总体绩效</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（65分）</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41048F4B">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资产管理</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（9分）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39E92CC6">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资产盘活率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667CDB8">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187E5F8">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部门闲置一年以上的资产盘活情况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358752A">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976FC33">
            <w:pPr>
              <w:widowControl/>
              <w:spacing w:line="240" w:lineRule="exact"/>
              <w:jc w:val="left"/>
              <w:textAlignment w:val="center"/>
              <w:rPr>
                <w:rFonts w:ascii="宋体" w:hAnsi="宋体" w:cs="宋体"/>
                <w:color w:val="000000"/>
                <w:kern w:val="0"/>
                <w:szCs w:val="21"/>
                <w:lang w:bidi="ar"/>
              </w:rPr>
            </w:pPr>
          </w:p>
        </w:tc>
      </w:tr>
      <w:tr w14:paraId="09B7EEEB">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DD6997">
            <w:pPr>
              <w:widowControl/>
              <w:spacing w:line="240" w:lineRule="exact"/>
              <w:jc w:val="center"/>
              <w:rPr>
                <w:rFonts w:ascii="宋体" w:hAnsi="宋体" w:cs="宋体"/>
                <w:b/>
                <w:color w:val="000000"/>
                <w:szCs w:val="21"/>
              </w:rPr>
            </w:pP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14:paraId="55D86BEA">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采购管理</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（6分）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92E2B4E">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支持中小企业发展</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5223B8DB">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894C9D6">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部门是否严格执行政府采购促进中小企业发展相关管理办法</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6C63937">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1AE22D9">
            <w:pPr>
              <w:widowControl/>
              <w:spacing w:line="240" w:lineRule="exact"/>
              <w:jc w:val="left"/>
              <w:textAlignment w:val="center"/>
              <w:rPr>
                <w:rFonts w:ascii="宋体" w:hAnsi="宋体" w:cs="宋体"/>
                <w:color w:val="000000"/>
                <w:kern w:val="0"/>
                <w:szCs w:val="21"/>
                <w:lang w:bidi="ar"/>
              </w:rPr>
            </w:pPr>
          </w:p>
        </w:tc>
      </w:tr>
      <w:tr w14:paraId="4DCD567F">
        <w:tblPrEx>
          <w:tblCellMar>
            <w:top w:w="0" w:type="dxa"/>
            <w:left w:w="108" w:type="dxa"/>
            <w:bottom w:w="0" w:type="dxa"/>
            <w:right w:w="108" w:type="dxa"/>
          </w:tblCellMar>
        </w:tblPrEx>
        <w:trPr>
          <w:trHeight w:val="185"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248B3">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00D81C">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A72CCFC">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采购执行率</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64D8E3B4">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75F08C6">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部门政府采购项目资金支付比例情况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61E4EEAB">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448BF88">
            <w:pPr>
              <w:widowControl/>
              <w:spacing w:line="240" w:lineRule="exact"/>
              <w:jc w:val="left"/>
              <w:textAlignment w:val="center"/>
              <w:rPr>
                <w:rFonts w:ascii="宋体" w:hAnsi="宋体" w:cs="宋体"/>
                <w:color w:val="000000"/>
                <w:kern w:val="0"/>
                <w:szCs w:val="21"/>
                <w:lang w:bidi="ar"/>
              </w:rPr>
            </w:pPr>
          </w:p>
        </w:tc>
      </w:tr>
      <w:tr w14:paraId="388C5176">
        <w:tblPrEx>
          <w:tblCellMar>
            <w:top w:w="0" w:type="dxa"/>
            <w:left w:w="108" w:type="dxa"/>
            <w:bottom w:w="0" w:type="dxa"/>
            <w:right w:w="108" w:type="dxa"/>
          </w:tblCellMar>
        </w:tblPrEx>
        <w:trPr>
          <w:trHeight w:val="23" w:hRule="atLeast"/>
          <w:jc w:val="center"/>
        </w:trPr>
        <w:tc>
          <w:tcPr>
            <w:tcW w:w="12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96AD8EB">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项目绩效</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（35分）</w:t>
            </w:r>
          </w:p>
        </w:tc>
        <w:tc>
          <w:tcPr>
            <w:tcW w:w="1214" w:type="dxa"/>
            <w:vMerge w:val="restart"/>
            <w:tcBorders>
              <w:top w:val="single" w:color="000000" w:sz="4" w:space="0"/>
              <w:left w:val="single" w:color="000000" w:sz="4" w:space="0"/>
              <w:bottom w:val="nil"/>
              <w:right w:val="single" w:color="000000" w:sz="4" w:space="0"/>
            </w:tcBorders>
            <w:noWrap w:val="0"/>
            <w:vAlign w:val="center"/>
          </w:tcPr>
          <w:p w14:paraId="4E5FEE34">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项目决策</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08FCB13E">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决策程序</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3612646F">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F462CCC">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部门预算项目设立是否按规定履行评估论证、申报程序</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0DD7A443">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1</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7FBF4BB">
            <w:pPr>
              <w:widowControl/>
              <w:spacing w:line="240" w:lineRule="exact"/>
              <w:jc w:val="left"/>
              <w:textAlignment w:val="center"/>
              <w:rPr>
                <w:rFonts w:ascii="宋体" w:hAnsi="宋体" w:cs="宋体"/>
                <w:color w:val="000000"/>
                <w:kern w:val="0"/>
                <w:szCs w:val="21"/>
                <w:lang w:bidi="ar"/>
              </w:rPr>
            </w:pPr>
          </w:p>
        </w:tc>
      </w:tr>
      <w:tr w14:paraId="4B9D6F86">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F3A631">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nil"/>
              <w:right w:val="single" w:color="000000" w:sz="4" w:space="0"/>
            </w:tcBorders>
            <w:noWrap w:val="0"/>
            <w:vAlign w:val="center"/>
          </w:tcPr>
          <w:p w14:paraId="6FB9B16E">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5FDAA2E3">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目标设置</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3224898">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754E94B4">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部门预算项目绩效目标与计划期内的任务量、预算安排的资金量匹配情况，绩效目标设置是否科学合理、规范完整、量化细化、预算匹配</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C068714">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33BE348F">
            <w:pPr>
              <w:widowControl/>
              <w:spacing w:line="240" w:lineRule="exact"/>
              <w:jc w:val="left"/>
              <w:textAlignment w:val="center"/>
              <w:rPr>
                <w:rFonts w:ascii="宋体" w:hAnsi="宋体" w:cs="宋体"/>
                <w:color w:val="000000"/>
                <w:kern w:val="0"/>
                <w:szCs w:val="21"/>
                <w:lang w:bidi="ar"/>
              </w:rPr>
            </w:pPr>
          </w:p>
        </w:tc>
      </w:tr>
      <w:tr w14:paraId="2A0C9003">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C2DA7">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nil"/>
              <w:right w:val="single" w:color="000000" w:sz="4" w:space="0"/>
            </w:tcBorders>
            <w:noWrap w:val="0"/>
            <w:vAlign w:val="center"/>
          </w:tcPr>
          <w:p w14:paraId="57E287ED">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ED080AD">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项目入库</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12ACD91">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07D92C0A">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部门预算项目是否在规定时间完成项目入库</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0535A4F">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798091CB">
            <w:pPr>
              <w:widowControl/>
              <w:spacing w:line="240" w:lineRule="exact"/>
              <w:jc w:val="left"/>
              <w:textAlignment w:val="center"/>
              <w:rPr>
                <w:rFonts w:ascii="宋体" w:hAnsi="宋体" w:cs="宋体"/>
                <w:color w:val="000000"/>
                <w:kern w:val="0"/>
                <w:szCs w:val="21"/>
                <w:lang w:bidi="ar"/>
              </w:rPr>
            </w:pPr>
          </w:p>
        </w:tc>
      </w:tr>
      <w:tr w14:paraId="6553D17C">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112A2">
            <w:pPr>
              <w:widowControl/>
              <w:spacing w:line="240" w:lineRule="exact"/>
              <w:jc w:val="center"/>
              <w:rPr>
                <w:rFonts w:ascii="宋体" w:hAnsi="宋体" w:cs="宋体"/>
                <w:b/>
                <w:color w:val="000000"/>
                <w:szCs w:val="21"/>
              </w:rPr>
            </w:pPr>
          </w:p>
        </w:tc>
        <w:tc>
          <w:tcPr>
            <w:tcW w:w="1214" w:type="dxa"/>
            <w:vMerge w:val="restart"/>
            <w:tcBorders>
              <w:top w:val="single" w:color="000000" w:sz="4" w:space="0"/>
              <w:left w:val="single" w:color="000000" w:sz="4" w:space="0"/>
              <w:bottom w:val="nil"/>
              <w:right w:val="single" w:color="000000" w:sz="4" w:space="0"/>
            </w:tcBorders>
            <w:noWrap w:val="0"/>
            <w:vAlign w:val="center"/>
          </w:tcPr>
          <w:p w14:paraId="7CA14593">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项目执行</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（12分）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9419567">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执行同向</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00848B5">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152FF02A">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部门预算项目实际列支内容是否与绩效目标设置方向相符</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F8999E0">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22BD30BB">
            <w:pPr>
              <w:widowControl/>
              <w:spacing w:line="240" w:lineRule="exact"/>
              <w:jc w:val="left"/>
              <w:textAlignment w:val="center"/>
              <w:rPr>
                <w:rFonts w:ascii="宋体" w:hAnsi="宋体" w:cs="宋体"/>
                <w:color w:val="000000"/>
                <w:kern w:val="0"/>
                <w:szCs w:val="21"/>
                <w:lang w:bidi="ar"/>
              </w:rPr>
            </w:pPr>
          </w:p>
        </w:tc>
      </w:tr>
      <w:tr w14:paraId="347AB195">
        <w:tblPrEx>
          <w:tblCellMar>
            <w:top w:w="0" w:type="dxa"/>
            <w:left w:w="108" w:type="dxa"/>
            <w:bottom w:w="0" w:type="dxa"/>
            <w:right w:w="108" w:type="dxa"/>
          </w:tblCellMar>
        </w:tblPrEx>
        <w:trPr>
          <w:trHeight w:val="51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0DC195">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nil"/>
              <w:right w:val="single" w:color="000000" w:sz="4" w:space="0"/>
            </w:tcBorders>
            <w:noWrap w:val="0"/>
            <w:vAlign w:val="center"/>
          </w:tcPr>
          <w:p w14:paraId="787CD874">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nil"/>
              <w:right w:val="single" w:color="000000" w:sz="4" w:space="0"/>
            </w:tcBorders>
            <w:noWrap w:val="0"/>
            <w:vAlign w:val="center"/>
          </w:tcPr>
          <w:p w14:paraId="7562043A">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项目调整</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81B5952">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05C00C6">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部门预算项目是否采取对应调整措施</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29092D28">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0A5B3D2B">
            <w:pPr>
              <w:widowControl/>
              <w:spacing w:line="240" w:lineRule="exact"/>
              <w:jc w:val="left"/>
              <w:textAlignment w:val="center"/>
              <w:rPr>
                <w:rFonts w:ascii="宋体" w:hAnsi="宋体" w:cs="宋体"/>
                <w:color w:val="000000"/>
                <w:kern w:val="0"/>
                <w:szCs w:val="21"/>
                <w:lang w:bidi="ar"/>
              </w:rPr>
            </w:pPr>
          </w:p>
        </w:tc>
      </w:tr>
      <w:tr w14:paraId="4D3F498B">
        <w:tblPrEx>
          <w:tblCellMar>
            <w:top w:w="0" w:type="dxa"/>
            <w:left w:w="108" w:type="dxa"/>
            <w:bottom w:w="0" w:type="dxa"/>
            <w:right w:w="108" w:type="dxa"/>
          </w:tblCellMar>
        </w:tblPrEx>
        <w:trPr>
          <w:trHeight w:val="249"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71A799">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nil"/>
              <w:right w:val="single" w:color="000000" w:sz="4" w:space="0"/>
            </w:tcBorders>
            <w:noWrap w:val="0"/>
            <w:vAlign w:val="center"/>
          </w:tcPr>
          <w:p w14:paraId="24FDDD0F">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3580000">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执行结果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47806445">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50DD927">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部门预算项目预算执行情况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1D7C6DC8">
            <w:pPr>
              <w:widowControl/>
              <w:spacing w:line="240" w:lineRule="exact"/>
              <w:jc w:val="left"/>
              <w:textAlignment w:val="center"/>
              <w:rPr>
                <w:rFonts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4B3A007">
            <w:pPr>
              <w:widowControl/>
              <w:spacing w:line="240" w:lineRule="exact"/>
              <w:jc w:val="left"/>
              <w:textAlignment w:val="center"/>
              <w:rPr>
                <w:rFonts w:ascii="宋体" w:hAnsi="宋体" w:cs="宋体"/>
                <w:color w:val="000000"/>
                <w:kern w:val="0"/>
                <w:szCs w:val="21"/>
                <w:lang w:bidi="ar"/>
              </w:rPr>
            </w:pPr>
          </w:p>
        </w:tc>
      </w:tr>
      <w:tr w14:paraId="3EF2C943">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C9C42">
            <w:pPr>
              <w:widowControl/>
              <w:spacing w:line="240" w:lineRule="exact"/>
              <w:jc w:val="center"/>
              <w:rPr>
                <w:rFonts w:ascii="宋体" w:hAnsi="宋体" w:cs="宋体"/>
                <w:b/>
                <w:color w:val="000000"/>
                <w:szCs w:val="21"/>
              </w:rPr>
            </w:pPr>
          </w:p>
        </w:tc>
        <w:tc>
          <w:tcPr>
            <w:tcW w:w="1214" w:type="dxa"/>
            <w:vMerge w:val="restart"/>
            <w:tcBorders>
              <w:top w:val="single" w:color="000000" w:sz="4" w:space="0"/>
              <w:left w:val="single" w:color="000000" w:sz="4" w:space="0"/>
              <w:bottom w:val="single" w:color="000000" w:sz="4" w:space="0"/>
              <w:right w:val="single" w:color="000000" w:sz="4" w:space="0"/>
            </w:tcBorders>
            <w:noWrap w:val="0"/>
            <w:vAlign w:val="center"/>
          </w:tcPr>
          <w:p w14:paraId="44D4E3E3">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目标实现</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（11分）</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7DC04D03">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目标完成</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17E93309">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6E757F5E">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部门预算项目绩效目标数量指标完成情况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5177225">
            <w:pPr>
              <w:widowControl/>
              <w:spacing w:line="240" w:lineRule="exact"/>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5C6A02DF">
            <w:pPr>
              <w:widowControl/>
              <w:spacing w:line="240" w:lineRule="exact"/>
              <w:jc w:val="left"/>
              <w:textAlignment w:val="center"/>
              <w:rPr>
                <w:rFonts w:ascii="宋体" w:hAnsi="宋体" w:cs="宋体"/>
                <w:color w:val="000000"/>
                <w:kern w:val="0"/>
                <w:szCs w:val="21"/>
                <w:lang w:bidi="ar"/>
              </w:rPr>
            </w:pPr>
          </w:p>
        </w:tc>
      </w:tr>
      <w:tr w14:paraId="4307A26C">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CE335">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54FA72">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41DCFAE">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目标偏离</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09E6FB5">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C6A283E">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部门预算项目绩效目标数量指标实现程度与预期目标的偏离情况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02F111D">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1AB77B3D">
            <w:pPr>
              <w:widowControl/>
              <w:spacing w:line="240" w:lineRule="exact"/>
              <w:jc w:val="left"/>
              <w:textAlignment w:val="center"/>
              <w:rPr>
                <w:rFonts w:ascii="宋体" w:hAnsi="宋体" w:cs="宋体"/>
                <w:color w:val="000000"/>
                <w:kern w:val="0"/>
                <w:szCs w:val="21"/>
                <w:lang w:bidi="ar"/>
              </w:rPr>
            </w:pPr>
          </w:p>
        </w:tc>
      </w:tr>
      <w:tr w14:paraId="37408DBA">
        <w:tblPrEx>
          <w:tblCellMar>
            <w:top w:w="0" w:type="dxa"/>
            <w:left w:w="108" w:type="dxa"/>
            <w:bottom w:w="0" w:type="dxa"/>
            <w:right w:w="108" w:type="dxa"/>
          </w:tblCellMar>
        </w:tblPrEx>
        <w:trPr>
          <w:trHeight w:val="23" w:hRule="atLeast"/>
          <w:jc w:val="center"/>
        </w:trPr>
        <w:tc>
          <w:tcPr>
            <w:tcW w:w="12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1C2BED">
            <w:pPr>
              <w:widowControl/>
              <w:spacing w:line="240" w:lineRule="exact"/>
              <w:jc w:val="center"/>
              <w:rPr>
                <w:rFonts w:ascii="宋体" w:hAnsi="宋体" w:cs="宋体"/>
                <w:b/>
                <w:color w:val="000000"/>
                <w:szCs w:val="21"/>
              </w:rPr>
            </w:pPr>
          </w:p>
        </w:tc>
        <w:tc>
          <w:tcPr>
            <w:tcW w:w="121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732E2">
            <w:pPr>
              <w:widowControl/>
              <w:spacing w:line="240" w:lineRule="exact"/>
              <w:jc w:val="center"/>
              <w:rPr>
                <w:rFonts w:ascii="宋体" w:hAnsi="宋体" w:cs="宋体"/>
                <w:b/>
                <w:color w:val="000000"/>
                <w:szCs w:val="21"/>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14:paraId="61E2D722">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实现效果</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061A5D2F">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0334AD6">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部门预算项目绩效目标效益指标实施效果</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3B724D6">
            <w:pPr>
              <w:widowControl/>
              <w:spacing w:line="240" w:lineRule="exact"/>
              <w:jc w:val="left"/>
              <w:textAlignment w:val="center"/>
              <w:rPr>
                <w:rFonts w:hint="eastAsia" w:ascii="宋体" w:hAnsi="宋体" w:eastAsia="宋体" w:cs="宋体"/>
                <w:color w:val="000000"/>
                <w:kern w:val="0"/>
                <w:szCs w:val="21"/>
                <w:lang w:eastAsia="zh-CN" w:bidi="ar"/>
              </w:rPr>
            </w:pPr>
            <w:r>
              <w:rPr>
                <w:rFonts w:hint="eastAsia" w:ascii="宋体" w:hAnsi="宋体" w:cs="宋体"/>
                <w:color w:val="000000"/>
                <w:kern w:val="0"/>
                <w:szCs w:val="21"/>
                <w:lang w:val="en-US" w:eastAsia="zh-CN" w:bidi="ar"/>
              </w:rPr>
              <w:t>2</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21C945A">
            <w:pPr>
              <w:widowControl/>
              <w:spacing w:line="240" w:lineRule="exact"/>
              <w:jc w:val="left"/>
              <w:textAlignment w:val="center"/>
              <w:rPr>
                <w:rFonts w:ascii="宋体" w:hAnsi="宋体" w:cs="宋体"/>
                <w:color w:val="000000"/>
                <w:kern w:val="0"/>
                <w:szCs w:val="21"/>
                <w:lang w:bidi="ar"/>
              </w:rPr>
            </w:pPr>
          </w:p>
        </w:tc>
      </w:tr>
      <w:tr w14:paraId="4429508A">
        <w:tblPrEx>
          <w:tblCellMar>
            <w:top w:w="0" w:type="dxa"/>
            <w:left w:w="108" w:type="dxa"/>
            <w:bottom w:w="0" w:type="dxa"/>
            <w:right w:w="108" w:type="dxa"/>
          </w:tblCellMar>
        </w:tblPrEx>
        <w:trPr>
          <w:trHeight w:val="470" w:hRule="atLeast"/>
          <w:jc w:val="center"/>
        </w:trPr>
        <w:tc>
          <w:tcPr>
            <w:tcW w:w="1252" w:type="dxa"/>
            <w:tcBorders>
              <w:top w:val="single" w:color="000000" w:sz="4" w:space="0"/>
              <w:left w:val="single" w:color="000000" w:sz="4" w:space="0"/>
              <w:bottom w:val="single" w:color="000000" w:sz="4" w:space="0"/>
              <w:right w:val="single" w:color="000000" w:sz="4" w:space="0"/>
            </w:tcBorders>
            <w:noWrap w:val="0"/>
            <w:vAlign w:val="center"/>
          </w:tcPr>
          <w:p w14:paraId="2107FA1E">
            <w:pPr>
              <w:widowControl/>
              <w:spacing w:line="240" w:lineRule="exact"/>
              <w:jc w:val="center"/>
              <w:textAlignment w:val="center"/>
              <w:rPr>
                <w:rFonts w:ascii="宋体" w:hAnsi="宋体" w:cs="宋体"/>
                <w:b/>
                <w:color w:val="000000"/>
                <w:szCs w:val="21"/>
              </w:rPr>
            </w:pPr>
            <w:r>
              <w:rPr>
                <w:rFonts w:hint="eastAsia" w:ascii="宋体" w:hAnsi="宋体" w:cs="宋体"/>
                <w:b/>
                <w:color w:val="000000"/>
                <w:kern w:val="0"/>
                <w:szCs w:val="21"/>
                <w:lang w:bidi="ar"/>
              </w:rPr>
              <w:t>扣分项</w:t>
            </w:r>
            <w:r>
              <w:rPr>
                <w:rFonts w:hint="eastAsia" w:ascii="宋体" w:hAnsi="宋体" w:cs="宋体"/>
                <w:b/>
                <w:color w:val="000000"/>
                <w:kern w:val="0"/>
                <w:szCs w:val="21"/>
                <w:lang w:bidi="ar"/>
              </w:rPr>
              <w:br w:type="textWrapping"/>
            </w:r>
            <w:r>
              <w:rPr>
                <w:rFonts w:hint="eastAsia" w:ascii="宋体" w:hAnsi="宋体" w:cs="宋体"/>
                <w:b/>
                <w:color w:val="000000"/>
                <w:kern w:val="0"/>
                <w:szCs w:val="21"/>
                <w:lang w:bidi="ar"/>
              </w:rPr>
              <w:t>（10分）</w:t>
            </w:r>
          </w:p>
        </w:tc>
        <w:tc>
          <w:tcPr>
            <w:tcW w:w="2879" w:type="dxa"/>
            <w:gridSpan w:val="2"/>
            <w:tcBorders>
              <w:top w:val="single" w:color="000000" w:sz="4" w:space="0"/>
              <w:left w:val="single" w:color="000000" w:sz="4" w:space="0"/>
              <w:bottom w:val="single" w:color="000000" w:sz="4" w:space="0"/>
              <w:right w:val="single" w:color="000000" w:sz="4" w:space="0"/>
            </w:tcBorders>
            <w:noWrap w:val="0"/>
            <w:vAlign w:val="center"/>
          </w:tcPr>
          <w:p w14:paraId="55A5A12C">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被评价部门配合度</w:t>
            </w: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779A4656">
            <w:pPr>
              <w:widowControl/>
              <w:spacing w:line="240" w:lineRule="exact"/>
              <w:jc w:val="center"/>
              <w:textAlignment w:val="center"/>
              <w:rPr>
                <w:rFonts w:ascii="宋体" w:hAnsi="宋体" w:cs="宋体"/>
                <w:color w:val="000000"/>
                <w:szCs w:val="21"/>
              </w:rPr>
            </w:pPr>
            <w:r>
              <w:rPr>
                <w:rFonts w:hint="eastAsia" w:ascii="宋体" w:hAnsi="宋体" w:cs="宋体"/>
                <w:color w:val="000000"/>
                <w:kern w:val="0"/>
                <w:szCs w:val="21"/>
                <w:lang w:bidi="ar"/>
              </w:rPr>
              <w:t>-</w:t>
            </w: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37F92759">
            <w:pPr>
              <w:widowControl/>
              <w:spacing w:line="240" w:lineRule="exact"/>
              <w:jc w:val="left"/>
              <w:textAlignment w:val="center"/>
              <w:rPr>
                <w:rFonts w:ascii="宋体" w:hAnsi="宋体" w:cs="宋体"/>
                <w:color w:val="000000"/>
                <w:szCs w:val="21"/>
              </w:rPr>
            </w:pPr>
            <w:r>
              <w:rPr>
                <w:rFonts w:hint="eastAsia" w:ascii="宋体" w:hAnsi="宋体" w:cs="宋体"/>
                <w:color w:val="000000"/>
                <w:kern w:val="0"/>
                <w:szCs w:val="21"/>
                <w:lang w:bidi="ar"/>
              </w:rPr>
              <w:t>被评价对象工作配合情况</w:t>
            </w: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4A079234">
            <w:pPr>
              <w:widowControl/>
              <w:spacing w:line="240" w:lineRule="exact"/>
              <w:jc w:val="left"/>
              <w:textAlignment w:val="center"/>
              <w:rPr>
                <w:rFonts w:ascii="宋体" w:hAnsi="宋体" w:cs="宋体"/>
                <w:color w:val="000000"/>
                <w:kern w:val="0"/>
                <w:szCs w:val="21"/>
                <w:lang w:bidi="ar"/>
              </w:rPr>
            </w:pP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629F258E">
            <w:pPr>
              <w:widowControl/>
              <w:spacing w:line="240" w:lineRule="exact"/>
              <w:jc w:val="left"/>
              <w:textAlignment w:val="center"/>
              <w:rPr>
                <w:rFonts w:ascii="宋体" w:hAnsi="宋体" w:cs="宋体"/>
                <w:color w:val="000000"/>
                <w:kern w:val="0"/>
                <w:szCs w:val="21"/>
                <w:lang w:bidi="ar"/>
              </w:rPr>
            </w:pPr>
          </w:p>
        </w:tc>
      </w:tr>
      <w:tr w14:paraId="0C79A950">
        <w:tblPrEx>
          <w:tblCellMar>
            <w:top w:w="0" w:type="dxa"/>
            <w:left w:w="108" w:type="dxa"/>
            <w:bottom w:w="0" w:type="dxa"/>
            <w:right w:w="108" w:type="dxa"/>
          </w:tblCellMar>
        </w:tblPrEx>
        <w:trPr>
          <w:trHeight w:val="690" w:hRule="atLeast"/>
          <w:jc w:val="center"/>
        </w:trPr>
        <w:tc>
          <w:tcPr>
            <w:tcW w:w="1252" w:type="dxa"/>
            <w:tcBorders>
              <w:top w:val="single" w:color="000000" w:sz="4" w:space="0"/>
              <w:left w:val="single" w:color="000000" w:sz="4" w:space="0"/>
              <w:bottom w:val="single" w:color="000000" w:sz="4" w:space="0"/>
              <w:right w:val="single" w:color="000000" w:sz="4" w:space="0"/>
            </w:tcBorders>
            <w:noWrap w:val="0"/>
            <w:vAlign w:val="center"/>
          </w:tcPr>
          <w:p w14:paraId="7FFE5C3B">
            <w:pPr>
              <w:widowControl/>
              <w:spacing w:line="240" w:lineRule="exact"/>
              <w:jc w:val="center"/>
              <w:textAlignment w:val="center"/>
              <w:rPr>
                <w:rFonts w:hint="eastAsia" w:ascii="宋体" w:hAnsi="宋体" w:cs="宋体"/>
                <w:b/>
                <w:color w:val="000000"/>
                <w:kern w:val="0"/>
                <w:szCs w:val="21"/>
                <w:lang w:bidi="ar"/>
              </w:rPr>
            </w:pPr>
            <w:r>
              <w:rPr>
                <w:rFonts w:hint="eastAsia" w:ascii="宋体" w:hAnsi="宋体" w:cs="宋体"/>
                <w:b/>
                <w:color w:val="000000"/>
                <w:kern w:val="0"/>
                <w:szCs w:val="21"/>
                <w:lang w:bidi="ar"/>
              </w:rPr>
              <w:t>合计</w:t>
            </w:r>
          </w:p>
        </w:tc>
        <w:tc>
          <w:tcPr>
            <w:tcW w:w="2879" w:type="dxa"/>
            <w:gridSpan w:val="2"/>
            <w:tcBorders>
              <w:top w:val="single" w:color="000000" w:sz="4" w:space="0"/>
              <w:left w:val="single" w:color="000000" w:sz="4" w:space="0"/>
              <w:bottom w:val="single" w:color="000000" w:sz="4" w:space="0"/>
              <w:right w:val="single" w:color="000000" w:sz="4" w:space="0"/>
            </w:tcBorders>
            <w:noWrap w:val="0"/>
            <w:vAlign w:val="center"/>
          </w:tcPr>
          <w:p w14:paraId="137361AA">
            <w:pPr>
              <w:widowControl/>
              <w:spacing w:line="240" w:lineRule="exact"/>
              <w:jc w:val="center"/>
              <w:textAlignment w:val="center"/>
              <w:rPr>
                <w:rFonts w:hint="eastAsia" w:ascii="宋体" w:hAnsi="宋体" w:cs="宋体"/>
                <w:color w:val="000000"/>
                <w:kern w:val="0"/>
                <w:szCs w:val="21"/>
                <w:lang w:bidi="ar"/>
              </w:rPr>
            </w:pPr>
          </w:p>
        </w:tc>
        <w:tc>
          <w:tcPr>
            <w:tcW w:w="720" w:type="dxa"/>
            <w:tcBorders>
              <w:top w:val="single" w:color="000000" w:sz="4" w:space="0"/>
              <w:left w:val="single" w:color="000000" w:sz="4" w:space="0"/>
              <w:bottom w:val="single" w:color="000000" w:sz="4" w:space="0"/>
              <w:right w:val="single" w:color="000000" w:sz="4" w:space="0"/>
            </w:tcBorders>
            <w:noWrap w:val="0"/>
            <w:vAlign w:val="center"/>
          </w:tcPr>
          <w:p w14:paraId="2F3E0DE7">
            <w:pPr>
              <w:widowControl/>
              <w:spacing w:line="240" w:lineRule="exact"/>
              <w:jc w:val="center"/>
              <w:textAlignment w:val="center"/>
              <w:rPr>
                <w:rFonts w:hint="eastAsia" w:ascii="宋体" w:hAnsi="宋体" w:cs="宋体"/>
                <w:color w:val="000000"/>
                <w:kern w:val="0"/>
                <w:szCs w:val="21"/>
                <w:lang w:bidi="ar"/>
              </w:rPr>
            </w:pPr>
          </w:p>
        </w:tc>
        <w:tc>
          <w:tcPr>
            <w:tcW w:w="4734" w:type="dxa"/>
            <w:tcBorders>
              <w:top w:val="single" w:color="000000" w:sz="4" w:space="0"/>
              <w:left w:val="single" w:color="000000" w:sz="4" w:space="0"/>
              <w:bottom w:val="single" w:color="000000" w:sz="4" w:space="0"/>
              <w:right w:val="single" w:color="000000" w:sz="4" w:space="0"/>
            </w:tcBorders>
            <w:noWrap w:val="0"/>
            <w:vAlign w:val="center"/>
          </w:tcPr>
          <w:p w14:paraId="49FE2BE4">
            <w:pPr>
              <w:widowControl/>
              <w:spacing w:line="240" w:lineRule="exact"/>
              <w:jc w:val="left"/>
              <w:textAlignment w:val="center"/>
              <w:rPr>
                <w:rFonts w:hint="eastAsia" w:ascii="宋体" w:hAnsi="宋体" w:cs="宋体"/>
                <w:color w:val="000000"/>
                <w:kern w:val="0"/>
                <w:szCs w:val="21"/>
                <w:lang w:bidi="ar"/>
              </w:rPr>
            </w:pPr>
          </w:p>
        </w:tc>
        <w:tc>
          <w:tcPr>
            <w:tcW w:w="756" w:type="dxa"/>
            <w:tcBorders>
              <w:top w:val="single" w:color="000000" w:sz="4" w:space="0"/>
              <w:left w:val="single" w:color="000000" w:sz="4" w:space="0"/>
              <w:bottom w:val="single" w:color="000000" w:sz="4" w:space="0"/>
              <w:right w:val="single" w:color="000000" w:sz="4" w:space="0"/>
            </w:tcBorders>
            <w:noWrap w:val="0"/>
            <w:vAlign w:val="center"/>
          </w:tcPr>
          <w:p w14:paraId="799A26E7">
            <w:pPr>
              <w:widowControl/>
              <w:spacing w:line="240" w:lineRule="exact"/>
              <w:jc w:val="left"/>
              <w:textAlignment w:val="center"/>
              <w:rPr>
                <w:rFonts w:hint="default" w:ascii="宋体" w:hAnsi="宋体" w:eastAsia="宋体" w:cs="宋体"/>
                <w:color w:val="000000"/>
                <w:kern w:val="0"/>
                <w:szCs w:val="21"/>
                <w:lang w:val="en-US" w:eastAsia="zh-CN" w:bidi="ar"/>
              </w:rPr>
            </w:pPr>
            <w:r>
              <w:rPr>
                <w:rFonts w:hint="eastAsia" w:ascii="宋体" w:hAnsi="宋体" w:cs="宋体"/>
                <w:color w:val="000000"/>
                <w:kern w:val="0"/>
                <w:szCs w:val="21"/>
                <w:lang w:val="en-US" w:eastAsia="zh-CN" w:bidi="ar"/>
              </w:rPr>
              <w:t>83</w:t>
            </w:r>
          </w:p>
        </w:tc>
        <w:tc>
          <w:tcPr>
            <w:tcW w:w="478" w:type="dxa"/>
            <w:tcBorders>
              <w:top w:val="single" w:color="000000" w:sz="4" w:space="0"/>
              <w:left w:val="single" w:color="000000" w:sz="4" w:space="0"/>
              <w:bottom w:val="single" w:color="000000" w:sz="4" w:space="0"/>
              <w:right w:val="single" w:color="000000" w:sz="4" w:space="0"/>
            </w:tcBorders>
            <w:noWrap w:val="0"/>
            <w:vAlign w:val="center"/>
          </w:tcPr>
          <w:p w14:paraId="4DE01465">
            <w:pPr>
              <w:widowControl/>
              <w:spacing w:line="240" w:lineRule="exact"/>
              <w:jc w:val="left"/>
              <w:textAlignment w:val="center"/>
              <w:rPr>
                <w:rFonts w:ascii="宋体" w:hAnsi="宋体" w:cs="宋体"/>
                <w:color w:val="000000"/>
                <w:kern w:val="0"/>
                <w:szCs w:val="21"/>
                <w:lang w:bidi="ar"/>
              </w:rPr>
            </w:pPr>
          </w:p>
        </w:tc>
      </w:tr>
      <w:bookmarkEnd w:id="98"/>
    </w:tbl>
    <w:p w14:paraId="3B446953">
      <w:pPr>
        <w:pageBreakBefore w:val="0"/>
        <w:widowControl w:val="0"/>
        <w:numPr>
          <w:ilvl w:val="0"/>
          <w:numId w:val="2"/>
        </w:numPr>
        <w:kinsoku/>
        <w:wordWrap/>
        <w:overflowPunct/>
        <w:topLinePunct w:val="0"/>
        <w:autoSpaceDE/>
        <w:autoSpaceDN/>
        <w:bidi w:val="0"/>
        <w:adjustRightInd/>
        <w:snapToGrid/>
        <w:spacing w:line="576" w:lineRule="exact"/>
        <w:jc w:val="center"/>
        <w:textAlignment w:val="auto"/>
        <w:outlineLvl w:val="0"/>
        <w:rPr>
          <w:rStyle w:val="29"/>
          <w:rFonts w:hint="eastAsia" w:ascii="黑体" w:hAnsi="黑体" w:eastAsia="黑体"/>
          <w:b w:val="0"/>
          <w:color w:val="auto"/>
          <w:highlight w:val="none"/>
        </w:rPr>
      </w:pPr>
      <w:r>
        <w:rPr>
          <w:rStyle w:val="29"/>
          <w:rFonts w:hint="eastAsia" w:ascii="黑体" w:hAnsi="黑体" w:eastAsia="黑体"/>
          <w:b w:val="0"/>
          <w:color w:val="auto"/>
          <w:highlight w:val="none"/>
        </w:rPr>
        <w:t>附表</w:t>
      </w:r>
      <w:bookmarkStart w:id="100" w:name="_Toc30058"/>
    </w:p>
    <w:p w14:paraId="6AF2952A">
      <w:pPr>
        <w:pageBreakBefore w:val="0"/>
        <w:widowControl w:val="0"/>
        <w:numPr>
          <w:numId w:val="0"/>
        </w:numPr>
        <w:kinsoku/>
        <w:wordWrap/>
        <w:overflowPunct/>
        <w:topLinePunct w:val="0"/>
        <w:autoSpaceDE/>
        <w:autoSpaceDN/>
        <w:bidi w:val="0"/>
        <w:adjustRightInd/>
        <w:snapToGrid/>
        <w:spacing w:line="576" w:lineRule="exact"/>
        <w:jc w:val="both"/>
        <w:textAlignment w:val="auto"/>
        <w:outlineLvl w:val="0"/>
        <w:rPr>
          <w:rStyle w:val="29"/>
          <w:rFonts w:hint="eastAsia" w:ascii="黑体" w:hAnsi="黑体" w:eastAsia="黑体"/>
          <w:b w:val="0"/>
          <w:color w:val="auto"/>
          <w:highlight w:val="none"/>
        </w:rPr>
      </w:pPr>
    </w:p>
    <w:p w14:paraId="399DEF1A">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r>
        <w:rPr>
          <w:rStyle w:val="30"/>
          <w:rFonts w:hint="eastAsia" w:ascii="仿宋" w:hAnsi="仿宋" w:eastAsia="仿宋"/>
          <w:b w:val="0"/>
          <w:bCs w:val="0"/>
          <w:color w:val="auto"/>
          <w:highlight w:val="none"/>
        </w:rPr>
        <w:t>一、收</w:t>
      </w:r>
      <w:r>
        <w:rPr>
          <w:rStyle w:val="30"/>
          <w:rFonts w:hint="eastAsia" w:ascii="仿宋" w:hAnsi="仿宋" w:eastAsia="仿宋"/>
          <w:b w:val="0"/>
          <w:bCs w:val="0"/>
          <w:color w:val="auto"/>
          <w:highlight w:val="none"/>
        </w:rPr>
        <w:t>入支出决算总表</w:t>
      </w:r>
      <w:bookmarkEnd w:id="100"/>
    </w:p>
    <w:p w14:paraId="2633A12C">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1" w:name="_Toc9092"/>
      <w:r>
        <w:rPr>
          <w:rStyle w:val="30"/>
          <w:rFonts w:hint="eastAsia" w:ascii="仿宋" w:hAnsi="仿宋" w:eastAsia="仿宋"/>
          <w:b w:val="0"/>
          <w:bCs w:val="0"/>
          <w:color w:val="auto"/>
          <w:highlight w:val="none"/>
        </w:rPr>
        <w:t>二、收</w:t>
      </w:r>
      <w:r>
        <w:rPr>
          <w:rStyle w:val="30"/>
          <w:rFonts w:hint="eastAsia" w:ascii="仿宋" w:hAnsi="仿宋" w:eastAsia="仿宋"/>
          <w:b w:val="0"/>
          <w:bCs w:val="0"/>
          <w:color w:val="auto"/>
          <w:highlight w:val="none"/>
        </w:rPr>
        <w:t>入决算表</w:t>
      </w:r>
      <w:bookmarkEnd w:id="101"/>
    </w:p>
    <w:p w14:paraId="10ACA832">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2" w:name="_Toc31907"/>
      <w:r>
        <w:rPr>
          <w:rStyle w:val="30"/>
          <w:rFonts w:hint="eastAsia" w:ascii="仿宋" w:hAnsi="仿宋" w:eastAsia="仿宋"/>
          <w:b w:val="0"/>
          <w:bCs w:val="0"/>
          <w:color w:val="auto"/>
          <w:highlight w:val="none"/>
        </w:rPr>
        <w:t>三、支</w:t>
      </w:r>
      <w:r>
        <w:rPr>
          <w:rStyle w:val="30"/>
          <w:rFonts w:hint="eastAsia" w:ascii="仿宋" w:hAnsi="仿宋" w:eastAsia="仿宋"/>
          <w:b w:val="0"/>
          <w:bCs w:val="0"/>
          <w:color w:val="auto"/>
          <w:highlight w:val="none"/>
        </w:rPr>
        <w:t>出决算表</w:t>
      </w:r>
      <w:bookmarkEnd w:id="102"/>
    </w:p>
    <w:p w14:paraId="4B70694D">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3" w:name="_Toc9073"/>
      <w:r>
        <w:rPr>
          <w:rStyle w:val="30"/>
          <w:rFonts w:hint="eastAsia" w:ascii="仿宋" w:hAnsi="仿宋" w:eastAsia="仿宋"/>
          <w:b w:val="0"/>
          <w:bCs w:val="0"/>
          <w:color w:val="auto"/>
          <w:highlight w:val="none"/>
        </w:rPr>
        <w:t>四、财</w:t>
      </w:r>
      <w:r>
        <w:rPr>
          <w:rStyle w:val="30"/>
          <w:rFonts w:hint="eastAsia" w:ascii="仿宋" w:hAnsi="仿宋" w:eastAsia="仿宋"/>
          <w:b w:val="0"/>
          <w:bCs w:val="0"/>
          <w:color w:val="auto"/>
          <w:highlight w:val="none"/>
        </w:rPr>
        <w:t>政拨款收入支出决算总表</w:t>
      </w:r>
      <w:bookmarkEnd w:id="103"/>
    </w:p>
    <w:p w14:paraId="1E17F183">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4" w:name="_Toc17205"/>
      <w:r>
        <w:rPr>
          <w:rStyle w:val="30"/>
          <w:rFonts w:hint="eastAsia" w:ascii="仿宋" w:hAnsi="仿宋" w:eastAsia="仿宋"/>
          <w:b w:val="0"/>
          <w:bCs w:val="0"/>
          <w:color w:val="auto"/>
          <w:highlight w:val="none"/>
        </w:rPr>
        <w:t>五、财</w:t>
      </w:r>
      <w:r>
        <w:rPr>
          <w:rStyle w:val="30"/>
          <w:rFonts w:hint="eastAsia" w:ascii="仿宋" w:hAnsi="仿宋" w:eastAsia="仿宋"/>
          <w:b w:val="0"/>
          <w:bCs w:val="0"/>
          <w:color w:val="auto"/>
          <w:highlight w:val="none"/>
        </w:rPr>
        <w:t>政拨款支出决算明细表</w:t>
      </w:r>
      <w:bookmarkEnd w:id="104"/>
    </w:p>
    <w:p w14:paraId="1C420851">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5" w:name="_Toc26444"/>
      <w:r>
        <w:rPr>
          <w:rStyle w:val="30"/>
          <w:rFonts w:hint="eastAsia" w:ascii="仿宋" w:hAnsi="仿宋" w:eastAsia="仿宋"/>
          <w:b w:val="0"/>
          <w:bCs w:val="0"/>
          <w:color w:val="auto"/>
          <w:highlight w:val="none"/>
        </w:rPr>
        <w:t>六、一</w:t>
      </w:r>
      <w:r>
        <w:rPr>
          <w:rStyle w:val="30"/>
          <w:rFonts w:hint="eastAsia" w:ascii="仿宋" w:hAnsi="仿宋" w:eastAsia="仿宋"/>
          <w:b w:val="0"/>
          <w:bCs w:val="0"/>
          <w:color w:val="auto"/>
          <w:highlight w:val="none"/>
        </w:rPr>
        <w:t>般公共预算财政拨款支出决算表</w:t>
      </w:r>
      <w:bookmarkEnd w:id="105"/>
    </w:p>
    <w:p w14:paraId="6C4108CB">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6" w:name="_Toc28946"/>
      <w:r>
        <w:rPr>
          <w:rStyle w:val="30"/>
          <w:rFonts w:hint="eastAsia" w:ascii="仿宋" w:hAnsi="仿宋" w:eastAsia="仿宋"/>
          <w:b w:val="0"/>
          <w:bCs w:val="0"/>
          <w:color w:val="auto"/>
          <w:highlight w:val="none"/>
        </w:rPr>
        <w:t>七、一</w:t>
      </w:r>
      <w:r>
        <w:rPr>
          <w:rStyle w:val="30"/>
          <w:rFonts w:hint="eastAsia" w:ascii="仿宋" w:hAnsi="仿宋" w:eastAsia="仿宋"/>
          <w:b w:val="0"/>
          <w:bCs w:val="0"/>
          <w:color w:val="auto"/>
          <w:highlight w:val="none"/>
        </w:rPr>
        <w:t>般公共预算财政拨款支出决算明细表</w:t>
      </w:r>
      <w:bookmarkEnd w:id="106"/>
    </w:p>
    <w:p w14:paraId="4F6EC721">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7" w:name="_Toc12564"/>
      <w:r>
        <w:rPr>
          <w:rStyle w:val="30"/>
          <w:rFonts w:hint="eastAsia" w:ascii="仿宋" w:hAnsi="仿宋" w:eastAsia="仿宋"/>
          <w:b w:val="0"/>
          <w:bCs w:val="0"/>
          <w:color w:val="auto"/>
          <w:highlight w:val="none"/>
        </w:rPr>
        <w:t>八、一</w:t>
      </w:r>
      <w:r>
        <w:rPr>
          <w:rStyle w:val="30"/>
          <w:rFonts w:hint="eastAsia" w:ascii="仿宋" w:hAnsi="仿宋" w:eastAsia="仿宋"/>
          <w:b w:val="0"/>
          <w:bCs w:val="0"/>
          <w:color w:val="auto"/>
          <w:highlight w:val="none"/>
        </w:rPr>
        <w:t>般公共预算财政拨款基本支出决算表</w:t>
      </w:r>
      <w:bookmarkEnd w:id="107"/>
    </w:p>
    <w:p w14:paraId="7FE093FB">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8" w:name="_Toc23231"/>
      <w:r>
        <w:rPr>
          <w:rStyle w:val="30"/>
          <w:rFonts w:hint="eastAsia" w:ascii="仿宋" w:hAnsi="仿宋" w:eastAsia="仿宋"/>
          <w:b w:val="0"/>
          <w:bCs w:val="0"/>
          <w:color w:val="auto"/>
          <w:highlight w:val="none"/>
        </w:rPr>
        <w:t>九、一</w:t>
      </w:r>
      <w:r>
        <w:rPr>
          <w:rStyle w:val="30"/>
          <w:rFonts w:hint="eastAsia" w:ascii="仿宋" w:hAnsi="仿宋" w:eastAsia="仿宋"/>
          <w:b w:val="0"/>
          <w:bCs w:val="0"/>
          <w:color w:val="auto"/>
          <w:highlight w:val="none"/>
        </w:rPr>
        <w:t>般公共预算财政拨款项目支出决算表</w:t>
      </w:r>
      <w:bookmarkEnd w:id="108"/>
    </w:p>
    <w:p w14:paraId="26078EA1">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09" w:name="_Toc23449"/>
      <w:r>
        <w:rPr>
          <w:rStyle w:val="30"/>
          <w:rFonts w:hint="eastAsia" w:ascii="仿宋" w:hAnsi="仿宋" w:eastAsia="仿宋"/>
          <w:b w:val="0"/>
          <w:bCs w:val="0"/>
          <w:color w:val="auto"/>
          <w:highlight w:val="none"/>
        </w:rPr>
        <w:t>十、政</w:t>
      </w:r>
      <w:r>
        <w:rPr>
          <w:rStyle w:val="30"/>
          <w:rFonts w:hint="eastAsia" w:ascii="仿宋" w:hAnsi="仿宋" w:eastAsia="仿宋"/>
          <w:b w:val="0"/>
          <w:bCs w:val="0"/>
          <w:color w:val="auto"/>
          <w:highlight w:val="none"/>
        </w:rPr>
        <w:t>府性基金预算财政拨款收入支出决算表</w:t>
      </w:r>
      <w:bookmarkEnd w:id="109"/>
    </w:p>
    <w:p w14:paraId="4F1FEDE8">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10" w:name="_Toc28333"/>
      <w:r>
        <w:rPr>
          <w:rStyle w:val="30"/>
          <w:rFonts w:hint="eastAsia" w:ascii="仿宋" w:hAnsi="仿宋" w:eastAsia="仿宋"/>
          <w:b w:val="0"/>
          <w:bCs w:val="0"/>
          <w:color w:val="auto"/>
          <w:highlight w:val="none"/>
        </w:rPr>
        <w:t>十一、国</w:t>
      </w:r>
      <w:r>
        <w:rPr>
          <w:rStyle w:val="30"/>
          <w:rFonts w:hint="eastAsia" w:ascii="仿宋" w:hAnsi="仿宋" w:eastAsia="仿宋"/>
          <w:b w:val="0"/>
          <w:bCs w:val="0"/>
          <w:color w:val="auto"/>
          <w:highlight w:val="none"/>
        </w:rPr>
        <w:t>有资本经营预算</w:t>
      </w:r>
      <w:r>
        <w:rPr>
          <w:rStyle w:val="30"/>
          <w:rFonts w:hint="eastAsia" w:ascii="仿宋" w:hAnsi="仿宋" w:eastAsia="仿宋"/>
          <w:b w:val="0"/>
          <w:bCs w:val="0"/>
          <w:color w:val="auto"/>
          <w:highlight w:val="none"/>
          <w:lang w:eastAsia="zh-CN"/>
        </w:rPr>
        <w:t>财政拨款收入</w:t>
      </w:r>
      <w:r>
        <w:rPr>
          <w:rStyle w:val="30"/>
          <w:rFonts w:hint="eastAsia" w:ascii="仿宋" w:hAnsi="仿宋" w:eastAsia="仿宋"/>
          <w:b w:val="0"/>
          <w:bCs w:val="0"/>
          <w:color w:val="auto"/>
          <w:highlight w:val="none"/>
        </w:rPr>
        <w:t>支出决算表</w:t>
      </w:r>
      <w:bookmarkEnd w:id="110"/>
    </w:p>
    <w:p w14:paraId="2E13C66D">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rPr>
      </w:pPr>
      <w:bookmarkStart w:id="111" w:name="_Toc1787"/>
      <w:r>
        <w:rPr>
          <w:rStyle w:val="30"/>
          <w:rFonts w:hint="eastAsia" w:ascii="仿宋" w:hAnsi="仿宋" w:eastAsia="仿宋"/>
          <w:b w:val="0"/>
          <w:bCs w:val="0"/>
          <w:color w:val="auto"/>
          <w:highlight w:val="none"/>
        </w:rPr>
        <w:t>十二、</w:t>
      </w:r>
      <w:r>
        <w:rPr>
          <w:rStyle w:val="30"/>
          <w:rFonts w:hint="eastAsia" w:ascii="仿宋" w:hAnsi="仿宋" w:eastAsia="仿宋"/>
          <w:b w:val="0"/>
          <w:bCs w:val="0"/>
          <w:color w:val="auto"/>
          <w:highlight w:val="none"/>
          <w:lang w:eastAsia="zh-CN"/>
        </w:rPr>
        <w:t>国有资本经营预算财政拨款支出决算表</w:t>
      </w:r>
      <w:bookmarkEnd w:id="111"/>
    </w:p>
    <w:p w14:paraId="37D9FD28">
      <w:pPr>
        <w:pStyle w:val="3"/>
        <w:keepNext/>
        <w:keepLines/>
        <w:pageBreakBefore w:val="0"/>
        <w:widowControl w:val="0"/>
        <w:kinsoku/>
        <w:wordWrap/>
        <w:overflowPunct/>
        <w:topLinePunct w:val="0"/>
        <w:autoSpaceDE/>
        <w:autoSpaceDN/>
        <w:bidi w:val="0"/>
        <w:adjustRightInd/>
        <w:snapToGrid/>
        <w:spacing w:before="0" w:after="0" w:line="800" w:lineRule="exact"/>
        <w:textAlignment w:val="auto"/>
        <w:rPr>
          <w:rStyle w:val="30"/>
          <w:rFonts w:hint="eastAsia" w:ascii="仿宋" w:hAnsi="仿宋" w:eastAsia="仿宋"/>
          <w:b w:val="0"/>
          <w:bCs w:val="0"/>
          <w:color w:val="auto"/>
          <w:highlight w:val="none"/>
          <w:lang w:eastAsia="zh-CN"/>
        </w:rPr>
      </w:pPr>
      <w:bookmarkStart w:id="112" w:name="_Toc21026"/>
      <w:r>
        <w:rPr>
          <w:rStyle w:val="30"/>
          <w:rFonts w:hint="eastAsia" w:ascii="仿宋" w:hAnsi="仿宋" w:eastAsia="仿宋"/>
          <w:b w:val="0"/>
          <w:bCs w:val="0"/>
          <w:color w:val="auto"/>
          <w:highlight w:val="none"/>
        </w:rPr>
        <w:t>十三、</w:t>
      </w:r>
      <w:r>
        <w:rPr>
          <w:rStyle w:val="30"/>
          <w:rFonts w:hint="eastAsia" w:ascii="仿宋" w:hAnsi="仿宋" w:eastAsia="仿宋"/>
          <w:b w:val="0"/>
          <w:bCs w:val="0"/>
          <w:color w:val="auto"/>
          <w:highlight w:val="none"/>
          <w:lang w:eastAsia="zh-CN"/>
        </w:rPr>
        <w:t>财政拨款“三公”经费支出决算表</w:t>
      </w:r>
      <w:bookmarkEnd w:id="112"/>
    </w:p>
    <w:p w14:paraId="23FD51BD">
      <w:pPr>
        <w:pStyle w:val="3"/>
        <w:pageBreakBefore w:val="0"/>
        <w:widowControl w:val="0"/>
        <w:kinsoku/>
        <w:wordWrap/>
        <w:overflowPunct/>
        <w:topLinePunct w:val="0"/>
        <w:autoSpaceDE/>
        <w:autoSpaceDN/>
        <w:bidi w:val="0"/>
        <w:adjustRightInd/>
        <w:snapToGrid/>
        <w:spacing w:before="0" w:after="0" w:line="576" w:lineRule="exact"/>
        <w:textAlignment w:val="auto"/>
        <w:rPr>
          <w:rStyle w:val="30"/>
          <w:rFonts w:hint="eastAsia" w:ascii="仿宋" w:hAnsi="仿宋" w:eastAsia="仿宋"/>
          <w:b w:val="0"/>
          <w:bCs w:val="0"/>
          <w:color w:val="auto"/>
          <w:highlight w:val="none"/>
          <w:lang w:eastAsia="zh-CN"/>
        </w:rPr>
      </w:pPr>
    </w:p>
    <w:sectPr>
      <w:footerReference r:id="rId5" w:type="first"/>
      <w:headerReference r:id="rId3" w:type="default"/>
      <w:footerReference r:id="rId4" w:type="default"/>
      <w:pgSz w:w="11906" w:h="16838"/>
      <w:pgMar w:top="2154" w:right="1417" w:bottom="2041" w:left="1531" w:header="851" w:footer="992" w:gutter="0"/>
      <w:pgNumType w:fmt="numberInDash" w:start="1"/>
      <w:cols w:space="425"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Wingdings 3">
    <w:panose1 w:val="05040102010807070707"/>
    <w:charset w:val="00"/>
    <w:family w:val="auto"/>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noto sans thai">
    <w:panose1 w:val="020B0502040504020204"/>
    <w:charset w:val="00"/>
    <w:family w:val="auto"/>
    <w:pitch w:val="default"/>
    <w:sig w:usb0="81000063" w:usb1="00002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3E941">
    <w:pPr>
      <w:pStyle w:val="9"/>
      <w:jc w:val="center"/>
    </w:pPr>
  </w:p>
  <w:p w14:paraId="164A03AE">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A706E2">
                          <w:pPr>
                            <w:pStyle w:val="9"/>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A706E2">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1E9C6F7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38DBC">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4EC36F">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4EC36F">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FA562">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31530C"/>
    <w:multiLevelType w:val="singleLevel"/>
    <w:tmpl w:val="BE31530C"/>
    <w:lvl w:ilvl="0" w:tentative="0">
      <w:start w:val="2"/>
      <w:numFmt w:val="chineseCounting"/>
      <w:suff w:val="space"/>
      <w:lvlText w:val="第%1部分"/>
      <w:lvlJc w:val="left"/>
      <w:rPr>
        <w:rFonts w:hint="eastAsia"/>
      </w:rPr>
    </w:lvl>
  </w:abstractNum>
  <w:abstractNum w:abstractNumId="1">
    <w:nsid w:val="7BFF08D3"/>
    <w:multiLevelType w:val="singleLevel"/>
    <w:tmpl w:val="7BFF08D3"/>
    <w:lvl w:ilvl="0" w:tentative="0">
      <w:start w:val="5"/>
      <w:numFmt w:val="chineseCounting"/>
      <w:suff w:val="space"/>
      <w:lvlText w:val="第%1部分"/>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19"/>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EzMzdkOWRlZjBmNzM5Y2E3YTRjYzk2MThhNjNlNDE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C08BB"/>
    <w:rsid w:val="002D6D05"/>
    <w:rsid w:val="002F1818"/>
    <w:rsid w:val="002F567B"/>
    <w:rsid w:val="003216A9"/>
    <w:rsid w:val="00335A74"/>
    <w:rsid w:val="003550AC"/>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A1B"/>
    <w:rsid w:val="00434489"/>
    <w:rsid w:val="00437085"/>
    <w:rsid w:val="00443880"/>
    <w:rsid w:val="004464F4"/>
    <w:rsid w:val="00471401"/>
    <w:rsid w:val="00473F31"/>
    <w:rsid w:val="0048263A"/>
    <w:rsid w:val="00487E5D"/>
    <w:rsid w:val="004A711F"/>
    <w:rsid w:val="004B199D"/>
    <w:rsid w:val="004B4690"/>
    <w:rsid w:val="004E0A2D"/>
    <w:rsid w:val="004E206B"/>
    <w:rsid w:val="004E629B"/>
    <w:rsid w:val="004E6DF7"/>
    <w:rsid w:val="004F0FBD"/>
    <w:rsid w:val="004F1218"/>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27F9F"/>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C757B"/>
    <w:rsid w:val="00BD0E25"/>
    <w:rsid w:val="00BF52BD"/>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A4258"/>
    <w:rsid w:val="00CB4E70"/>
    <w:rsid w:val="00CC09B6"/>
    <w:rsid w:val="00CC666F"/>
    <w:rsid w:val="00CD1E3F"/>
    <w:rsid w:val="00CE44F6"/>
    <w:rsid w:val="00CE49DA"/>
    <w:rsid w:val="00CE7B61"/>
    <w:rsid w:val="00D00095"/>
    <w:rsid w:val="00D02529"/>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B47A6"/>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347A59"/>
    <w:rsid w:val="013712F7"/>
    <w:rsid w:val="015975B8"/>
    <w:rsid w:val="015A390A"/>
    <w:rsid w:val="015E6C1E"/>
    <w:rsid w:val="016F283F"/>
    <w:rsid w:val="019A3D07"/>
    <w:rsid w:val="01B21B90"/>
    <w:rsid w:val="01E64116"/>
    <w:rsid w:val="020852DE"/>
    <w:rsid w:val="02092C94"/>
    <w:rsid w:val="0224362A"/>
    <w:rsid w:val="02682509"/>
    <w:rsid w:val="028458A5"/>
    <w:rsid w:val="028926DF"/>
    <w:rsid w:val="02B56978"/>
    <w:rsid w:val="02D93672"/>
    <w:rsid w:val="02FEBE30"/>
    <w:rsid w:val="032C4E8C"/>
    <w:rsid w:val="035D3297"/>
    <w:rsid w:val="03822CFE"/>
    <w:rsid w:val="0389238A"/>
    <w:rsid w:val="03B64756"/>
    <w:rsid w:val="03CC5D27"/>
    <w:rsid w:val="03DD5B2F"/>
    <w:rsid w:val="03E05C02"/>
    <w:rsid w:val="03F36308"/>
    <w:rsid w:val="04387860"/>
    <w:rsid w:val="04447FB3"/>
    <w:rsid w:val="04916F1E"/>
    <w:rsid w:val="04C335CE"/>
    <w:rsid w:val="04CA5578"/>
    <w:rsid w:val="04D76DC3"/>
    <w:rsid w:val="05304992"/>
    <w:rsid w:val="055974DB"/>
    <w:rsid w:val="057E12A3"/>
    <w:rsid w:val="05AA6B81"/>
    <w:rsid w:val="05CE5343"/>
    <w:rsid w:val="05F957BA"/>
    <w:rsid w:val="060545B5"/>
    <w:rsid w:val="06077172"/>
    <w:rsid w:val="061E35DE"/>
    <w:rsid w:val="06456265"/>
    <w:rsid w:val="065D535C"/>
    <w:rsid w:val="0667220B"/>
    <w:rsid w:val="066E0107"/>
    <w:rsid w:val="0688299D"/>
    <w:rsid w:val="068A098C"/>
    <w:rsid w:val="069B7700"/>
    <w:rsid w:val="06E049A3"/>
    <w:rsid w:val="071F1DBD"/>
    <w:rsid w:val="072B3896"/>
    <w:rsid w:val="072C0F70"/>
    <w:rsid w:val="077978E7"/>
    <w:rsid w:val="077C4159"/>
    <w:rsid w:val="07996F6E"/>
    <w:rsid w:val="07DFD8BA"/>
    <w:rsid w:val="07FE66CB"/>
    <w:rsid w:val="07FF74D2"/>
    <w:rsid w:val="0808579C"/>
    <w:rsid w:val="08431698"/>
    <w:rsid w:val="08495703"/>
    <w:rsid w:val="084D2F63"/>
    <w:rsid w:val="08510867"/>
    <w:rsid w:val="0865674A"/>
    <w:rsid w:val="08670714"/>
    <w:rsid w:val="086F1438"/>
    <w:rsid w:val="08787EDC"/>
    <w:rsid w:val="0882327F"/>
    <w:rsid w:val="08843074"/>
    <w:rsid w:val="08AA7259"/>
    <w:rsid w:val="08DA5BD3"/>
    <w:rsid w:val="09073595"/>
    <w:rsid w:val="092363AB"/>
    <w:rsid w:val="098560BB"/>
    <w:rsid w:val="09867E8F"/>
    <w:rsid w:val="09871869"/>
    <w:rsid w:val="099537C9"/>
    <w:rsid w:val="09E3201C"/>
    <w:rsid w:val="0A0D5F9E"/>
    <w:rsid w:val="0A0E549B"/>
    <w:rsid w:val="0A2032A3"/>
    <w:rsid w:val="0A346F4D"/>
    <w:rsid w:val="0A4F1460"/>
    <w:rsid w:val="0A52600B"/>
    <w:rsid w:val="0A9410DD"/>
    <w:rsid w:val="0B071D3B"/>
    <w:rsid w:val="0B107332"/>
    <w:rsid w:val="0B572252"/>
    <w:rsid w:val="0B8D0BBC"/>
    <w:rsid w:val="0B9E1294"/>
    <w:rsid w:val="0BA457DB"/>
    <w:rsid w:val="0BD47E6F"/>
    <w:rsid w:val="0BD926FA"/>
    <w:rsid w:val="0C0F616A"/>
    <w:rsid w:val="0C104C1F"/>
    <w:rsid w:val="0C1B382B"/>
    <w:rsid w:val="0C2C3490"/>
    <w:rsid w:val="0C5A608F"/>
    <w:rsid w:val="0CA8290A"/>
    <w:rsid w:val="0CC46135"/>
    <w:rsid w:val="0CDC358F"/>
    <w:rsid w:val="0CE162BC"/>
    <w:rsid w:val="0D2A1D10"/>
    <w:rsid w:val="0D35B1ED"/>
    <w:rsid w:val="0D4A5F0F"/>
    <w:rsid w:val="0D63594E"/>
    <w:rsid w:val="0D95AED1"/>
    <w:rsid w:val="0DA02988"/>
    <w:rsid w:val="0DB00467"/>
    <w:rsid w:val="0DCF4D92"/>
    <w:rsid w:val="0DD21CF3"/>
    <w:rsid w:val="0DEE0D57"/>
    <w:rsid w:val="0E254B6B"/>
    <w:rsid w:val="0E481E5C"/>
    <w:rsid w:val="0E590AFF"/>
    <w:rsid w:val="0E7C47EE"/>
    <w:rsid w:val="0E7F4F01"/>
    <w:rsid w:val="0EBA2E73"/>
    <w:rsid w:val="0EBC4BEA"/>
    <w:rsid w:val="0EEE01B5"/>
    <w:rsid w:val="0EFF7548"/>
    <w:rsid w:val="0F063405"/>
    <w:rsid w:val="0F2033CB"/>
    <w:rsid w:val="0F4D1A8A"/>
    <w:rsid w:val="0F662BDE"/>
    <w:rsid w:val="0F722315"/>
    <w:rsid w:val="0F961864"/>
    <w:rsid w:val="0F98263C"/>
    <w:rsid w:val="0FAC0D64"/>
    <w:rsid w:val="0FD20DA7"/>
    <w:rsid w:val="0FFC1FC5"/>
    <w:rsid w:val="101860EC"/>
    <w:rsid w:val="101F47CC"/>
    <w:rsid w:val="10321608"/>
    <w:rsid w:val="10C055FF"/>
    <w:rsid w:val="10CA7D05"/>
    <w:rsid w:val="10FD4D66"/>
    <w:rsid w:val="112D33E4"/>
    <w:rsid w:val="112E0021"/>
    <w:rsid w:val="1146124D"/>
    <w:rsid w:val="115B2DE0"/>
    <w:rsid w:val="11694EBD"/>
    <w:rsid w:val="11772AA4"/>
    <w:rsid w:val="118107EC"/>
    <w:rsid w:val="11BD76CA"/>
    <w:rsid w:val="11D92708"/>
    <w:rsid w:val="120001E8"/>
    <w:rsid w:val="120B2110"/>
    <w:rsid w:val="12527D3F"/>
    <w:rsid w:val="12D53DDF"/>
    <w:rsid w:val="12E24EE2"/>
    <w:rsid w:val="13082AF4"/>
    <w:rsid w:val="13134ACB"/>
    <w:rsid w:val="137D0DEC"/>
    <w:rsid w:val="13D50BC4"/>
    <w:rsid w:val="13DB5F89"/>
    <w:rsid w:val="13EE479A"/>
    <w:rsid w:val="13FA23B8"/>
    <w:rsid w:val="140432BB"/>
    <w:rsid w:val="140851DE"/>
    <w:rsid w:val="14160E02"/>
    <w:rsid w:val="14265EA5"/>
    <w:rsid w:val="14304689"/>
    <w:rsid w:val="147D6BCA"/>
    <w:rsid w:val="14AE0B98"/>
    <w:rsid w:val="14B17F78"/>
    <w:rsid w:val="14D02BF1"/>
    <w:rsid w:val="150F4227"/>
    <w:rsid w:val="15404361"/>
    <w:rsid w:val="15A1784D"/>
    <w:rsid w:val="15AB651B"/>
    <w:rsid w:val="15BA3754"/>
    <w:rsid w:val="15C52F1A"/>
    <w:rsid w:val="161812A0"/>
    <w:rsid w:val="16207BE8"/>
    <w:rsid w:val="162E4683"/>
    <w:rsid w:val="16573B76"/>
    <w:rsid w:val="165E0673"/>
    <w:rsid w:val="16814185"/>
    <w:rsid w:val="16B25250"/>
    <w:rsid w:val="16B831D5"/>
    <w:rsid w:val="16BB723D"/>
    <w:rsid w:val="16F74D90"/>
    <w:rsid w:val="16FC27E7"/>
    <w:rsid w:val="171C7F4A"/>
    <w:rsid w:val="17334565"/>
    <w:rsid w:val="17343EB7"/>
    <w:rsid w:val="1740460A"/>
    <w:rsid w:val="174165D4"/>
    <w:rsid w:val="17437514"/>
    <w:rsid w:val="17817670"/>
    <w:rsid w:val="17865A01"/>
    <w:rsid w:val="17915AA3"/>
    <w:rsid w:val="17B9260F"/>
    <w:rsid w:val="17E50567"/>
    <w:rsid w:val="17FB23B0"/>
    <w:rsid w:val="17FE026B"/>
    <w:rsid w:val="18041ADC"/>
    <w:rsid w:val="18104155"/>
    <w:rsid w:val="185508FC"/>
    <w:rsid w:val="186504BB"/>
    <w:rsid w:val="18D81A33"/>
    <w:rsid w:val="18DC3EFA"/>
    <w:rsid w:val="18DF42F7"/>
    <w:rsid w:val="18EA6F23"/>
    <w:rsid w:val="19153875"/>
    <w:rsid w:val="191C59B6"/>
    <w:rsid w:val="193C22F3"/>
    <w:rsid w:val="193F21E0"/>
    <w:rsid w:val="198D5B01"/>
    <w:rsid w:val="19A445FC"/>
    <w:rsid w:val="1A165AF6"/>
    <w:rsid w:val="1A4C6224"/>
    <w:rsid w:val="1A694BBF"/>
    <w:rsid w:val="1A9A2283"/>
    <w:rsid w:val="1A9B2956"/>
    <w:rsid w:val="1AC663B6"/>
    <w:rsid w:val="1AD46734"/>
    <w:rsid w:val="1AEB1D63"/>
    <w:rsid w:val="1B102545"/>
    <w:rsid w:val="1B285AE1"/>
    <w:rsid w:val="1B4A4F0A"/>
    <w:rsid w:val="1B6E2A2D"/>
    <w:rsid w:val="1B9B331D"/>
    <w:rsid w:val="1B9C202B"/>
    <w:rsid w:val="1BA13EBC"/>
    <w:rsid w:val="1BA355D1"/>
    <w:rsid w:val="1BB72A59"/>
    <w:rsid w:val="1BBFA336"/>
    <w:rsid w:val="1BC7354C"/>
    <w:rsid w:val="1BCC108E"/>
    <w:rsid w:val="1BE13EE2"/>
    <w:rsid w:val="1BE44EAC"/>
    <w:rsid w:val="1BE8440E"/>
    <w:rsid w:val="1C0540A5"/>
    <w:rsid w:val="1C067E9E"/>
    <w:rsid w:val="1C30331C"/>
    <w:rsid w:val="1C747556"/>
    <w:rsid w:val="1C76287C"/>
    <w:rsid w:val="1C95252F"/>
    <w:rsid w:val="1CAC75DE"/>
    <w:rsid w:val="1CB735C0"/>
    <w:rsid w:val="1CE237E4"/>
    <w:rsid w:val="1CE26164"/>
    <w:rsid w:val="1CE7377A"/>
    <w:rsid w:val="1D155CEE"/>
    <w:rsid w:val="1D1638FE"/>
    <w:rsid w:val="1D306ECF"/>
    <w:rsid w:val="1D620F44"/>
    <w:rsid w:val="1D6628F1"/>
    <w:rsid w:val="1D756F42"/>
    <w:rsid w:val="1DC84414"/>
    <w:rsid w:val="1E173551"/>
    <w:rsid w:val="1E312DEB"/>
    <w:rsid w:val="1E34479D"/>
    <w:rsid w:val="1E514C5C"/>
    <w:rsid w:val="1E5270BF"/>
    <w:rsid w:val="1E6A399F"/>
    <w:rsid w:val="1E6A62F1"/>
    <w:rsid w:val="1E740ACF"/>
    <w:rsid w:val="1E81189E"/>
    <w:rsid w:val="1EDA68F9"/>
    <w:rsid w:val="1F066077"/>
    <w:rsid w:val="1F3F1241"/>
    <w:rsid w:val="1F4E188E"/>
    <w:rsid w:val="1F501AAA"/>
    <w:rsid w:val="1F617814"/>
    <w:rsid w:val="1F7D334F"/>
    <w:rsid w:val="1F810169"/>
    <w:rsid w:val="1FAC799E"/>
    <w:rsid w:val="1FDFF8DF"/>
    <w:rsid w:val="1FF35744"/>
    <w:rsid w:val="1FF6BC77"/>
    <w:rsid w:val="20084971"/>
    <w:rsid w:val="2052571F"/>
    <w:rsid w:val="208630ED"/>
    <w:rsid w:val="208A6927"/>
    <w:rsid w:val="20D12777"/>
    <w:rsid w:val="20E97AC1"/>
    <w:rsid w:val="21050673"/>
    <w:rsid w:val="213C6752"/>
    <w:rsid w:val="213D7E0C"/>
    <w:rsid w:val="21460A2B"/>
    <w:rsid w:val="217F21D3"/>
    <w:rsid w:val="21824F16"/>
    <w:rsid w:val="2186353C"/>
    <w:rsid w:val="218D7844"/>
    <w:rsid w:val="21CB18BC"/>
    <w:rsid w:val="21CB1B55"/>
    <w:rsid w:val="21D56325"/>
    <w:rsid w:val="224D533F"/>
    <w:rsid w:val="22A9485C"/>
    <w:rsid w:val="22B968B0"/>
    <w:rsid w:val="22BA5BB9"/>
    <w:rsid w:val="22D14DC5"/>
    <w:rsid w:val="22E42C35"/>
    <w:rsid w:val="22E60B64"/>
    <w:rsid w:val="22F42D36"/>
    <w:rsid w:val="23072480"/>
    <w:rsid w:val="230C3F3A"/>
    <w:rsid w:val="233B037C"/>
    <w:rsid w:val="236271B7"/>
    <w:rsid w:val="23647222"/>
    <w:rsid w:val="23860B96"/>
    <w:rsid w:val="239570C5"/>
    <w:rsid w:val="23D076FB"/>
    <w:rsid w:val="23E503BD"/>
    <w:rsid w:val="240371BF"/>
    <w:rsid w:val="240F17D6"/>
    <w:rsid w:val="240F3CE2"/>
    <w:rsid w:val="242E3B26"/>
    <w:rsid w:val="244F3473"/>
    <w:rsid w:val="24575689"/>
    <w:rsid w:val="246A53BC"/>
    <w:rsid w:val="24860B11"/>
    <w:rsid w:val="24AD5508"/>
    <w:rsid w:val="24B93C4E"/>
    <w:rsid w:val="24BE361B"/>
    <w:rsid w:val="24BF349D"/>
    <w:rsid w:val="24C97D99"/>
    <w:rsid w:val="251D41DD"/>
    <w:rsid w:val="2535374E"/>
    <w:rsid w:val="25445C0D"/>
    <w:rsid w:val="25447D99"/>
    <w:rsid w:val="2557740C"/>
    <w:rsid w:val="256911D0"/>
    <w:rsid w:val="25862F06"/>
    <w:rsid w:val="25891872"/>
    <w:rsid w:val="25A718F0"/>
    <w:rsid w:val="25BB59F6"/>
    <w:rsid w:val="25F07709"/>
    <w:rsid w:val="260B04D9"/>
    <w:rsid w:val="260F557C"/>
    <w:rsid w:val="26970054"/>
    <w:rsid w:val="26C04E12"/>
    <w:rsid w:val="26C92BC5"/>
    <w:rsid w:val="26FE3B9A"/>
    <w:rsid w:val="277B51EB"/>
    <w:rsid w:val="27840543"/>
    <w:rsid w:val="27910EB2"/>
    <w:rsid w:val="279B4250"/>
    <w:rsid w:val="27E07EC4"/>
    <w:rsid w:val="27EB6878"/>
    <w:rsid w:val="27FB01E4"/>
    <w:rsid w:val="281101F7"/>
    <w:rsid w:val="281408E2"/>
    <w:rsid w:val="281F29D4"/>
    <w:rsid w:val="284F6DA3"/>
    <w:rsid w:val="287700A8"/>
    <w:rsid w:val="28AC5FA3"/>
    <w:rsid w:val="28C22A00"/>
    <w:rsid w:val="28D36FBE"/>
    <w:rsid w:val="28EB4394"/>
    <w:rsid w:val="291E69B1"/>
    <w:rsid w:val="29606395"/>
    <w:rsid w:val="296D0649"/>
    <w:rsid w:val="29734F00"/>
    <w:rsid w:val="29870D4C"/>
    <w:rsid w:val="29890093"/>
    <w:rsid w:val="298C36DF"/>
    <w:rsid w:val="29EE19DD"/>
    <w:rsid w:val="29EE439A"/>
    <w:rsid w:val="29FA689B"/>
    <w:rsid w:val="29FD04D3"/>
    <w:rsid w:val="2A262E65"/>
    <w:rsid w:val="2A2C6C70"/>
    <w:rsid w:val="2A367640"/>
    <w:rsid w:val="2A8645D2"/>
    <w:rsid w:val="2ABB47AF"/>
    <w:rsid w:val="2ABF11E3"/>
    <w:rsid w:val="2AC1785E"/>
    <w:rsid w:val="2AC8717F"/>
    <w:rsid w:val="2B020CA2"/>
    <w:rsid w:val="2B1179C2"/>
    <w:rsid w:val="2B277B63"/>
    <w:rsid w:val="2B2C517A"/>
    <w:rsid w:val="2B365FF8"/>
    <w:rsid w:val="2B8C029D"/>
    <w:rsid w:val="2B8C67CE"/>
    <w:rsid w:val="2B9866A5"/>
    <w:rsid w:val="2BA51F9A"/>
    <w:rsid w:val="2BF67536"/>
    <w:rsid w:val="2BFF7BC6"/>
    <w:rsid w:val="2C026B8F"/>
    <w:rsid w:val="2C047EA4"/>
    <w:rsid w:val="2C0F090D"/>
    <w:rsid w:val="2C3C763E"/>
    <w:rsid w:val="2C541BB1"/>
    <w:rsid w:val="2C8A61B5"/>
    <w:rsid w:val="2CA86A82"/>
    <w:rsid w:val="2CB74404"/>
    <w:rsid w:val="2CC677D4"/>
    <w:rsid w:val="2D482227"/>
    <w:rsid w:val="2D4D587B"/>
    <w:rsid w:val="2D59759C"/>
    <w:rsid w:val="2D7828F8"/>
    <w:rsid w:val="2D83304B"/>
    <w:rsid w:val="2DF04E50"/>
    <w:rsid w:val="2DF14458"/>
    <w:rsid w:val="2DF83A39"/>
    <w:rsid w:val="2DF857E7"/>
    <w:rsid w:val="2E3F5F5E"/>
    <w:rsid w:val="2E513149"/>
    <w:rsid w:val="2E586DFA"/>
    <w:rsid w:val="2E8E43E9"/>
    <w:rsid w:val="2E911E03"/>
    <w:rsid w:val="2EA81CB8"/>
    <w:rsid w:val="2EA850C9"/>
    <w:rsid w:val="2EAC6DFB"/>
    <w:rsid w:val="2ED95618"/>
    <w:rsid w:val="2EE713B8"/>
    <w:rsid w:val="2EEBA80D"/>
    <w:rsid w:val="2EFC30B5"/>
    <w:rsid w:val="2F0401BB"/>
    <w:rsid w:val="2F040D46"/>
    <w:rsid w:val="2F0F103A"/>
    <w:rsid w:val="2F212B1B"/>
    <w:rsid w:val="2F2A30B8"/>
    <w:rsid w:val="2F634EE2"/>
    <w:rsid w:val="2F6B035B"/>
    <w:rsid w:val="2F7D40EF"/>
    <w:rsid w:val="2F81180C"/>
    <w:rsid w:val="2F846934"/>
    <w:rsid w:val="2FAE5751"/>
    <w:rsid w:val="2FB052CF"/>
    <w:rsid w:val="2FB1A395"/>
    <w:rsid w:val="2FBB5577"/>
    <w:rsid w:val="2FD22068"/>
    <w:rsid w:val="2FD9A7D8"/>
    <w:rsid w:val="2FDBF714"/>
    <w:rsid w:val="3043555D"/>
    <w:rsid w:val="304720AE"/>
    <w:rsid w:val="30AB6865"/>
    <w:rsid w:val="30CC59E1"/>
    <w:rsid w:val="312608BD"/>
    <w:rsid w:val="313D2EAB"/>
    <w:rsid w:val="31436D79"/>
    <w:rsid w:val="314851F1"/>
    <w:rsid w:val="31490108"/>
    <w:rsid w:val="31541D0B"/>
    <w:rsid w:val="3155096C"/>
    <w:rsid w:val="319770C5"/>
    <w:rsid w:val="319F7F4E"/>
    <w:rsid w:val="31B937C3"/>
    <w:rsid w:val="31D41044"/>
    <w:rsid w:val="31E124A4"/>
    <w:rsid w:val="31F237FB"/>
    <w:rsid w:val="321626E0"/>
    <w:rsid w:val="32862AEE"/>
    <w:rsid w:val="329A6E6D"/>
    <w:rsid w:val="32BD1EF1"/>
    <w:rsid w:val="3304709D"/>
    <w:rsid w:val="33492641"/>
    <w:rsid w:val="33712E8C"/>
    <w:rsid w:val="33721B98"/>
    <w:rsid w:val="33A773CB"/>
    <w:rsid w:val="33AA7583"/>
    <w:rsid w:val="33DA14EB"/>
    <w:rsid w:val="340329A9"/>
    <w:rsid w:val="34366C11"/>
    <w:rsid w:val="34567B88"/>
    <w:rsid w:val="345B262C"/>
    <w:rsid w:val="34873421"/>
    <w:rsid w:val="34901306"/>
    <w:rsid w:val="349D6851"/>
    <w:rsid w:val="34DD4918"/>
    <w:rsid w:val="34F55FD3"/>
    <w:rsid w:val="35064C8D"/>
    <w:rsid w:val="35104158"/>
    <w:rsid w:val="354D5524"/>
    <w:rsid w:val="35585E1E"/>
    <w:rsid w:val="355D6D9F"/>
    <w:rsid w:val="356B5681"/>
    <w:rsid w:val="357E601E"/>
    <w:rsid w:val="35820EC3"/>
    <w:rsid w:val="3583008C"/>
    <w:rsid w:val="35CF5C80"/>
    <w:rsid w:val="35D87705"/>
    <w:rsid w:val="360F7B72"/>
    <w:rsid w:val="361965FA"/>
    <w:rsid w:val="36295062"/>
    <w:rsid w:val="3639798F"/>
    <w:rsid w:val="363E2205"/>
    <w:rsid w:val="365E7F82"/>
    <w:rsid w:val="367E6AA5"/>
    <w:rsid w:val="36AA5135"/>
    <w:rsid w:val="36BE0DA7"/>
    <w:rsid w:val="371816ED"/>
    <w:rsid w:val="376B6AA6"/>
    <w:rsid w:val="376D39B2"/>
    <w:rsid w:val="37887BDC"/>
    <w:rsid w:val="37E16F03"/>
    <w:rsid w:val="37F53A3B"/>
    <w:rsid w:val="382F62A9"/>
    <w:rsid w:val="384358B1"/>
    <w:rsid w:val="384B188A"/>
    <w:rsid w:val="38550C96"/>
    <w:rsid w:val="38877211"/>
    <w:rsid w:val="389B6C89"/>
    <w:rsid w:val="389B749B"/>
    <w:rsid w:val="389C7973"/>
    <w:rsid w:val="38A74091"/>
    <w:rsid w:val="38AC16A8"/>
    <w:rsid w:val="38D469F0"/>
    <w:rsid w:val="38F2730A"/>
    <w:rsid w:val="390C0CA3"/>
    <w:rsid w:val="391D25A6"/>
    <w:rsid w:val="392E3ED3"/>
    <w:rsid w:val="39537572"/>
    <w:rsid w:val="39617003"/>
    <w:rsid w:val="39627CCD"/>
    <w:rsid w:val="39717700"/>
    <w:rsid w:val="397BAF1F"/>
    <w:rsid w:val="397C3F4B"/>
    <w:rsid w:val="39C94D81"/>
    <w:rsid w:val="39CB382F"/>
    <w:rsid w:val="39D32C64"/>
    <w:rsid w:val="39E135D3"/>
    <w:rsid w:val="3A282BE0"/>
    <w:rsid w:val="3A914FF9"/>
    <w:rsid w:val="3AB79AF3"/>
    <w:rsid w:val="3ACF78CF"/>
    <w:rsid w:val="3AE834C0"/>
    <w:rsid w:val="3B046B78"/>
    <w:rsid w:val="3B05373E"/>
    <w:rsid w:val="3B190B4B"/>
    <w:rsid w:val="3B7D3434"/>
    <w:rsid w:val="3B7EF35A"/>
    <w:rsid w:val="3B843992"/>
    <w:rsid w:val="3B9FDB6C"/>
    <w:rsid w:val="3BC51E23"/>
    <w:rsid w:val="3BE15B0C"/>
    <w:rsid w:val="3BF25D27"/>
    <w:rsid w:val="3BF5BC2F"/>
    <w:rsid w:val="3C045180"/>
    <w:rsid w:val="3C2D1349"/>
    <w:rsid w:val="3C2F4ACA"/>
    <w:rsid w:val="3C473DD3"/>
    <w:rsid w:val="3C741088"/>
    <w:rsid w:val="3C92157B"/>
    <w:rsid w:val="3CEBA265"/>
    <w:rsid w:val="3D1309AC"/>
    <w:rsid w:val="3D2C012D"/>
    <w:rsid w:val="3D505308"/>
    <w:rsid w:val="3D814219"/>
    <w:rsid w:val="3D9170BE"/>
    <w:rsid w:val="3D98207C"/>
    <w:rsid w:val="3DBE7D8F"/>
    <w:rsid w:val="3DEE7CF3"/>
    <w:rsid w:val="3DFD5C8D"/>
    <w:rsid w:val="3E0F71B0"/>
    <w:rsid w:val="3E1A5306"/>
    <w:rsid w:val="3E324EE5"/>
    <w:rsid w:val="3E38233A"/>
    <w:rsid w:val="3E587BDC"/>
    <w:rsid w:val="3E740A63"/>
    <w:rsid w:val="3E78745D"/>
    <w:rsid w:val="3E8726CD"/>
    <w:rsid w:val="3ED21DD7"/>
    <w:rsid w:val="3ED7494E"/>
    <w:rsid w:val="3EE17838"/>
    <w:rsid w:val="3EE54794"/>
    <w:rsid w:val="3F392CE3"/>
    <w:rsid w:val="3F55381A"/>
    <w:rsid w:val="3F5F85F6"/>
    <w:rsid w:val="3F6530F9"/>
    <w:rsid w:val="3F7F7599"/>
    <w:rsid w:val="3FAC4683"/>
    <w:rsid w:val="3FC7FDF7"/>
    <w:rsid w:val="3FCE0156"/>
    <w:rsid w:val="3FE71A79"/>
    <w:rsid w:val="3FEF65DD"/>
    <w:rsid w:val="3FF4CAE0"/>
    <w:rsid w:val="3FF7B227"/>
    <w:rsid w:val="3FFB29DE"/>
    <w:rsid w:val="405818FB"/>
    <w:rsid w:val="409D0FBF"/>
    <w:rsid w:val="40B52255"/>
    <w:rsid w:val="40BA4B7E"/>
    <w:rsid w:val="40BC4452"/>
    <w:rsid w:val="40C724E3"/>
    <w:rsid w:val="40D03A45"/>
    <w:rsid w:val="40DD2097"/>
    <w:rsid w:val="40F91C31"/>
    <w:rsid w:val="40F956A6"/>
    <w:rsid w:val="40FB4D0F"/>
    <w:rsid w:val="411D40F5"/>
    <w:rsid w:val="413A30CA"/>
    <w:rsid w:val="4148218A"/>
    <w:rsid w:val="4180170D"/>
    <w:rsid w:val="41C537DA"/>
    <w:rsid w:val="41FE3350"/>
    <w:rsid w:val="420A062C"/>
    <w:rsid w:val="42127FFC"/>
    <w:rsid w:val="4227255A"/>
    <w:rsid w:val="42435874"/>
    <w:rsid w:val="425E2F4E"/>
    <w:rsid w:val="42821601"/>
    <w:rsid w:val="42D6495D"/>
    <w:rsid w:val="42DF267A"/>
    <w:rsid w:val="42FC322C"/>
    <w:rsid w:val="430F0ADF"/>
    <w:rsid w:val="434150E2"/>
    <w:rsid w:val="434157D4"/>
    <w:rsid w:val="43572B58"/>
    <w:rsid w:val="43665029"/>
    <w:rsid w:val="439E2535"/>
    <w:rsid w:val="43A21908"/>
    <w:rsid w:val="43AA6E20"/>
    <w:rsid w:val="43D16466"/>
    <w:rsid w:val="43D877F5"/>
    <w:rsid w:val="44511BFB"/>
    <w:rsid w:val="445A010C"/>
    <w:rsid w:val="44605C18"/>
    <w:rsid w:val="446D160A"/>
    <w:rsid w:val="449C4CC6"/>
    <w:rsid w:val="44A76D73"/>
    <w:rsid w:val="44CD4E80"/>
    <w:rsid w:val="44E268DA"/>
    <w:rsid w:val="450D13D7"/>
    <w:rsid w:val="45157C4D"/>
    <w:rsid w:val="45181E73"/>
    <w:rsid w:val="45506656"/>
    <w:rsid w:val="45755466"/>
    <w:rsid w:val="457A6B98"/>
    <w:rsid w:val="45905EAD"/>
    <w:rsid w:val="459873F0"/>
    <w:rsid w:val="45A35BE1"/>
    <w:rsid w:val="45B57ED7"/>
    <w:rsid w:val="46127979"/>
    <w:rsid w:val="464142C7"/>
    <w:rsid w:val="46625A9C"/>
    <w:rsid w:val="46C46EB5"/>
    <w:rsid w:val="46C6602A"/>
    <w:rsid w:val="46F16D10"/>
    <w:rsid w:val="47011EF2"/>
    <w:rsid w:val="47172C63"/>
    <w:rsid w:val="47245577"/>
    <w:rsid w:val="4724643E"/>
    <w:rsid w:val="47303470"/>
    <w:rsid w:val="4734033C"/>
    <w:rsid w:val="473A4323"/>
    <w:rsid w:val="475028AA"/>
    <w:rsid w:val="47A34AA6"/>
    <w:rsid w:val="47BD091D"/>
    <w:rsid w:val="47C4466D"/>
    <w:rsid w:val="47CE7061"/>
    <w:rsid w:val="47D32A73"/>
    <w:rsid w:val="47FA7BD0"/>
    <w:rsid w:val="48115204"/>
    <w:rsid w:val="48210086"/>
    <w:rsid w:val="484A41C3"/>
    <w:rsid w:val="486A6C7A"/>
    <w:rsid w:val="48715FBB"/>
    <w:rsid w:val="488717E9"/>
    <w:rsid w:val="48931F3C"/>
    <w:rsid w:val="48A82FB3"/>
    <w:rsid w:val="48AC2FFE"/>
    <w:rsid w:val="498D1081"/>
    <w:rsid w:val="498D509B"/>
    <w:rsid w:val="49D82F4D"/>
    <w:rsid w:val="49E7024F"/>
    <w:rsid w:val="4A627F82"/>
    <w:rsid w:val="4A782D22"/>
    <w:rsid w:val="4A9401EE"/>
    <w:rsid w:val="4AEC002A"/>
    <w:rsid w:val="4B0A4C46"/>
    <w:rsid w:val="4B0E749A"/>
    <w:rsid w:val="4B2477C4"/>
    <w:rsid w:val="4B4F25DA"/>
    <w:rsid w:val="4BE068DB"/>
    <w:rsid w:val="4BE807F1"/>
    <w:rsid w:val="4BFFEEF1"/>
    <w:rsid w:val="4C425A91"/>
    <w:rsid w:val="4C4B0D80"/>
    <w:rsid w:val="4C4F6AC2"/>
    <w:rsid w:val="4C5530E5"/>
    <w:rsid w:val="4C896AE6"/>
    <w:rsid w:val="4CE10ECD"/>
    <w:rsid w:val="4CEB6F64"/>
    <w:rsid w:val="4D577224"/>
    <w:rsid w:val="4D5D68AB"/>
    <w:rsid w:val="4D864324"/>
    <w:rsid w:val="4D961293"/>
    <w:rsid w:val="4DBF1CEB"/>
    <w:rsid w:val="4DE463DE"/>
    <w:rsid w:val="4DF0007C"/>
    <w:rsid w:val="4DF210E2"/>
    <w:rsid w:val="4E0538DC"/>
    <w:rsid w:val="4E127DA7"/>
    <w:rsid w:val="4E393017"/>
    <w:rsid w:val="4E5254F9"/>
    <w:rsid w:val="4EAB630A"/>
    <w:rsid w:val="4EBE1CDD"/>
    <w:rsid w:val="4EC529A2"/>
    <w:rsid w:val="4ECE2238"/>
    <w:rsid w:val="4EE259CC"/>
    <w:rsid w:val="4EE77910"/>
    <w:rsid w:val="4EFF657E"/>
    <w:rsid w:val="4F1A3377"/>
    <w:rsid w:val="4F1B3040"/>
    <w:rsid w:val="4F833267"/>
    <w:rsid w:val="4FAB400F"/>
    <w:rsid w:val="4FCD042A"/>
    <w:rsid w:val="4FCE7A0A"/>
    <w:rsid w:val="4FE30485"/>
    <w:rsid w:val="4FE9BD67"/>
    <w:rsid w:val="4FFB052F"/>
    <w:rsid w:val="50412BC6"/>
    <w:rsid w:val="50587AA5"/>
    <w:rsid w:val="50642410"/>
    <w:rsid w:val="507C59AC"/>
    <w:rsid w:val="50874A7C"/>
    <w:rsid w:val="5093764E"/>
    <w:rsid w:val="50C73053"/>
    <w:rsid w:val="50EB0766"/>
    <w:rsid w:val="50FC089B"/>
    <w:rsid w:val="512325CF"/>
    <w:rsid w:val="51281690"/>
    <w:rsid w:val="512953B4"/>
    <w:rsid w:val="51B5057E"/>
    <w:rsid w:val="52217969"/>
    <w:rsid w:val="523C53F3"/>
    <w:rsid w:val="525335B6"/>
    <w:rsid w:val="526037D7"/>
    <w:rsid w:val="526112FD"/>
    <w:rsid w:val="52741030"/>
    <w:rsid w:val="529C6F07"/>
    <w:rsid w:val="52B82114"/>
    <w:rsid w:val="52CB14BF"/>
    <w:rsid w:val="52D054FF"/>
    <w:rsid w:val="52DB4C79"/>
    <w:rsid w:val="52DC6BD6"/>
    <w:rsid w:val="52EA6974"/>
    <w:rsid w:val="531A0520"/>
    <w:rsid w:val="532439D9"/>
    <w:rsid w:val="53247454"/>
    <w:rsid w:val="533B41A1"/>
    <w:rsid w:val="534471A0"/>
    <w:rsid w:val="534C1566"/>
    <w:rsid w:val="53640943"/>
    <w:rsid w:val="536413C1"/>
    <w:rsid w:val="53677AF3"/>
    <w:rsid w:val="537D3F15"/>
    <w:rsid w:val="537E6D0A"/>
    <w:rsid w:val="53A0483E"/>
    <w:rsid w:val="53AB6755"/>
    <w:rsid w:val="53B76D66"/>
    <w:rsid w:val="53F51452"/>
    <w:rsid w:val="53F74C96"/>
    <w:rsid w:val="54191EF5"/>
    <w:rsid w:val="541D223B"/>
    <w:rsid w:val="545F438F"/>
    <w:rsid w:val="54602B84"/>
    <w:rsid w:val="54705BD7"/>
    <w:rsid w:val="548E3DB8"/>
    <w:rsid w:val="54B12E18"/>
    <w:rsid w:val="54F13B29"/>
    <w:rsid w:val="55170BA8"/>
    <w:rsid w:val="552471A3"/>
    <w:rsid w:val="552615B0"/>
    <w:rsid w:val="553218C9"/>
    <w:rsid w:val="55390EB8"/>
    <w:rsid w:val="55434CEA"/>
    <w:rsid w:val="554539FD"/>
    <w:rsid w:val="554967A4"/>
    <w:rsid w:val="55943798"/>
    <w:rsid w:val="55A71640"/>
    <w:rsid w:val="55BD684B"/>
    <w:rsid w:val="55F3226C"/>
    <w:rsid w:val="55F34962"/>
    <w:rsid w:val="56292E25"/>
    <w:rsid w:val="565A22EB"/>
    <w:rsid w:val="567E1AA5"/>
    <w:rsid w:val="568E6439"/>
    <w:rsid w:val="56C66E8C"/>
    <w:rsid w:val="56CD67B5"/>
    <w:rsid w:val="56E06530"/>
    <w:rsid w:val="56E47B74"/>
    <w:rsid w:val="57175D52"/>
    <w:rsid w:val="57284198"/>
    <w:rsid w:val="57621D8D"/>
    <w:rsid w:val="578749AA"/>
    <w:rsid w:val="578B5A58"/>
    <w:rsid w:val="57BD3DD4"/>
    <w:rsid w:val="57E97DCB"/>
    <w:rsid w:val="581B3CFC"/>
    <w:rsid w:val="582232DD"/>
    <w:rsid w:val="58372679"/>
    <w:rsid w:val="5880636C"/>
    <w:rsid w:val="588653B2"/>
    <w:rsid w:val="58CA0FB8"/>
    <w:rsid w:val="58D04AE7"/>
    <w:rsid w:val="58E81E30"/>
    <w:rsid w:val="58E97957"/>
    <w:rsid w:val="58F2491B"/>
    <w:rsid w:val="590173E6"/>
    <w:rsid w:val="59266B6D"/>
    <w:rsid w:val="593037D7"/>
    <w:rsid w:val="594F2A06"/>
    <w:rsid w:val="596C2A61"/>
    <w:rsid w:val="59C208D3"/>
    <w:rsid w:val="59CC0D4E"/>
    <w:rsid w:val="59DF3EB6"/>
    <w:rsid w:val="5A3D09A9"/>
    <w:rsid w:val="5A470DD9"/>
    <w:rsid w:val="5A4968FF"/>
    <w:rsid w:val="5A6E01C6"/>
    <w:rsid w:val="5A726E5B"/>
    <w:rsid w:val="5AB77ABD"/>
    <w:rsid w:val="5ACC7D43"/>
    <w:rsid w:val="5AF92295"/>
    <w:rsid w:val="5B0C6D0C"/>
    <w:rsid w:val="5B150ED7"/>
    <w:rsid w:val="5B250254"/>
    <w:rsid w:val="5B392E17"/>
    <w:rsid w:val="5B4B7989"/>
    <w:rsid w:val="5B6A7475"/>
    <w:rsid w:val="5B7D41AB"/>
    <w:rsid w:val="5BC00E43"/>
    <w:rsid w:val="5BC92E17"/>
    <w:rsid w:val="5BC94719"/>
    <w:rsid w:val="5BDD79E6"/>
    <w:rsid w:val="5BF31218"/>
    <w:rsid w:val="5BF561CA"/>
    <w:rsid w:val="5BF85E98"/>
    <w:rsid w:val="5BFF5DFC"/>
    <w:rsid w:val="5C2B7526"/>
    <w:rsid w:val="5C3319F4"/>
    <w:rsid w:val="5C445E6A"/>
    <w:rsid w:val="5C5773BA"/>
    <w:rsid w:val="5C6553ED"/>
    <w:rsid w:val="5C907B7A"/>
    <w:rsid w:val="5C9612B9"/>
    <w:rsid w:val="5CD71FC4"/>
    <w:rsid w:val="5D1E0517"/>
    <w:rsid w:val="5D1F11B5"/>
    <w:rsid w:val="5D2F619F"/>
    <w:rsid w:val="5D695134"/>
    <w:rsid w:val="5D7A7717"/>
    <w:rsid w:val="5D83037A"/>
    <w:rsid w:val="5D911DAB"/>
    <w:rsid w:val="5DAE1B18"/>
    <w:rsid w:val="5DD7667C"/>
    <w:rsid w:val="5DE132F2"/>
    <w:rsid w:val="5DE7D9E5"/>
    <w:rsid w:val="5E0A66DE"/>
    <w:rsid w:val="5E105B43"/>
    <w:rsid w:val="5E251431"/>
    <w:rsid w:val="5E3B2A02"/>
    <w:rsid w:val="5E425832"/>
    <w:rsid w:val="5E4B5F90"/>
    <w:rsid w:val="5E4B6E46"/>
    <w:rsid w:val="5E8E347A"/>
    <w:rsid w:val="5EC9338A"/>
    <w:rsid w:val="5ECEC941"/>
    <w:rsid w:val="5ED26194"/>
    <w:rsid w:val="5EE368BA"/>
    <w:rsid w:val="5EE4327E"/>
    <w:rsid w:val="5EE92875"/>
    <w:rsid w:val="5EF13A09"/>
    <w:rsid w:val="5F0279C4"/>
    <w:rsid w:val="5F3D09FC"/>
    <w:rsid w:val="5F5024DD"/>
    <w:rsid w:val="5F683CCB"/>
    <w:rsid w:val="5F750196"/>
    <w:rsid w:val="5F93061C"/>
    <w:rsid w:val="5FAC5A57"/>
    <w:rsid w:val="5FAC5B38"/>
    <w:rsid w:val="5FAE4E4D"/>
    <w:rsid w:val="5FBF9FF3"/>
    <w:rsid w:val="5FCA04E2"/>
    <w:rsid w:val="5FCD310F"/>
    <w:rsid w:val="5FCD4E2C"/>
    <w:rsid w:val="5FEE767C"/>
    <w:rsid w:val="5FEF394A"/>
    <w:rsid w:val="5FF67715"/>
    <w:rsid w:val="5FF7504F"/>
    <w:rsid w:val="5FFFCE63"/>
    <w:rsid w:val="60073A6B"/>
    <w:rsid w:val="60171CB7"/>
    <w:rsid w:val="601C3366"/>
    <w:rsid w:val="603E67DA"/>
    <w:rsid w:val="60592C21"/>
    <w:rsid w:val="6074208F"/>
    <w:rsid w:val="607B03DD"/>
    <w:rsid w:val="607E624F"/>
    <w:rsid w:val="608605A7"/>
    <w:rsid w:val="60A078D4"/>
    <w:rsid w:val="60AA3E6F"/>
    <w:rsid w:val="61306A6A"/>
    <w:rsid w:val="61652C2D"/>
    <w:rsid w:val="61654AAB"/>
    <w:rsid w:val="61870A0B"/>
    <w:rsid w:val="618B5A4F"/>
    <w:rsid w:val="61B551C2"/>
    <w:rsid w:val="620D6DAC"/>
    <w:rsid w:val="62203C3B"/>
    <w:rsid w:val="6229523A"/>
    <w:rsid w:val="62435525"/>
    <w:rsid w:val="626D7CE5"/>
    <w:rsid w:val="62B80AC5"/>
    <w:rsid w:val="62BF3928"/>
    <w:rsid w:val="62E25CE4"/>
    <w:rsid w:val="62EE098B"/>
    <w:rsid w:val="62FD6A68"/>
    <w:rsid w:val="63013E7B"/>
    <w:rsid w:val="632B6611"/>
    <w:rsid w:val="63381C06"/>
    <w:rsid w:val="633960E1"/>
    <w:rsid w:val="6343411C"/>
    <w:rsid w:val="635B4B4A"/>
    <w:rsid w:val="63640C4D"/>
    <w:rsid w:val="638D5C5B"/>
    <w:rsid w:val="63B14C20"/>
    <w:rsid w:val="63B3701E"/>
    <w:rsid w:val="63D95197"/>
    <w:rsid w:val="647F5392"/>
    <w:rsid w:val="64800672"/>
    <w:rsid w:val="64994927"/>
    <w:rsid w:val="64AD3BDA"/>
    <w:rsid w:val="64BC23C3"/>
    <w:rsid w:val="64C319A4"/>
    <w:rsid w:val="64F60EF6"/>
    <w:rsid w:val="65001E19"/>
    <w:rsid w:val="65184F7F"/>
    <w:rsid w:val="651F14D5"/>
    <w:rsid w:val="653463FD"/>
    <w:rsid w:val="65362175"/>
    <w:rsid w:val="658C6239"/>
    <w:rsid w:val="659375C8"/>
    <w:rsid w:val="65B35C43"/>
    <w:rsid w:val="65BD4645"/>
    <w:rsid w:val="65C95A3A"/>
    <w:rsid w:val="65E66580"/>
    <w:rsid w:val="66081D64"/>
    <w:rsid w:val="66262E1D"/>
    <w:rsid w:val="664B1D71"/>
    <w:rsid w:val="664B4E8E"/>
    <w:rsid w:val="665905FC"/>
    <w:rsid w:val="665C3E5E"/>
    <w:rsid w:val="66A6332B"/>
    <w:rsid w:val="66A80E51"/>
    <w:rsid w:val="66AD46B9"/>
    <w:rsid w:val="66D41C46"/>
    <w:rsid w:val="66D85D11"/>
    <w:rsid w:val="66D9725C"/>
    <w:rsid w:val="67254250"/>
    <w:rsid w:val="67277B67"/>
    <w:rsid w:val="67670D0C"/>
    <w:rsid w:val="67925890"/>
    <w:rsid w:val="67AA3209"/>
    <w:rsid w:val="67B751C8"/>
    <w:rsid w:val="67CA2E3C"/>
    <w:rsid w:val="67D3114F"/>
    <w:rsid w:val="67DA7730"/>
    <w:rsid w:val="6817003C"/>
    <w:rsid w:val="681F67D0"/>
    <w:rsid w:val="68674F05"/>
    <w:rsid w:val="68757459"/>
    <w:rsid w:val="687F76CE"/>
    <w:rsid w:val="68895C5D"/>
    <w:rsid w:val="68A87665"/>
    <w:rsid w:val="690C1B6B"/>
    <w:rsid w:val="691B0EFE"/>
    <w:rsid w:val="698D0931"/>
    <w:rsid w:val="69A15835"/>
    <w:rsid w:val="69B47B0D"/>
    <w:rsid w:val="69D435AA"/>
    <w:rsid w:val="69F477BD"/>
    <w:rsid w:val="69F97043"/>
    <w:rsid w:val="6A282B5F"/>
    <w:rsid w:val="6A7FE5F3"/>
    <w:rsid w:val="6A975464"/>
    <w:rsid w:val="6ABD66AF"/>
    <w:rsid w:val="6AC10733"/>
    <w:rsid w:val="6AFD1070"/>
    <w:rsid w:val="6B053271"/>
    <w:rsid w:val="6B100DD2"/>
    <w:rsid w:val="6B4F62C2"/>
    <w:rsid w:val="6B5A3003"/>
    <w:rsid w:val="6B5B6548"/>
    <w:rsid w:val="6B9474AA"/>
    <w:rsid w:val="6B9A47AC"/>
    <w:rsid w:val="6BBF2CB3"/>
    <w:rsid w:val="6BC56001"/>
    <w:rsid w:val="6BDD78B3"/>
    <w:rsid w:val="6BF24841"/>
    <w:rsid w:val="6C101972"/>
    <w:rsid w:val="6C1227AE"/>
    <w:rsid w:val="6C435E52"/>
    <w:rsid w:val="6C487092"/>
    <w:rsid w:val="6C492DBB"/>
    <w:rsid w:val="6C4A05C8"/>
    <w:rsid w:val="6C821877"/>
    <w:rsid w:val="6C8742B8"/>
    <w:rsid w:val="6C9D3372"/>
    <w:rsid w:val="6CE54BAD"/>
    <w:rsid w:val="6CFDF5C7"/>
    <w:rsid w:val="6D062181"/>
    <w:rsid w:val="6D100873"/>
    <w:rsid w:val="6D5C7F9A"/>
    <w:rsid w:val="6D5D0751"/>
    <w:rsid w:val="6D842D5C"/>
    <w:rsid w:val="6D920165"/>
    <w:rsid w:val="6DA528C6"/>
    <w:rsid w:val="6DBA3368"/>
    <w:rsid w:val="6DBF5E93"/>
    <w:rsid w:val="6DCC41AE"/>
    <w:rsid w:val="6DDE15FC"/>
    <w:rsid w:val="6DFF077E"/>
    <w:rsid w:val="6E0A1258"/>
    <w:rsid w:val="6E2C05BA"/>
    <w:rsid w:val="6E69536A"/>
    <w:rsid w:val="6E714EF0"/>
    <w:rsid w:val="6E7E3605"/>
    <w:rsid w:val="6E7FDCC7"/>
    <w:rsid w:val="6E906B41"/>
    <w:rsid w:val="6E946B8C"/>
    <w:rsid w:val="6E9543B1"/>
    <w:rsid w:val="6ED6A62E"/>
    <w:rsid w:val="6EE00B15"/>
    <w:rsid w:val="6EF015E7"/>
    <w:rsid w:val="6F1F0D85"/>
    <w:rsid w:val="6F2D60F4"/>
    <w:rsid w:val="6F402188"/>
    <w:rsid w:val="6F585AF5"/>
    <w:rsid w:val="6F5C0DC4"/>
    <w:rsid w:val="6F6FB3EB"/>
    <w:rsid w:val="6F700DD4"/>
    <w:rsid w:val="6F8306AD"/>
    <w:rsid w:val="6F8731EA"/>
    <w:rsid w:val="6F8A285D"/>
    <w:rsid w:val="6FA81EC2"/>
    <w:rsid w:val="6FBD10E0"/>
    <w:rsid w:val="6FCE6052"/>
    <w:rsid w:val="6FD577DD"/>
    <w:rsid w:val="6FD57C00"/>
    <w:rsid w:val="6FEFFFD8"/>
    <w:rsid w:val="6FF5CC65"/>
    <w:rsid w:val="6FF91595"/>
    <w:rsid w:val="6FFB47EC"/>
    <w:rsid w:val="6FFE36AB"/>
    <w:rsid w:val="6FFE4179"/>
    <w:rsid w:val="6FFF034A"/>
    <w:rsid w:val="701769DC"/>
    <w:rsid w:val="70314C03"/>
    <w:rsid w:val="70384FF4"/>
    <w:rsid w:val="7040468A"/>
    <w:rsid w:val="70452A02"/>
    <w:rsid w:val="70484440"/>
    <w:rsid w:val="704E4817"/>
    <w:rsid w:val="706202C3"/>
    <w:rsid w:val="7073669D"/>
    <w:rsid w:val="70812E3F"/>
    <w:rsid w:val="708C3591"/>
    <w:rsid w:val="70C84A9F"/>
    <w:rsid w:val="70EA44E4"/>
    <w:rsid w:val="711A6DEF"/>
    <w:rsid w:val="711C2C28"/>
    <w:rsid w:val="712A28F1"/>
    <w:rsid w:val="71337C1F"/>
    <w:rsid w:val="71402F50"/>
    <w:rsid w:val="71407AB8"/>
    <w:rsid w:val="715C0E4B"/>
    <w:rsid w:val="716345F2"/>
    <w:rsid w:val="7170468F"/>
    <w:rsid w:val="718633AD"/>
    <w:rsid w:val="71992E7C"/>
    <w:rsid w:val="71B42DA0"/>
    <w:rsid w:val="71F11D87"/>
    <w:rsid w:val="72213D09"/>
    <w:rsid w:val="72233669"/>
    <w:rsid w:val="722F6C03"/>
    <w:rsid w:val="72347A3D"/>
    <w:rsid w:val="72734D90"/>
    <w:rsid w:val="727B1C21"/>
    <w:rsid w:val="7280121E"/>
    <w:rsid w:val="72B702CF"/>
    <w:rsid w:val="72BB015E"/>
    <w:rsid w:val="72D33A90"/>
    <w:rsid w:val="72D82ABE"/>
    <w:rsid w:val="72E158F4"/>
    <w:rsid w:val="73025D8D"/>
    <w:rsid w:val="730D6C0C"/>
    <w:rsid w:val="73160E6D"/>
    <w:rsid w:val="732950C8"/>
    <w:rsid w:val="7332FE48"/>
    <w:rsid w:val="733C304D"/>
    <w:rsid w:val="734B14E2"/>
    <w:rsid w:val="73AB61DA"/>
    <w:rsid w:val="73AD55C1"/>
    <w:rsid w:val="73AD73D5"/>
    <w:rsid w:val="73B6EB34"/>
    <w:rsid w:val="73F90F3E"/>
    <w:rsid w:val="73FA497D"/>
    <w:rsid w:val="74071A51"/>
    <w:rsid w:val="744731E5"/>
    <w:rsid w:val="745213E3"/>
    <w:rsid w:val="74707355"/>
    <w:rsid w:val="747B2A32"/>
    <w:rsid w:val="74894F81"/>
    <w:rsid w:val="74924EA1"/>
    <w:rsid w:val="74B65081"/>
    <w:rsid w:val="74BBD01D"/>
    <w:rsid w:val="74DA2B1D"/>
    <w:rsid w:val="74E801BA"/>
    <w:rsid w:val="74ED5379"/>
    <w:rsid w:val="74FA31C0"/>
    <w:rsid w:val="7507768A"/>
    <w:rsid w:val="75193242"/>
    <w:rsid w:val="753922F4"/>
    <w:rsid w:val="753B1060"/>
    <w:rsid w:val="756059AC"/>
    <w:rsid w:val="75812EAD"/>
    <w:rsid w:val="75BA37DA"/>
    <w:rsid w:val="75D73501"/>
    <w:rsid w:val="75DEEEC2"/>
    <w:rsid w:val="75E32345"/>
    <w:rsid w:val="75F61EF0"/>
    <w:rsid w:val="7606723B"/>
    <w:rsid w:val="7612539C"/>
    <w:rsid w:val="761402B1"/>
    <w:rsid w:val="765468FF"/>
    <w:rsid w:val="766617FE"/>
    <w:rsid w:val="76AE6EEB"/>
    <w:rsid w:val="76C770D1"/>
    <w:rsid w:val="76D3214E"/>
    <w:rsid w:val="76E3355F"/>
    <w:rsid w:val="76EEEECB"/>
    <w:rsid w:val="76FF5125"/>
    <w:rsid w:val="770056C4"/>
    <w:rsid w:val="77065E4C"/>
    <w:rsid w:val="771542E1"/>
    <w:rsid w:val="77346241"/>
    <w:rsid w:val="7736236F"/>
    <w:rsid w:val="77640DC4"/>
    <w:rsid w:val="776F6FFA"/>
    <w:rsid w:val="778769C8"/>
    <w:rsid w:val="77A75DCA"/>
    <w:rsid w:val="77DC22F5"/>
    <w:rsid w:val="78245F88"/>
    <w:rsid w:val="783E271A"/>
    <w:rsid w:val="784A507C"/>
    <w:rsid w:val="78616DE9"/>
    <w:rsid w:val="786D3CA8"/>
    <w:rsid w:val="78961451"/>
    <w:rsid w:val="78E875D7"/>
    <w:rsid w:val="78EA019E"/>
    <w:rsid w:val="79086DAD"/>
    <w:rsid w:val="791C679A"/>
    <w:rsid w:val="79517126"/>
    <w:rsid w:val="797C4840"/>
    <w:rsid w:val="798778C7"/>
    <w:rsid w:val="79940632"/>
    <w:rsid w:val="79B55907"/>
    <w:rsid w:val="79C30EA7"/>
    <w:rsid w:val="79CD2C51"/>
    <w:rsid w:val="79D7FD79"/>
    <w:rsid w:val="79DC1FE9"/>
    <w:rsid w:val="79E30BDB"/>
    <w:rsid w:val="79EE5BA4"/>
    <w:rsid w:val="7A1791A5"/>
    <w:rsid w:val="7A22512D"/>
    <w:rsid w:val="7A2A69EA"/>
    <w:rsid w:val="7A2B26BA"/>
    <w:rsid w:val="7A31152D"/>
    <w:rsid w:val="7A542CE8"/>
    <w:rsid w:val="7A707A80"/>
    <w:rsid w:val="7A810FFC"/>
    <w:rsid w:val="7A894339"/>
    <w:rsid w:val="7A9609AA"/>
    <w:rsid w:val="7A9C2623"/>
    <w:rsid w:val="7AAD0720"/>
    <w:rsid w:val="7AAE020C"/>
    <w:rsid w:val="7AC810FF"/>
    <w:rsid w:val="7AD184EC"/>
    <w:rsid w:val="7AD284E8"/>
    <w:rsid w:val="7AD41DBD"/>
    <w:rsid w:val="7AD87AFF"/>
    <w:rsid w:val="7AFF7572"/>
    <w:rsid w:val="7B4E5EB8"/>
    <w:rsid w:val="7B6C7DFB"/>
    <w:rsid w:val="7B744D1A"/>
    <w:rsid w:val="7B821819"/>
    <w:rsid w:val="7BBD9B52"/>
    <w:rsid w:val="7BBFBED0"/>
    <w:rsid w:val="7BC3E394"/>
    <w:rsid w:val="7C1F3737"/>
    <w:rsid w:val="7C457EE7"/>
    <w:rsid w:val="7C61195D"/>
    <w:rsid w:val="7C72188D"/>
    <w:rsid w:val="7C7272D0"/>
    <w:rsid w:val="7CB02B98"/>
    <w:rsid w:val="7CBFC87B"/>
    <w:rsid w:val="7CC3658D"/>
    <w:rsid w:val="7CCC3693"/>
    <w:rsid w:val="7CCE5A9F"/>
    <w:rsid w:val="7CE4229A"/>
    <w:rsid w:val="7CEF1130"/>
    <w:rsid w:val="7CEF43FE"/>
    <w:rsid w:val="7CF50079"/>
    <w:rsid w:val="7CFE0F48"/>
    <w:rsid w:val="7D0B7ECF"/>
    <w:rsid w:val="7D252DA4"/>
    <w:rsid w:val="7D272ABC"/>
    <w:rsid w:val="7D2F59D0"/>
    <w:rsid w:val="7D334366"/>
    <w:rsid w:val="7D631DB2"/>
    <w:rsid w:val="7D7EC23E"/>
    <w:rsid w:val="7DB66A83"/>
    <w:rsid w:val="7DBA50D3"/>
    <w:rsid w:val="7DE642E1"/>
    <w:rsid w:val="7DF06D5E"/>
    <w:rsid w:val="7DFD66CD"/>
    <w:rsid w:val="7E1178E2"/>
    <w:rsid w:val="7E4B05E8"/>
    <w:rsid w:val="7E520CE5"/>
    <w:rsid w:val="7E70004F"/>
    <w:rsid w:val="7E7A42F4"/>
    <w:rsid w:val="7E7AACD1"/>
    <w:rsid w:val="7E7F928E"/>
    <w:rsid w:val="7E867872"/>
    <w:rsid w:val="7E8ADEBF"/>
    <w:rsid w:val="7ECD9107"/>
    <w:rsid w:val="7EEF11D3"/>
    <w:rsid w:val="7EFE4840"/>
    <w:rsid w:val="7F052E8D"/>
    <w:rsid w:val="7F0971A6"/>
    <w:rsid w:val="7F144E7E"/>
    <w:rsid w:val="7F160230"/>
    <w:rsid w:val="7F1D62E7"/>
    <w:rsid w:val="7F215C79"/>
    <w:rsid w:val="7F343772"/>
    <w:rsid w:val="7F3814CA"/>
    <w:rsid w:val="7F3F679B"/>
    <w:rsid w:val="7F4FC4EF"/>
    <w:rsid w:val="7F5E4D54"/>
    <w:rsid w:val="7F680525"/>
    <w:rsid w:val="7F6E0135"/>
    <w:rsid w:val="7F79F205"/>
    <w:rsid w:val="7F9F1CDB"/>
    <w:rsid w:val="7FA30C79"/>
    <w:rsid w:val="7FA67453"/>
    <w:rsid w:val="7FA7229A"/>
    <w:rsid w:val="7FA79C44"/>
    <w:rsid w:val="7FAF8ABF"/>
    <w:rsid w:val="7FB7269E"/>
    <w:rsid w:val="7FC96657"/>
    <w:rsid w:val="7FD665D7"/>
    <w:rsid w:val="7FDA9588"/>
    <w:rsid w:val="7FDD4FC3"/>
    <w:rsid w:val="7FDF220F"/>
    <w:rsid w:val="7FE90D2C"/>
    <w:rsid w:val="7FE9630A"/>
    <w:rsid w:val="7FEDC5F7"/>
    <w:rsid w:val="7FEDD9DE"/>
    <w:rsid w:val="7FF5890D"/>
    <w:rsid w:val="7FF93490"/>
    <w:rsid w:val="7FFDFEEF"/>
    <w:rsid w:val="7FFEFE82"/>
    <w:rsid w:val="7FFF6DB3"/>
    <w:rsid w:val="8FFF2B5A"/>
    <w:rsid w:val="99FF2014"/>
    <w:rsid w:val="9F7E7150"/>
    <w:rsid w:val="A6DD0D7F"/>
    <w:rsid w:val="ACFF4FBB"/>
    <w:rsid w:val="ADC6F725"/>
    <w:rsid w:val="B597CD2C"/>
    <w:rsid w:val="B7CF06AB"/>
    <w:rsid w:val="B7CFA926"/>
    <w:rsid w:val="B7F8786B"/>
    <w:rsid w:val="BABB6AA1"/>
    <w:rsid w:val="BB2F4199"/>
    <w:rsid w:val="BBE75A66"/>
    <w:rsid w:val="BCFFB442"/>
    <w:rsid w:val="BD079C78"/>
    <w:rsid w:val="BD733540"/>
    <w:rsid w:val="BEFFF528"/>
    <w:rsid w:val="BF3735D5"/>
    <w:rsid w:val="BF7F09AC"/>
    <w:rsid w:val="BFD475C3"/>
    <w:rsid w:val="BFDE5EA6"/>
    <w:rsid w:val="BFEF9B32"/>
    <w:rsid w:val="CBB4873A"/>
    <w:rsid w:val="CDF430FB"/>
    <w:rsid w:val="CF6FC6F3"/>
    <w:rsid w:val="CFBE5075"/>
    <w:rsid w:val="CFD3D3D7"/>
    <w:rsid w:val="CFDF1009"/>
    <w:rsid w:val="D3F71287"/>
    <w:rsid w:val="D7D7B16A"/>
    <w:rsid w:val="D8D6DB89"/>
    <w:rsid w:val="D9463415"/>
    <w:rsid w:val="DA9E3EA0"/>
    <w:rsid w:val="DB6F4CAB"/>
    <w:rsid w:val="DB777682"/>
    <w:rsid w:val="DBE7823A"/>
    <w:rsid w:val="DD1FB521"/>
    <w:rsid w:val="DDBF5AC7"/>
    <w:rsid w:val="DEFBFEAE"/>
    <w:rsid w:val="DF1F3B80"/>
    <w:rsid w:val="DF6F9789"/>
    <w:rsid w:val="DF8944F6"/>
    <w:rsid w:val="DFA3CC3A"/>
    <w:rsid w:val="DFE9BE81"/>
    <w:rsid w:val="DFEBEF68"/>
    <w:rsid w:val="DFFFA9E8"/>
    <w:rsid w:val="E3FEC05D"/>
    <w:rsid w:val="E5F4E9DC"/>
    <w:rsid w:val="E70FE695"/>
    <w:rsid w:val="E7E7DD11"/>
    <w:rsid w:val="EB2E368B"/>
    <w:rsid w:val="EBDF3296"/>
    <w:rsid w:val="EBDFD6B0"/>
    <w:rsid w:val="ECFED1BC"/>
    <w:rsid w:val="ED1D69BB"/>
    <w:rsid w:val="ED3DBD97"/>
    <w:rsid w:val="ED7FD312"/>
    <w:rsid w:val="EEFB369D"/>
    <w:rsid w:val="EEFFA92C"/>
    <w:rsid w:val="EF2E1AC6"/>
    <w:rsid w:val="EF53993F"/>
    <w:rsid w:val="EF5F26BF"/>
    <w:rsid w:val="EF6FD633"/>
    <w:rsid w:val="EFBFB2F4"/>
    <w:rsid w:val="EFBFFA21"/>
    <w:rsid w:val="EFFF7382"/>
    <w:rsid w:val="F0DF5647"/>
    <w:rsid w:val="F2BEBCB8"/>
    <w:rsid w:val="F36FB518"/>
    <w:rsid w:val="F3DE1A04"/>
    <w:rsid w:val="F3F722E5"/>
    <w:rsid w:val="F477EC9B"/>
    <w:rsid w:val="F4FBCD07"/>
    <w:rsid w:val="F5EBC798"/>
    <w:rsid w:val="F76ECDDE"/>
    <w:rsid w:val="F9FE4928"/>
    <w:rsid w:val="FA5F1E70"/>
    <w:rsid w:val="FA5FDB97"/>
    <w:rsid w:val="FADA6B9D"/>
    <w:rsid w:val="FB7F486A"/>
    <w:rsid w:val="FBFF5B2E"/>
    <w:rsid w:val="FD7FFE2B"/>
    <w:rsid w:val="FDD9F1C8"/>
    <w:rsid w:val="FDEE196B"/>
    <w:rsid w:val="FDFE6575"/>
    <w:rsid w:val="FEA06749"/>
    <w:rsid w:val="FECBE703"/>
    <w:rsid w:val="FEDBE9C0"/>
    <w:rsid w:val="FEDFDDC2"/>
    <w:rsid w:val="FEED32F6"/>
    <w:rsid w:val="FEEFD2CF"/>
    <w:rsid w:val="FEF781DD"/>
    <w:rsid w:val="FF3F7E3F"/>
    <w:rsid w:val="FFAFDE41"/>
    <w:rsid w:val="FFBA12D7"/>
    <w:rsid w:val="FFCBD314"/>
    <w:rsid w:val="FFDF9EF2"/>
    <w:rsid w:val="FFDFF91C"/>
    <w:rsid w:val="FFDFFAEE"/>
    <w:rsid w:val="FFEF6777"/>
    <w:rsid w:val="FFF9B57B"/>
    <w:rsid w:val="FFFD170D"/>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2"/>
    <w:semiHidden/>
    <w:unhideWhenUsed/>
    <w:qFormat/>
    <w:uiPriority w:val="99"/>
    <w:rPr>
      <w:sz w:val="18"/>
      <w:szCs w:val="18"/>
    </w:rPr>
  </w:style>
  <w:style w:type="paragraph" w:styleId="9">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13"/>
    <w:semiHidden/>
    <w:qFormat/>
    <w:uiPriority w:val="0"/>
    <w:pPr>
      <w:snapToGrid w:val="0"/>
      <w:jc w:val="left"/>
    </w:pPr>
    <w:rPr>
      <w:sz w:val="18"/>
      <w:szCs w:val="18"/>
    </w:rPr>
  </w:style>
  <w:style w:type="paragraph" w:styleId="13">
    <w:name w:val="Body Text First Indent 2"/>
    <w:basedOn w:val="6"/>
    <w:unhideWhenUsed/>
    <w:qFormat/>
    <w:uiPriority w:val="99"/>
    <w:pPr>
      <w:ind w:firstLine="420" w:firstLineChars="200"/>
    </w:pPr>
  </w:style>
  <w:style w:type="paragraph" w:styleId="14">
    <w:name w:val="table of figures"/>
    <w:basedOn w:val="1"/>
    <w:next w:val="1"/>
    <w:qFormat/>
    <w:uiPriority w:val="0"/>
    <w:pPr>
      <w:ind w:left="400"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0"/>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9"/>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8"/>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列出段落1"/>
    <w:basedOn w:val="1"/>
    <w:qFormat/>
    <w:uiPriority w:val="34"/>
    <w:pPr>
      <w:ind w:firstLine="420" w:firstLineChars="200"/>
    </w:pPr>
  </w:style>
  <w:style w:type="character" w:customStyle="1" w:styleId="37">
    <w:name w:val="标题 2 字符"/>
    <w:basedOn w:val="17"/>
    <w:link w:val="3"/>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ome/kylin/&#26700;&#38754;/&#22270;&#26631;&#21046;&#20316;%20-%20&#21103;&#26412;.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home/kylin/&#26700;&#38754;/&#22270;&#26631;&#21046;&#20316;%20-%20&#21103;&#26412;.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ome/kylin/&#26700;&#38754;/&#22270;&#26631;&#21046;&#20316;%20-%20&#21103;&#26412;.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home/kylin/&#26700;&#38754;/&#22270;&#26631;&#21046;&#20316;%20-%20&#21103;&#26412;.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ome/kylin/&#26700;&#38754;/&#22270;&#26631;&#21046;&#20316;%20-%20&#21103;&#26412;.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home/kylin/&#26700;&#38754;/&#22270;&#26631;&#21046;&#20316;%20-%20&#21103;&#2641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'[图标制作 - 副本.xlsx]Sheet1'!$B$37</c:f>
              <c:strCache>
                <c:ptCount val="1"/>
                <c:pt idx="0">
                  <c:v>收入、支出决算总计 （单位：万元）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 - 副本.xlsx]Sheet1'!$A$38:$A$39</c:f>
              <c:strCache>
                <c:ptCount val="2"/>
                <c:pt idx="0">
                  <c:v>2024年</c:v>
                </c:pt>
                <c:pt idx="1">
                  <c:v>2025年</c:v>
                </c:pt>
              </c:strCache>
            </c:strRef>
          </c:cat>
          <c:val>
            <c:numRef>
              <c:f>'[图标制作 - 副本.xlsx]Sheet1'!$B$38:$B$39</c:f>
              <c:numCache>
                <c:formatCode>General</c:formatCode>
                <c:ptCount val="2"/>
                <c:pt idx="0">
                  <c:v>1053.13</c:v>
                </c:pt>
                <c:pt idx="1">
                  <c:v>468.55</c:v>
                </c:pt>
              </c:numCache>
            </c:numRef>
          </c:val>
        </c:ser>
        <c:dLbls>
          <c:showLegendKey val="0"/>
          <c:showVal val="1"/>
          <c:showCatName val="0"/>
          <c:showSerName val="0"/>
          <c:showPercent val="0"/>
          <c:showBubbleSize val="0"/>
        </c:dLbls>
        <c:gapWidth val="246"/>
        <c:overlap val="-28"/>
        <c:axId val="168626664"/>
        <c:axId val="345441838"/>
      </c:barChart>
      <c:catAx>
        <c:axId val="1686266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5441838"/>
        <c:crosses val="autoZero"/>
        <c:auto val="1"/>
        <c:lblAlgn val="ctr"/>
        <c:lblOffset val="100"/>
        <c:noMultiLvlLbl val="0"/>
      </c:catAx>
      <c:valAx>
        <c:axId val="34544183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86266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7850cc-532c-47d7-8bbf-0d1d91961e5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'[图标制作 - 副本.xlsx]Sheet1'!$B$41</c:f>
              <c:strCache>
                <c:ptCount val="1"/>
                <c:pt idx="0">
                  <c:v>收入决算结构图  (单位：万元)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 - 副本.xlsx]Sheet1'!$A$42:$A$43</c:f>
              <c:strCache>
                <c:ptCount val="2"/>
                <c:pt idx="0">
                  <c:v>一般公共预算财政拨款收入</c:v>
                </c:pt>
                <c:pt idx="1">
                  <c:v>政府性基金预算财政拨款收入</c:v>
                </c:pt>
              </c:strCache>
            </c:strRef>
          </c:cat>
          <c:val>
            <c:numRef>
              <c:f>'[图标制作 - 副本.xlsx]Sheet1'!$B$42:$B$43</c:f>
              <c:numCache>
                <c:formatCode>General</c:formatCode>
                <c:ptCount val="2"/>
                <c:pt idx="0">
                  <c:v>468.55</c:v>
                </c:pt>
                <c:pt idx="1">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ced3e8d-2267-4326-b802-b539d4234fd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28026315789474"/>
          <c:y val="0.00900900900900901"/>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'[图标制作 - 副本.xlsx]Sheet1'!$B$11</c:f>
              <c:strCache>
                <c:ptCount val="1"/>
                <c:pt idx="0">
                  <c:v>本年支出（单位：万元）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 - 副本.xlsx]Sheet1'!$A$12:$A$13</c:f>
              <c:strCache>
                <c:ptCount val="2"/>
                <c:pt idx="0">
                  <c:v>基本支出</c:v>
                </c:pt>
                <c:pt idx="1">
                  <c:v>项目支出</c:v>
                </c:pt>
              </c:strCache>
            </c:strRef>
          </c:cat>
          <c:val>
            <c:numRef>
              <c:f>'[图标制作 - 副本.xlsx]Sheet1'!$B$12:$B$13</c:f>
              <c:numCache>
                <c:formatCode>General</c:formatCode>
                <c:ptCount val="2"/>
                <c:pt idx="0">
                  <c:v>333.4</c:v>
                </c:pt>
                <c:pt idx="1">
                  <c:v>135.15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95620aa-c6ac-4a6d-ab8c-2628e841bc1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'[图标制作 - 副本.xlsx]Sheet1'!$B$18</c:f>
              <c:strCache>
                <c:ptCount val="1"/>
                <c:pt idx="0">
                  <c:v>财政拨款收入、支出总计  总计单位：（万元）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 - 副本.xlsx]Sheet1'!$A$19:$A$20</c:f>
              <c:strCache>
                <c:ptCount val="2"/>
                <c:pt idx="0">
                  <c:v>2024年</c:v>
                </c:pt>
                <c:pt idx="1">
                  <c:v>2025年</c:v>
                </c:pt>
              </c:strCache>
            </c:strRef>
          </c:cat>
          <c:val>
            <c:numRef>
              <c:f>'[图标制作 - 副本.xlsx]Sheet1'!$B$19:$B$20</c:f>
              <c:numCache>
                <c:formatCode>General</c:formatCode>
                <c:ptCount val="2"/>
                <c:pt idx="0">
                  <c:v>1053.13</c:v>
                </c:pt>
                <c:pt idx="1">
                  <c:v>468.55</c:v>
                </c:pt>
              </c:numCache>
            </c:numRef>
          </c:val>
        </c:ser>
        <c:dLbls>
          <c:showLegendKey val="0"/>
          <c:showVal val="1"/>
          <c:showCatName val="0"/>
          <c:showSerName val="0"/>
          <c:showPercent val="0"/>
          <c:showBubbleSize val="0"/>
        </c:dLbls>
        <c:gapWidth val="246"/>
        <c:overlap val="-28"/>
        <c:axId val="950164645"/>
        <c:axId val="915200113"/>
      </c:barChart>
      <c:catAx>
        <c:axId val="95016464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5200113"/>
        <c:crosses val="autoZero"/>
        <c:auto val="1"/>
        <c:lblAlgn val="ctr"/>
        <c:lblOffset val="100"/>
        <c:noMultiLvlLbl val="0"/>
      </c:catAx>
      <c:valAx>
        <c:axId val="91520011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01646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53231bd-fb73-429c-94b0-fbb6f341f1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'[图标制作 - 副本.xlsx]Sheet1'!$B$25</c:f>
              <c:strCache>
                <c:ptCount val="1"/>
                <c:pt idx="0">
                  <c:v>一般公共预算财政拨款支出决算变动情况（单位：万元)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 - 副本.xlsx]Sheet1'!$A$26:$A$27</c:f>
              <c:strCache>
                <c:ptCount val="2"/>
                <c:pt idx="0">
                  <c:v>2024年</c:v>
                </c:pt>
                <c:pt idx="1">
                  <c:v>2025年</c:v>
                </c:pt>
              </c:strCache>
            </c:strRef>
          </c:cat>
          <c:val>
            <c:numRef>
              <c:f>'[图标制作 - 副本.xlsx]Sheet1'!$B$26:$B$27</c:f>
              <c:numCache>
                <c:formatCode>General</c:formatCode>
                <c:ptCount val="2"/>
                <c:pt idx="0">
                  <c:v>1053.13</c:v>
                </c:pt>
                <c:pt idx="1">
                  <c:v>468.55</c:v>
                </c:pt>
              </c:numCache>
            </c:numRef>
          </c:val>
        </c:ser>
        <c:dLbls>
          <c:showLegendKey val="0"/>
          <c:showVal val="1"/>
          <c:showCatName val="0"/>
          <c:showSerName val="0"/>
          <c:showPercent val="0"/>
          <c:showBubbleSize val="0"/>
        </c:dLbls>
        <c:gapWidth val="246"/>
        <c:overlap val="-28"/>
        <c:axId val="807151878"/>
        <c:axId val="960271468"/>
      </c:barChart>
      <c:catAx>
        <c:axId val="80715187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0271468"/>
        <c:crosses val="autoZero"/>
        <c:auto val="1"/>
        <c:lblAlgn val="ctr"/>
        <c:lblOffset val="100"/>
        <c:noMultiLvlLbl val="0"/>
      </c:catAx>
      <c:valAx>
        <c:axId val="96027146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15187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421287-d523-41a2-ad4a-f0b80d7f8ad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0727631578947368"/>
          <c:y val="0.00819672131147541"/>
        </c:manualLayout>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'[图标制作 - 副本.xlsx]Sheet1'!$B$30</c:f>
              <c:strCache>
                <c:ptCount val="1"/>
                <c:pt idx="0">
                  <c:v>一般公共预算财政拨款支出决算结构  单位：万元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'[图标制作 - 副本.xlsx]Sheet1'!$A$31:$A$35</c:f>
              <c:strCache>
                <c:ptCount val="5"/>
                <c:pt idx="0">
                  <c:v>一般公共服务支出</c:v>
                </c:pt>
                <c:pt idx="1">
                  <c:v>社会保障和就业支出</c:v>
                </c:pt>
                <c:pt idx="2">
                  <c:v>卫生健康支出</c:v>
                </c:pt>
                <c:pt idx="3">
                  <c:v>住房保障支出</c:v>
                </c:pt>
                <c:pt idx="4">
                  <c:v>农林水支出</c:v>
                </c:pt>
              </c:strCache>
            </c:strRef>
          </c:cat>
          <c:val>
            <c:numRef>
              <c:f>'[图标制作 - 副本.xlsx]Sheet1'!$B$31:$B$35</c:f>
              <c:numCache>
                <c:formatCode>General</c:formatCode>
                <c:ptCount val="5"/>
                <c:pt idx="0">
                  <c:v>378.2</c:v>
                </c:pt>
                <c:pt idx="1">
                  <c:v>45.81</c:v>
                </c:pt>
                <c:pt idx="2">
                  <c:v>15.66</c:v>
                </c:pt>
                <c:pt idx="3">
                  <c:v>24.93</c:v>
                </c:pt>
                <c:pt idx="4">
                  <c:v>3.96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b5a0fb8-33aa-4b99-b5d3-1f0bc843c4e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5171</Words>
  <Characters>5572</Characters>
  <Lines>61</Lines>
  <Paragraphs>17</Paragraphs>
  <TotalTime>31</TotalTime>
  <ScaleCrop>false</ScaleCrop>
  <LinksUpToDate>false</LinksUpToDate>
  <CharactersWithSpaces>5863</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2020-08-12T17:49:00Z</dcterms:created>
  <dc:creator>曹颖</dc:creator>
  <cp:lastModifiedBy>WPS_1694850168</cp:lastModifiedBy>
  <cp:lastPrinted>2026-09-16T10:33:02Z</cp:lastPrinted>
  <dcterms:modified xsi:type="dcterms:W3CDTF">2026-09-16T10:37:37Z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130EFDBC55F61A6BC70FA26A5D3106AB_43</vt:lpwstr>
  </property>
  <property fmtid="{D5CDD505-2E9C-101B-9397-08002B2CF9AE}" pid="4" name="KSOTemplateDocerSaveRecord">
    <vt:lpwstr>eyJoZGlkIjoiYzExNzBiODczOWI4MGUyNGQ3YzQ4MTAyOGEzNzUzZTciLCJ1c2VySWQiOiIyODA3MTc5NjgifQ==</vt:lpwstr>
  </property>
</Properties>
</file>