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Default Extension="bin" ContentType="application/vnd.openxmlformats-officedocument.oleObject"/>
  <Default Extension="xlsx" ContentType="application/vnd.openxmlformats-officedocument.spreadsheetml.sheet"/>
  <Override PartName="/word/settings.xml" ContentType="application/vnd.openxmlformats-officedocument.wordprocessingml.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7"/>
        <w:jc w:val="center"/>
        <w:rPr>
          <w:rFonts w:ascii="方正小标宋简体" w:eastAsia="方正小标宋简体"/>
          <w:sz w:val="44"/>
          <w:szCs w:val="44"/>
        </w:rPr>
      </w:pPr>
      <w:bookmarkStart w:id="0" w:name="_GoBack"/>
      <w:bookmarkEnd w:id="0"/>
    </w:p>
    <w:p>
      <w:pPr>
        <w:pStyle w:val="17"/>
        <w:jc w:val="center"/>
        <w:rPr>
          <w:rFonts w:ascii="方正小标宋简体" w:eastAsia="方正小标宋简体"/>
          <w:sz w:val="44"/>
          <w:szCs w:val="44"/>
        </w:rPr>
      </w:pPr>
    </w:p>
    <w:p>
      <w:pPr>
        <w:pStyle w:val="17"/>
        <w:jc w:val="center"/>
        <w:rPr>
          <w:rFonts w:ascii="方正小标宋简体" w:eastAsia="方正小标宋简体"/>
          <w:sz w:val="44"/>
          <w:szCs w:val="44"/>
        </w:rPr>
      </w:pPr>
      <w:r>
        <w:rPr>
          <w:rFonts w:ascii="方正小标宋简体" w:eastAsia="方正小标宋简体" w:hint="eastAsia"/>
          <w:sz w:val="44"/>
          <w:szCs w:val="44"/>
        </w:rPr>
        <w:t>2023年度</w:t>
      </w:r>
      <w:bookmarkStart w:id="1" w:name="_Toc15396476"/>
      <w:bookmarkStart w:id="2" w:name="_Toc15396598"/>
      <w:bookmarkStart w:id="3" w:name="_Toc15378442"/>
      <w:bookmarkStart w:id="4" w:name="_Toc15377194"/>
      <w:bookmarkStart w:id="5" w:name="_Toc15377426"/>
      <w:r>
        <w:rPr>
          <w:rFonts w:ascii="方正小标宋简体" w:eastAsia="方正小标宋简体" w:hint="eastAsia"/>
          <w:sz w:val="44"/>
          <w:szCs w:val="44"/>
        </w:rPr>
        <w:t>四川省阿坝州茂县</w:t>
      </w:r>
      <w:bookmarkStart w:id="6" w:name="_Toc15306268"/>
      <w:r>
        <w:rPr>
          <w:rFonts w:ascii="方正小标宋简体" w:eastAsia="方正小标宋简体" w:hint="eastAsia"/>
          <w:sz w:val="44"/>
          <w:szCs w:val="44"/>
        </w:rPr>
        <w:t>公安局</w:t>
      </w:r>
    </w:p>
    <w:p>
      <w:pPr>
        <w:pStyle w:val="17"/>
        <w:jc w:val="center"/>
        <w:rPr>
          <w:rFonts w:ascii="方正小标宋简体" w:eastAsia="方正小标宋简体"/>
          <w:sz w:val="44"/>
          <w:szCs w:val="44"/>
        </w:rPr>
      </w:pPr>
      <w:r>
        <w:rPr>
          <w:rFonts w:ascii="方正小标宋简体" w:eastAsia="方正小标宋简体" w:hint="eastAsia"/>
          <w:sz w:val="44"/>
          <w:szCs w:val="44"/>
        </w:rPr>
        <w:t>部门决算</w:t>
      </w:r>
      <w:bookmarkEnd w:id="1"/>
      <w:bookmarkEnd w:id="2"/>
      <w:bookmarkEnd w:id="3"/>
      <w:bookmarkEnd w:id="4"/>
      <w:bookmarkEnd w:id="5"/>
      <w:bookmarkEnd w:id="6"/>
    </w:p>
    <w:p>
      <w:pPr>
        <w:widowControl/>
        <w:suppressAutoHyphens/>
        <w:jc w:val="center"/>
        <w:rPr>
          <w:rFonts w:ascii="黑体" w:eastAsia="黑体"/>
          <w:sz w:val="48"/>
          <w:szCs w:val="48"/>
        </w:rPr>
      </w:pPr>
      <w:r>
        <w:rPr>
          <w:rFonts w:ascii="方正小标宋简体" w:eastAsia="方正小标宋简体"/>
          <w:sz w:val="36"/>
          <w:szCs w:val="36"/>
        </w:rPr>
        <w:br w:type="page"/>
      </w:r>
      <w:r>
        <w:rPr>
          <w:rFonts w:ascii="黑体" w:eastAsia="黑体" w:hint="eastAsia"/>
          <w:sz w:val="48"/>
          <w:szCs w:val="48"/>
        </w:rPr>
        <w:t>目录</w:t>
      </w:r>
    </w:p>
    <w:p>
      <w:pPr>
        <w:pStyle w:val="22"/>
        <w:jc w:val="center"/>
      </w:pPr>
      <w:r>
        <w:rPr>
          <w:rFonts w:hint="eastAsia"/>
          <w:sz w:val="24"/>
          <w:szCs w:val="24"/>
        </w:rPr>
        <w:t>公开时间：2024年9月25日</w:t>
      </w:r>
    </w:p>
    <w:p>
      <w:pPr>
        <w:pStyle w:val="34"/>
        <w:tabs>
          <w:tab w:val="right" w:leader="dot" w:pos="8306"/>
        </w:tabs>
        <w:rPr>
          <w:b/>
        </w:rPr>
      </w:pPr>
      <w:r>
        <w:fldChar w:fldCharType="begin"/>
      </w:r>
      <w:r>
        <w:instrText xml:space="preserve">TOC \o "1-2" \h \u </w:instrText>
      </w:r>
      <w:r>
        <w:fldChar w:fldCharType="separate"/>
      </w:r>
    </w:p>
    <w:p>
      <w:pPr>
        <w:pStyle w:val="34"/>
        <w:tabs>
          <w:tab w:val="right" w:leader="dot" w:pos="8306"/>
        </w:tabs>
        <w:rPr>
          <w:b/>
        </w:rPr>
      </w:pPr>
      <w:r>
        <w:fldChar w:fldCharType="begin"/>
      </w:r>
      <w:r>
        <w:instrText>Hyperlink \l "_Toc8954"</w:instrText>
      </w:r>
      <w:r>
        <w:fldChar w:fldCharType="separate"/>
      </w:r>
      <w:r>
        <w:rPr>
          <w:rFonts w:ascii="黑体" w:eastAsia="黑体" w:hint="eastAsia"/>
          <w:b/>
        </w:rPr>
        <w:t>第一部分 部门概况</w:t>
      </w:r>
      <w:r>
        <w:rPr>
          <w:b/>
        </w:rPr>
        <w:tab/>
      </w:r>
      <w:r>
        <w:rPr>
          <w:b/>
        </w:rPr>
        <w:fldChar w:fldCharType="begin"/>
      </w:r>
      <w:r>
        <w:rPr>
          <w:b/>
        </w:rPr>
        <w:instrText xml:space="preserve"> PAGEREF _Toc8954 \h </w:instrText>
      </w:r>
      <w:r>
        <w:rPr>
          <w:b/>
        </w:rPr>
        <w:fldChar w:fldCharType="separate"/>
      </w:r>
      <w:r>
        <w:rPr>
          <w:b/>
        </w:rPr>
        <w:t>3</w:t>
      </w:r>
      <w:r>
        <w:rPr>
          <w:b/>
        </w:rPr>
        <w:fldChar w:fldCharType="end"/>
      </w:r>
      <w:r>
        <w:fldChar w:fldCharType="end"/>
      </w:r>
    </w:p>
    <w:p>
      <w:pPr>
        <w:pStyle w:val="35"/>
        <w:tabs>
          <w:tab w:val="right" w:leader="dot" w:pos="8306"/>
        </w:tabs>
      </w:pPr>
      <w:r>
        <w:fldChar w:fldCharType="begin"/>
      </w:r>
      <w:r>
        <w:instrText>Hyperlink \l "_Toc26285"</w:instrText>
      </w:r>
      <w:r>
        <w:fldChar w:fldCharType="separate"/>
      </w:r>
      <w:r>
        <w:rPr>
          <w:rFonts w:ascii="黑体" w:eastAsia="黑体" w:hint="eastAsia"/>
        </w:rPr>
        <w:t>一、部门职责</w:t>
      </w:r>
      <w:r>
        <w:tab/>
      </w:r>
      <w:r>
        <w:fldChar w:fldCharType="begin"/>
      </w:r>
      <w:r>
        <w:instrText xml:space="preserve"> PAGEREF _Toc26285 \h </w:instrText>
      </w:r>
      <w:r>
        <w:fldChar w:fldCharType="separate"/>
      </w:r>
      <w:r>
        <w:t>3</w:t>
      </w:r>
      <w:r>
        <w:fldChar w:fldCharType="end"/>
      </w:r>
      <w:r>
        <w:fldChar w:fldCharType="end"/>
      </w:r>
    </w:p>
    <w:p>
      <w:pPr>
        <w:pStyle w:val="35"/>
        <w:tabs>
          <w:tab w:val="right" w:leader="dot" w:pos="8306"/>
        </w:tabs>
      </w:pPr>
      <w:r>
        <w:fldChar w:fldCharType="begin"/>
      </w:r>
      <w:r>
        <w:instrText>Hyperlink \l "_Toc31585"</w:instrText>
      </w:r>
      <w:r>
        <w:fldChar w:fldCharType="separate"/>
      </w:r>
      <w:r>
        <w:rPr>
          <w:rFonts w:ascii="黑体" w:eastAsia="黑体" w:hint="eastAsia"/>
        </w:rPr>
        <w:t>二、机构设置</w:t>
      </w:r>
      <w:r>
        <w:tab/>
      </w:r>
      <w:r>
        <w:fldChar w:fldCharType="begin"/>
      </w:r>
      <w:r>
        <w:instrText xml:space="preserve"> PAGEREF _Toc31585 \h </w:instrText>
      </w:r>
      <w:r>
        <w:fldChar w:fldCharType="separate"/>
      </w:r>
      <w:r>
        <w:t>4</w:t>
      </w:r>
      <w:r>
        <w:fldChar w:fldCharType="end"/>
      </w:r>
      <w:r>
        <w:fldChar w:fldCharType="end"/>
      </w:r>
    </w:p>
    <w:p>
      <w:pPr>
        <w:pStyle w:val="34"/>
        <w:tabs>
          <w:tab w:val="right" w:leader="dot" w:pos="8306"/>
        </w:tabs>
        <w:rPr>
          <w:b/>
        </w:rPr>
      </w:pPr>
      <w:r>
        <w:fldChar w:fldCharType="begin"/>
      </w:r>
      <w:r>
        <w:instrText>Hyperlink \l "_Toc19280"</w:instrText>
      </w:r>
      <w:r>
        <w:fldChar w:fldCharType="separate"/>
      </w:r>
      <w:r>
        <w:rPr>
          <w:rFonts w:ascii="黑体" w:eastAsia="黑体" w:hint="eastAsia"/>
          <w:b/>
          <w:bCs/>
        </w:rPr>
        <w:t>第二部分 2023年度部门决算情况说明</w:t>
      </w:r>
      <w:r>
        <w:rPr>
          <w:b/>
        </w:rPr>
        <w:tab/>
      </w:r>
      <w:r>
        <w:rPr>
          <w:b/>
        </w:rPr>
        <w:fldChar w:fldCharType="begin"/>
      </w:r>
      <w:r>
        <w:rPr>
          <w:b/>
        </w:rPr>
        <w:instrText xml:space="preserve"> PAGEREF _Toc19280 \h </w:instrText>
      </w:r>
      <w:r>
        <w:rPr>
          <w:b/>
        </w:rPr>
        <w:fldChar w:fldCharType="separate"/>
      </w:r>
      <w:r>
        <w:rPr>
          <w:b/>
        </w:rPr>
        <w:t>5</w:t>
      </w:r>
      <w:r>
        <w:rPr>
          <w:b/>
        </w:rPr>
        <w:fldChar w:fldCharType="end"/>
      </w:r>
      <w:r>
        <w:fldChar w:fldCharType="end"/>
      </w:r>
    </w:p>
    <w:p>
      <w:pPr>
        <w:pStyle w:val="35"/>
        <w:tabs>
          <w:tab w:val="right" w:leader="dot" w:pos="8306"/>
        </w:tabs>
      </w:pPr>
      <w:r>
        <w:fldChar w:fldCharType="begin"/>
      </w:r>
      <w:r>
        <w:instrText>Hyperlink \l "_Toc26900"</w:instrText>
      </w:r>
      <w:r>
        <w:fldChar w:fldCharType="separate"/>
      </w:r>
      <w:r>
        <w:rPr>
          <w:rFonts w:ascii="黑体" w:eastAsia="黑体"/>
        </w:rPr>
        <w:t xml:space="preserve">一、 </w:t>
      </w:r>
      <w:r>
        <w:rPr>
          <w:rFonts w:ascii="黑体" w:eastAsia="黑体" w:hint="eastAsia"/>
          <w:szCs w:val="32"/>
        </w:rPr>
        <w:t>收</w:t>
      </w:r>
      <w:r>
        <w:rPr>
          <w:rFonts w:ascii="黑体" w:eastAsia="黑体" w:hint="eastAsia"/>
        </w:rPr>
        <w:t>入支出决算总体情况说明</w:t>
      </w:r>
      <w:r>
        <w:tab/>
      </w:r>
      <w:r>
        <w:fldChar w:fldCharType="begin"/>
      </w:r>
      <w:r>
        <w:instrText xml:space="preserve"> PAGEREF _Toc26900 \h </w:instrText>
      </w:r>
      <w:r>
        <w:fldChar w:fldCharType="separate"/>
      </w:r>
      <w:r>
        <w:t>5</w:t>
      </w:r>
      <w:r>
        <w:fldChar w:fldCharType="end"/>
      </w:r>
      <w:r>
        <w:fldChar w:fldCharType="end"/>
      </w:r>
    </w:p>
    <w:p>
      <w:pPr>
        <w:pStyle w:val="35"/>
        <w:tabs>
          <w:tab w:val="right" w:leader="dot" w:pos="8306"/>
        </w:tabs>
      </w:pPr>
      <w:r>
        <w:fldChar w:fldCharType="begin"/>
      </w:r>
      <w:r>
        <w:instrText>Hyperlink \l "_Toc1"</w:instrText>
      </w:r>
      <w:r>
        <w:fldChar w:fldCharType="separate"/>
      </w:r>
      <w:r>
        <w:rPr>
          <w:rFonts w:ascii="黑体" w:eastAsia="黑体"/>
        </w:rPr>
        <w:t xml:space="preserve">二、 </w:t>
      </w:r>
      <w:r>
        <w:rPr>
          <w:rFonts w:ascii="黑体" w:eastAsia="黑体" w:hint="eastAsia"/>
          <w:szCs w:val="32"/>
        </w:rPr>
        <w:t>收</w:t>
      </w:r>
      <w:r>
        <w:rPr>
          <w:rFonts w:ascii="黑体" w:eastAsia="黑体" w:hint="eastAsia"/>
        </w:rPr>
        <w:t>入决算情况说明</w:t>
      </w:r>
      <w:r>
        <w:tab/>
      </w:r>
      <w:r>
        <w:fldChar w:fldCharType="begin"/>
      </w:r>
      <w:r>
        <w:instrText xml:space="preserve"> PAGEREF _Toc1 \h </w:instrText>
      </w:r>
      <w:r>
        <w:fldChar w:fldCharType="separate"/>
      </w:r>
      <w:r>
        <w:t>5</w:t>
      </w:r>
      <w:r>
        <w:fldChar w:fldCharType="end"/>
      </w:r>
      <w:r>
        <w:fldChar w:fldCharType="end"/>
      </w:r>
    </w:p>
    <w:p>
      <w:pPr>
        <w:pStyle w:val="35"/>
        <w:tabs>
          <w:tab w:val="right" w:leader="dot" w:pos="8306"/>
        </w:tabs>
      </w:pPr>
      <w:r>
        <w:fldChar w:fldCharType="begin"/>
      </w:r>
      <w:r>
        <w:instrText>Hyperlink \l "_Toc32216"</w:instrText>
      </w:r>
      <w:r>
        <w:fldChar w:fldCharType="separate"/>
      </w:r>
      <w:r>
        <w:rPr>
          <w:rFonts w:ascii="黑体" w:eastAsia="黑体"/>
        </w:rPr>
        <w:t xml:space="preserve">三、 </w:t>
      </w:r>
      <w:r>
        <w:rPr>
          <w:rFonts w:ascii="黑体" w:eastAsia="黑体" w:hint="eastAsia"/>
          <w:szCs w:val="32"/>
        </w:rPr>
        <w:t>支</w:t>
      </w:r>
      <w:r>
        <w:rPr>
          <w:rFonts w:ascii="黑体" w:eastAsia="黑体" w:hint="eastAsia"/>
        </w:rPr>
        <w:t>出决算情况说明</w:t>
      </w:r>
      <w:r>
        <w:tab/>
      </w:r>
      <w:r>
        <w:fldChar w:fldCharType="begin"/>
      </w:r>
      <w:r>
        <w:instrText xml:space="preserve"> PAGEREF _Toc32216 \h </w:instrText>
      </w:r>
      <w:r>
        <w:fldChar w:fldCharType="separate"/>
      </w:r>
      <w:r>
        <w:t>6</w:t>
      </w:r>
      <w:r>
        <w:fldChar w:fldCharType="end"/>
      </w:r>
      <w:r>
        <w:fldChar w:fldCharType="end"/>
      </w:r>
    </w:p>
    <w:p>
      <w:pPr>
        <w:pStyle w:val="35"/>
        <w:tabs>
          <w:tab w:val="right" w:leader="dot" w:pos="8306"/>
        </w:tabs>
      </w:pPr>
      <w:r>
        <w:fldChar w:fldCharType="begin"/>
      </w:r>
      <w:r>
        <w:instrText>Hyperlink \l "_Toc7447"</w:instrText>
      </w:r>
      <w:r>
        <w:fldChar w:fldCharType="separate"/>
      </w:r>
      <w:r>
        <w:rPr>
          <w:rFonts w:ascii="黑体" w:eastAsia="黑体" w:hint="eastAsia"/>
          <w:szCs w:val="32"/>
        </w:rPr>
        <w:t>四、财</w:t>
      </w:r>
      <w:r>
        <w:rPr>
          <w:rFonts w:ascii="黑体" w:eastAsia="黑体" w:hint="eastAsia"/>
        </w:rPr>
        <w:t>政拨款收入支出决算总体情况说明</w:t>
      </w:r>
      <w:r>
        <w:tab/>
      </w:r>
      <w:r>
        <w:fldChar w:fldCharType="begin"/>
      </w:r>
      <w:r>
        <w:instrText xml:space="preserve"> PAGEREF _Toc7447 \h </w:instrText>
      </w:r>
      <w:r>
        <w:fldChar w:fldCharType="separate"/>
      </w:r>
      <w:r>
        <w:t>6</w:t>
      </w:r>
      <w:r>
        <w:fldChar w:fldCharType="end"/>
      </w:r>
      <w:r>
        <w:fldChar w:fldCharType="end"/>
      </w:r>
    </w:p>
    <w:p>
      <w:pPr>
        <w:pStyle w:val="35"/>
        <w:tabs>
          <w:tab w:val="right" w:leader="dot" w:pos="8306"/>
        </w:tabs>
      </w:pPr>
      <w:r>
        <w:fldChar w:fldCharType="begin"/>
      </w:r>
      <w:r>
        <w:instrText>Hyperlink \l "_Toc2437"</w:instrText>
      </w:r>
      <w:r>
        <w:fldChar w:fldCharType="separate"/>
      </w:r>
      <w:r>
        <w:rPr>
          <w:rFonts w:ascii="黑体" w:eastAsia="黑体" w:hint="eastAsia"/>
          <w:szCs w:val="32"/>
        </w:rPr>
        <w:t>五、一</w:t>
      </w:r>
      <w:r>
        <w:rPr>
          <w:rFonts w:ascii="黑体" w:eastAsia="黑体" w:hint="eastAsia"/>
        </w:rPr>
        <w:t>般公共预算财政拨款支出决算情况说明</w:t>
      </w:r>
      <w:r>
        <w:tab/>
      </w:r>
      <w:r>
        <w:fldChar w:fldCharType="begin"/>
      </w:r>
      <w:r>
        <w:instrText xml:space="preserve"> PAGEREF _Toc2437 \h </w:instrText>
      </w:r>
      <w:r>
        <w:fldChar w:fldCharType="separate"/>
      </w:r>
      <w:r>
        <w:t>7</w:t>
      </w:r>
      <w:r>
        <w:fldChar w:fldCharType="end"/>
      </w:r>
      <w:r>
        <w:fldChar w:fldCharType="end"/>
      </w:r>
    </w:p>
    <w:p>
      <w:pPr>
        <w:pStyle w:val="35"/>
        <w:tabs>
          <w:tab w:val="right" w:leader="dot" w:pos="8306"/>
        </w:tabs>
      </w:pPr>
      <w:r>
        <w:fldChar w:fldCharType="begin"/>
      </w:r>
      <w:r>
        <w:instrText>Hyperlink \l "_Toc8666"</w:instrText>
      </w:r>
      <w:r>
        <w:fldChar w:fldCharType="separate"/>
      </w:r>
      <w:r>
        <w:rPr>
          <w:rFonts w:ascii="黑体" w:eastAsia="黑体" w:hint="eastAsia"/>
          <w:szCs w:val="32"/>
        </w:rPr>
        <w:t>六、一</w:t>
      </w:r>
      <w:r>
        <w:rPr>
          <w:rFonts w:ascii="黑体" w:eastAsia="黑体" w:hint="eastAsia"/>
        </w:rPr>
        <w:t>般公共预算财政拨款基本支出决算情况说明</w:t>
      </w:r>
      <w:r>
        <w:tab/>
      </w:r>
      <w:r>
        <w:fldChar w:fldCharType="begin"/>
      </w:r>
      <w:r>
        <w:instrText xml:space="preserve"> PAGEREF _Toc8666 \h </w:instrText>
      </w:r>
      <w:r>
        <w:fldChar w:fldCharType="separate"/>
      </w:r>
      <w:r>
        <w:t>10</w:t>
      </w:r>
      <w:r>
        <w:fldChar w:fldCharType="end"/>
      </w:r>
      <w:r>
        <w:fldChar w:fldCharType="end"/>
      </w:r>
    </w:p>
    <w:p>
      <w:pPr>
        <w:pStyle w:val="35"/>
        <w:tabs>
          <w:tab w:val="right" w:leader="dot" w:pos="8306"/>
        </w:tabs>
      </w:pPr>
      <w:r>
        <w:fldChar w:fldCharType="begin"/>
      </w:r>
      <w:r>
        <w:instrText>Hyperlink \l "_Toc9005"</w:instrText>
      </w:r>
      <w:r>
        <w:fldChar w:fldCharType="separate"/>
      </w:r>
      <w:r>
        <w:rPr>
          <w:rFonts w:ascii="黑体" w:eastAsia="黑体" w:hint="eastAsia"/>
          <w:szCs w:val="32"/>
        </w:rPr>
        <w:t>七、</w:t>
      </w:r>
      <w:r>
        <w:rPr>
          <w:rFonts w:ascii="黑体" w:eastAsia="黑体" w:hint="eastAsia"/>
        </w:rPr>
        <w:t>财政拨款“三公”经费支出决算情况说明</w:t>
      </w:r>
      <w:r>
        <w:tab/>
      </w:r>
      <w:r>
        <w:fldChar w:fldCharType="begin"/>
      </w:r>
      <w:r>
        <w:instrText xml:space="preserve"> PAGEREF _Toc9005 \h </w:instrText>
      </w:r>
      <w:r>
        <w:fldChar w:fldCharType="separate"/>
      </w:r>
      <w:r>
        <w:t>11</w:t>
      </w:r>
      <w:r>
        <w:fldChar w:fldCharType="end"/>
      </w:r>
      <w:r>
        <w:fldChar w:fldCharType="end"/>
      </w:r>
    </w:p>
    <w:p>
      <w:pPr>
        <w:pStyle w:val="35"/>
        <w:tabs>
          <w:tab w:val="right" w:leader="dot" w:pos="8306"/>
        </w:tabs>
      </w:pPr>
      <w:r>
        <w:fldChar w:fldCharType="begin"/>
      </w:r>
      <w:r>
        <w:instrText>Hyperlink \l "_Toc22188"</w:instrText>
      </w:r>
      <w:r>
        <w:fldChar w:fldCharType="separate"/>
      </w:r>
      <w:r>
        <w:rPr>
          <w:rFonts w:ascii="黑体" w:eastAsia="黑体" w:hint="eastAsia"/>
          <w:szCs w:val="32"/>
        </w:rPr>
        <w:t>八、</w:t>
      </w:r>
      <w:r>
        <w:rPr>
          <w:rFonts w:ascii="黑体" w:eastAsia="黑体" w:hint="eastAsia"/>
        </w:rPr>
        <w:t>政府性基金预算支出决算情况说明</w:t>
      </w:r>
      <w:r>
        <w:tab/>
      </w:r>
      <w:r>
        <w:fldChar w:fldCharType="begin"/>
      </w:r>
      <w:r>
        <w:instrText xml:space="preserve"> PAGEREF _Toc22188 \h </w:instrText>
      </w:r>
      <w:r>
        <w:fldChar w:fldCharType="separate"/>
      </w:r>
      <w:r>
        <w:t>13</w:t>
      </w:r>
      <w:r>
        <w:fldChar w:fldCharType="end"/>
      </w:r>
      <w:r>
        <w:fldChar w:fldCharType="end"/>
      </w:r>
    </w:p>
    <w:p>
      <w:pPr>
        <w:pStyle w:val="35"/>
        <w:tabs>
          <w:tab w:val="right" w:leader="dot" w:pos="8306"/>
        </w:tabs>
      </w:pPr>
      <w:r>
        <w:fldChar w:fldCharType="begin"/>
      </w:r>
      <w:r>
        <w:instrText>Hyperlink \l "_Toc4728"</w:instrText>
      </w:r>
      <w:r>
        <w:fldChar w:fldCharType="separate"/>
      </w:r>
      <w:r>
        <w:rPr>
          <w:rFonts w:ascii="黑体" w:eastAsia="黑体" w:hint="eastAsia"/>
        </w:rPr>
        <w:t>九、 国有资本经营预算支出决算情况说明</w:t>
      </w:r>
      <w:r>
        <w:tab/>
      </w:r>
      <w:r>
        <w:fldChar w:fldCharType="begin"/>
      </w:r>
      <w:r>
        <w:instrText xml:space="preserve"> PAGEREF _Toc4728 \h </w:instrText>
      </w:r>
      <w:r>
        <w:fldChar w:fldCharType="separate"/>
      </w:r>
      <w:r>
        <w:t>13</w:t>
      </w:r>
      <w:r>
        <w:fldChar w:fldCharType="end"/>
      </w:r>
      <w:r>
        <w:fldChar w:fldCharType="end"/>
      </w:r>
    </w:p>
    <w:p>
      <w:pPr>
        <w:pStyle w:val="35"/>
        <w:tabs>
          <w:tab w:val="right" w:leader="dot" w:pos="8306"/>
        </w:tabs>
      </w:pPr>
      <w:r>
        <w:fldChar w:fldCharType="begin"/>
      </w:r>
      <w:r>
        <w:instrText>Hyperlink \l "_Toc9767"</w:instrText>
      </w:r>
      <w:r>
        <w:fldChar w:fldCharType="separate"/>
      </w:r>
      <w:r>
        <w:rPr>
          <w:rFonts w:ascii="黑体" w:eastAsia="黑体" w:hint="eastAsia"/>
        </w:rPr>
        <w:t>十、 其他重要事项的情况说明</w:t>
      </w:r>
      <w:r>
        <w:tab/>
      </w:r>
      <w:r>
        <w:fldChar w:fldCharType="begin"/>
      </w:r>
      <w:r>
        <w:instrText xml:space="preserve"> PAGEREF _Toc9767 \h </w:instrText>
      </w:r>
      <w:r>
        <w:fldChar w:fldCharType="separate"/>
      </w:r>
      <w:r>
        <w:t>13</w:t>
      </w:r>
      <w:r>
        <w:fldChar w:fldCharType="end"/>
      </w:r>
      <w:r>
        <w:fldChar w:fldCharType="end"/>
      </w:r>
    </w:p>
    <w:p>
      <w:pPr>
        <w:pStyle w:val="35"/>
        <w:tabs>
          <w:tab w:val="right" w:leader="dot" w:pos="8306"/>
        </w:tabs>
        <w:ind w:leftChars="0" w:left="0"/>
      </w:pPr>
      <w:r>
        <w:fldChar w:fldCharType="begin"/>
      </w:r>
      <w:r>
        <w:instrText>Hyperlink \l "_Toc30740"</w:instrText>
      </w:r>
      <w:r>
        <w:fldChar w:fldCharType="separate"/>
      </w:r>
      <w:r>
        <w:rPr>
          <w:rFonts w:ascii="黑体" w:eastAsia="黑体" w:hint="eastAsia"/>
          <w:b/>
          <w:bCs/>
        </w:rPr>
        <w:t>第三部分 名词解释</w:t>
      </w:r>
      <w:r>
        <w:tab/>
      </w:r>
      <w:r>
        <w:fldChar w:fldCharType="begin"/>
      </w:r>
      <w:r>
        <w:instrText xml:space="preserve"> PAGEREF _Toc30740 \h </w:instrText>
      </w:r>
      <w:r>
        <w:fldChar w:fldCharType="separate"/>
      </w:r>
      <w:r>
        <w:t>16</w:t>
      </w:r>
      <w:r>
        <w:fldChar w:fldCharType="end"/>
      </w:r>
      <w:r>
        <w:fldChar w:fldCharType="end"/>
      </w:r>
    </w:p>
    <w:p>
      <w:pPr>
        <w:pStyle w:val="35"/>
        <w:tabs>
          <w:tab w:val="right" w:leader="dot" w:pos="8306"/>
        </w:tabs>
        <w:ind w:leftChars="0" w:left="0"/>
      </w:pPr>
      <w:r>
        <w:fldChar w:fldCharType="begin"/>
      </w:r>
      <w:r>
        <w:instrText>Hyperlink \l "_Toc29910"</w:instrText>
      </w:r>
      <w:r>
        <w:fldChar w:fldCharType="separate"/>
      </w:r>
      <w:r>
        <w:rPr>
          <w:rFonts w:ascii="黑体" w:eastAsia="黑体" w:hint="eastAsia"/>
          <w:b/>
          <w:bCs/>
        </w:rPr>
        <w:t>第四部分 附件</w:t>
      </w:r>
      <w:r>
        <w:tab/>
      </w:r>
      <w:r>
        <w:fldChar w:fldCharType="begin"/>
      </w:r>
      <w:r>
        <w:instrText xml:space="preserve"> PAGEREF _Toc29910 \h </w:instrText>
      </w:r>
      <w:r>
        <w:fldChar w:fldCharType="separate"/>
      </w:r>
      <w:r>
        <w:t>20</w:t>
      </w:r>
      <w:r>
        <w:fldChar w:fldCharType="end"/>
      </w:r>
      <w:r>
        <w:fldChar w:fldCharType="end"/>
      </w:r>
    </w:p>
    <w:p>
      <w:pPr>
        <w:pStyle w:val="35"/>
        <w:tabs>
          <w:tab w:val="right" w:leader="dot" w:pos="8306"/>
        </w:tabs>
      </w:pPr>
      <w:r>
        <w:fldChar w:fldCharType="begin"/>
      </w:r>
      <w:r>
        <w:instrText>Hyperlink \l "_Toc6819"</w:instrText>
      </w:r>
      <w:r>
        <w:fldChar w:fldCharType="separate"/>
      </w:r>
      <w:r>
        <w:rPr>
          <w:rFonts w:hint="eastAsia"/>
        </w:rPr>
        <w:t>附件1</w:t>
      </w:r>
      <w:r>
        <w:tab/>
      </w:r>
      <w:r>
        <w:fldChar w:fldCharType="begin"/>
      </w:r>
      <w:r>
        <w:instrText xml:space="preserve"> PAGEREF _Toc6819 \h </w:instrText>
      </w:r>
      <w:r>
        <w:fldChar w:fldCharType="separate"/>
      </w:r>
      <w:r>
        <w:t>20</w:t>
      </w:r>
      <w:r>
        <w:fldChar w:fldCharType="end"/>
      </w:r>
      <w:r>
        <w:fldChar w:fldCharType="end"/>
      </w:r>
    </w:p>
    <w:p>
      <w:pPr>
        <w:pStyle w:val="35"/>
        <w:tabs>
          <w:tab w:val="right" w:leader="dot" w:pos="8306"/>
        </w:tabs>
      </w:pPr>
      <w:r>
        <w:fldChar w:fldCharType="begin"/>
      </w:r>
      <w:r>
        <w:instrText>Hyperlink \l "_Toc6819"</w:instrText>
      </w:r>
      <w:r>
        <w:fldChar w:fldCharType="separate"/>
      </w:r>
      <w:r>
        <w:rPr>
          <w:rFonts w:hint="eastAsia"/>
        </w:rPr>
        <w:t>附件2</w:t>
      </w:r>
      <w:r>
        <w:tab/>
      </w:r>
      <w:r>
        <w:rPr>
          <w:rFonts w:hint="eastAsia"/>
        </w:rPr>
        <w:t>3</w:t>
      </w:r>
      <w:r>
        <w:fldChar w:fldCharType="end"/>
      </w:r>
      <w:r>
        <w:rPr>
          <w:rFonts w:hint="eastAsia"/>
        </w:rPr>
        <w:t>4</w:t>
      </w:r>
    </w:p>
    <w:p>
      <w:pPr>
        <w:pStyle w:val="35"/>
        <w:tabs>
          <w:tab w:val="right" w:leader="dot" w:pos="8306"/>
        </w:tabs>
        <w:ind w:leftChars="0" w:left="0"/>
      </w:pPr>
      <w:r>
        <w:fldChar w:fldCharType="begin"/>
      </w:r>
      <w:r>
        <w:instrText>Hyperlink \l "_Toc14832"</w:instrText>
      </w:r>
      <w:r>
        <w:fldChar w:fldCharType="separate"/>
      </w:r>
      <w:r>
        <w:rPr>
          <w:rFonts w:ascii="黑体" w:eastAsia="黑体" w:hint="eastAsia"/>
          <w:b/>
          <w:bCs/>
        </w:rPr>
        <w:t>第五部分 附表</w:t>
      </w:r>
      <w:r>
        <w:tab/>
      </w:r>
      <w:r>
        <w:fldChar w:fldCharType="begin"/>
      </w:r>
      <w:r>
        <w:instrText xml:space="preserve"> PAGEREF _Toc14832 \h </w:instrText>
      </w:r>
      <w:r>
        <w:fldChar w:fldCharType="separate"/>
      </w:r>
      <w:r>
        <w:t>52</w:t>
      </w:r>
      <w:r>
        <w:fldChar w:fldCharType="end"/>
      </w:r>
      <w:r>
        <w:fldChar w:fldCharType="end"/>
      </w:r>
    </w:p>
    <w:p>
      <w:pPr>
        <w:pStyle w:val="35"/>
        <w:tabs>
          <w:tab w:val="right" w:leader="dot" w:pos="8306"/>
        </w:tabs>
      </w:pPr>
      <w:r>
        <w:fldChar w:fldCharType="begin"/>
      </w:r>
      <w:r>
        <w:instrText>Hyperlink \l "_Toc15137"</w:instrText>
      </w:r>
      <w:r>
        <w:fldChar w:fldCharType="separate"/>
      </w:r>
      <w:r>
        <w:rPr>
          <w:rFonts w:ascii="仿宋" w:eastAsia="仿宋" w:hint="eastAsia"/>
        </w:rPr>
        <w:t>一、收入支出决算总表</w:t>
      </w:r>
      <w:r>
        <w:fldChar w:fldCharType="end"/>
      </w:r>
    </w:p>
    <w:p>
      <w:pPr>
        <w:pStyle w:val="35"/>
        <w:tabs>
          <w:tab w:val="right" w:leader="dot" w:pos="8306"/>
        </w:tabs>
      </w:pPr>
      <w:r>
        <w:fldChar w:fldCharType="begin"/>
      </w:r>
      <w:r>
        <w:instrText>Hyperlink \l "_Toc9907"</w:instrText>
      </w:r>
      <w:r>
        <w:fldChar w:fldCharType="separate"/>
      </w:r>
      <w:r>
        <w:rPr>
          <w:rFonts w:ascii="仿宋" w:eastAsia="仿宋" w:hint="eastAsia"/>
        </w:rPr>
        <w:t>二、收入决算表</w:t>
      </w:r>
      <w:r>
        <w:fldChar w:fldCharType="end"/>
      </w:r>
    </w:p>
    <w:p>
      <w:pPr>
        <w:pStyle w:val="35"/>
        <w:tabs>
          <w:tab w:val="right" w:leader="dot" w:pos="8306"/>
        </w:tabs>
      </w:pPr>
      <w:r>
        <w:fldChar w:fldCharType="begin"/>
      </w:r>
      <w:r>
        <w:instrText>Hyperlink \l "_Toc12602"</w:instrText>
      </w:r>
      <w:r>
        <w:fldChar w:fldCharType="separate"/>
      </w:r>
      <w:r>
        <w:rPr>
          <w:rFonts w:ascii="仿宋" w:eastAsia="仿宋" w:hint="eastAsia"/>
        </w:rPr>
        <w:t>三、支出决算表</w:t>
      </w:r>
      <w:r>
        <w:fldChar w:fldCharType="end"/>
      </w:r>
    </w:p>
    <w:p>
      <w:pPr>
        <w:pStyle w:val="35"/>
        <w:tabs>
          <w:tab w:val="right" w:leader="dot" w:pos="8306"/>
        </w:tabs>
      </w:pPr>
      <w:r>
        <w:fldChar w:fldCharType="begin"/>
      </w:r>
      <w:r>
        <w:instrText>Hyperlink \l "_Toc6626"</w:instrText>
      </w:r>
      <w:r>
        <w:fldChar w:fldCharType="separate"/>
      </w:r>
      <w:r>
        <w:rPr>
          <w:rFonts w:ascii="仿宋" w:eastAsia="仿宋" w:hint="eastAsia"/>
        </w:rPr>
        <w:t>四、财政拨款收入支出决算总表</w:t>
      </w:r>
      <w:r>
        <w:fldChar w:fldCharType="end"/>
      </w:r>
    </w:p>
    <w:p>
      <w:pPr>
        <w:pStyle w:val="35"/>
        <w:tabs>
          <w:tab w:val="right" w:leader="dot" w:pos="8306"/>
        </w:tabs>
      </w:pPr>
      <w:r>
        <w:fldChar w:fldCharType="begin"/>
      </w:r>
      <w:r>
        <w:instrText>Hyperlink \l "_Toc14176"</w:instrText>
      </w:r>
      <w:r>
        <w:fldChar w:fldCharType="separate"/>
      </w:r>
      <w:r>
        <w:rPr>
          <w:rFonts w:ascii="仿宋" w:eastAsia="仿宋" w:hint="eastAsia"/>
        </w:rPr>
        <w:t>五、财政拨款支出决算明细表</w:t>
      </w:r>
      <w:r>
        <w:fldChar w:fldCharType="end"/>
      </w:r>
    </w:p>
    <w:p>
      <w:pPr>
        <w:pStyle w:val="35"/>
        <w:tabs>
          <w:tab w:val="right" w:leader="dot" w:pos="8306"/>
        </w:tabs>
      </w:pPr>
      <w:r>
        <w:fldChar w:fldCharType="begin"/>
      </w:r>
      <w:r>
        <w:instrText>Hyperlink \l "_Toc18423"</w:instrText>
      </w:r>
      <w:r>
        <w:fldChar w:fldCharType="separate"/>
      </w:r>
      <w:r>
        <w:rPr>
          <w:rFonts w:ascii="仿宋" w:eastAsia="仿宋" w:hint="eastAsia"/>
        </w:rPr>
        <w:t>六、一般公共预算财政拨款支出决算表</w:t>
      </w:r>
      <w:r>
        <w:fldChar w:fldCharType="end"/>
      </w:r>
    </w:p>
    <w:p>
      <w:pPr>
        <w:pStyle w:val="35"/>
        <w:tabs>
          <w:tab w:val="right" w:leader="dot" w:pos="8306"/>
        </w:tabs>
      </w:pPr>
      <w:r>
        <w:fldChar w:fldCharType="begin"/>
      </w:r>
      <w:r>
        <w:instrText>Hyperlink \l "_Toc19631"</w:instrText>
      </w:r>
      <w:r>
        <w:fldChar w:fldCharType="separate"/>
      </w:r>
      <w:r>
        <w:rPr>
          <w:rFonts w:ascii="仿宋" w:eastAsia="仿宋" w:hint="eastAsia"/>
        </w:rPr>
        <w:t>七、一般公共预算财政拨款支出决算明细表</w:t>
      </w:r>
      <w:r>
        <w:fldChar w:fldCharType="end"/>
      </w:r>
    </w:p>
    <w:p>
      <w:pPr>
        <w:pStyle w:val="35"/>
        <w:tabs>
          <w:tab w:val="right" w:leader="dot" w:pos="8306"/>
        </w:tabs>
      </w:pPr>
      <w:r>
        <w:fldChar w:fldCharType="begin"/>
      </w:r>
      <w:r>
        <w:instrText>Hyperlink \l "_Toc1532"</w:instrText>
      </w:r>
      <w:r>
        <w:fldChar w:fldCharType="separate"/>
      </w:r>
      <w:r>
        <w:rPr>
          <w:rFonts w:ascii="仿宋" w:eastAsia="仿宋" w:hint="eastAsia"/>
        </w:rPr>
        <w:t>八、一般公共预算财政拨款基本支出决算表</w:t>
      </w:r>
      <w:r>
        <w:fldChar w:fldCharType="end"/>
      </w:r>
    </w:p>
    <w:p>
      <w:pPr>
        <w:pStyle w:val="35"/>
        <w:tabs>
          <w:tab w:val="right" w:leader="dot" w:pos="8306"/>
        </w:tabs>
      </w:pPr>
      <w:r>
        <w:fldChar w:fldCharType="begin"/>
      </w:r>
      <w:r>
        <w:instrText>Hyperlink \l "_Toc740"</w:instrText>
      </w:r>
      <w:r>
        <w:fldChar w:fldCharType="separate"/>
      </w:r>
      <w:r>
        <w:rPr>
          <w:rFonts w:ascii="仿宋" w:eastAsia="仿宋" w:hint="eastAsia"/>
        </w:rPr>
        <w:t>九、一般公共预算财政拨款项目支出决算表</w:t>
      </w:r>
      <w:r>
        <w:fldChar w:fldCharType="end"/>
      </w:r>
    </w:p>
    <w:p>
      <w:pPr>
        <w:pStyle w:val="35"/>
        <w:tabs>
          <w:tab w:val="right" w:leader="dot" w:pos="8306"/>
        </w:tabs>
      </w:pPr>
      <w:r>
        <w:fldChar w:fldCharType="begin"/>
      </w:r>
      <w:r>
        <w:instrText>Hyperlink \l "_Toc21555"</w:instrText>
      </w:r>
      <w:r>
        <w:fldChar w:fldCharType="separate"/>
      </w:r>
      <w:r>
        <w:rPr>
          <w:rFonts w:ascii="仿宋" w:eastAsia="仿宋" w:hint="eastAsia"/>
        </w:rPr>
        <w:t>十、政府性基金预算财政拨款收入支出决算表</w:t>
      </w:r>
      <w:r>
        <w:fldChar w:fldCharType="end"/>
      </w:r>
    </w:p>
    <w:p>
      <w:pPr>
        <w:pStyle w:val="35"/>
        <w:tabs>
          <w:tab w:val="right" w:leader="dot" w:pos="8306"/>
        </w:tabs>
      </w:pPr>
      <w:r>
        <w:fldChar w:fldCharType="begin"/>
      </w:r>
      <w:r>
        <w:instrText>Hyperlink \l "_Toc225"</w:instrText>
      </w:r>
      <w:r>
        <w:fldChar w:fldCharType="separate"/>
      </w:r>
      <w:r>
        <w:rPr>
          <w:rFonts w:ascii="仿宋" w:eastAsia="仿宋" w:hint="eastAsia"/>
        </w:rPr>
        <w:t>十一、国有资本经营预算财政拨款收入支出决算表</w:t>
      </w:r>
      <w:r>
        <w:fldChar w:fldCharType="end"/>
      </w:r>
    </w:p>
    <w:p>
      <w:pPr>
        <w:pStyle w:val="35"/>
        <w:tabs>
          <w:tab w:val="right" w:leader="dot" w:pos="8306"/>
        </w:tabs>
      </w:pPr>
      <w:r>
        <w:fldChar w:fldCharType="begin"/>
      </w:r>
      <w:r>
        <w:instrText>Hyperlink \l "_Toc28402"</w:instrText>
      </w:r>
      <w:r>
        <w:fldChar w:fldCharType="separate"/>
      </w:r>
      <w:r>
        <w:rPr>
          <w:rFonts w:ascii="仿宋" w:eastAsia="仿宋" w:hint="eastAsia"/>
        </w:rPr>
        <w:t>十二、国有资本经营预算财政拨款支出决算表</w:t>
      </w:r>
      <w:r>
        <w:fldChar w:fldCharType="end"/>
      </w:r>
    </w:p>
    <w:p>
      <w:pPr>
        <w:pStyle w:val="35"/>
        <w:tabs>
          <w:tab w:val="right" w:leader="dot" w:pos="8306"/>
        </w:tabs>
      </w:pPr>
      <w:r>
        <w:fldChar w:fldCharType="begin"/>
      </w:r>
      <w:r>
        <w:instrText>Hyperlink \l "_Toc1699"</w:instrText>
      </w:r>
      <w:r>
        <w:fldChar w:fldCharType="separate"/>
      </w:r>
      <w:r>
        <w:rPr>
          <w:rFonts w:ascii="仿宋" w:eastAsia="仿宋" w:hint="eastAsia"/>
        </w:rPr>
        <w:t>十三、财政拨款“三公”经费支出决算表</w:t>
      </w:r>
      <w:r>
        <w:fldChar w:fldCharType="end"/>
      </w:r>
    </w:p>
    <w:p>
      <w:pPr>
        <w:pStyle w:val="22"/>
      </w:pPr>
      <w:r>
        <w:rPr>
          <w:b/>
        </w:rPr>
        <w:fldChar w:fldCharType="end"/>
      </w:r>
    </w:p>
    <w:p>
      <w:pPr>
        <w:widowControl/>
        <w:suppressAutoHyphens/>
        <w:jc w:val="center"/>
        <w:rPr>
          <w:rFonts w:ascii="黑体" w:eastAsia="黑体"/>
          <w:sz w:val="28"/>
          <w:szCs w:val="28"/>
        </w:rPr>
      </w:pPr>
    </w:p>
    <w:p/>
    <w:p>
      <w:pPr>
        <w:pStyle w:val="22"/>
      </w:pPr>
    </w:p>
    <w:p>
      <w:pPr>
        <w:pStyle w:val="19"/>
      </w:pPr>
    </w:p>
    <w:p>
      <w:pPr>
        <w:pStyle w:val="19"/>
      </w:pPr>
    </w:p>
    <w:p>
      <w:pPr>
        <w:widowControl/>
        <w:suppressAutoHyphens/>
        <w:spacing w:line="440" w:lineRule="exact"/>
        <w:jc w:val="left"/>
        <w:rPr>
          <w:rFonts w:ascii="仿宋" w:eastAsia="仿宋"/>
          <w:bCs/>
          <w:kern w:val="44"/>
          <w:sz w:val="24"/>
        </w:rPr>
      </w:pPr>
      <w:bookmarkStart w:id="7" w:name="_Toc15396599"/>
      <w:bookmarkStart w:id="8" w:name="_Toc15377196"/>
      <w:r>
        <w:rPr>
          <w:rFonts w:ascii="仿宋" w:eastAsia="仿宋"/>
          <w:b/>
          <w:sz w:val="24"/>
        </w:rPr>
        <w:br w:type="page"/>
      </w:r>
    </w:p>
    <w:p>
      <w:pPr>
        <w:pStyle w:val="1"/>
        <w:spacing w:line="560" w:lineRule="exact"/>
        <w:jc w:val="center"/>
        <w:rPr>
          <w:rStyle w:val="1Char"/>
          <w:rFonts w:ascii="黑体" w:eastAsia="黑体"/>
          <w:b/>
        </w:rPr>
      </w:pPr>
      <w:bookmarkStart w:id="9" w:name="_Toc8954"/>
      <w:r>
        <w:rPr>
          <w:rFonts w:ascii="黑体" w:eastAsia="黑体" w:hint="eastAsia"/>
          <w:b w:val="0"/>
        </w:rPr>
        <w:t xml:space="preserve">第一部分 </w:t>
      </w:r>
      <w:r>
        <w:rPr>
          <w:rStyle w:val="1Char"/>
          <w:rFonts w:ascii="黑体" w:eastAsia="黑体" w:hint="eastAsia"/>
        </w:rPr>
        <w:t>部门概况</w:t>
      </w:r>
      <w:bookmarkEnd w:id="7"/>
      <w:bookmarkEnd w:id="8"/>
      <w:bookmarkEnd w:id="9"/>
    </w:p>
    <w:p>
      <w:pPr>
        <w:widowControl/>
        <w:suppressAutoHyphens/>
        <w:spacing w:line="560" w:lineRule="exact"/>
        <w:jc w:val="left"/>
        <w:rPr>
          <w:rFonts w:ascii="黑体" w:eastAsia="黑体"/>
          <w:sz w:val="32"/>
          <w:szCs w:val="32"/>
        </w:rPr>
      </w:pPr>
    </w:p>
    <w:p>
      <w:pPr>
        <w:pStyle w:val="2"/>
        <w:spacing w:before="0" w:after="0" w:line="240" w:lineRule="auto"/>
        <w:ind w:firstLineChars="200" w:firstLine="640"/>
        <w:rPr>
          <w:rFonts w:ascii="黑体" w:eastAsia="黑体"/>
          <w:b w:val="0"/>
        </w:rPr>
      </w:pPr>
      <w:bookmarkStart w:id="10" w:name="_Toc26285"/>
      <w:r>
        <w:rPr>
          <w:rFonts w:ascii="黑体" w:eastAsia="黑体" w:hint="eastAsia"/>
          <w:b w:val="0"/>
        </w:rPr>
        <w:t>一、部门职责</w:t>
      </w:r>
      <w:bookmarkEnd w:id="10"/>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1.贯彻执行国家法律、法规和公安工作的路线、方针、政策；对全县公安工作进行决策、部署。</w:t>
      </w:r>
    </w:p>
    <w:p>
      <w:pPr>
        <w:spacing w:line="560" w:lineRule="exact"/>
        <w:ind w:firstLineChars="208" w:firstLine="666"/>
        <w:rPr>
          <w:rFonts w:ascii="仿宋_GB2312" w:eastAsia="仿宋_GB2312"/>
          <w:sz w:val="32"/>
          <w:szCs w:val="32"/>
        </w:rPr>
      </w:pPr>
      <w:r>
        <w:rPr>
          <w:rFonts w:ascii="仿宋_GB2312" w:eastAsia="仿宋_GB2312" w:cs="仿宋_GB2312" w:hint="eastAsia"/>
          <w:sz w:val="32"/>
          <w:szCs w:val="32"/>
        </w:rPr>
        <w:t>2.掌握国内安全和社会治安情况。</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3.组织实施并指导预防、制止和侦察违法犯罪活动。</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4.组织实施并指导全县公安机关依法查处危害社会治安秩序行为。依法管理户籍、枪支弹药、危险物品和特种行业等工作；管理集会、游行、示威活动；组织、协调处置重大案件、治安事故和骚乱。</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5.负责出入(境)和外国人在我县境内居留、旅行的有关管理工作以及全县公安外事工作。</w:t>
      </w:r>
    </w:p>
    <w:p>
      <w:pPr>
        <w:spacing w:line="560" w:lineRule="exact"/>
        <w:ind w:firstLineChars="208" w:firstLine="666"/>
        <w:rPr>
          <w:rFonts w:ascii="仿宋_GB2312" w:eastAsia="仿宋_GB2312"/>
          <w:sz w:val="32"/>
          <w:szCs w:val="32"/>
        </w:rPr>
      </w:pPr>
      <w:r>
        <w:rPr>
          <w:rFonts w:ascii="仿宋_GB2312" w:eastAsia="仿宋_GB2312" w:cs="仿宋_GB2312" w:hint="eastAsia"/>
          <w:sz w:val="32"/>
          <w:szCs w:val="32"/>
        </w:rPr>
        <w:t>6.组织实施消防工作，实行消防监督。</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7.贯彻《警卫工作规定》，警卫国家规定的特定人员，守卫重要的场所和设施。</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8.维护全县道路交通安全，交通秩序以及车辆、驾驶员管理工作；查处交通事故。</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9.指导和管理全县公安机关依法监督机关、团体、企事业单位、学校、重点建设工程的治安保卫工作以及群众性治安组织的治安防范工作；指导企事业单位保卫组织和经济民警、保安队伍的建设。</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10.组织实施全县公安机关的信息通信工作以及全县公共信息网络安全监察工作。</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11.组织实施并指导看守所、治安拘留所的管理工作，开展深挖犯罪，扩大战果等工作。</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12.组织实施全县公安法制建设；指导、检查、监督公安机关执法活动；承担审批治安行政案件以及报批劳动教养案件的审核工作。</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13.组织实施全县科技强警工作，规划公安装备现代化建设。</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14.规划和指导全县公安队伍的现代化、正规化建设以及公安民警的管理、教育、训练。</w:t>
      </w:r>
    </w:p>
    <w:p>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15.组织实施全县公安机关督察工作，按规定权限实施对民警的监督；查处公安队伍中的违法违纪案件。</w:t>
      </w:r>
    </w:p>
    <w:p>
      <w:pPr>
        <w:spacing w:line="560" w:lineRule="exact"/>
        <w:ind w:firstLineChars="208" w:firstLine="666"/>
        <w:rPr>
          <w:rFonts w:ascii="仿宋_GB2312" w:eastAsia="仿宋_GB2312"/>
          <w:sz w:val="32"/>
          <w:szCs w:val="32"/>
        </w:rPr>
      </w:pPr>
      <w:r>
        <w:rPr>
          <w:rFonts w:ascii="仿宋_GB2312" w:eastAsia="仿宋_GB2312" w:cs="仿宋_GB2312" w:hint="eastAsia"/>
          <w:sz w:val="32"/>
          <w:szCs w:val="32"/>
        </w:rPr>
        <w:t>16.负责涉林、涉野、涉资源违法犯罪活动打击，负责火案侦办。</w:t>
      </w:r>
    </w:p>
    <w:p>
      <w:pPr>
        <w:spacing w:line="560" w:lineRule="exact"/>
        <w:ind w:firstLineChars="208" w:firstLine="666"/>
        <w:rPr>
          <w:rFonts w:ascii="仿宋_GB2312" w:eastAsia="仿宋_GB2312"/>
          <w:sz w:val="32"/>
          <w:szCs w:val="32"/>
        </w:rPr>
      </w:pPr>
      <w:r>
        <w:rPr>
          <w:rFonts w:ascii="仿宋_GB2312" w:eastAsia="仿宋_GB2312" w:cs="仿宋_GB2312" w:hint="eastAsia"/>
          <w:sz w:val="32"/>
          <w:szCs w:val="32"/>
        </w:rPr>
        <w:t>17.组织指挥武警中队执行公安任务。</w:t>
      </w:r>
    </w:p>
    <w:p>
      <w:pPr>
        <w:spacing w:line="560" w:lineRule="exact"/>
        <w:ind w:firstLineChars="200" w:firstLine="640"/>
      </w:pPr>
      <w:r>
        <w:rPr>
          <w:rFonts w:ascii="仿宋_GB2312" w:eastAsia="仿宋_GB2312" w:cs="仿宋_GB2312" w:hint="eastAsia"/>
          <w:sz w:val="32"/>
          <w:szCs w:val="32"/>
        </w:rPr>
        <w:t>18.承办县委、县政府和上级公安机关交办的其他工作。</w:t>
      </w:r>
    </w:p>
    <w:p>
      <w:pPr>
        <w:pStyle w:val="2"/>
        <w:spacing w:line="560" w:lineRule="exact"/>
        <w:ind w:firstLineChars="200" w:firstLine="640"/>
        <w:rPr>
          <w:rStyle w:val="2Char"/>
        </w:rPr>
      </w:pPr>
      <w:bookmarkStart w:id="11" w:name="_Toc15377200"/>
      <w:bookmarkStart w:id="12" w:name="_Toc15396601"/>
      <w:bookmarkStart w:id="13" w:name="_Toc31585"/>
      <w:r>
        <w:rPr>
          <w:rFonts w:ascii="黑体" w:eastAsia="黑体" w:hint="eastAsia"/>
          <w:b w:val="0"/>
        </w:rPr>
        <w:t>二、机</w:t>
      </w:r>
      <w:r>
        <w:rPr>
          <w:rStyle w:val="2Char"/>
          <w:rFonts w:ascii="黑体" w:eastAsia="黑体" w:hint="eastAsia"/>
        </w:rPr>
        <w:t>构设置</w:t>
      </w:r>
      <w:bookmarkEnd w:id="11"/>
      <w:bookmarkEnd w:id="12"/>
      <w:bookmarkEnd w:id="13"/>
    </w:p>
    <w:p>
      <w:pPr>
        <w:pStyle w:val="17"/>
        <w:adjustRightInd w:val="0"/>
        <w:snapToGrid w:val="0"/>
        <w:spacing w:before="93" w:line="560" w:lineRule="exact"/>
        <w:ind w:firstLineChars="208" w:firstLine="666"/>
        <w:rPr>
          <w:rFonts w:ascii="仿宋_GB2312" w:eastAsia="仿宋_GB2312"/>
          <w:sz w:val="32"/>
          <w:szCs w:val="32"/>
        </w:rPr>
      </w:pPr>
      <w:r>
        <w:rPr>
          <w:rFonts w:ascii="仿宋_GB2312" w:eastAsia="仿宋_GB2312" w:hint="eastAsia"/>
          <w:sz w:val="32"/>
          <w:szCs w:val="32"/>
        </w:rPr>
        <w:t>本部门是行政性质机构，属一级预算单位，其中内设机构16个，派出所15个,拘押场所2个。</w:t>
      </w:r>
    </w:p>
    <w:p>
      <w:pPr>
        <w:widowControl/>
        <w:suppressAutoHyphens/>
        <w:spacing w:line="560" w:lineRule="exact"/>
        <w:jc w:val="left"/>
        <w:rPr>
          <w:rFonts w:ascii="仿宋" w:eastAsia="仿宋"/>
          <w:kern w:val="0"/>
          <w:sz w:val="32"/>
          <w:szCs w:val="32"/>
        </w:rPr>
      </w:pPr>
      <w:r>
        <w:rPr>
          <w:rFonts w:ascii="仿宋" w:eastAsia="仿宋"/>
          <w:sz w:val="32"/>
          <w:szCs w:val="32"/>
        </w:rPr>
        <w:br w:type="page"/>
      </w:r>
    </w:p>
    <w:p>
      <w:pPr>
        <w:pStyle w:val="1"/>
        <w:spacing w:line="560" w:lineRule="exact"/>
        <w:ind w:right="440"/>
        <w:jc w:val="center"/>
        <w:rPr>
          <w:rStyle w:val="1Char"/>
          <w:rFonts w:ascii="黑体" w:eastAsia="黑体"/>
          <w:bCs/>
        </w:rPr>
      </w:pPr>
      <w:bookmarkStart w:id="14" w:name="_Toc19280"/>
      <w:bookmarkStart w:id="15" w:name="_Toc15377204"/>
      <w:bookmarkStart w:id="16" w:name="_Toc15396602"/>
      <w:r>
        <w:rPr>
          <w:rFonts w:ascii="黑体" w:eastAsia="黑体" w:hint="eastAsia"/>
          <w:b w:val="0"/>
        </w:rPr>
        <w:t xml:space="preserve">  第二部分 2023年度</w:t>
      </w:r>
      <w:r>
        <w:rPr>
          <w:rStyle w:val="1Char"/>
          <w:rFonts w:ascii="黑体" w:eastAsia="黑体" w:hint="eastAsia"/>
          <w:bCs/>
        </w:rPr>
        <w:t>部门决算情况说明</w:t>
      </w:r>
      <w:bookmarkEnd w:id="14"/>
      <w:bookmarkEnd w:id="15"/>
      <w:bookmarkEnd w:id="16"/>
    </w:p>
    <w:p>
      <w:pPr>
        <w:spacing w:line="560" w:lineRule="exact"/>
      </w:pPr>
    </w:p>
    <w:p>
      <w:pPr>
        <w:pStyle w:val="31"/>
        <w:numPr>
          <w:ilvl w:val="0"/>
          <w:numId w:val="1"/>
        </w:numPr>
        <w:spacing w:line="560" w:lineRule="exact"/>
        <w:ind w:firstLineChars="0"/>
        <w:outlineLvl w:val="1"/>
        <w:rPr>
          <w:rStyle w:val="2Char"/>
          <w:rFonts w:ascii="黑体" w:eastAsia="黑体"/>
          <w:b w:val="0"/>
        </w:rPr>
      </w:pPr>
      <w:bookmarkStart w:id="17" w:name="_Toc26900"/>
      <w:bookmarkStart w:id="18" w:name="_Toc15396603"/>
      <w:bookmarkStart w:id="19" w:name="_Toc15377205"/>
      <w:r>
        <w:rPr>
          <w:rFonts w:ascii="黑体" w:eastAsia="黑体" w:hint="eastAsia"/>
          <w:sz w:val="32"/>
          <w:szCs w:val="32"/>
        </w:rPr>
        <w:t>收</w:t>
      </w:r>
      <w:r>
        <w:rPr>
          <w:rStyle w:val="2Char"/>
          <w:rFonts w:ascii="黑体" w:eastAsia="黑体" w:hint="eastAsia"/>
          <w:b w:val="0"/>
        </w:rPr>
        <w:t>入支出决算总体情况说明</w:t>
      </w:r>
      <w:bookmarkEnd w:id="17"/>
      <w:bookmarkEnd w:id="18"/>
      <w:bookmarkEnd w:id="19"/>
    </w:p>
    <w:p>
      <w:pPr>
        <w:spacing w:line="560" w:lineRule="exact"/>
        <w:ind w:firstLineChars="200" w:firstLine="640"/>
        <w:rPr>
          <w:rFonts w:ascii="仿宋" w:eastAsia="仿宋"/>
          <w:sz w:val="32"/>
          <w:szCs w:val="32"/>
        </w:rPr>
      </w:pPr>
      <w:r>
        <w:rPr>
          <w:rFonts w:ascii="仿宋" w:eastAsia="仿宋" w:hint="eastAsia"/>
          <w:sz w:val="32"/>
          <w:szCs w:val="32"/>
        </w:rPr>
        <w:t>2023年度收、支总计均为7891.96万元。与2022年度相比，收、支总计各增加743.04万元，增长</w:t>
      </w:r>
      <w:r>
        <w:rPr>
          <w:rFonts w:ascii="仿宋_GB2312" w:eastAsia="仿宋_GB2312" w:hint="eastAsia"/>
          <w:color w:val="000000"/>
          <w:sz w:val="32"/>
          <w:szCs w:val="32"/>
        </w:rPr>
        <w:t>10.39%</w:t>
      </w:r>
      <w:r>
        <w:rPr>
          <w:rFonts w:ascii="仿宋" w:eastAsia="仿宋" w:hint="eastAsia"/>
          <w:sz w:val="32"/>
          <w:szCs w:val="32"/>
        </w:rPr>
        <w:t>。主要变动原因是</w:t>
      </w:r>
      <w:r>
        <w:rPr>
          <w:rFonts w:ascii="仿宋_GB2312" w:eastAsia="仿宋_GB2312" w:hint="eastAsia"/>
          <w:color w:val="000000"/>
          <w:sz w:val="32"/>
          <w:szCs w:val="32"/>
        </w:rPr>
        <w:t>工资调整、五险一金基数调增</w:t>
      </w:r>
      <w:r>
        <w:rPr>
          <w:rFonts w:ascii="仿宋" w:eastAsia="仿宋" w:hint="eastAsia"/>
          <w:sz w:val="32"/>
          <w:szCs w:val="32"/>
        </w:rPr>
        <w:t>。</w:t>
      </w:r>
    </w:p>
    <w:p>
      <w:pPr>
        <w:pStyle w:val="15"/>
        <w:jc w:val="center"/>
        <w:rPr>
          <w:rFonts w:ascii="仿宋_GB2312" w:eastAsia="仿宋_GB2312"/>
          <w:sz w:val="32"/>
          <w:szCs w:val="32"/>
        </w:rPr>
      </w:pPr>
      <w:r>
        <w:rPr>
          <w:rFonts w:hint="eastAsia"/>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216.0pt;height:216.0pt;" o:ole="">
            <v:stroke color="#000000"/>
            <v:imagedata r:id="rId2" o:title="2"/>
            <o:lock aspectratio="t"/>
          </v:shape>
          <o:OLEObject Type="Embed" ProgID="Package" ShapeID="_x0000_i1" DrawAspect="Content" ObjectID="_1393063351" r:id="rId3"/>
        </w:object>
      </w:r>
      <w:r>
        <w:drawing>
          <wp:inline distT="0" distB="0" distL="114300" distR="114300">
            <wp:extent cx="4831080" cy="2743200"/>
            <wp:effectExtent l="0" t="0" r="0" b="0"/>
            <wp:docPr id="3" name="图表 3"/>
            <wp:cNvGraphicFramePr>
              <a:graphicFrameLocks noChangeAspect="1"/>
            </wp:cNvGraphicFramePr>
            <a:graphic>
              <a:graphicData uri="http://schemas.openxmlformats.org/drawingml/2006/chart">
                <c:chart xmlns:c="http://schemas.openxmlformats.org/drawingml/2006/chart" r:id="rId4"/>
              </a:graphicData>
            </a:graphic>
          </wp:inline>
        </w:drawing>
      </w:r>
    </w:p>
    <w:p>
      <w:pPr>
        <w:pStyle w:val="31"/>
        <w:numPr>
          <w:ilvl w:val="0"/>
          <w:numId w:val="1"/>
        </w:numPr>
        <w:spacing w:line="560" w:lineRule="exact"/>
        <w:ind w:firstLineChars="0"/>
        <w:outlineLvl w:val="1"/>
        <w:rPr>
          <w:rStyle w:val="2Char"/>
          <w:rFonts w:ascii="黑体" w:eastAsia="黑体"/>
          <w:b w:val="0"/>
        </w:rPr>
      </w:pPr>
      <w:bookmarkStart w:id="20" w:name="_Toc15377206"/>
      <w:bookmarkStart w:id="21" w:name="_Toc15396604"/>
      <w:bookmarkStart w:id="22" w:name="_Toc1"/>
      <w:r>
        <w:rPr>
          <w:rFonts w:ascii="黑体" w:eastAsia="黑体" w:hint="eastAsia"/>
          <w:sz w:val="32"/>
          <w:szCs w:val="32"/>
        </w:rPr>
        <w:t>收</w:t>
      </w:r>
      <w:r>
        <w:rPr>
          <w:rStyle w:val="2Char"/>
          <w:rFonts w:ascii="黑体" w:eastAsia="黑体" w:hint="eastAsia"/>
          <w:b w:val="0"/>
        </w:rPr>
        <w:t>入决算情况说明</w:t>
      </w:r>
      <w:bookmarkEnd w:id="20"/>
      <w:bookmarkEnd w:id="21"/>
      <w:bookmarkEnd w:id="22"/>
    </w:p>
    <w:p>
      <w:pPr>
        <w:spacing w:line="560" w:lineRule="exact"/>
        <w:ind w:firstLineChars="200" w:firstLine="640"/>
        <w:outlineLvl w:val="1"/>
        <w:rPr>
          <w:rFonts w:ascii="仿宋" w:eastAsia="仿宋"/>
          <w:sz w:val="32"/>
          <w:szCs w:val="32"/>
        </w:rPr>
      </w:pPr>
      <w:bookmarkStart w:id="23" w:name="_Toc24504"/>
      <w:r>
        <w:rPr>
          <w:rFonts w:ascii="仿宋" w:eastAsia="仿宋" w:hint="eastAsia"/>
          <w:sz w:val="32"/>
          <w:szCs w:val="32"/>
        </w:rPr>
        <w:t>2023年度本年收入合计</w:t>
      </w:r>
      <w:r>
        <w:rPr>
          <w:rFonts w:ascii="仿宋_GB2312" w:eastAsia="仿宋_GB2312" w:hint="eastAsia"/>
          <w:color w:val="000000"/>
          <w:sz w:val="32"/>
          <w:szCs w:val="32"/>
        </w:rPr>
        <w:t>7891.96</w:t>
      </w:r>
      <w:r>
        <w:rPr>
          <w:rFonts w:ascii="仿宋" w:eastAsia="仿宋" w:hint="eastAsia"/>
          <w:sz w:val="32"/>
          <w:szCs w:val="32"/>
        </w:rPr>
        <w:t>万元，其中：一般公共预算财政拨款收入</w:t>
      </w:r>
      <w:r>
        <w:rPr>
          <w:rFonts w:ascii="仿宋_GB2312" w:eastAsia="仿宋_GB2312" w:hint="eastAsia"/>
          <w:color w:val="000000"/>
          <w:sz w:val="32"/>
          <w:szCs w:val="32"/>
        </w:rPr>
        <w:t>7891.96</w:t>
      </w:r>
      <w:r>
        <w:rPr>
          <w:rFonts w:ascii="仿宋" w:eastAsia="仿宋" w:hint="eastAsia"/>
          <w:sz w:val="32"/>
          <w:szCs w:val="32"/>
        </w:rPr>
        <w:t>万元，占100</w:t>
      </w:r>
      <w:r>
        <w:rPr>
          <w:rFonts w:ascii="仿宋" w:eastAsia="仿宋"/>
          <w:sz w:val="32"/>
          <w:szCs w:val="32"/>
        </w:rPr>
        <w:t>%</w:t>
      </w:r>
      <w:r>
        <w:rPr>
          <w:rFonts w:ascii="仿宋" w:eastAsia="仿宋" w:hint="eastAsia"/>
          <w:sz w:val="32"/>
          <w:szCs w:val="32"/>
        </w:rPr>
        <w:t>。</w:t>
      </w:r>
      <w:bookmarkEnd w:id="23"/>
    </w:p>
    <w:p>
      <w:pPr>
        <w:spacing w:line="560" w:lineRule="exact"/>
        <w:ind w:firstLineChars="200" w:firstLine="640"/>
        <w:rPr>
          <w:rFonts w:ascii="仿宋" w:eastAsia="仿宋"/>
          <w:sz w:val="32"/>
          <w:szCs w:val="32"/>
        </w:rPr>
      </w:pPr>
    </w:p>
    <w:p>
      <w:pPr>
        <w:pStyle w:val="15"/>
        <w:jc w:val="center"/>
        <w:rPr>
          <w:rFonts w:ascii="仿宋_GB2312" w:eastAsia="仿宋_GB2312"/>
          <w:sz w:val="32"/>
          <w:szCs w:val="32"/>
        </w:rPr>
      </w:pPr>
      <w:r>
        <w:drawing>
          <wp:inline distT="0" distB="0" distL="114300" distR="114300">
            <wp:extent cx="4831080" cy="2743200"/>
            <wp:effectExtent l="0" t="0" r="0" b="0"/>
            <wp:docPr id="4" name="图表 6"/>
            <wp:cNvGraphicFramePr>
              <a:graphicFrameLocks noChangeAspect="1"/>
            </wp:cNvGraphicFramePr>
            <a:graphic>
              <a:graphicData uri="http://schemas.openxmlformats.org/drawingml/2006/chart">
                <c:chart xmlns:c="http://schemas.openxmlformats.org/drawingml/2006/chart" r:id="rId5"/>
              </a:graphicData>
            </a:graphic>
          </wp:inline>
        </w:drawing>
      </w:r>
    </w:p>
    <w:p>
      <w:pPr>
        <w:pStyle w:val="31"/>
        <w:numPr>
          <w:ilvl w:val="0"/>
          <w:numId w:val="1"/>
        </w:numPr>
        <w:spacing w:line="560" w:lineRule="exact"/>
        <w:ind w:firstLineChars="0"/>
        <w:outlineLvl w:val="1"/>
        <w:rPr>
          <w:rStyle w:val="2Char"/>
          <w:rFonts w:ascii="黑体" w:eastAsia="黑体"/>
          <w:b w:val="0"/>
        </w:rPr>
      </w:pPr>
      <w:bookmarkStart w:id="24" w:name="_Toc15377207"/>
      <w:bookmarkStart w:id="25" w:name="_Toc15396605"/>
      <w:bookmarkStart w:id="26" w:name="_Toc32216"/>
      <w:r>
        <w:rPr>
          <w:rFonts w:ascii="黑体" w:eastAsia="黑体" w:hint="eastAsia"/>
          <w:sz w:val="32"/>
          <w:szCs w:val="32"/>
        </w:rPr>
        <w:t>支</w:t>
      </w:r>
      <w:r>
        <w:rPr>
          <w:rStyle w:val="2Char"/>
          <w:rFonts w:ascii="黑体" w:eastAsia="黑体" w:hint="eastAsia"/>
          <w:b w:val="0"/>
        </w:rPr>
        <w:t>出决算情况说明</w:t>
      </w:r>
      <w:bookmarkEnd w:id="24"/>
      <w:bookmarkEnd w:id="25"/>
      <w:bookmarkEnd w:id="26"/>
    </w:p>
    <w:p>
      <w:pPr>
        <w:spacing w:line="560" w:lineRule="exact"/>
        <w:ind w:firstLineChars="200" w:firstLine="640"/>
        <w:outlineLvl w:val="1"/>
        <w:rPr>
          <w:rFonts w:ascii="仿宋" w:eastAsia="仿宋"/>
          <w:sz w:val="32"/>
          <w:szCs w:val="32"/>
          <w:shd w:val="pct10" w:color="auto" w:fill="FFFFFF"/>
        </w:rPr>
      </w:pPr>
      <w:bookmarkStart w:id="27" w:name="_Toc4629"/>
      <w:bookmarkStart w:id="28" w:name="_Toc12683"/>
      <w:r>
        <w:rPr>
          <w:rFonts w:ascii="仿宋" w:eastAsia="仿宋" w:hint="eastAsia"/>
          <w:sz w:val="32"/>
          <w:szCs w:val="32"/>
        </w:rPr>
        <w:t>2023年度本年支出合计</w:t>
      </w:r>
      <w:r>
        <w:rPr>
          <w:rFonts w:ascii="仿宋_GB2312" w:eastAsia="仿宋_GB2312" w:hint="eastAsia"/>
          <w:color w:val="000000"/>
          <w:sz w:val="32"/>
          <w:szCs w:val="32"/>
        </w:rPr>
        <w:t>7891.96</w:t>
      </w:r>
      <w:r>
        <w:rPr>
          <w:rFonts w:ascii="仿宋" w:eastAsia="仿宋" w:hint="eastAsia"/>
          <w:sz w:val="32"/>
          <w:szCs w:val="32"/>
        </w:rPr>
        <w:t>万元，其中：基本支出</w:t>
      </w:r>
      <w:r>
        <w:rPr>
          <w:rFonts w:ascii="仿宋_GB2312" w:eastAsia="仿宋_GB2312" w:hint="eastAsia"/>
          <w:color w:val="000000"/>
          <w:sz w:val="32"/>
          <w:szCs w:val="32"/>
        </w:rPr>
        <w:t>6198.48</w:t>
      </w:r>
      <w:r>
        <w:rPr>
          <w:rFonts w:ascii="仿宋" w:eastAsia="仿宋" w:hint="eastAsia"/>
          <w:sz w:val="32"/>
          <w:szCs w:val="32"/>
        </w:rPr>
        <w:t>万元，占</w:t>
      </w:r>
      <w:r>
        <w:rPr>
          <w:rFonts w:ascii="仿宋_GB2312" w:eastAsia="仿宋_GB2312" w:hint="eastAsia"/>
          <w:color w:val="000000"/>
          <w:sz w:val="32"/>
          <w:szCs w:val="32"/>
        </w:rPr>
        <w:t>78.54</w:t>
      </w:r>
      <w:r>
        <w:rPr>
          <w:rFonts w:ascii="仿宋" w:eastAsia="仿宋"/>
          <w:sz w:val="32"/>
          <w:szCs w:val="32"/>
        </w:rPr>
        <w:t>%</w:t>
      </w:r>
      <w:r>
        <w:rPr>
          <w:rFonts w:ascii="仿宋" w:eastAsia="仿宋" w:hint="eastAsia"/>
          <w:sz w:val="32"/>
          <w:szCs w:val="32"/>
        </w:rPr>
        <w:t>；项目支出</w:t>
      </w:r>
      <w:r>
        <w:rPr>
          <w:rFonts w:ascii="仿宋_GB2312" w:eastAsia="仿宋_GB2312" w:hint="eastAsia"/>
          <w:color w:val="000000"/>
          <w:sz w:val="32"/>
          <w:szCs w:val="32"/>
        </w:rPr>
        <w:t>1693.48</w:t>
      </w:r>
      <w:r>
        <w:rPr>
          <w:rFonts w:ascii="仿宋" w:eastAsia="仿宋" w:hint="eastAsia"/>
          <w:sz w:val="32"/>
          <w:szCs w:val="32"/>
        </w:rPr>
        <w:t>万元，占</w:t>
      </w:r>
      <w:r>
        <w:rPr>
          <w:rFonts w:ascii="仿宋_GB2312" w:eastAsia="仿宋_GB2312" w:hint="eastAsia"/>
          <w:color w:val="000000"/>
          <w:sz w:val="32"/>
          <w:szCs w:val="32"/>
        </w:rPr>
        <w:t>21.46</w:t>
      </w:r>
      <w:r>
        <w:rPr>
          <w:rFonts w:ascii="仿宋" w:eastAsia="仿宋"/>
          <w:sz w:val="32"/>
          <w:szCs w:val="32"/>
        </w:rPr>
        <w:t>%</w:t>
      </w:r>
      <w:bookmarkEnd w:id="27"/>
      <w:r>
        <w:rPr>
          <w:rFonts w:ascii="仿宋" w:eastAsia="仿宋" w:hint="eastAsia"/>
          <w:sz w:val="32"/>
          <w:szCs w:val="32"/>
        </w:rPr>
        <w:t>。</w:t>
      </w:r>
      <w:bookmarkEnd w:id="28"/>
    </w:p>
    <w:p>
      <w:pPr>
        <w:pStyle w:val="15"/>
        <w:jc w:val="center"/>
        <w:rPr>
          <w:rFonts w:ascii="仿宋_GB2312" w:eastAsia="仿宋_GB2312"/>
          <w:sz w:val="32"/>
          <w:szCs w:val="32"/>
        </w:rPr>
      </w:pPr>
      <w:r>
        <w:drawing>
          <wp:inline distT="0" distB="0" distL="114300" distR="114300">
            <wp:extent cx="4831080" cy="2743200"/>
            <wp:effectExtent l="0" t="0" r="0" b="0"/>
            <wp:docPr id="5" name="图表 7"/>
            <wp:cNvGraphicFramePr>
              <a:graphicFrameLocks noChangeAspect="1"/>
            </wp:cNvGraphicFramePr>
            <a:graphic>
              <a:graphicData uri="http://schemas.openxmlformats.org/drawingml/2006/chart">
                <c:chart xmlns:c="http://schemas.openxmlformats.org/drawingml/2006/chart" r:id="rId6"/>
              </a:graphicData>
            </a:graphic>
          </wp:inline>
        </w:drawing>
      </w:r>
    </w:p>
    <w:p>
      <w:pPr>
        <w:spacing w:line="560" w:lineRule="exact"/>
        <w:ind w:firstLineChars="200" w:firstLine="640"/>
        <w:outlineLvl w:val="1"/>
        <w:rPr>
          <w:rStyle w:val="2Char"/>
          <w:rFonts w:ascii="黑体" w:eastAsia="黑体"/>
          <w:b w:val="0"/>
        </w:rPr>
      </w:pPr>
      <w:bookmarkStart w:id="29" w:name="_Toc7447"/>
      <w:bookmarkStart w:id="30" w:name="_Toc15396606"/>
      <w:bookmarkStart w:id="31" w:name="_Toc15377208"/>
      <w:r>
        <w:rPr>
          <w:rFonts w:ascii="黑体" w:eastAsia="黑体" w:hint="eastAsia"/>
          <w:sz w:val="32"/>
          <w:szCs w:val="32"/>
        </w:rPr>
        <w:t>四、财</w:t>
      </w:r>
      <w:r>
        <w:rPr>
          <w:rStyle w:val="2Char"/>
          <w:rFonts w:ascii="黑体" w:eastAsia="黑体" w:hint="eastAsia"/>
          <w:b w:val="0"/>
        </w:rPr>
        <w:t>政拨款收入支出决算总体情况说明</w:t>
      </w:r>
      <w:bookmarkEnd w:id="29"/>
      <w:bookmarkEnd w:id="30"/>
      <w:bookmarkEnd w:id="31"/>
    </w:p>
    <w:p>
      <w:pPr>
        <w:spacing w:line="560" w:lineRule="exact"/>
        <w:ind w:firstLineChars="200" w:firstLine="640"/>
        <w:rPr>
          <w:rFonts w:ascii="仿宋" w:eastAsia="仿宋"/>
          <w:sz w:val="32"/>
          <w:szCs w:val="32"/>
        </w:rPr>
      </w:pPr>
      <w:r>
        <w:rPr>
          <w:rFonts w:ascii="仿宋" w:eastAsia="仿宋" w:hint="eastAsia"/>
          <w:sz w:val="32"/>
          <w:szCs w:val="32"/>
        </w:rPr>
        <w:t>2023年度财政拨款收、支总计均为</w:t>
      </w:r>
      <w:r>
        <w:rPr>
          <w:rFonts w:ascii="仿宋_GB2312" w:eastAsia="仿宋_GB2312" w:hint="eastAsia"/>
          <w:color w:val="000000"/>
          <w:sz w:val="32"/>
          <w:szCs w:val="32"/>
        </w:rPr>
        <w:t>7891.96</w:t>
      </w:r>
      <w:r>
        <w:rPr>
          <w:rFonts w:ascii="仿宋" w:eastAsia="仿宋" w:hint="eastAsia"/>
          <w:sz w:val="32"/>
          <w:szCs w:val="32"/>
        </w:rPr>
        <w:t>万元。与2022年度相比，财政拨款收、支总计各增加743.04万元，增长</w:t>
      </w:r>
      <w:r>
        <w:rPr>
          <w:rFonts w:ascii="仿宋_GB2312" w:eastAsia="仿宋_GB2312" w:hint="eastAsia"/>
          <w:color w:val="000000"/>
          <w:sz w:val="32"/>
          <w:szCs w:val="32"/>
        </w:rPr>
        <w:t>10.39%</w:t>
      </w:r>
      <w:r>
        <w:rPr>
          <w:rFonts w:ascii="仿宋" w:eastAsia="仿宋" w:hint="eastAsia"/>
          <w:sz w:val="32"/>
          <w:szCs w:val="32"/>
        </w:rPr>
        <w:t>。主要变动原因是</w:t>
      </w:r>
      <w:r>
        <w:rPr>
          <w:rFonts w:ascii="仿宋_GB2312" w:eastAsia="仿宋_GB2312" w:hint="eastAsia"/>
          <w:color w:val="000000"/>
          <w:sz w:val="32"/>
          <w:szCs w:val="32"/>
        </w:rPr>
        <w:t>工资调整、五险一金基数调增</w:t>
      </w:r>
      <w:r>
        <w:rPr>
          <w:rFonts w:ascii="仿宋" w:eastAsia="仿宋" w:hint="eastAsia"/>
          <w:sz w:val="32"/>
          <w:szCs w:val="32"/>
        </w:rPr>
        <w:t>。</w:t>
      </w:r>
    </w:p>
    <w:p>
      <w:pPr>
        <w:pStyle w:val="23"/>
        <w:jc w:val="center"/>
        <w:rPr>
          <w:rFonts w:ascii="仿宋" w:eastAsia="仿宋"/>
          <w:b/>
          <w:szCs w:val="32"/>
        </w:rPr>
      </w:pPr>
      <w:r>
        <w:drawing>
          <wp:inline distT="0" distB="0" distL="114300" distR="114300">
            <wp:extent cx="4831080" cy="2743200"/>
            <wp:effectExtent l="0" t="0" r="0" b="0"/>
            <wp:docPr id="6" name="图表 8"/>
            <wp:cNvGraphicFramePr>
              <a:graphicFrameLocks noChangeAspect="1"/>
            </wp:cNvGraphicFramePr>
            <a:graphic>
              <a:graphicData uri="http://schemas.openxmlformats.org/drawingml/2006/chart">
                <c:chart xmlns:c="http://schemas.openxmlformats.org/drawingml/2006/chart" r:id="rId7"/>
              </a:graphicData>
            </a:graphic>
          </wp:inline>
        </w:drawing>
      </w:r>
    </w:p>
    <w:p>
      <w:pPr>
        <w:spacing w:line="560" w:lineRule="exact"/>
        <w:ind w:firstLineChars="200" w:firstLine="640"/>
        <w:outlineLvl w:val="1"/>
        <w:rPr>
          <w:rStyle w:val="2Char"/>
          <w:rFonts w:ascii="黑体" w:eastAsia="黑体"/>
          <w:b w:val="0"/>
        </w:rPr>
      </w:pPr>
      <w:bookmarkStart w:id="32" w:name="_Toc15377209"/>
      <w:bookmarkStart w:id="33" w:name="_Toc2437"/>
      <w:bookmarkStart w:id="34" w:name="_Toc15396607"/>
      <w:r>
        <w:rPr>
          <w:rFonts w:ascii="黑体" w:eastAsia="黑体" w:hint="eastAsia"/>
          <w:sz w:val="32"/>
          <w:szCs w:val="32"/>
        </w:rPr>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32"/>
      <w:bookmarkEnd w:id="33"/>
      <w:bookmarkEnd w:id="34"/>
    </w:p>
    <w:p>
      <w:pPr>
        <w:spacing w:line="560" w:lineRule="exact"/>
        <w:ind w:firstLineChars="200" w:firstLine="640"/>
        <w:outlineLvl w:val="2"/>
        <w:rPr>
          <w:rFonts w:ascii="仿宋" w:eastAsia="仿宋"/>
          <w:b/>
          <w:sz w:val="32"/>
          <w:szCs w:val="32"/>
        </w:rPr>
      </w:pPr>
      <w:bookmarkStart w:id="35" w:name="_Toc15377210"/>
      <w:r>
        <w:rPr>
          <w:rFonts w:ascii="仿宋" w:eastAsia="仿宋" w:hint="eastAsia"/>
          <w:b/>
          <w:sz w:val="32"/>
          <w:szCs w:val="32"/>
        </w:rPr>
        <w:t>（一）一般公共预算财政拨款支出决算总体情况</w:t>
      </w:r>
      <w:bookmarkEnd w:id="35"/>
    </w:p>
    <w:p>
      <w:pPr>
        <w:spacing w:line="560" w:lineRule="exact"/>
        <w:ind w:firstLineChars="200" w:firstLine="640"/>
      </w:pPr>
      <w:r>
        <w:rPr>
          <w:rFonts w:ascii="仿宋" w:eastAsia="仿宋" w:hint="eastAsia"/>
          <w:sz w:val="32"/>
          <w:szCs w:val="32"/>
        </w:rPr>
        <w:t>2023年度一般公共预算财政拨款支出</w:t>
      </w:r>
      <w:r>
        <w:rPr>
          <w:rFonts w:ascii="仿宋_GB2312" w:eastAsia="仿宋_GB2312" w:hint="eastAsia"/>
          <w:color w:val="000000"/>
          <w:sz w:val="32"/>
          <w:szCs w:val="32"/>
        </w:rPr>
        <w:t>7891.96</w:t>
      </w:r>
      <w:r>
        <w:rPr>
          <w:rFonts w:ascii="仿宋" w:eastAsia="仿宋" w:hint="eastAsia"/>
          <w:sz w:val="32"/>
          <w:szCs w:val="32"/>
        </w:rPr>
        <w:t>万元，占本年支出合计的100</w:t>
      </w:r>
      <w:r>
        <w:rPr>
          <w:rFonts w:ascii="仿宋" w:eastAsia="仿宋"/>
          <w:sz w:val="32"/>
          <w:szCs w:val="32"/>
        </w:rPr>
        <w:t>%</w:t>
      </w:r>
      <w:r>
        <w:rPr>
          <w:rFonts w:ascii="仿宋" w:eastAsia="仿宋" w:hint="eastAsia"/>
          <w:sz w:val="32"/>
          <w:szCs w:val="32"/>
        </w:rPr>
        <w:t>。与2022年度相比，一般公共预算财政拨款支出增加743.04万元，增长</w:t>
      </w:r>
      <w:r>
        <w:rPr>
          <w:rFonts w:ascii="仿宋_GB2312" w:eastAsia="仿宋_GB2312" w:hint="eastAsia"/>
          <w:color w:val="000000"/>
          <w:sz w:val="32"/>
          <w:szCs w:val="32"/>
        </w:rPr>
        <w:t>10.39%</w:t>
      </w:r>
      <w:r>
        <w:rPr>
          <w:rFonts w:ascii="仿宋" w:eastAsia="仿宋" w:hint="eastAsia"/>
          <w:sz w:val="32"/>
          <w:szCs w:val="32"/>
        </w:rPr>
        <w:t>。主要变动原因是</w:t>
      </w:r>
      <w:r>
        <w:rPr>
          <w:rFonts w:ascii="仿宋_GB2312" w:eastAsia="仿宋_GB2312" w:hint="eastAsia"/>
          <w:color w:val="000000"/>
          <w:sz w:val="32"/>
          <w:szCs w:val="32"/>
        </w:rPr>
        <w:t>工资调整、五险一金基数调增</w:t>
      </w:r>
      <w:r>
        <w:rPr>
          <w:rFonts w:ascii="仿宋" w:eastAsia="仿宋" w:hint="eastAsia"/>
          <w:sz w:val="32"/>
          <w:szCs w:val="32"/>
        </w:rPr>
        <w:t>。</w:t>
      </w:r>
    </w:p>
    <w:p>
      <w:pPr>
        <w:spacing w:line="600" w:lineRule="exact"/>
        <w:ind w:firstLineChars="200" w:firstLine="640"/>
        <w:rPr>
          <w:rFonts w:ascii="仿宋" w:eastAsia="仿宋"/>
          <w:sz w:val="32"/>
          <w:szCs w:val="32"/>
        </w:rPr>
      </w:pPr>
    </w:p>
    <w:p>
      <w:pPr>
        <w:pStyle w:val="15"/>
        <w:jc w:val="center"/>
        <w:rPr>
          <w:rFonts w:ascii="仿宋" w:eastAsia="仿宋"/>
          <w:sz w:val="32"/>
          <w:szCs w:val="32"/>
        </w:rPr>
      </w:pPr>
      <w:r>
        <w:drawing>
          <wp:inline distT="0" distB="0" distL="114300" distR="114300">
            <wp:extent cx="4831080" cy="2743200"/>
            <wp:effectExtent l="0" t="0" r="0" b="0"/>
            <wp:docPr id="7" name="图表 8"/>
            <wp:cNvGraphicFramePr>
              <a:graphicFrameLocks noChangeAspect="1"/>
            </wp:cNvGraphicFramePr>
            <a:graphic>
              <a:graphicData uri="http://schemas.openxmlformats.org/drawingml/2006/chart">
                <c:chart xmlns:c="http://schemas.openxmlformats.org/drawingml/2006/chart" r:id="rId8"/>
              </a:graphicData>
            </a:graphic>
          </wp:inline>
        </w:drawing>
      </w:r>
    </w:p>
    <w:p>
      <w:pPr>
        <w:spacing w:line="560" w:lineRule="exact"/>
        <w:ind w:firstLineChars="200" w:firstLine="640"/>
        <w:outlineLvl w:val="2"/>
        <w:rPr>
          <w:rFonts w:ascii="仿宋" w:eastAsia="仿宋"/>
          <w:b/>
          <w:sz w:val="32"/>
          <w:szCs w:val="32"/>
        </w:rPr>
      </w:pPr>
      <w:bookmarkStart w:id="36" w:name="_Toc15377211"/>
      <w:r>
        <w:rPr>
          <w:rFonts w:ascii="仿宋" w:eastAsia="仿宋" w:hint="eastAsia"/>
          <w:b/>
          <w:sz w:val="32"/>
          <w:szCs w:val="32"/>
        </w:rPr>
        <w:t>（二）一般公共预算财政拨款支出决算结构情况</w:t>
      </w:r>
      <w:bookmarkEnd w:id="36"/>
    </w:p>
    <w:p>
      <w:pPr>
        <w:spacing w:line="560" w:lineRule="exact"/>
        <w:ind w:firstLine="640"/>
        <w:rPr>
          <w:rFonts w:ascii="仿宋" w:eastAsia="仿宋"/>
          <w:b/>
          <w:sz w:val="32"/>
          <w:szCs w:val="32"/>
        </w:rPr>
      </w:pPr>
      <w:r>
        <w:rPr>
          <w:rFonts w:ascii="仿宋" w:eastAsia="仿宋" w:hint="eastAsia"/>
          <w:sz w:val="32"/>
          <w:szCs w:val="32"/>
        </w:rPr>
        <w:t>2023年度一般公共预算财政拨款支出</w:t>
      </w:r>
      <w:r>
        <w:rPr>
          <w:rFonts w:ascii="仿宋_GB2312" w:eastAsia="仿宋_GB2312" w:hint="eastAsia"/>
          <w:color w:val="000000"/>
          <w:sz w:val="32"/>
          <w:szCs w:val="32"/>
        </w:rPr>
        <w:t>7891.96</w:t>
      </w:r>
      <w:r>
        <w:rPr>
          <w:rFonts w:ascii="仿宋" w:eastAsia="仿宋" w:hint="eastAsia"/>
          <w:sz w:val="32"/>
          <w:szCs w:val="32"/>
        </w:rPr>
        <w:t>万元，主要用于以下方面</w:t>
      </w:r>
      <w:r>
        <w:rPr>
          <w:rFonts w:ascii="仿宋" w:eastAsia="仿宋"/>
          <w:sz w:val="32"/>
          <w:szCs w:val="32"/>
        </w:rPr>
        <w:t>:</w:t>
      </w:r>
      <w:r>
        <w:rPr>
          <w:rFonts w:ascii="仿宋" w:eastAsia="仿宋" w:hint="eastAsia"/>
          <w:b/>
          <w:bCs/>
          <w:color w:val="000000"/>
          <w:sz w:val="32"/>
          <w:szCs w:val="32"/>
        </w:rPr>
        <w:t>公共安全（类）支出</w:t>
      </w:r>
      <w:r>
        <w:rPr>
          <w:rFonts w:ascii="仿宋" w:eastAsia="仿宋" w:hint="eastAsia"/>
          <w:sz w:val="32"/>
          <w:szCs w:val="32"/>
        </w:rPr>
        <w:t>6631.56万元，占84.03</w:t>
      </w:r>
      <w:r>
        <w:rPr>
          <w:rFonts w:ascii="仿宋" w:eastAsia="仿宋"/>
          <w:sz w:val="32"/>
          <w:szCs w:val="32"/>
        </w:rPr>
        <w:t>%</w:t>
      </w:r>
      <w:r>
        <w:rPr>
          <w:rFonts w:ascii="仿宋" w:eastAsia="仿宋" w:hint="eastAsia"/>
          <w:sz w:val="32"/>
          <w:szCs w:val="32"/>
        </w:rPr>
        <w:t>；</w:t>
      </w:r>
      <w:r>
        <w:rPr>
          <w:rFonts w:ascii="仿宋" w:eastAsia="仿宋" w:hint="eastAsia"/>
          <w:b/>
          <w:sz w:val="32"/>
          <w:szCs w:val="32"/>
        </w:rPr>
        <w:t>社会保障和就业</w:t>
      </w:r>
      <w:r>
        <w:rPr>
          <w:rFonts w:ascii="仿宋" w:eastAsia="仿宋" w:hint="eastAsia"/>
          <w:b/>
          <w:bCs/>
          <w:sz w:val="32"/>
          <w:szCs w:val="32"/>
        </w:rPr>
        <w:t>支出</w:t>
      </w:r>
      <w:r>
        <w:rPr>
          <w:rFonts w:ascii="仿宋" w:eastAsia="仿宋" w:hint="eastAsia"/>
          <w:sz w:val="32"/>
          <w:szCs w:val="32"/>
        </w:rPr>
        <w:t>610.70万元，占7.74</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卫生健康支出</w:t>
      </w:r>
      <w:r>
        <w:rPr>
          <w:rFonts w:ascii="仿宋" w:eastAsia="仿宋" w:hint="eastAsia"/>
          <w:sz w:val="32"/>
          <w:szCs w:val="32"/>
        </w:rPr>
        <w:t>287.98万元，占3.65</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住房保障支出</w:t>
      </w:r>
      <w:r>
        <w:rPr>
          <w:rFonts w:ascii="仿宋" w:eastAsia="仿宋" w:hint="eastAsia"/>
          <w:sz w:val="32"/>
          <w:szCs w:val="32"/>
        </w:rPr>
        <w:t>361.73万元，占4.58</w:t>
      </w:r>
      <w:r>
        <w:rPr>
          <w:rFonts w:ascii="仿宋" w:eastAsia="仿宋"/>
          <w:sz w:val="32"/>
          <w:szCs w:val="32"/>
        </w:rPr>
        <w:t>%</w:t>
      </w:r>
      <w:r>
        <w:rPr>
          <w:rFonts w:ascii="仿宋" w:eastAsia="仿宋" w:hint="eastAsia"/>
          <w:sz w:val="32"/>
          <w:szCs w:val="32"/>
        </w:rPr>
        <w:t>。</w:t>
      </w:r>
    </w:p>
    <w:p>
      <w:pPr>
        <w:spacing w:line="600" w:lineRule="exact"/>
        <w:ind w:firstLine="640"/>
        <w:rPr>
          <w:rFonts w:ascii="仿宋" w:eastAsia="仿宋"/>
          <w:sz w:val="32"/>
          <w:szCs w:val="32"/>
        </w:rPr>
      </w:pPr>
    </w:p>
    <w:p>
      <w:pPr>
        <w:pStyle w:val="15"/>
        <w:jc w:val="center"/>
        <w:rPr>
          <w:rFonts w:ascii="仿宋" w:eastAsia="仿宋"/>
          <w:sz w:val="32"/>
          <w:szCs w:val="32"/>
        </w:rPr>
      </w:pPr>
      <w:r>
        <w:drawing>
          <wp:inline distT="0" distB="0" distL="114300" distR="114300">
            <wp:extent cx="4831080" cy="2743200"/>
            <wp:effectExtent l="0" t="0" r="0" b="0"/>
            <wp:docPr id="8" name="图表 9"/>
            <wp:cNvGraphicFramePr>
              <a:graphicFrameLocks noChangeAspect="1"/>
            </wp:cNvGraphicFramePr>
            <a:graphic>
              <a:graphicData uri="http://schemas.openxmlformats.org/drawingml/2006/chart">
                <c:chart xmlns:c="http://schemas.openxmlformats.org/drawingml/2006/chart" r:id="rId9"/>
              </a:graphicData>
            </a:graphic>
          </wp:inline>
        </w:drawing>
      </w:r>
    </w:p>
    <w:p>
      <w:pPr>
        <w:spacing w:line="560" w:lineRule="exact"/>
        <w:ind w:firstLineChars="200" w:firstLine="640"/>
        <w:outlineLvl w:val="2"/>
        <w:rPr>
          <w:rFonts w:ascii="仿宋" w:eastAsia="仿宋"/>
          <w:b/>
          <w:sz w:val="32"/>
          <w:szCs w:val="32"/>
        </w:rPr>
      </w:pPr>
      <w:bookmarkStart w:id="37" w:name="_Toc15377212"/>
      <w:r>
        <w:rPr>
          <w:rFonts w:ascii="仿宋" w:eastAsia="仿宋" w:hint="eastAsia"/>
          <w:b/>
          <w:sz w:val="32"/>
          <w:szCs w:val="32"/>
        </w:rPr>
        <w:t>（三）一般公共预算财政拨款支出决算具体情况</w:t>
      </w:r>
      <w:bookmarkEnd w:id="37"/>
    </w:p>
    <w:p>
      <w:pPr>
        <w:spacing w:line="560" w:lineRule="exact"/>
        <w:ind w:firstLineChars="200" w:firstLine="640"/>
        <w:outlineLvl w:val="2"/>
        <w:rPr>
          <w:rFonts w:ascii="仿宋" w:eastAsia="仿宋"/>
          <w:sz w:val="32"/>
          <w:szCs w:val="32"/>
        </w:rPr>
      </w:pPr>
      <w:bookmarkStart w:id="38" w:name="_Toc15377213"/>
      <w:bookmarkStart w:id="39" w:name="_Toc15377444"/>
      <w:bookmarkStart w:id="40" w:name="_Toc15378460"/>
      <w:r>
        <w:rPr>
          <w:rFonts w:ascii="仿宋" w:eastAsia="仿宋" w:hint="eastAsia"/>
          <w:b/>
          <w:sz w:val="32"/>
          <w:szCs w:val="32"/>
        </w:rPr>
        <w:t>2023年度一般公共预算支出决算数为7891.96万元</w:t>
      </w:r>
      <w:r>
        <w:rPr>
          <w:rFonts w:ascii="仿宋" w:eastAsia="仿宋" w:hint="eastAsia"/>
          <w:sz w:val="32"/>
          <w:szCs w:val="32"/>
        </w:rPr>
        <w:t>，</w:t>
      </w:r>
      <w:r>
        <w:rPr>
          <w:rStyle w:val="26"/>
          <w:rFonts w:ascii="仿宋" w:eastAsia="仿宋" w:hint="eastAsia"/>
          <w:bCs/>
          <w:sz w:val="32"/>
          <w:szCs w:val="32"/>
        </w:rPr>
        <w:t>完成预算100</w:t>
      </w:r>
      <w:r>
        <w:rPr>
          <w:rStyle w:val="26"/>
          <w:rFonts w:ascii="仿宋" w:eastAsia="仿宋"/>
          <w:bCs/>
          <w:sz w:val="32"/>
          <w:szCs w:val="32"/>
        </w:rPr>
        <w:t>%</w:t>
      </w:r>
      <w:r>
        <w:rPr>
          <w:rStyle w:val="26"/>
          <w:rFonts w:ascii="仿宋" w:eastAsia="仿宋" w:hint="eastAsia"/>
          <w:bCs/>
          <w:sz w:val="32"/>
          <w:szCs w:val="32"/>
        </w:rPr>
        <w:t>。其中：</w:t>
      </w:r>
      <w:bookmarkEnd w:id="38"/>
      <w:bookmarkEnd w:id="39"/>
      <w:bookmarkEnd w:id="40"/>
    </w:p>
    <w:p>
      <w:pPr>
        <w:spacing w:line="560" w:lineRule="exact"/>
        <w:ind w:firstLineChars="200" w:firstLine="640"/>
        <w:rPr>
          <w:rFonts w:ascii="仿宋" w:eastAsia="仿宋"/>
          <w:b/>
          <w:sz w:val="32"/>
          <w:szCs w:val="32"/>
        </w:rPr>
      </w:pPr>
      <w:r>
        <w:rPr>
          <w:rStyle w:val="26"/>
          <w:rFonts w:ascii="仿宋" w:eastAsia="仿宋"/>
          <w:bCs/>
          <w:sz w:val="32"/>
          <w:szCs w:val="32"/>
        </w:rPr>
        <w:t>1.</w:t>
      </w:r>
      <w:r>
        <w:rPr>
          <w:rStyle w:val="26"/>
          <w:rFonts w:ascii="仿宋" w:eastAsia="仿宋" w:hint="eastAsia"/>
          <w:bCs/>
          <w:sz w:val="32"/>
          <w:szCs w:val="32"/>
        </w:rPr>
        <w:t>公共安全（类）公安（款）行政运行（项）</w:t>
      </w:r>
      <w:r>
        <w:rPr>
          <w:rStyle w:val="26"/>
          <w:rFonts w:ascii="仿宋" w:eastAsia="仿宋"/>
          <w:bCs/>
          <w:sz w:val="32"/>
          <w:szCs w:val="32"/>
        </w:rPr>
        <w:t>:</w:t>
      </w:r>
      <w:r>
        <w:rPr>
          <w:rStyle w:val="26"/>
          <w:rFonts w:ascii="仿宋" w:eastAsia="仿宋"/>
          <w:b w:val="0"/>
          <w:bCs/>
          <w:sz w:val="32"/>
          <w:szCs w:val="32"/>
        </w:rPr>
        <w:t xml:space="preserve"> </w:t>
      </w:r>
      <w:r>
        <w:rPr>
          <w:rStyle w:val="26"/>
          <w:rFonts w:ascii="仿宋" w:eastAsia="仿宋" w:hint="eastAsia"/>
          <w:b w:val="0"/>
          <w:bCs/>
          <w:sz w:val="32"/>
          <w:szCs w:val="32"/>
        </w:rPr>
        <w:t>支出决算为4942.87万元，完成预算100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spacing w:line="560" w:lineRule="exact"/>
        <w:ind w:firstLineChars="200" w:firstLine="640"/>
        <w:rPr>
          <w:rFonts w:ascii="仿宋" w:eastAsia="仿宋"/>
          <w:b/>
          <w:sz w:val="32"/>
          <w:szCs w:val="32"/>
        </w:rPr>
      </w:pPr>
      <w:r>
        <w:rPr>
          <w:rStyle w:val="26"/>
          <w:rFonts w:ascii="仿宋" w:eastAsia="仿宋"/>
          <w:bCs/>
          <w:sz w:val="32"/>
          <w:szCs w:val="32"/>
        </w:rPr>
        <w:t>2.</w:t>
      </w:r>
      <w:r>
        <w:rPr>
          <w:rStyle w:val="26"/>
          <w:rFonts w:ascii="仿宋" w:eastAsia="仿宋" w:hint="eastAsia"/>
          <w:bCs/>
          <w:color w:val="000000"/>
          <w:sz w:val="32"/>
          <w:szCs w:val="32"/>
        </w:rPr>
        <w:t>公共安全（类）公安（款）一般行政管理事务（项）</w:t>
      </w:r>
      <w:r>
        <w:rPr>
          <w:rStyle w:val="26"/>
          <w:rFonts w:ascii="仿宋" w:eastAsia="仿宋"/>
          <w:bCs/>
          <w:sz w:val="32"/>
          <w:szCs w:val="32"/>
        </w:rPr>
        <w:t>:</w:t>
      </w:r>
      <w:r>
        <w:rPr>
          <w:rStyle w:val="26"/>
          <w:rFonts w:ascii="仿宋" w:eastAsia="仿宋"/>
          <w:b w:val="0"/>
          <w:bCs/>
          <w:sz w:val="32"/>
          <w:szCs w:val="32"/>
        </w:rPr>
        <w:t xml:space="preserve"> </w:t>
      </w:r>
      <w:r>
        <w:rPr>
          <w:rStyle w:val="26"/>
          <w:rFonts w:ascii="仿宋" w:eastAsia="仿宋" w:hint="eastAsia"/>
          <w:b w:val="0"/>
          <w:bCs/>
          <w:sz w:val="32"/>
          <w:szCs w:val="32"/>
        </w:rPr>
        <w:t>支出决算为1090.78万元，完成预算100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spacing w:line="560" w:lineRule="exact"/>
        <w:ind w:firstLineChars="200" w:firstLine="640"/>
        <w:rPr>
          <w:rFonts w:ascii="仿宋" w:eastAsia="仿宋"/>
          <w:b/>
          <w:sz w:val="32"/>
          <w:szCs w:val="32"/>
        </w:rPr>
      </w:pPr>
      <w:r>
        <w:rPr>
          <w:rStyle w:val="26"/>
          <w:rFonts w:ascii="仿宋" w:eastAsia="仿宋"/>
          <w:bCs/>
          <w:sz w:val="32"/>
          <w:szCs w:val="32"/>
        </w:rPr>
        <w:t>3.</w:t>
      </w:r>
      <w:r>
        <w:rPr>
          <w:rStyle w:val="26"/>
          <w:rFonts w:ascii="仿宋" w:eastAsia="仿宋" w:hint="eastAsia"/>
          <w:bCs/>
          <w:color w:val="000000"/>
          <w:sz w:val="32"/>
          <w:szCs w:val="32"/>
        </w:rPr>
        <w:t>公共安全（类）公安（款）特别业务（项）</w:t>
      </w:r>
      <w:r>
        <w:rPr>
          <w:rStyle w:val="26"/>
          <w:rFonts w:ascii="仿宋" w:eastAsia="仿宋"/>
          <w:bCs/>
          <w:sz w:val="32"/>
          <w:szCs w:val="32"/>
        </w:rPr>
        <w:t>:</w:t>
      </w:r>
      <w:r>
        <w:rPr>
          <w:rStyle w:val="26"/>
          <w:rFonts w:ascii="仿宋" w:eastAsia="仿宋"/>
          <w:b w:val="0"/>
          <w:bCs/>
          <w:sz w:val="32"/>
          <w:szCs w:val="32"/>
        </w:rPr>
        <w:t xml:space="preserve"> </w:t>
      </w:r>
      <w:r>
        <w:rPr>
          <w:rStyle w:val="26"/>
          <w:rFonts w:ascii="仿宋" w:eastAsia="仿宋" w:hint="eastAsia"/>
          <w:b w:val="0"/>
          <w:bCs/>
          <w:sz w:val="32"/>
          <w:szCs w:val="32"/>
        </w:rPr>
        <w:t>支出决算为72.45万元，完成预算100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spacing w:line="560" w:lineRule="exact"/>
        <w:ind w:firstLineChars="200" w:firstLine="640"/>
        <w:rPr>
          <w:rStyle w:val="26"/>
          <w:rFonts w:ascii="仿宋" w:eastAsia="仿宋"/>
          <w:b w:val="0"/>
          <w:bCs/>
          <w:sz w:val="32"/>
          <w:szCs w:val="32"/>
        </w:rPr>
      </w:pPr>
      <w:r>
        <w:rPr>
          <w:rStyle w:val="26"/>
          <w:rFonts w:ascii="仿宋" w:eastAsia="仿宋"/>
          <w:bCs/>
          <w:sz w:val="32"/>
          <w:szCs w:val="32"/>
        </w:rPr>
        <w:t>4.</w:t>
      </w:r>
      <w:r>
        <w:rPr>
          <w:rStyle w:val="26"/>
          <w:rFonts w:ascii="仿宋" w:eastAsia="仿宋" w:hint="eastAsia"/>
          <w:bCs/>
          <w:color w:val="000000"/>
          <w:sz w:val="32"/>
          <w:szCs w:val="32"/>
        </w:rPr>
        <w:t>公共安全（类）公安（款）移民事务（项）</w:t>
      </w:r>
      <w:r>
        <w:rPr>
          <w:rStyle w:val="26"/>
          <w:rFonts w:ascii="仿宋" w:eastAsia="仿宋"/>
          <w:bCs/>
          <w:sz w:val="32"/>
          <w:szCs w:val="32"/>
        </w:rPr>
        <w:t>:</w:t>
      </w:r>
      <w:r>
        <w:rPr>
          <w:rStyle w:val="26"/>
          <w:rFonts w:ascii="仿宋" w:eastAsia="仿宋"/>
          <w:b w:val="0"/>
          <w:bCs/>
          <w:sz w:val="32"/>
          <w:szCs w:val="32"/>
        </w:rPr>
        <w:t xml:space="preserve"> </w:t>
      </w:r>
      <w:r>
        <w:rPr>
          <w:rStyle w:val="26"/>
          <w:rFonts w:ascii="仿宋" w:eastAsia="仿宋" w:hint="eastAsia"/>
          <w:b w:val="0"/>
          <w:bCs/>
          <w:sz w:val="32"/>
          <w:szCs w:val="32"/>
        </w:rPr>
        <w:t>支出决算为1.52万元，完成预算100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pStyle w:val="23"/>
        <w:spacing w:line="560" w:lineRule="exact"/>
        <w:ind w:leftChars="0" w:left="0" w:firstLineChars="200" w:firstLine="640"/>
      </w:pPr>
      <w:r>
        <w:rPr>
          <w:rStyle w:val="26"/>
          <w:rFonts w:ascii="仿宋" w:eastAsia="仿宋" w:hint="eastAsia"/>
          <w:bCs/>
          <w:szCs w:val="32"/>
        </w:rPr>
        <w:t>5</w:t>
      </w:r>
      <w:r>
        <w:rPr>
          <w:rStyle w:val="26"/>
          <w:rFonts w:ascii="仿宋" w:eastAsia="仿宋"/>
          <w:bCs/>
          <w:szCs w:val="32"/>
        </w:rPr>
        <w:t>.</w:t>
      </w:r>
      <w:r>
        <w:rPr>
          <w:rStyle w:val="26"/>
          <w:rFonts w:ascii="仿宋" w:eastAsia="仿宋" w:hint="eastAsia"/>
          <w:bCs/>
          <w:color w:val="000000"/>
          <w:szCs w:val="32"/>
        </w:rPr>
        <w:t>公共安全（类）公安（款）其他公安支出（项）</w:t>
      </w:r>
      <w:r>
        <w:rPr>
          <w:rStyle w:val="26"/>
          <w:rFonts w:ascii="仿宋" w:eastAsia="仿宋"/>
          <w:bCs/>
          <w:szCs w:val="32"/>
        </w:rPr>
        <w:t>:</w:t>
      </w:r>
      <w:r>
        <w:rPr>
          <w:rStyle w:val="26"/>
          <w:rFonts w:ascii="仿宋" w:eastAsia="仿宋"/>
          <w:b w:val="0"/>
          <w:bCs/>
          <w:szCs w:val="32"/>
        </w:rPr>
        <w:t xml:space="preserve"> </w:t>
      </w:r>
      <w:r>
        <w:rPr>
          <w:rStyle w:val="26"/>
          <w:rFonts w:ascii="仿宋" w:eastAsia="仿宋" w:hint="eastAsia"/>
          <w:b w:val="0"/>
          <w:bCs/>
          <w:szCs w:val="32"/>
        </w:rPr>
        <w:t>支出决算为523.93万元，完成预算100</w:t>
      </w:r>
      <w:r>
        <w:rPr>
          <w:rStyle w:val="26"/>
          <w:rFonts w:ascii="仿宋" w:eastAsia="仿宋"/>
          <w:b w:val="0"/>
          <w:bCs/>
          <w:szCs w:val="32"/>
        </w:rPr>
        <w:t>%</w:t>
      </w:r>
      <w:r>
        <w:rPr>
          <w:rStyle w:val="26"/>
          <w:rFonts w:ascii="仿宋" w:eastAsia="仿宋" w:hint="eastAsia"/>
          <w:b w:val="0"/>
          <w:bCs/>
          <w:szCs w:val="32"/>
        </w:rPr>
        <w:t>，</w:t>
      </w:r>
      <w:r>
        <w:rPr>
          <w:rStyle w:val="26"/>
          <w:rFonts w:ascii="仿宋" w:eastAsia="仿宋" w:hint="eastAsia"/>
          <w:b w:val="0"/>
          <w:bCs/>
          <w:color w:val="000000"/>
          <w:szCs w:val="32"/>
        </w:rPr>
        <w:t>决算数与预算数持平</w:t>
      </w:r>
      <w:r>
        <w:rPr>
          <w:rStyle w:val="26"/>
          <w:rFonts w:ascii="仿宋" w:eastAsia="仿宋" w:hint="eastAsia"/>
          <w:b w:val="0"/>
          <w:bCs/>
          <w:szCs w:val="32"/>
        </w:rPr>
        <w:t>。</w:t>
      </w:r>
    </w:p>
    <w:p>
      <w:pPr>
        <w:spacing w:line="560" w:lineRule="exact"/>
        <w:ind w:firstLineChars="200" w:firstLine="640"/>
        <w:rPr>
          <w:rFonts w:ascii="仿宋" w:eastAsia="仿宋"/>
          <w:b/>
          <w:sz w:val="32"/>
          <w:szCs w:val="32"/>
        </w:rPr>
      </w:pPr>
      <w:r>
        <w:rPr>
          <w:rStyle w:val="26"/>
          <w:rFonts w:ascii="仿宋" w:eastAsia="仿宋" w:hint="eastAsia"/>
          <w:bCs/>
          <w:sz w:val="32"/>
          <w:szCs w:val="32"/>
        </w:rPr>
        <w:t>6</w:t>
      </w:r>
      <w:r>
        <w:rPr>
          <w:rStyle w:val="26"/>
          <w:rFonts w:ascii="仿宋" w:eastAsia="仿宋"/>
          <w:bCs/>
          <w:sz w:val="32"/>
          <w:szCs w:val="32"/>
        </w:rPr>
        <w:t>.</w:t>
      </w:r>
      <w:r>
        <w:rPr>
          <w:rStyle w:val="26"/>
          <w:rFonts w:ascii="仿宋" w:eastAsia="仿宋" w:hint="eastAsia"/>
          <w:bCs/>
          <w:color w:val="000000"/>
          <w:sz w:val="32"/>
          <w:szCs w:val="32"/>
        </w:rPr>
        <w:t>社会保障和就业（类）行政事业单位离退休（款）机关事业单位基本养老保险缴费支出（项）</w:t>
      </w:r>
      <w:r>
        <w:rPr>
          <w:rStyle w:val="26"/>
          <w:rFonts w:ascii="仿宋" w:eastAsia="仿宋"/>
          <w:bCs/>
          <w:sz w:val="32"/>
          <w:szCs w:val="32"/>
        </w:rPr>
        <w:t>:</w:t>
      </w:r>
      <w:r>
        <w:rPr>
          <w:rStyle w:val="26"/>
          <w:rFonts w:ascii="仿宋" w:eastAsia="仿宋"/>
          <w:b w:val="0"/>
          <w:bCs/>
          <w:sz w:val="32"/>
          <w:szCs w:val="32"/>
        </w:rPr>
        <w:t xml:space="preserve"> </w:t>
      </w:r>
      <w:r>
        <w:rPr>
          <w:rStyle w:val="26"/>
          <w:rFonts w:ascii="仿宋" w:eastAsia="仿宋" w:hint="eastAsia"/>
          <w:b w:val="0"/>
          <w:bCs/>
          <w:sz w:val="32"/>
          <w:szCs w:val="32"/>
        </w:rPr>
        <w:t>支出决算为406.60万元，完成预算100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spacing w:line="560" w:lineRule="exact"/>
        <w:ind w:firstLineChars="200" w:firstLine="640"/>
        <w:rPr>
          <w:rStyle w:val="26"/>
          <w:rFonts w:ascii="仿宋" w:eastAsia="仿宋"/>
          <w:b w:val="0"/>
          <w:bCs/>
          <w:sz w:val="32"/>
          <w:szCs w:val="32"/>
        </w:rPr>
      </w:pPr>
      <w:r>
        <w:rPr>
          <w:rStyle w:val="26"/>
          <w:rFonts w:ascii="仿宋" w:eastAsia="仿宋" w:hint="eastAsia"/>
          <w:bCs/>
          <w:sz w:val="32"/>
          <w:szCs w:val="32"/>
        </w:rPr>
        <w:t>7</w:t>
      </w:r>
      <w:r>
        <w:rPr>
          <w:rStyle w:val="26"/>
          <w:rFonts w:ascii="仿宋" w:eastAsia="仿宋"/>
          <w:bCs/>
          <w:sz w:val="32"/>
          <w:szCs w:val="32"/>
        </w:rPr>
        <w:t>.</w:t>
      </w:r>
      <w:r>
        <w:rPr>
          <w:rStyle w:val="26"/>
          <w:rFonts w:ascii="仿宋" w:eastAsia="仿宋" w:hint="eastAsia"/>
          <w:bCs/>
          <w:color w:val="000000"/>
          <w:sz w:val="32"/>
          <w:szCs w:val="32"/>
        </w:rPr>
        <w:t>社会保障和就业（类）行政事业单位离退休（款）机关事业单位职业年金缴费支出（项）</w:t>
      </w:r>
      <w:r>
        <w:rPr>
          <w:rStyle w:val="26"/>
          <w:rFonts w:ascii="仿宋" w:eastAsia="仿宋"/>
          <w:bCs/>
          <w:sz w:val="32"/>
          <w:szCs w:val="32"/>
        </w:rPr>
        <w:t>:</w:t>
      </w:r>
      <w:r>
        <w:rPr>
          <w:rStyle w:val="26"/>
          <w:rFonts w:ascii="仿宋" w:eastAsia="仿宋" w:hint="eastAsia"/>
          <w:b w:val="0"/>
          <w:bCs/>
          <w:sz w:val="32"/>
          <w:szCs w:val="32"/>
        </w:rPr>
        <w:t>支出决算为203.30万元，完成预算100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spacing w:line="560" w:lineRule="exact"/>
        <w:ind w:firstLineChars="200" w:firstLine="640"/>
        <w:rPr>
          <w:rFonts w:eastAsia="仿宋_GB2312"/>
        </w:rPr>
      </w:pPr>
      <w:r>
        <w:rPr>
          <w:rStyle w:val="26"/>
          <w:rFonts w:ascii="仿宋" w:eastAsia="仿宋" w:hint="eastAsia"/>
          <w:bCs/>
          <w:sz w:val="32"/>
          <w:szCs w:val="32"/>
        </w:rPr>
        <w:t>8.</w:t>
      </w:r>
      <w:r>
        <w:rPr>
          <w:rStyle w:val="26"/>
          <w:rFonts w:ascii="仿宋_GB2312" w:eastAsia="仿宋_GB2312" w:cs="仿宋_GB2312" w:hint="eastAsia"/>
          <w:color w:val="000000"/>
          <w:sz w:val="32"/>
          <w:szCs w:val="32"/>
        </w:rPr>
        <w:t>社会保障和就业（类）退役军人管理事务（款）拥军优属</w:t>
      </w:r>
      <w:r>
        <w:rPr>
          <w:rStyle w:val="26"/>
          <w:rFonts w:ascii="仿宋" w:eastAsia="仿宋" w:hint="eastAsia"/>
          <w:bCs/>
          <w:color w:val="000000"/>
          <w:sz w:val="32"/>
          <w:szCs w:val="32"/>
        </w:rPr>
        <w:t>（项）</w:t>
      </w:r>
      <w:r>
        <w:rPr>
          <w:rStyle w:val="26"/>
          <w:rFonts w:ascii="仿宋" w:eastAsia="仿宋"/>
          <w:bCs/>
          <w:sz w:val="32"/>
          <w:szCs w:val="32"/>
        </w:rPr>
        <w:t>:</w:t>
      </w:r>
      <w:r>
        <w:rPr>
          <w:rStyle w:val="26"/>
          <w:rFonts w:ascii="仿宋" w:eastAsia="仿宋" w:hint="eastAsia"/>
          <w:b w:val="0"/>
          <w:bCs/>
          <w:sz w:val="32"/>
          <w:szCs w:val="32"/>
        </w:rPr>
        <w:t>支出决算为0.80万元，完成预算100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spacing w:line="560" w:lineRule="exact"/>
        <w:ind w:firstLineChars="200" w:firstLine="640"/>
        <w:rPr>
          <w:rFonts w:ascii="仿宋" w:eastAsia="仿宋"/>
          <w:b/>
          <w:sz w:val="32"/>
          <w:szCs w:val="32"/>
        </w:rPr>
      </w:pPr>
      <w:r>
        <w:rPr>
          <w:rStyle w:val="26"/>
          <w:rFonts w:ascii="仿宋" w:eastAsia="仿宋" w:hint="eastAsia"/>
          <w:bCs/>
          <w:sz w:val="32"/>
          <w:szCs w:val="32"/>
        </w:rPr>
        <w:t>9</w:t>
      </w:r>
      <w:r>
        <w:rPr>
          <w:rStyle w:val="26"/>
          <w:rFonts w:ascii="仿宋" w:eastAsia="仿宋"/>
          <w:bCs/>
          <w:sz w:val="32"/>
          <w:szCs w:val="32"/>
        </w:rPr>
        <w:t>.</w:t>
      </w:r>
      <w:r>
        <w:rPr>
          <w:rFonts w:ascii="仿宋_GB2312" w:eastAsia="仿宋_GB2312" w:cs="仿宋_GB2312" w:hint="eastAsia"/>
          <w:b/>
          <w:bCs/>
          <w:color w:val="000000"/>
          <w:sz w:val="32"/>
          <w:szCs w:val="32"/>
        </w:rPr>
        <w:t>卫生健康</w:t>
      </w:r>
      <w:r>
        <w:rPr>
          <w:rStyle w:val="26"/>
          <w:rFonts w:ascii="仿宋_GB2312" w:eastAsia="仿宋_GB2312" w:cs="仿宋_GB2312" w:hint="eastAsia"/>
          <w:color w:val="000000"/>
          <w:sz w:val="32"/>
          <w:szCs w:val="32"/>
        </w:rPr>
        <w:t>（类）公共卫生（款）重大公共卫生服务（项）</w:t>
      </w:r>
      <w:r>
        <w:rPr>
          <w:rStyle w:val="26"/>
          <w:rFonts w:ascii="仿宋" w:eastAsia="仿宋"/>
          <w:bCs/>
          <w:sz w:val="32"/>
          <w:szCs w:val="32"/>
        </w:rPr>
        <w:t>:</w:t>
      </w:r>
      <w:r>
        <w:rPr>
          <w:rStyle w:val="26"/>
          <w:rFonts w:ascii="仿宋" w:eastAsia="仿宋" w:hint="eastAsia"/>
          <w:b w:val="0"/>
          <w:bCs/>
          <w:sz w:val="32"/>
          <w:szCs w:val="32"/>
        </w:rPr>
        <w:t>支出决算为4万元，完成预算100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spacing w:line="560" w:lineRule="exact"/>
        <w:ind w:firstLine="640"/>
        <w:rPr>
          <w:rStyle w:val="26"/>
          <w:rFonts w:ascii="仿宋" w:eastAsia="仿宋"/>
          <w:b w:val="0"/>
          <w:bCs/>
          <w:sz w:val="32"/>
          <w:szCs w:val="32"/>
        </w:rPr>
      </w:pPr>
      <w:r>
        <w:rPr>
          <w:rStyle w:val="26"/>
          <w:rFonts w:ascii="仿宋" w:eastAsia="仿宋" w:hint="eastAsia"/>
          <w:bCs/>
          <w:sz w:val="32"/>
          <w:szCs w:val="32"/>
        </w:rPr>
        <w:t>10</w:t>
      </w:r>
      <w:r>
        <w:rPr>
          <w:rStyle w:val="26"/>
          <w:rFonts w:ascii="仿宋" w:eastAsia="仿宋"/>
          <w:bCs/>
          <w:sz w:val="32"/>
          <w:szCs w:val="32"/>
        </w:rPr>
        <w:t>.</w:t>
      </w:r>
      <w:r>
        <w:rPr>
          <w:rStyle w:val="26"/>
          <w:rFonts w:ascii="仿宋" w:eastAsia="仿宋" w:hint="eastAsia"/>
          <w:bCs/>
          <w:color w:val="000000"/>
          <w:sz w:val="32"/>
          <w:szCs w:val="32"/>
        </w:rPr>
        <w:t>卫生健康（类）行政事业单位医疗（款）行政单位医疗（项）</w:t>
      </w:r>
      <w:r>
        <w:rPr>
          <w:rStyle w:val="26"/>
          <w:rFonts w:ascii="仿宋" w:eastAsia="仿宋"/>
          <w:bCs/>
          <w:sz w:val="32"/>
          <w:szCs w:val="32"/>
        </w:rPr>
        <w:t>:</w:t>
      </w:r>
      <w:r>
        <w:rPr>
          <w:rStyle w:val="26"/>
          <w:rFonts w:ascii="仿宋" w:eastAsia="仿宋" w:hint="eastAsia"/>
          <w:b w:val="0"/>
          <w:bCs/>
          <w:sz w:val="32"/>
          <w:szCs w:val="32"/>
        </w:rPr>
        <w:t>支出决算为283.98万元，完成预算100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spacing w:line="560" w:lineRule="exact"/>
        <w:ind w:firstLine="640"/>
        <w:rPr>
          <w:rStyle w:val="26"/>
          <w:rFonts w:ascii="仿宋" w:eastAsia="仿宋"/>
          <w:b w:val="0"/>
          <w:bCs/>
          <w:sz w:val="32"/>
          <w:szCs w:val="32"/>
        </w:rPr>
      </w:pPr>
      <w:r>
        <w:rPr>
          <w:rStyle w:val="26"/>
          <w:rFonts w:ascii="仿宋" w:eastAsia="仿宋" w:hint="eastAsia"/>
          <w:bCs/>
          <w:sz w:val="32"/>
          <w:szCs w:val="32"/>
        </w:rPr>
        <w:t>11</w:t>
      </w:r>
      <w:r>
        <w:rPr>
          <w:rStyle w:val="26"/>
          <w:rFonts w:ascii="仿宋" w:eastAsia="仿宋"/>
          <w:bCs/>
          <w:sz w:val="32"/>
          <w:szCs w:val="32"/>
        </w:rPr>
        <w:t>.</w:t>
      </w:r>
      <w:r>
        <w:rPr>
          <w:rFonts w:ascii="仿宋_GB2312" w:eastAsia="仿宋_GB2312" w:cs="仿宋_GB2312" w:hint="eastAsia"/>
          <w:b/>
          <w:bCs/>
          <w:color w:val="000000"/>
          <w:sz w:val="32"/>
          <w:szCs w:val="32"/>
        </w:rPr>
        <w:t>住房保障支出</w:t>
      </w:r>
      <w:r>
        <w:rPr>
          <w:rStyle w:val="26"/>
          <w:rFonts w:ascii="仿宋_GB2312" w:eastAsia="仿宋_GB2312" w:cs="仿宋_GB2312" w:hint="eastAsia"/>
          <w:color w:val="000000"/>
          <w:sz w:val="32"/>
          <w:szCs w:val="32"/>
        </w:rPr>
        <w:t>（类）住房改革支出（款）住房公积金（项）</w:t>
      </w:r>
      <w:r>
        <w:rPr>
          <w:rStyle w:val="26"/>
          <w:rFonts w:ascii="仿宋" w:eastAsia="仿宋"/>
          <w:bCs/>
          <w:sz w:val="32"/>
          <w:szCs w:val="32"/>
        </w:rPr>
        <w:t>:</w:t>
      </w:r>
      <w:r>
        <w:rPr>
          <w:rStyle w:val="26"/>
          <w:rFonts w:ascii="仿宋" w:eastAsia="仿宋" w:hint="eastAsia"/>
          <w:b w:val="0"/>
          <w:bCs/>
          <w:sz w:val="32"/>
          <w:szCs w:val="32"/>
        </w:rPr>
        <w:t>支出决算为358.09万元，完成预算100</w:t>
      </w:r>
      <w:r>
        <w:rPr>
          <w:rStyle w:val="26"/>
          <w:rFonts w:ascii="仿宋" w:eastAsia="仿宋"/>
          <w:b w:val="0"/>
          <w:bCs/>
          <w:sz w:val="32"/>
          <w:szCs w:val="32"/>
        </w:rPr>
        <w:t>%</w:t>
      </w:r>
      <w:r>
        <w:rPr>
          <w:rStyle w:val="26"/>
          <w:rFonts w:ascii="仿宋" w:eastAsia="仿宋" w:hint="eastAsia"/>
          <w:b w:val="0"/>
          <w:bCs/>
          <w:sz w:val="32"/>
          <w:szCs w:val="32"/>
        </w:rPr>
        <w:t>，</w:t>
      </w:r>
      <w:r>
        <w:rPr>
          <w:rStyle w:val="26"/>
          <w:rFonts w:ascii="仿宋" w:eastAsia="仿宋" w:hint="eastAsia"/>
          <w:b w:val="0"/>
          <w:bCs/>
          <w:color w:val="000000"/>
          <w:sz w:val="32"/>
          <w:szCs w:val="32"/>
        </w:rPr>
        <w:t>决算数与预算数持平</w:t>
      </w:r>
      <w:r>
        <w:rPr>
          <w:rStyle w:val="26"/>
          <w:rFonts w:ascii="仿宋" w:eastAsia="仿宋" w:hint="eastAsia"/>
          <w:b w:val="0"/>
          <w:bCs/>
          <w:sz w:val="32"/>
          <w:szCs w:val="32"/>
        </w:rPr>
        <w:t>。</w:t>
      </w:r>
    </w:p>
    <w:p>
      <w:pPr>
        <w:pStyle w:val="23"/>
        <w:spacing w:line="560" w:lineRule="exact"/>
        <w:ind w:leftChars="0" w:left="0" w:firstLineChars="200" w:firstLine="640"/>
        <w:rPr>
          <w:rFonts w:ascii="仿宋" w:eastAsia="仿宋"/>
          <w:b/>
          <w:szCs w:val="32"/>
        </w:rPr>
      </w:pPr>
      <w:r>
        <w:rPr>
          <w:rStyle w:val="26"/>
          <w:rFonts w:ascii="仿宋" w:eastAsia="仿宋" w:hint="eastAsia"/>
          <w:bCs/>
          <w:szCs w:val="32"/>
        </w:rPr>
        <w:t>12</w:t>
      </w:r>
      <w:r>
        <w:rPr>
          <w:rStyle w:val="26"/>
          <w:rFonts w:ascii="仿宋" w:eastAsia="仿宋"/>
          <w:bCs/>
          <w:szCs w:val="32"/>
        </w:rPr>
        <w:t>.</w:t>
      </w:r>
      <w:r>
        <w:rPr>
          <w:rFonts w:ascii="仿宋_GB2312" w:eastAsia="仿宋_GB2312" w:cs="仿宋_GB2312" w:hint="eastAsia"/>
          <w:b/>
          <w:bCs/>
          <w:color w:val="000000"/>
          <w:szCs w:val="32"/>
        </w:rPr>
        <w:t>住房保障支出</w:t>
      </w:r>
      <w:r>
        <w:rPr>
          <w:rStyle w:val="26"/>
          <w:rFonts w:ascii="仿宋_GB2312" w:eastAsia="仿宋_GB2312" w:cs="仿宋_GB2312" w:hint="eastAsia"/>
          <w:color w:val="000000"/>
          <w:szCs w:val="32"/>
        </w:rPr>
        <w:t>（类）住房改革支出（款）购房补贴（项）</w:t>
      </w:r>
      <w:r>
        <w:rPr>
          <w:rStyle w:val="26"/>
          <w:rFonts w:ascii="仿宋" w:eastAsia="仿宋"/>
          <w:bCs/>
          <w:szCs w:val="32"/>
        </w:rPr>
        <w:t>:</w:t>
      </w:r>
      <w:r>
        <w:rPr>
          <w:rStyle w:val="26"/>
          <w:rFonts w:ascii="仿宋" w:eastAsia="仿宋" w:hint="eastAsia"/>
          <w:b w:val="0"/>
          <w:bCs/>
          <w:szCs w:val="32"/>
        </w:rPr>
        <w:t>支出决算为3.65万元，完成预算100</w:t>
      </w:r>
      <w:r>
        <w:rPr>
          <w:rStyle w:val="26"/>
          <w:rFonts w:ascii="仿宋" w:eastAsia="仿宋"/>
          <w:b w:val="0"/>
          <w:bCs/>
          <w:szCs w:val="32"/>
        </w:rPr>
        <w:t>%</w:t>
      </w:r>
      <w:r>
        <w:rPr>
          <w:rStyle w:val="26"/>
          <w:rFonts w:ascii="仿宋" w:eastAsia="仿宋" w:hint="eastAsia"/>
          <w:b w:val="0"/>
          <w:bCs/>
          <w:szCs w:val="32"/>
        </w:rPr>
        <w:t>，</w:t>
      </w:r>
      <w:r>
        <w:rPr>
          <w:rStyle w:val="26"/>
          <w:rFonts w:ascii="仿宋" w:eastAsia="仿宋" w:hint="eastAsia"/>
          <w:b w:val="0"/>
          <w:bCs/>
          <w:color w:val="000000"/>
          <w:szCs w:val="32"/>
        </w:rPr>
        <w:t>决算数与预算数持平</w:t>
      </w:r>
      <w:r>
        <w:rPr>
          <w:rStyle w:val="26"/>
          <w:rFonts w:ascii="仿宋" w:eastAsia="仿宋" w:hint="eastAsia"/>
          <w:b w:val="0"/>
          <w:bCs/>
          <w:szCs w:val="32"/>
        </w:rPr>
        <w:t>。</w:t>
      </w:r>
    </w:p>
    <w:p>
      <w:pPr>
        <w:tabs>
          <w:tab w:val="right" w:pos="8306"/>
        </w:tabs>
        <w:spacing w:line="560" w:lineRule="exact"/>
        <w:ind w:firstLine="640"/>
        <w:outlineLvl w:val="1"/>
        <w:rPr>
          <w:rStyle w:val="2Char"/>
        </w:rPr>
      </w:pPr>
      <w:bookmarkStart w:id="41" w:name="_Toc8666"/>
      <w:bookmarkStart w:id="42" w:name="_Toc15377214"/>
      <w:bookmarkStart w:id="43" w:name="_Toc15396608"/>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41"/>
      <w:bookmarkEnd w:id="42"/>
      <w:bookmarkEnd w:id="43"/>
      <w:r>
        <w:rPr>
          <w:rStyle w:val="2Char"/>
          <w:rFonts w:ascii="黑体" w:eastAsia="黑体"/>
          <w:b w:val="0"/>
        </w:rPr>
        <w:tab/>
      </w:r>
    </w:p>
    <w:p>
      <w:pPr>
        <w:spacing w:line="560" w:lineRule="exact"/>
        <w:ind w:firstLine="645"/>
        <w:rPr>
          <w:rFonts w:ascii="仿宋" w:eastAsia="仿宋"/>
          <w:sz w:val="32"/>
          <w:szCs w:val="32"/>
        </w:rPr>
      </w:pPr>
      <w:r>
        <w:rPr>
          <w:rFonts w:ascii="仿宋" w:eastAsia="仿宋" w:hint="eastAsia"/>
          <w:sz w:val="32"/>
          <w:szCs w:val="32"/>
        </w:rPr>
        <w:t>2023年度一般公共预算财政拨款基本支出6198.48万元，其中：</w:t>
      </w:r>
    </w:p>
    <w:p>
      <w:pPr>
        <w:spacing w:line="560" w:lineRule="exact"/>
        <w:ind w:firstLine="645"/>
        <w:rPr>
          <w:rFonts w:ascii="仿宋" w:eastAsia="仿宋"/>
          <w:sz w:val="32"/>
          <w:szCs w:val="32"/>
        </w:rPr>
      </w:pPr>
      <w:r>
        <w:rPr>
          <w:rFonts w:ascii="仿宋" w:eastAsia="仿宋" w:hint="eastAsia"/>
          <w:sz w:val="32"/>
          <w:szCs w:val="32"/>
        </w:rPr>
        <w:t>人员经费5754.08万元，主要包括：基本工资861.39万元、津贴补贴1315.25万元、奖金1021.00万元、机关事业单位基本养老保险缴费406.60万元、职业年金缴费203.30万元、职工基本医疗保险缴费283.98万元、其他社会保障缴费78.11万元、其他工资福利支出1128.62万元、抚恤金21.41万元、生活补助44.04万元、医疗费补助0.11万元、奖励金0.17万元、住房公积金358.09万元、医疗费32.01万元等。</w:t>
      </w:r>
      <w:r>
        <w:rPr>
          <w:rFonts w:ascii="仿宋" w:eastAsia="仿宋"/>
          <w:sz w:val="32"/>
          <w:szCs w:val="32"/>
        </w:rPr>
        <w:br/>
      </w:r>
      <w:r>
        <w:rPr>
          <w:rFonts w:ascii="仿宋" w:eastAsia="仿宋" w:hint="eastAsia"/>
          <w:sz w:val="32"/>
          <w:szCs w:val="32"/>
        </w:rPr>
        <w:t>　　公用经费444.4万元，主要包括：办公费198.53万元、水费4.98万元、电费59.38万元、维修（护）费40.00万元、公务接待费4.50万元、劳务费87万元、公务用车运行维护费50.00万元等。</w:t>
      </w:r>
    </w:p>
    <w:p>
      <w:pPr>
        <w:spacing w:line="560" w:lineRule="exact"/>
        <w:ind w:firstLine="640"/>
        <w:outlineLvl w:val="1"/>
        <w:rPr>
          <w:rStyle w:val="2Char"/>
          <w:rFonts w:ascii="黑体" w:eastAsia="黑体"/>
          <w:b w:val="0"/>
        </w:rPr>
      </w:pPr>
      <w:bookmarkStart w:id="44" w:name="_Toc15377215"/>
      <w:bookmarkStart w:id="45" w:name="_Toc15396609"/>
      <w:bookmarkStart w:id="46" w:name="_Toc9005"/>
      <w:r>
        <w:rPr>
          <w:rFonts w:ascii="黑体" w:eastAsia="黑体" w:hint="eastAsia"/>
          <w:sz w:val="32"/>
          <w:szCs w:val="32"/>
        </w:rPr>
        <w:t>七、</w:t>
      </w:r>
      <w:r>
        <w:rPr>
          <w:rStyle w:val="2Char"/>
          <w:rFonts w:ascii="黑体" w:eastAsia="黑体" w:hint="eastAsia"/>
          <w:b w:val="0"/>
        </w:rPr>
        <w:t>财政拨款</w:t>
      </w:r>
      <w:r>
        <w:rPr>
          <w:rStyle w:val="2Char"/>
          <w:rFonts w:ascii="黑体" w:eastAsia="黑体" w:hint="eastAsia"/>
        </w:rPr>
        <w:t>“</w:t>
      </w:r>
      <w:r>
        <w:rPr>
          <w:rStyle w:val="2Char"/>
          <w:rFonts w:ascii="黑体" w:eastAsia="黑体" w:hint="eastAsia"/>
          <w:b w:val="0"/>
        </w:rPr>
        <w:t>三公”经费支出决算情况说明</w:t>
      </w:r>
      <w:bookmarkEnd w:id="44"/>
      <w:bookmarkEnd w:id="45"/>
      <w:bookmarkEnd w:id="46"/>
    </w:p>
    <w:p>
      <w:pPr>
        <w:spacing w:line="560" w:lineRule="exact"/>
        <w:ind w:firstLine="640"/>
        <w:outlineLvl w:val="2"/>
        <w:rPr>
          <w:rFonts w:ascii="仿宋" w:eastAsia="仿宋"/>
          <w:b/>
          <w:sz w:val="32"/>
          <w:szCs w:val="32"/>
        </w:rPr>
      </w:pPr>
      <w:bookmarkStart w:id="47" w:name="_Toc15377216"/>
      <w:r>
        <w:rPr>
          <w:rFonts w:ascii="仿宋" w:eastAsia="仿宋" w:hint="eastAsia"/>
          <w:b/>
          <w:sz w:val="32"/>
          <w:szCs w:val="32"/>
        </w:rPr>
        <w:t>（一）“三公”经费财政拨款支出决算总体情况说明</w:t>
      </w:r>
      <w:bookmarkEnd w:id="47"/>
    </w:p>
    <w:p>
      <w:pPr>
        <w:spacing w:line="560" w:lineRule="exact"/>
        <w:ind w:firstLine="640"/>
        <w:rPr>
          <w:rFonts w:ascii="仿宋" w:eastAsia="仿宋"/>
          <w:sz w:val="32"/>
          <w:szCs w:val="32"/>
        </w:rPr>
      </w:pPr>
      <w:r>
        <w:rPr>
          <w:rFonts w:ascii="仿宋" w:eastAsia="仿宋" w:hint="eastAsia"/>
          <w:sz w:val="32"/>
          <w:szCs w:val="32"/>
        </w:rPr>
        <w:t>2023年度“三公”经费财政拨款支出决算为</w:t>
      </w:r>
      <w:r>
        <w:rPr>
          <w:rFonts w:ascii="仿宋_GB2312" w:eastAsia="仿宋_GB2312" w:hint="eastAsia"/>
          <w:sz w:val="32"/>
          <w:szCs w:val="32"/>
        </w:rPr>
        <w:t>325.24</w:t>
      </w:r>
      <w:r>
        <w:rPr>
          <w:rFonts w:ascii="仿宋" w:eastAsia="仿宋" w:hint="eastAsia"/>
          <w:sz w:val="32"/>
          <w:szCs w:val="32"/>
        </w:rPr>
        <w:t>万元，完成预算100</w:t>
      </w:r>
      <w:r>
        <w:rPr>
          <w:rFonts w:ascii="仿宋" w:eastAsia="仿宋"/>
          <w:sz w:val="32"/>
          <w:szCs w:val="32"/>
        </w:rPr>
        <w:t>%</w:t>
      </w:r>
      <w:r>
        <w:rPr>
          <w:rFonts w:ascii="仿宋" w:eastAsia="仿宋" w:hint="eastAsia"/>
          <w:sz w:val="32"/>
          <w:szCs w:val="32"/>
        </w:rPr>
        <w:t>，较上年度增加176.96万元，增长119.34%。决算数与预算数持平，较上年增长</w:t>
      </w:r>
      <w:r>
        <w:rPr>
          <w:rFonts w:ascii="仿宋_GB2312" w:eastAsia="仿宋_GB2312" w:hint="eastAsia"/>
          <w:sz w:val="32"/>
          <w:szCs w:val="32"/>
        </w:rPr>
        <w:t>主要原因为本年度新购置执法执勤车辆</w:t>
      </w:r>
      <w:r>
        <w:rPr>
          <w:rFonts w:ascii="仿宋" w:eastAsia="仿宋" w:hint="eastAsia"/>
          <w:sz w:val="32"/>
          <w:szCs w:val="32"/>
        </w:rPr>
        <w:t>。</w:t>
      </w:r>
    </w:p>
    <w:p>
      <w:pPr>
        <w:spacing w:line="560" w:lineRule="exact"/>
        <w:ind w:firstLine="640"/>
        <w:outlineLvl w:val="2"/>
        <w:rPr>
          <w:rFonts w:ascii="仿宋" w:eastAsia="仿宋"/>
          <w:b/>
          <w:sz w:val="32"/>
          <w:szCs w:val="32"/>
        </w:rPr>
      </w:pPr>
      <w:bookmarkStart w:id="48" w:name="_Toc15377217"/>
      <w:r>
        <w:rPr>
          <w:rFonts w:ascii="仿宋" w:eastAsia="仿宋" w:hint="eastAsia"/>
          <w:b/>
          <w:sz w:val="32"/>
          <w:szCs w:val="32"/>
        </w:rPr>
        <w:t>（二）“三公”经费财政拨款支出决算具体情况说明</w:t>
      </w:r>
      <w:bookmarkEnd w:id="48"/>
    </w:p>
    <w:p>
      <w:pPr>
        <w:spacing w:line="560" w:lineRule="exact"/>
        <w:ind w:firstLine="640"/>
        <w:rPr>
          <w:rFonts w:ascii="仿宋" w:eastAsia="仿宋"/>
          <w:sz w:val="32"/>
          <w:szCs w:val="32"/>
        </w:rPr>
      </w:pPr>
      <w:r>
        <w:rPr>
          <w:rFonts w:ascii="仿宋" w:eastAsia="仿宋" w:hint="eastAsia"/>
          <w:sz w:val="32"/>
          <w:szCs w:val="32"/>
        </w:rPr>
        <w:t>2023年度“三公”经费财政拨款支出决算中，因公出国（境）费支出决算0万元；公务用车购置及运行维护费支出决算320.74万元，占98.62</w:t>
      </w:r>
      <w:r>
        <w:rPr>
          <w:rFonts w:ascii="仿宋" w:eastAsia="仿宋"/>
          <w:sz w:val="32"/>
          <w:szCs w:val="32"/>
        </w:rPr>
        <w:t>%</w:t>
      </w:r>
      <w:r>
        <w:rPr>
          <w:rFonts w:ascii="仿宋" w:eastAsia="仿宋" w:hint="eastAsia"/>
          <w:sz w:val="32"/>
          <w:szCs w:val="32"/>
        </w:rPr>
        <w:t>；公务接待费支出决算4.5万元，占1.38</w:t>
      </w:r>
      <w:r>
        <w:rPr>
          <w:rFonts w:ascii="仿宋" w:eastAsia="仿宋"/>
          <w:sz w:val="32"/>
          <w:szCs w:val="32"/>
        </w:rPr>
        <w:t>%</w:t>
      </w:r>
      <w:r>
        <w:rPr>
          <w:rFonts w:ascii="仿宋" w:eastAsia="仿宋" w:hint="eastAsia"/>
          <w:sz w:val="32"/>
          <w:szCs w:val="32"/>
        </w:rPr>
        <w:t>。具体情况如下：</w:t>
      </w:r>
    </w:p>
    <w:p>
      <w:pPr>
        <w:pStyle w:val="15"/>
        <w:jc w:val="center"/>
      </w:pPr>
      <w:r>
        <w:drawing>
          <wp:inline distT="0" distB="0" distL="114300" distR="114300">
            <wp:extent cx="4831080" cy="2743200"/>
            <wp:effectExtent l="0" t="0" r="0" b="0"/>
            <wp:docPr id="9" name="图表 10"/>
            <wp:cNvGraphicFramePr>
              <a:graphicFrameLocks noChangeAspect="1"/>
            </wp:cNvGraphicFramePr>
            <a:graphic>
              <a:graphicData uri="http://schemas.openxmlformats.org/drawingml/2006/chart">
                <c:chart xmlns:c="http://schemas.openxmlformats.org/drawingml/2006/chart" r:id="rId10"/>
              </a:graphicData>
            </a:graphic>
          </wp:inline>
        </w:drawing>
      </w:r>
    </w:p>
    <w:p>
      <w:pPr>
        <w:spacing w:line="560" w:lineRule="exact"/>
        <w:ind w:firstLineChars="200" w:firstLine="640"/>
        <w:rPr>
          <w:rStyle w:val="26"/>
          <w:rFonts w:ascii="仿宋_GB2312" w:eastAsia="仿宋_GB2312" w:cs="仿宋_GB2312"/>
          <w:b w:val="0"/>
          <w:color w:val="000000"/>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0万元</w:t>
      </w:r>
      <w:r>
        <w:rPr>
          <w:rStyle w:val="26"/>
          <w:rFonts w:ascii="仿宋" w:eastAsia="仿宋" w:hint="eastAsia"/>
          <w:b w:val="0"/>
          <w:bCs/>
          <w:sz w:val="32"/>
          <w:szCs w:val="32"/>
        </w:rPr>
        <w:t>。</w:t>
      </w:r>
      <w:r>
        <w:rPr>
          <w:rFonts w:ascii="仿宋_GB2312" w:eastAsia="仿宋_GB2312" w:hint="eastAsia"/>
          <w:sz w:val="32"/>
          <w:szCs w:val="32"/>
        </w:rPr>
        <w:t>全年安排因公出国（境）团组0次，出国（境）0人。</w:t>
      </w:r>
      <w:r>
        <w:rPr>
          <w:rStyle w:val="26"/>
          <w:rFonts w:ascii="仿宋_GB2312" w:eastAsia="仿宋_GB2312" w:cs="仿宋_GB2312" w:hint="eastAsia"/>
          <w:b w:val="0"/>
          <w:color w:val="000000"/>
          <w:sz w:val="32"/>
          <w:szCs w:val="32"/>
        </w:rPr>
        <w:t>2022年和2023年均无因公出国（境）支出。</w:t>
      </w:r>
    </w:p>
    <w:p>
      <w:pPr>
        <w:spacing w:line="56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rPr>
        <w:t>320.74万元,</w:t>
      </w:r>
      <w:r>
        <w:rPr>
          <w:rFonts w:ascii="仿宋_GB2312" w:eastAsia="仿宋_GB2312" w:hint="eastAsia"/>
          <w:color w:val="000000"/>
          <w:sz w:val="32"/>
          <w:szCs w:val="32"/>
        </w:rPr>
        <w:t>（其中：公务用车购置198.24元，务用车运行维护费122.50万元）</w:t>
      </w:r>
      <w:r>
        <w:rPr>
          <w:rStyle w:val="26"/>
          <w:rFonts w:ascii="仿宋" w:eastAsia="仿宋" w:hint="eastAsia"/>
          <w:b w:val="0"/>
          <w:bCs/>
          <w:sz w:val="32"/>
          <w:szCs w:val="32"/>
        </w:rPr>
        <w:t>完成预算100</w:t>
      </w:r>
      <w:r>
        <w:rPr>
          <w:rStyle w:val="26"/>
          <w:rFonts w:ascii="仿宋" w:eastAsia="仿宋"/>
          <w:b w:val="0"/>
          <w:bCs/>
          <w:sz w:val="32"/>
          <w:szCs w:val="32"/>
        </w:rPr>
        <w:t>%</w:t>
      </w:r>
      <w:r>
        <w:rPr>
          <w:rStyle w:val="26"/>
          <w:rFonts w:ascii="仿宋" w:eastAsia="仿宋" w:hint="eastAsia"/>
          <w:b w:val="0"/>
          <w:bCs/>
          <w:sz w:val="32"/>
          <w:szCs w:val="32"/>
        </w:rPr>
        <w:t>。</w:t>
      </w:r>
      <w:r>
        <w:rPr>
          <w:rFonts w:ascii="仿宋_GB2312" w:eastAsia="仿宋_GB2312" w:hint="eastAsia"/>
          <w:sz w:val="32"/>
          <w:szCs w:val="32"/>
        </w:rPr>
        <w:t>公务用车购置及运行维护费支出决算比2022年度增加183.32万元，增长133.40</w:t>
      </w:r>
      <w:r>
        <w:rPr>
          <w:rFonts w:ascii="仿宋_GB2312" w:eastAsia="仿宋_GB2312"/>
          <w:sz w:val="32"/>
          <w:szCs w:val="32"/>
        </w:rPr>
        <w:t>%</w:t>
      </w:r>
      <w:r>
        <w:rPr>
          <w:rFonts w:ascii="仿宋_GB2312" w:eastAsia="仿宋_GB2312" w:hint="eastAsia"/>
          <w:sz w:val="32"/>
          <w:szCs w:val="32"/>
        </w:rPr>
        <w:t>。主要原因是主要原因为本年度新购置执法执勤车辆。</w:t>
      </w:r>
    </w:p>
    <w:p>
      <w:pPr>
        <w:spacing w:line="56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198.24万元。全年按规定更新购置公务用车8辆，其中：轿车0辆、金额0万元，越野车0辆、金额0万元，载客汽车0辆、金额0万元，其他车辆8辆，金额198.24万元，主要用于执法执勤。截至2023年</w:t>
      </w:r>
      <w:r>
        <w:rPr>
          <w:rFonts w:ascii="仿宋_GB2312" w:eastAsia="仿宋_GB2312"/>
          <w:sz w:val="32"/>
          <w:szCs w:val="32"/>
        </w:rPr>
        <w:t>12</w:t>
      </w:r>
      <w:r>
        <w:rPr>
          <w:rFonts w:ascii="仿宋_GB2312" w:eastAsia="仿宋_GB2312" w:hint="eastAsia"/>
          <w:sz w:val="32"/>
          <w:szCs w:val="32"/>
        </w:rPr>
        <w:t>月31日，单位共有执法执勤用车70辆，其中：轿车1辆、越野车3辆、载客汽车2辆。</w:t>
      </w:r>
    </w:p>
    <w:p>
      <w:pPr>
        <w:spacing w:line="56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hint="eastAsia"/>
          <w:sz w:val="32"/>
          <w:szCs w:val="32"/>
        </w:rPr>
        <w:t>122.5万元。主要用于</w:t>
      </w:r>
      <w:r>
        <w:rPr>
          <w:rFonts w:ascii="仿宋_GB2312" w:eastAsia="仿宋_GB2312" w:hint="eastAsia"/>
          <w:color w:val="000000"/>
          <w:sz w:val="32"/>
          <w:szCs w:val="32"/>
        </w:rPr>
        <w:t>主要用于</w:t>
      </w:r>
      <w:r>
        <w:rPr>
          <w:rFonts w:ascii="仿宋_GB2312" w:eastAsia="仿宋_GB2312" w:cs="仿宋_GB2312" w:hint="eastAsia"/>
          <w:color w:val="000000"/>
          <w:sz w:val="32"/>
          <w:szCs w:val="32"/>
        </w:rPr>
        <w:t>日常业务、办案、处突、巡逻、执勤、安保、出差等所需的公务用车燃料费、维修费、过路过桥费、保险费等支出。</w:t>
      </w:r>
    </w:p>
    <w:p>
      <w:pPr>
        <w:spacing w:line="56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4.5万元，</w:t>
      </w:r>
      <w:r>
        <w:rPr>
          <w:rStyle w:val="26"/>
          <w:rFonts w:ascii="仿宋" w:eastAsia="仿宋" w:hint="eastAsia"/>
          <w:b w:val="0"/>
          <w:bCs/>
          <w:sz w:val="32"/>
          <w:szCs w:val="32"/>
        </w:rPr>
        <w:t>完成预算100</w:t>
      </w:r>
      <w:r>
        <w:rPr>
          <w:rStyle w:val="26"/>
          <w:rFonts w:ascii="仿宋" w:eastAsia="仿宋"/>
          <w:b w:val="0"/>
          <w:bCs/>
          <w:sz w:val="32"/>
          <w:szCs w:val="32"/>
        </w:rPr>
        <w:t>%</w:t>
      </w:r>
      <w:r>
        <w:rPr>
          <w:rStyle w:val="26"/>
          <w:rFonts w:ascii="仿宋" w:eastAsia="仿宋" w:hint="eastAsia"/>
          <w:b w:val="0"/>
          <w:bCs/>
          <w:sz w:val="32"/>
          <w:szCs w:val="32"/>
        </w:rPr>
        <w:t>。</w:t>
      </w:r>
      <w:r>
        <w:rPr>
          <w:rFonts w:ascii="仿宋_GB2312" w:eastAsia="仿宋_GB2312" w:hint="eastAsia"/>
          <w:sz w:val="32"/>
          <w:szCs w:val="32"/>
        </w:rPr>
        <w:t>公务接待费支出决算比2022年度增减少6.36万元，下降58.56</w:t>
      </w:r>
      <w:r>
        <w:rPr>
          <w:rFonts w:ascii="仿宋_GB2312" w:eastAsia="仿宋_GB2312"/>
          <w:sz w:val="32"/>
          <w:szCs w:val="32"/>
        </w:rPr>
        <w:t>%</w:t>
      </w:r>
      <w:r>
        <w:rPr>
          <w:rFonts w:ascii="仿宋_GB2312" w:eastAsia="仿宋_GB2312" w:hint="eastAsia"/>
          <w:sz w:val="32"/>
          <w:szCs w:val="32"/>
        </w:rPr>
        <w:t>。主要原因是响应政府过紧日子号召，厉行节约。其中：</w:t>
      </w:r>
    </w:p>
    <w:p>
      <w:pPr>
        <w:spacing w:line="560" w:lineRule="exact"/>
        <w:ind w:firstLine="640"/>
        <w:rPr>
          <w:rFonts w:ascii="仿宋_GB2312" w:eastAsia="仿宋_GB2312"/>
          <w:sz w:val="32"/>
          <w:szCs w:val="32"/>
        </w:rPr>
      </w:pPr>
      <w:r>
        <w:rPr>
          <w:rFonts w:ascii="仿宋" w:eastAsia="仿宋" w:hint="eastAsia"/>
          <w:b/>
          <w:sz w:val="32"/>
          <w:szCs w:val="32"/>
        </w:rPr>
        <w:t>国内公务接待支出</w:t>
      </w:r>
      <w:r>
        <w:rPr>
          <w:rFonts w:ascii="仿宋" w:eastAsia="仿宋" w:hint="eastAsia"/>
          <w:sz w:val="32"/>
          <w:szCs w:val="32"/>
        </w:rPr>
        <w:t>4.5</w:t>
      </w:r>
      <w:r>
        <w:rPr>
          <w:rFonts w:ascii="仿宋_GB2312" w:eastAsia="仿宋_GB2312" w:hint="eastAsia"/>
          <w:sz w:val="32"/>
          <w:szCs w:val="32"/>
        </w:rPr>
        <w:t>万元，主要用于</w:t>
      </w:r>
      <w:r>
        <w:rPr>
          <w:rFonts w:ascii="仿宋_GB2312" w:eastAsia="仿宋_GB2312" w:cs="仿宋_GB2312" w:hint="eastAsia"/>
          <w:color w:val="000000"/>
          <w:sz w:val="32"/>
          <w:szCs w:val="32"/>
        </w:rPr>
        <w:t>执行公务、开展业务活动开支的交通费、住宿费、用餐费</w:t>
      </w:r>
      <w:r>
        <w:rPr>
          <w:rFonts w:ascii="仿宋_GB2312" w:eastAsia="仿宋_GB2312" w:hint="eastAsia"/>
          <w:sz w:val="32"/>
          <w:szCs w:val="32"/>
        </w:rPr>
        <w:t>。国内公务接待37批次，263人次（不包括陪同人员），共计支出4.5万元，具体内容包括：</w:t>
      </w:r>
      <w:r>
        <w:rPr>
          <w:rFonts w:ascii="仿宋_GB2312" w:eastAsia="仿宋_GB2312" w:cs="仿宋_GB2312" w:hint="eastAsia"/>
          <w:color w:val="000000"/>
          <w:sz w:val="32"/>
          <w:szCs w:val="32"/>
        </w:rPr>
        <w:t>主要用于接待办案、检查、学习、维稳、安保、抢险救灾等上级领导及办案人员</w:t>
      </w:r>
      <w:r>
        <w:rPr>
          <w:rFonts w:ascii="仿宋_GB2312" w:eastAsia="仿宋_GB2312" w:hint="eastAsia"/>
          <w:sz w:val="32"/>
          <w:szCs w:val="32"/>
        </w:rPr>
        <w:t>。</w:t>
      </w:r>
    </w:p>
    <w:p>
      <w:pPr>
        <w:spacing w:line="560" w:lineRule="exact"/>
        <w:ind w:firstLineChars="200" w:firstLine="640"/>
        <w:rPr>
          <w:rFonts w:ascii="黑体" w:eastAsia="黑体"/>
          <w:sz w:val="32"/>
          <w:szCs w:val="32"/>
        </w:rPr>
      </w:pPr>
      <w:r>
        <w:rPr>
          <w:rFonts w:ascii="仿宋" w:eastAsia="仿宋" w:hint="eastAsia"/>
          <w:b/>
          <w:sz w:val="32"/>
          <w:szCs w:val="32"/>
        </w:rPr>
        <w:t>外事接待支出</w:t>
      </w:r>
      <w:r>
        <w:rPr>
          <w:rFonts w:ascii="仿宋" w:eastAsia="仿宋" w:hint="eastAsia"/>
          <w:sz w:val="32"/>
          <w:szCs w:val="32"/>
        </w:rPr>
        <w:t>0</w:t>
      </w:r>
      <w:r>
        <w:rPr>
          <w:rFonts w:ascii="仿宋_GB2312" w:eastAsia="仿宋_GB2312" w:hint="eastAsia"/>
          <w:sz w:val="32"/>
          <w:szCs w:val="32"/>
        </w:rPr>
        <w:t>万元。</w:t>
      </w:r>
      <w:bookmarkStart w:id="49" w:name="_Toc15396610"/>
      <w:bookmarkStart w:id="50" w:name="_Toc15377218"/>
    </w:p>
    <w:p>
      <w:pPr>
        <w:spacing w:line="560" w:lineRule="exact"/>
        <w:ind w:firstLine="640"/>
        <w:outlineLvl w:val="1"/>
        <w:rPr>
          <w:rStyle w:val="2Char"/>
          <w:rFonts w:ascii="黑体" w:eastAsia="黑体"/>
        </w:rPr>
      </w:pPr>
      <w:bookmarkStart w:id="51" w:name="_Toc22188"/>
      <w:r>
        <w:rPr>
          <w:rFonts w:ascii="黑体" w:eastAsia="黑体" w:hint="eastAsia"/>
          <w:sz w:val="32"/>
          <w:szCs w:val="32"/>
        </w:rPr>
        <w:t>八、</w:t>
      </w:r>
      <w:r>
        <w:rPr>
          <w:rStyle w:val="2Char"/>
          <w:rFonts w:ascii="黑体" w:eastAsia="黑体" w:hint="eastAsia"/>
          <w:b w:val="0"/>
        </w:rPr>
        <w:t>政府性基金预算支出决算情况说明</w:t>
      </w:r>
      <w:bookmarkEnd w:id="49"/>
      <w:bookmarkEnd w:id="50"/>
      <w:bookmarkEnd w:id="51"/>
    </w:p>
    <w:p>
      <w:pPr>
        <w:spacing w:line="560" w:lineRule="exact"/>
        <w:ind w:firstLine="640"/>
        <w:rPr>
          <w:rFonts w:ascii="仿宋_GB2312" w:eastAsia="仿宋_GB2312"/>
          <w:sz w:val="32"/>
          <w:szCs w:val="32"/>
        </w:rPr>
      </w:pPr>
      <w:r>
        <w:rPr>
          <w:rFonts w:ascii="仿宋_GB2312" w:eastAsia="仿宋_GB2312" w:hint="eastAsia"/>
          <w:sz w:val="32"/>
          <w:szCs w:val="32"/>
        </w:rPr>
        <w:t>2023年度政府性基金预算财政拨款支出0万元。</w:t>
      </w:r>
    </w:p>
    <w:p>
      <w:pPr>
        <w:numPr>
          <w:ilvl w:val="0"/>
          <w:numId w:val="2"/>
        </w:numPr>
        <w:spacing w:line="560" w:lineRule="exact"/>
        <w:ind w:left="0" w:firstLine="640"/>
        <w:outlineLvl w:val="1"/>
        <w:rPr>
          <w:rStyle w:val="2Char"/>
          <w:rFonts w:ascii="黑体" w:eastAsia="黑体"/>
          <w:b w:val="0"/>
        </w:rPr>
      </w:pPr>
      <w:bookmarkStart w:id="52" w:name="_Toc15377219"/>
      <w:bookmarkStart w:id="53" w:name="_Toc4728"/>
      <w:bookmarkStart w:id="54" w:name="_Toc15396611"/>
      <w:r>
        <w:rPr>
          <w:rStyle w:val="2Char"/>
          <w:rFonts w:ascii="黑体" w:eastAsia="黑体" w:hint="eastAsia"/>
          <w:b w:val="0"/>
        </w:rPr>
        <w:t>国有资本经营预算支出决算情况说明</w:t>
      </w:r>
      <w:bookmarkEnd w:id="52"/>
      <w:bookmarkEnd w:id="53"/>
      <w:bookmarkEnd w:id="54"/>
    </w:p>
    <w:p>
      <w:pPr>
        <w:spacing w:line="560" w:lineRule="exact"/>
        <w:ind w:firstLine="640"/>
        <w:rPr>
          <w:rFonts w:ascii="方正小标宋简体" w:eastAsia="方正小标宋简体" w:cs="方正小标宋简体"/>
          <w:sz w:val="44"/>
          <w:szCs w:val="44"/>
        </w:rPr>
      </w:pPr>
      <w:r>
        <w:rPr>
          <w:rFonts w:ascii="仿宋_GB2312" w:eastAsia="仿宋_GB2312" w:hint="eastAsia"/>
          <w:sz w:val="32"/>
          <w:szCs w:val="32"/>
        </w:rPr>
        <w:t>2023年度国有资本经营预算财政拨款支出0万元。</w:t>
      </w:r>
    </w:p>
    <w:p>
      <w:pPr>
        <w:numPr>
          <w:ilvl w:val="0"/>
          <w:numId w:val="2"/>
        </w:numPr>
        <w:spacing w:line="560" w:lineRule="exact"/>
        <w:ind w:left="0" w:firstLine="640"/>
        <w:outlineLvl w:val="1"/>
        <w:rPr>
          <w:rStyle w:val="2Char"/>
          <w:rFonts w:ascii="黑体" w:eastAsia="黑体"/>
          <w:b w:val="0"/>
        </w:rPr>
      </w:pPr>
      <w:bookmarkStart w:id="55" w:name="_Toc15377221"/>
      <w:bookmarkStart w:id="56" w:name="_Toc15396612"/>
      <w:bookmarkStart w:id="57" w:name="_Toc9767"/>
      <w:r>
        <w:rPr>
          <w:rStyle w:val="2Char"/>
          <w:rFonts w:ascii="黑体" w:eastAsia="黑体" w:hint="eastAsia"/>
          <w:b w:val="0"/>
        </w:rPr>
        <w:t>其他重要事项的情况说明</w:t>
      </w:r>
      <w:bookmarkEnd w:id="55"/>
      <w:bookmarkEnd w:id="56"/>
      <w:bookmarkEnd w:id="57"/>
    </w:p>
    <w:p>
      <w:pPr>
        <w:spacing w:line="560" w:lineRule="exact"/>
        <w:ind w:firstLineChars="200" w:firstLine="640"/>
        <w:outlineLvl w:val="2"/>
        <w:rPr>
          <w:rFonts w:ascii="仿宋" w:eastAsia="仿宋"/>
          <w:sz w:val="32"/>
          <w:szCs w:val="32"/>
        </w:rPr>
      </w:pPr>
      <w:bookmarkStart w:id="58" w:name="_Toc15377222"/>
      <w:r>
        <w:rPr>
          <w:rFonts w:ascii="仿宋" w:eastAsia="仿宋" w:hint="eastAsia"/>
          <w:b/>
          <w:sz w:val="32"/>
          <w:szCs w:val="32"/>
        </w:rPr>
        <w:t>（一）机关运行经费支出情况</w:t>
      </w:r>
      <w:bookmarkEnd w:id="58"/>
    </w:p>
    <w:p>
      <w:pPr>
        <w:spacing w:line="560" w:lineRule="exact"/>
        <w:ind w:firstLineChars="200" w:firstLine="640"/>
        <w:rPr>
          <w:rFonts w:ascii="仿宋" w:eastAsia="仿宋"/>
          <w:b/>
          <w:sz w:val="32"/>
          <w:szCs w:val="32"/>
        </w:rPr>
      </w:pPr>
      <w:r>
        <w:rPr>
          <w:rFonts w:ascii="仿宋_GB2312" w:eastAsia="仿宋_GB2312" w:hint="eastAsia"/>
          <w:sz w:val="32"/>
          <w:szCs w:val="32"/>
        </w:rPr>
        <w:t>2023年度，茂县公安局机关运行经费支出444.40万元，比2022年度增加7.6万元，增长1.74</w:t>
      </w:r>
      <w:r>
        <w:rPr>
          <w:rFonts w:ascii="仿宋_GB2312" w:eastAsia="仿宋_GB2312"/>
          <w:sz w:val="32"/>
          <w:szCs w:val="32"/>
        </w:rPr>
        <w:t>%</w:t>
      </w:r>
      <w:r>
        <w:rPr>
          <w:rFonts w:ascii="仿宋_GB2312" w:eastAsia="仿宋_GB2312" w:hint="eastAsia"/>
          <w:sz w:val="32"/>
          <w:szCs w:val="32"/>
        </w:rPr>
        <w:t>，与2022年度决算数基本持平。</w:t>
      </w:r>
    </w:p>
    <w:p>
      <w:pPr>
        <w:autoSpaceDE w:val="0"/>
        <w:autoSpaceDN w:val="0"/>
        <w:adjustRightInd w:val="0"/>
        <w:spacing w:line="560" w:lineRule="exact"/>
        <w:ind w:firstLineChars="200" w:firstLine="640"/>
        <w:jc w:val="left"/>
        <w:outlineLvl w:val="2"/>
        <w:rPr>
          <w:rFonts w:ascii="仿宋" w:eastAsia="仿宋"/>
          <w:b/>
          <w:sz w:val="32"/>
          <w:szCs w:val="32"/>
        </w:rPr>
      </w:pPr>
      <w:bookmarkStart w:id="59" w:name="_Toc15377223"/>
      <w:r>
        <w:rPr>
          <w:rFonts w:ascii="仿宋" w:eastAsia="仿宋" w:hint="eastAsia"/>
          <w:b/>
          <w:sz w:val="32"/>
          <w:szCs w:val="32"/>
        </w:rPr>
        <w:t>（二）政府采购支出情况</w:t>
      </w:r>
      <w:bookmarkEnd w:id="59"/>
    </w:p>
    <w:p>
      <w:pPr>
        <w:spacing w:line="560" w:lineRule="exact"/>
        <w:ind w:firstLineChars="200" w:firstLine="640"/>
        <w:rPr>
          <w:rFonts w:ascii="仿宋_GB2312" w:eastAsia="仿宋_GB2312"/>
          <w:sz w:val="32"/>
          <w:szCs w:val="32"/>
        </w:rPr>
      </w:pPr>
      <w:r>
        <w:rPr>
          <w:rFonts w:ascii="仿宋_GB2312" w:eastAsia="仿宋_GB2312" w:hint="eastAsia"/>
          <w:sz w:val="32"/>
          <w:szCs w:val="32"/>
        </w:rPr>
        <w:t>2023年度，茂县公安局政府采购支出总额767.23万元，其中：政府采购货物支出767.23万元、政府采购工程支出0万元、政府采购服务支出0万元。主要用于</w:t>
      </w:r>
      <w:r>
        <w:rPr>
          <w:rFonts w:ascii="仿宋_GB2312" w:eastAsia="仿宋_GB2312" w:cs="仿宋_GB2312" w:hint="eastAsia"/>
          <w:color w:val="000000"/>
          <w:sz w:val="32"/>
          <w:szCs w:val="32"/>
        </w:rPr>
        <w:t>日常业务及执法执勤等</w:t>
      </w:r>
      <w:r>
        <w:rPr>
          <w:rFonts w:ascii="仿宋_GB2312" w:eastAsia="仿宋_GB2312" w:hint="eastAsia"/>
          <w:sz w:val="32"/>
          <w:szCs w:val="32"/>
        </w:rPr>
        <w:t>。授予中小企业合同金额104.40万元，占政府采购支出总额的13.61</w:t>
      </w:r>
      <w:r>
        <w:rPr>
          <w:rFonts w:ascii="仿宋_GB2312" w:eastAsia="仿宋_GB2312"/>
          <w:sz w:val="32"/>
          <w:szCs w:val="32"/>
        </w:rPr>
        <w:t>%</w:t>
      </w:r>
      <w:r>
        <w:rPr>
          <w:rFonts w:ascii="仿宋_GB2312" w:eastAsia="仿宋_GB2312" w:hint="eastAsia"/>
          <w:sz w:val="32"/>
          <w:szCs w:val="32"/>
        </w:rPr>
        <w:t>，其中：授予小微企业合同金额104.40万元，占政府采购支出总额的13.61</w:t>
      </w:r>
      <w:r>
        <w:rPr>
          <w:rFonts w:ascii="仿宋_GB2312" w:eastAsia="仿宋_GB2312"/>
          <w:sz w:val="32"/>
          <w:szCs w:val="32"/>
        </w:rPr>
        <w:t>%</w:t>
      </w:r>
      <w:r>
        <w:rPr>
          <w:rFonts w:ascii="仿宋_GB2312" w:eastAsia="仿宋_GB2312" w:hint="eastAsia"/>
          <w:sz w:val="32"/>
          <w:szCs w:val="32"/>
        </w:rPr>
        <w:t>。</w:t>
      </w:r>
    </w:p>
    <w:p>
      <w:pPr>
        <w:autoSpaceDE w:val="0"/>
        <w:autoSpaceDN w:val="0"/>
        <w:adjustRightInd w:val="0"/>
        <w:spacing w:line="560" w:lineRule="exact"/>
        <w:ind w:firstLineChars="200" w:firstLine="640"/>
        <w:jc w:val="left"/>
        <w:outlineLvl w:val="2"/>
        <w:rPr>
          <w:rFonts w:ascii="仿宋" w:eastAsia="仿宋"/>
          <w:b/>
          <w:sz w:val="32"/>
          <w:szCs w:val="32"/>
        </w:rPr>
      </w:pPr>
      <w:bookmarkStart w:id="60" w:name="_Toc15377224"/>
      <w:r>
        <w:rPr>
          <w:rFonts w:ascii="仿宋" w:eastAsia="仿宋" w:hint="eastAsia"/>
          <w:b/>
          <w:sz w:val="32"/>
          <w:szCs w:val="32"/>
        </w:rPr>
        <w:t>（三）国有资产占有使用情况</w:t>
      </w:r>
      <w:bookmarkEnd w:id="60"/>
    </w:p>
    <w:p>
      <w:pPr>
        <w:autoSpaceDE w:val="0"/>
        <w:autoSpaceDN w:val="0"/>
        <w:adjustRightInd w:val="0"/>
        <w:spacing w:line="560" w:lineRule="exact"/>
        <w:ind w:firstLineChars="200" w:firstLine="640"/>
        <w:jc w:val="left"/>
        <w:rPr>
          <w:rFonts w:ascii="仿宋" w:eastAsia="仿宋"/>
          <w:b/>
          <w:sz w:val="32"/>
          <w:szCs w:val="32"/>
        </w:rPr>
      </w:pPr>
      <w:r>
        <w:rPr>
          <w:rFonts w:ascii="仿宋_GB2312" w:eastAsia="仿宋_GB2312" w:hint="eastAsia"/>
          <w:sz w:val="32"/>
          <w:szCs w:val="32"/>
        </w:rPr>
        <w:t>截至2023年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日，茂县公安局共有车辆70辆，其中：主要领导干部用车0辆、机要通信用车0辆、应急保障用车0辆、执法执勤用车70辆。单价</w:t>
      </w:r>
      <w:r>
        <w:rPr>
          <w:rFonts w:ascii="仿宋_GB2312" w:eastAsia="仿宋_GB2312"/>
          <w:sz w:val="32"/>
          <w:szCs w:val="32"/>
        </w:rPr>
        <w:t>100</w:t>
      </w:r>
      <w:r>
        <w:rPr>
          <w:rFonts w:ascii="仿宋_GB2312" w:eastAsia="仿宋_GB2312" w:hint="eastAsia"/>
          <w:sz w:val="32"/>
          <w:szCs w:val="32"/>
        </w:rPr>
        <w:t>万元以上设备（不含车辆）1台（套）。</w:t>
      </w:r>
    </w:p>
    <w:p>
      <w:pPr>
        <w:autoSpaceDE w:val="0"/>
        <w:autoSpaceDN w:val="0"/>
        <w:adjustRightInd w:val="0"/>
        <w:spacing w:line="560" w:lineRule="exact"/>
        <w:ind w:firstLineChars="200" w:firstLine="640"/>
        <w:jc w:val="left"/>
        <w:outlineLvl w:val="2"/>
        <w:rPr>
          <w:rFonts w:ascii="仿宋" w:eastAsia="仿宋"/>
          <w:b/>
          <w:sz w:val="32"/>
          <w:szCs w:val="32"/>
        </w:rPr>
      </w:pPr>
      <w:r>
        <w:rPr>
          <w:rFonts w:ascii="仿宋" w:eastAsia="仿宋" w:hint="eastAsia"/>
          <w:b/>
          <w:sz w:val="32"/>
          <w:szCs w:val="32"/>
        </w:rPr>
        <w:t>（四）预算绩效管理情况</w:t>
      </w:r>
    </w:p>
    <w:p>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根据预算绩效管理要求，本部门在2023年度预算编制阶段，组织对艾滋病防治项目等8个项目开展了预算事前绩效评估，对16个项目编制了绩效目标，预算执行过程中，选取6个项目开展绩效监控。</w:t>
      </w:r>
    </w:p>
    <w:p>
      <w:pPr>
        <w:widowControl/>
        <w:suppressAutoHyphens/>
        <w:adjustRightInd w:val="0"/>
        <w:snapToGrid w:val="0"/>
        <w:spacing w:line="560" w:lineRule="exact"/>
        <w:ind w:firstLineChars="200" w:firstLine="640"/>
        <w:contextualSpacing/>
        <w:jc w:val="left"/>
        <w:rPr>
          <w:rFonts w:ascii="仿宋_GB2312" w:eastAsia="仿宋_GB2312" w:cs="仿宋_GB2312"/>
          <w:sz w:val="32"/>
          <w:szCs w:val="32"/>
        </w:rPr>
      </w:pPr>
      <w:r>
        <w:rPr>
          <w:rFonts w:ascii="仿宋_GB2312" w:eastAsia="仿宋_GB2312" w:cs="仿宋_GB2312" w:hint="eastAsia"/>
          <w:sz w:val="32"/>
          <w:szCs w:val="32"/>
        </w:rPr>
        <w:t>组织对2023年度一般公共预算、政府性基金预算、国有资本经营预算、社会保险基金预算以及资本资产、债券资金等全面开展绩效自评，形成茂县公安局部门整体（含部门预算项目）绩效自评报告、艾滋病防治等专项预算项目绩效自评报告，其中，茂县公安局部门整体（含部门预算项目）绩效自评得分为94分，绩效自评综述：</w:t>
      </w:r>
      <w:r>
        <w:rPr>
          <w:rFonts w:ascii="仿宋_GB2312" w:eastAsia="仿宋_GB2312" w:cs="仿宋_GB2312" w:hint="eastAsia"/>
          <w:kern w:val="0"/>
          <w:sz w:val="32"/>
          <w:szCs w:val="32"/>
        </w:rPr>
        <w:t>根据预算绩效管理相关制度的要求，结合项目绩效指标完成情况及对项目成本、项目效率、部门绩效目标实现的综合分析，项目综合评价为项目各项指标项均达到指标要求，项目实施达到预期效果，共计开展自评项目16个，自评分均在90分以上，自评为“优级”项目。茂县公安局整体支出情况合法、合规，由于严格执行法律、政策、科学分配、有效使用、严密管理，使各项资金基本做到服从全局、科学分配、有效使用、严密管理，资金分配侧重服务基层、倾斜一线，有力地促进了我县各项公安任务的顺利完成和各项目标的实现，整体支出情况良好，自评得分</w:t>
      </w:r>
      <w:r>
        <w:rPr>
          <w:rFonts w:ascii="仿宋_GB2312" w:cs="仿宋_GB2312" w:hAnsi="仿宋_GB2312" w:hint="eastAsia"/>
          <w:kern w:val="0"/>
          <w:sz w:val="32"/>
          <w:szCs w:val="32"/>
        </w:rPr>
        <w:t>94</w:t>
      </w:r>
      <w:r>
        <w:rPr>
          <w:rFonts w:ascii="仿宋_GB2312" w:eastAsia="仿宋_GB2312" w:cs="仿宋_GB2312" w:hint="eastAsia"/>
          <w:kern w:val="0"/>
          <w:sz w:val="32"/>
          <w:szCs w:val="32"/>
        </w:rPr>
        <w:t>分</w:t>
      </w:r>
      <w:r>
        <w:rPr>
          <w:rFonts w:ascii="仿宋_GB2312" w:eastAsia="仿宋_GB2312" w:cs="仿宋_GB2312" w:hint="eastAsia"/>
          <w:sz w:val="32"/>
          <w:szCs w:val="32"/>
        </w:rPr>
        <w:t>；艾滋病防治等专项预算项目绩效自评得分为94分，绩效自评综述：</w:t>
      </w:r>
      <w:r>
        <w:rPr>
          <w:rFonts w:ascii="仿宋_GB2312" w:eastAsia="仿宋_GB2312" w:cs="仿宋_GB2312" w:hint="eastAsia"/>
          <w:color w:val="222222"/>
          <w:sz w:val="32"/>
          <w:szCs w:val="32"/>
          <w:shd w:val="clear" w:color="auto" w:fill="FFFFFF"/>
        </w:rPr>
        <w:t>绩效自评总体情况较好，项目实施取得了一定的成效，</w:t>
      </w:r>
      <w:r>
        <w:rPr>
          <w:rFonts w:ascii="仿宋_GB2312" w:eastAsia="仿宋_GB2312" w:cs="仿宋_GB2312" w:hint="eastAsia"/>
          <w:kern w:val="0"/>
          <w:sz w:val="32"/>
          <w:szCs w:val="32"/>
        </w:rPr>
        <w:t>根据预算绩效管理相关制度的要求，结合项目绩效指标完成情况及对项目成本、项目效率、部门绩效目标实现的综合分析，项目综合评价为项目各项指标项均达到指标要求，项目实施达到预期效果。</w:t>
      </w:r>
      <w:r>
        <w:rPr>
          <w:rFonts w:ascii="仿宋_GB2312" w:eastAsia="仿宋_GB2312" w:cs="仿宋_GB2312" w:hint="eastAsia"/>
          <w:sz w:val="32"/>
          <w:szCs w:val="32"/>
        </w:rPr>
        <w:t>绩效自评报告详见附件。</w:t>
      </w:r>
    </w:p>
    <w:p>
      <w:pPr>
        <w:spacing w:line="560" w:lineRule="exact"/>
      </w:pPr>
    </w:p>
    <w:p>
      <w:pPr>
        <w:pStyle w:val="15"/>
        <w:spacing w:line="560" w:lineRule="exact"/>
      </w:pPr>
    </w:p>
    <w:p>
      <w:pPr>
        <w:spacing w:line="560" w:lineRule="exact"/>
      </w:pPr>
    </w:p>
    <w:p>
      <w:pPr>
        <w:pStyle w:val="15"/>
        <w:spacing w:line="560" w:lineRule="exact"/>
      </w:pPr>
    </w:p>
    <w:p>
      <w:pPr>
        <w:spacing w:line="560" w:lineRule="exact"/>
      </w:pPr>
    </w:p>
    <w:p>
      <w:pPr>
        <w:pStyle w:val="15"/>
        <w:spacing w:line="560" w:lineRule="exact"/>
      </w:pPr>
    </w:p>
    <w:p>
      <w:pPr>
        <w:spacing w:line="560" w:lineRule="exact"/>
      </w:pPr>
    </w:p>
    <w:p>
      <w:pPr>
        <w:pStyle w:val="15"/>
        <w:spacing w:line="560" w:lineRule="exact"/>
      </w:pPr>
    </w:p>
    <w:p>
      <w:pPr>
        <w:spacing w:line="560" w:lineRule="exact"/>
      </w:pPr>
    </w:p>
    <w:p>
      <w:pPr>
        <w:pStyle w:val="15"/>
        <w:spacing w:line="560" w:lineRule="exact"/>
      </w:pPr>
    </w:p>
    <w:p>
      <w:pPr>
        <w:numPr>
          <w:ilvl w:val="0"/>
          <w:numId w:val="3"/>
        </w:numPr>
        <w:spacing w:line="560" w:lineRule="exact"/>
        <w:ind w:left="0" w:firstLineChars="150" w:firstLine="660"/>
        <w:jc w:val="center"/>
        <w:outlineLvl w:val="0"/>
        <w:rPr>
          <w:rStyle w:val="1Char"/>
          <w:rFonts w:ascii="黑体" w:eastAsia="黑体"/>
          <w:b w:val="0"/>
        </w:rPr>
      </w:pPr>
      <w:bookmarkStart w:id="61" w:name="_Toc15377225"/>
      <w:bookmarkStart w:id="62" w:name="_Toc30740"/>
      <w:bookmarkStart w:id="63" w:name="_Toc15396613"/>
      <w:r>
        <w:rPr>
          <w:rFonts w:ascii="黑体" w:eastAsia="黑体" w:hint="eastAsia"/>
          <w:sz w:val="44"/>
          <w:szCs w:val="44"/>
        </w:rPr>
        <w:t>名</w:t>
      </w:r>
      <w:r>
        <w:rPr>
          <w:rStyle w:val="1Char"/>
          <w:rFonts w:ascii="黑体" w:eastAsia="黑体" w:hint="eastAsia"/>
          <w:b w:val="0"/>
        </w:rPr>
        <w:t>词解释</w:t>
      </w:r>
      <w:bookmarkEnd w:id="61"/>
      <w:bookmarkEnd w:id="62"/>
      <w:bookmarkEnd w:id="63"/>
    </w:p>
    <w:p>
      <w:pPr>
        <w:spacing w:line="560" w:lineRule="exact"/>
        <w:jc w:val="left"/>
        <w:rPr>
          <w:rFonts w:ascii="宋体"/>
          <w:b/>
          <w:sz w:val="44"/>
          <w:szCs w:val="44"/>
        </w:rPr>
      </w:pP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color w:val="auto"/>
          <w:sz w:val="32"/>
          <w:szCs w:val="32"/>
        </w:rPr>
        <w:t>经营收入：指事业单位在专业业务活动及其辅助活动之外开展非独立核算经营活动取得的收入。</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其他收入：指单位取得的除上述收入以外的各项收入。</w:t>
      </w:r>
      <w:r>
        <w:rPr>
          <w:rFonts w:ascii="仿宋_GB2312" w:eastAsia="仿宋_GB2312"/>
          <w:color w:val="auto"/>
          <w:sz w:val="32"/>
          <w:szCs w:val="32"/>
        </w:rPr>
        <w:t xml:space="preserve"> </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int="eastAsia"/>
          <w:sz w:val="32"/>
          <w:szCs w:val="32"/>
        </w:rPr>
        <w:t>使用非财政拨款结余（含专用结余）</w:t>
      </w:r>
      <w:r>
        <w:rPr>
          <w:rFonts w:ascii="仿宋_GB2312" w:eastAsia="仿宋_GB2312" w:hint="eastAsia"/>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7.</w:t>
      </w:r>
      <w:r>
        <w:rPr>
          <w:rFonts w:ascii="仿宋_GB2312" w:eastAsia="仿宋_GB2312" w:hint="eastAsia"/>
          <w:color w:val="auto"/>
          <w:sz w:val="32"/>
          <w:szCs w:val="32"/>
        </w:rPr>
        <w:t>结余分配：指事业单位按照会计制度规定缴纳的所得税、提取的专用结余以及转入非财政拨款结余的金额等。</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8</w:t>
      </w:r>
      <w:r>
        <w:rPr>
          <w:rFonts w:ascii="仿宋_GB2312" w:eastAsia="仿宋_GB2312" w:hint="eastAsia"/>
          <w:color w:val="auto"/>
          <w:sz w:val="32"/>
          <w:szCs w:val="32"/>
        </w:rPr>
        <w:t>.年末结转和结余：指单位按有关规定结转到下年或以后年度继续使用的资金。</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9. 公共安全（类）公安（款）行政运行（项）：指行政单位（包括实行公务员管理的事业单位）的基本支出。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10. 公共安全（类）公安（款）一般行政管理事务（项）：指行政单位（包括实行公务员管理的事业单位）单独设置项级科目的其他项目支出。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12.公共安全（类）公安（款）特别业务（项）：指反应映公安机关开展特别业务工作的支出。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13.公共安全（类）公安（款）移民事务（项）：指反应映公民出入境管理、外国人管理、边防检查、边境管理的支出。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14.公共安全（类）公安（款）其他公安支出（项）：指反应映其他用于公安方面的支出。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15. 社会保障和就业（类）行政事业单位离退休（款）机关事业单位基本养老保险缴费支出（项）：指部门实施养老保险制度由单位缴纳的养老保险费的支出。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16.社会保障和就业（类）行政事业单位离退休（款）机关事业单位基本养老保险缴费支出（项）：指部门实施养老保险制度由单位缴纳的养老保险费的支出。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17.卫生健康（类）公共卫生（款）重大公共卫生服务（项）：反映重大疾病、重大传染病预防控制等重大公共卫生方面的支出。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18.卫生健康（类）行政事业单位医疗（款）行政单位医疗（项）：指财政部门集中安排的行政单位基本医疗保险缴费经费，按国家规定享受离休人员、红军老战士待遇人员的医疗经费。</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19.农林水（类）扶贫（款）其他扶贫支出（项）：指其他用于扶贫方面的支出。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20.住房保障（类）住房改革支出（款）住房公积金（项）：指行政事业单位按规定为职工缴纳的住房公积金。</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21.住房保障（类）住房改革支出（款）购房补贴（项）：指根据房改政策规定的标准，向符合条件职工发放的用于购买住房的补贴。</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22.其他支出（类）其他支出（款）其他支出（项）：指其他不能划分到具体功能科目中的支出项目。</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23.基本支出：指为保障机构正常运转、完成日常工作任务而发生的人员支出和公用支出。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 xml:space="preserve">24.项目支出：指在基本支出之外为完成特定行政任务和事业发展目标所发生的支出。 </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25.经营支出：指事业单位在专业业务活动及其辅助活动之外开展非独立核算经营活动发生的支出。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jc w:val="center"/>
        <w:outlineLvl w:val="0"/>
        <w:rPr>
          <w:rStyle w:val="1Char"/>
          <w:rFonts w:ascii="黑体" w:eastAsia="黑体"/>
          <w:b w:val="0"/>
        </w:rPr>
      </w:pPr>
      <w:bookmarkStart w:id="64" w:name="_Toc15377226"/>
      <w:r>
        <w:rPr>
          <w:rFonts w:ascii="宋体"/>
          <w:b/>
          <w:sz w:val="44"/>
          <w:szCs w:val="44"/>
        </w:rPr>
        <w:br w:type="page"/>
      </w:r>
      <w:bookmarkStart w:id="65" w:name="_Toc29910"/>
      <w:bookmarkStart w:id="66" w:name="_Toc15396614"/>
      <w:r>
        <w:rPr>
          <w:rFonts w:ascii="黑体" w:eastAsia="黑体" w:hint="eastAsia"/>
          <w:sz w:val="44"/>
          <w:szCs w:val="44"/>
        </w:rPr>
        <w:t>第</w:t>
      </w:r>
      <w:r>
        <w:rPr>
          <w:rStyle w:val="1Char"/>
          <w:rFonts w:ascii="黑体" w:eastAsia="黑体" w:hint="eastAsia"/>
          <w:b w:val="0"/>
        </w:rPr>
        <w:t>四部分 附件</w:t>
      </w:r>
      <w:bookmarkEnd w:id="65"/>
      <w:bookmarkEnd w:id="66"/>
    </w:p>
    <w:p>
      <w:pPr>
        <w:spacing w:line="560" w:lineRule="exact"/>
        <w:jc w:val="left"/>
        <w:rPr>
          <w:rFonts w:ascii="黑体" w:eastAsia="黑体" w:cs="黑体"/>
          <w:color w:val="FF0000"/>
          <w:sz w:val="32"/>
          <w:szCs w:val="32"/>
        </w:rPr>
      </w:pPr>
    </w:p>
    <w:p>
      <w:pPr>
        <w:spacing w:line="560" w:lineRule="exact"/>
        <w:jc w:val="left"/>
        <w:outlineLvl w:val="0"/>
        <w:rPr>
          <w:rFonts w:ascii="方正小标宋简体" w:eastAsia="黑体" w:cs="方正小标宋简体" w:hAnsi="方正小标宋简体"/>
          <w:sz w:val="44"/>
          <w:szCs w:val="44"/>
        </w:rPr>
      </w:pPr>
      <w:bookmarkStart w:id="67" w:name="_Toc6819"/>
      <w:r>
        <w:rPr>
          <w:rFonts w:ascii="黑体" w:eastAsia="黑体" w:cs="黑体" w:hint="eastAsia"/>
          <w:sz w:val="32"/>
          <w:szCs w:val="32"/>
        </w:rPr>
        <w:t>附件1</w:t>
      </w:r>
      <w:bookmarkEnd w:id="67"/>
    </w:p>
    <w:p>
      <w:pPr>
        <w:widowControl/>
        <w:suppressAutoHyphens/>
        <w:spacing w:line="560" w:lineRule="exact"/>
        <w:contextualSpacing/>
        <w:jc w:val="center"/>
        <w:rPr>
          <w:rFonts w:ascii="Times New Roman" w:eastAsia="方正小标宋简体" w:hAnsi="Times New Roman"/>
          <w:bCs/>
          <w:sz w:val="44"/>
          <w:szCs w:val="44"/>
          <w:shd w:val="clear" w:color="auto" w:fill="FFFFFF"/>
        </w:rPr>
      </w:pPr>
      <w:r>
        <w:rPr>
          <w:rFonts w:ascii="Times New Roman" w:eastAsia="方正小标宋简体" w:hAnsi="Times New Roman" w:hint="eastAsia"/>
          <w:bCs/>
          <w:sz w:val="44"/>
          <w:szCs w:val="44"/>
          <w:shd w:val="clear" w:color="auto" w:fill="FFFFFF"/>
        </w:rPr>
        <w:t>茂县公安局</w:t>
      </w:r>
    </w:p>
    <w:p>
      <w:pPr>
        <w:widowControl/>
        <w:suppressAutoHyphens/>
        <w:spacing w:line="560" w:lineRule="exact"/>
        <w:contextualSpacing/>
        <w:jc w:val="center"/>
        <w:rPr>
          <w:rFonts w:ascii="Times New Roman" w:eastAsia="仿宋_GB2312" w:hAnsi="Times New Roman"/>
          <w:sz w:val="32"/>
          <w:szCs w:val="32"/>
          <w:shd w:val="clear" w:color="auto" w:fill="FFFFFF"/>
        </w:rPr>
      </w:pPr>
      <w:r>
        <w:rPr>
          <w:rFonts w:ascii="Times New Roman" w:eastAsia="方正小标宋简体" w:hAnsi="Times New Roman"/>
          <w:bCs/>
          <w:sz w:val="44"/>
          <w:szCs w:val="44"/>
          <w:shd w:val="clear" w:color="auto" w:fill="FFFFFF"/>
        </w:rPr>
        <w:t>部门预算绩效</w:t>
      </w:r>
      <w:r>
        <w:rPr>
          <w:rFonts w:ascii="Times New Roman" w:eastAsia="方正小标宋简体" w:hAnsi="Times New Roman" w:hint="eastAsia"/>
          <w:bCs/>
          <w:sz w:val="44"/>
          <w:szCs w:val="44"/>
          <w:shd w:val="clear" w:color="auto" w:fill="FFFFFF"/>
        </w:rPr>
        <w:t>评价</w:t>
      </w:r>
      <w:r>
        <w:rPr>
          <w:rFonts w:ascii="Times New Roman" w:eastAsia="方正小标宋简体" w:hAnsi="Times New Roman"/>
          <w:bCs/>
          <w:sz w:val="44"/>
          <w:szCs w:val="44"/>
          <w:shd w:val="clear" w:color="auto" w:fill="FFFFFF"/>
        </w:rPr>
        <w:t>报告</w:t>
      </w:r>
    </w:p>
    <w:p>
      <w:pPr>
        <w:widowControl/>
        <w:suppressAutoHyphens/>
        <w:adjustRightInd w:val="0"/>
        <w:snapToGrid w:val="0"/>
        <w:spacing w:line="560" w:lineRule="exact"/>
        <w:ind w:firstLineChars="200" w:firstLine="480"/>
        <w:contextualSpacing/>
        <w:jc w:val="left"/>
        <w:rPr>
          <w:rFonts w:ascii="Times New Roman" w:eastAsia="黑体" w:hAnsi="Times New Roman"/>
          <w:color w:val="000000"/>
          <w:kern w:val="0"/>
          <w:sz w:val="24"/>
          <w:szCs w:val="32"/>
          <w:shd w:val="clear" w:color="auto" w:fill="FFFFFF"/>
        </w:rPr>
      </w:pPr>
    </w:p>
    <w:p>
      <w:pPr>
        <w:widowControl/>
        <w:suppressAutoHyphens/>
        <w:adjustRightInd w:val="0"/>
        <w:snapToGrid w:val="0"/>
        <w:spacing w:line="560" w:lineRule="exact"/>
        <w:ind w:firstLineChars="200" w:firstLine="640"/>
        <w:contextualSpacing/>
        <w:jc w:val="left"/>
        <w:rPr>
          <w:rFonts w:eastAsia="黑体"/>
          <w:color w:val="000000"/>
          <w:kern w:val="0"/>
          <w:sz w:val="32"/>
          <w:szCs w:val="32"/>
          <w:shd w:val="clear" w:color="auto" w:fill="FFFFFF"/>
          <w:lang w:val="zh-CN"/>
        </w:rPr>
      </w:pPr>
      <w:r>
        <w:rPr>
          <w:rFonts w:eastAsia="黑体" w:hint="eastAsia"/>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pPr>
        <w:spacing w:line="560" w:lineRule="exact"/>
        <w:ind w:firstLineChars="200" w:firstLine="640"/>
        <w:rPr>
          <w:rFonts w:ascii="仿宋_GB2312" w:eastAsia="仿宋_GB2312"/>
          <w:sz w:val="32"/>
          <w:szCs w:val="32"/>
        </w:rPr>
      </w:pPr>
      <w:r>
        <w:rPr>
          <w:rFonts w:ascii="Times New Roman" w:eastAsia="楷体_GB2312" w:hAnsi="Times New Roman" w:hint="eastAsia"/>
          <w:b/>
          <w:bCs/>
          <w:color w:val="000000"/>
          <w:kern w:val="0"/>
          <w:sz w:val="32"/>
          <w:szCs w:val="32"/>
          <w:shd w:val="clear" w:color="auto" w:fill="FFFFFF"/>
          <w:lang w:val="zh-CN"/>
        </w:rPr>
        <w:t>（一）</w:t>
      </w:r>
      <w:r>
        <w:rPr>
          <w:rFonts w:ascii="Times New Roman" w:eastAsia="楷体_GB2312" w:hAnsi="Times New Roman"/>
          <w:b/>
          <w:bCs/>
          <w:color w:val="000000"/>
          <w:kern w:val="0"/>
          <w:sz w:val="32"/>
          <w:szCs w:val="32"/>
          <w:shd w:val="clear" w:color="auto" w:fill="FFFFFF"/>
          <w:lang w:val="zh-CN"/>
        </w:rPr>
        <w:t>机构组成。</w:t>
      </w:r>
      <w:r>
        <w:rPr>
          <w:rFonts w:ascii="仿宋_GB2312" w:eastAsia="仿宋_GB2312" w:hint="eastAsia"/>
          <w:sz w:val="32"/>
          <w:szCs w:val="32"/>
        </w:rPr>
        <w:t xml:space="preserve">本部门是行政性质机构，属一级预算单位，其中内设机构16个，派出所15个,拘押场所2个。 </w:t>
      </w:r>
    </w:p>
    <w:p>
      <w:pPr>
        <w:spacing w:line="560" w:lineRule="exact"/>
        <w:ind w:firstLineChars="200" w:firstLine="640"/>
        <w:rPr>
          <w:rFonts w:ascii="Times New Roman" w:eastAsia="楷体_GB2312" w:hAnsi="Times New Roman"/>
          <w:b/>
          <w:bCs/>
          <w:color w:val="000000"/>
          <w:kern w:val="0"/>
          <w:szCs w:val="32"/>
          <w:shd w:val="clear" w:color="auto" w:fill="FFFFFF"/>
          <w:lang w:val="zh-CN"/>
        </w:rPr>
      </w:pPr>
      <w:r>
        <w:rPr>
          <w:rFonts w:ascii="Times New Roman" w:eastAsia="楷体_GB2312" w:hAnsi="Times New Roman"/>
          <w:b/>
          <w:bCs/>
          <w:color w:val="000000"/>
          <w:kern w:val="0"/>
          <w:sz w:val="32"/>
          <w:szCs w:val="32"/>
          <w:shd w:val="clear" w:color="auto" w:fill="FFFFFF"/>
          <w:lang w:val="zh-CN"/>
        </w:rPr>
        <w:t>（二）机构职能</w:t>
      </w:r>
      <w:r>
        <w:rPr>
          <w:rFonts w:ascii="Times New Roman" w:eastAsia="楷体_GB2312" w:hAnsi="Times New Roman" w:hint="eastAsia"/>
          <w:b/>
          <w:bCs/>
          <w:color w:val="000000"/>
          <w:kern w:val="0"/>
          <w:sz w:val="32"/>
          <w:szCs w:val="32"/>
          <w:shd w:val="clear" w:color="auto" w:fill="FFFFFF"/>
          <w:lang w:val="zh-CN"/>
        </w:rPr>
        <w:t>。</w:t>
      </w:r>
      <w:r>
        <w:rPr>
          <w:rFonts w:ascii="仿宋_GB2312" w:eastAsia="仿宋_GB2312" w:hint="eastAsia"/>
          <w:sz w:val="32"/>
          <w:szCs w:val="32"/>
        </w:rPr>
        <w:t>本部门贯彻执行国家法律、法规和公安工作的路线、方针、政策；对全县公安工作进行决策、部署;组织实施并指导预防、制止和侦察违法犯罪活动;组织实施并指导全县公安机关依法查处危害社会治安秩序行为,依法管理户籍、枪支弹药、危险物品和特种行业等工作,管理集会、游行、示威活动,组织、协调处置重大案件、治安事故和骚乱;负责出入(境)和外国人在我县境内居留、旅行的有关管理工作以及全县公安外事工作;组织实施消防工作，实行消防监督;贯彻《警卫工作规定》，警卫国家规定的特定人员，守卫重要的场所和设施;维护全县道路交通安全，交通秩序以及车辆、驾驶员管理工作,查处交通事故;指导和管理全县公安机关依法监督机关、团体、企事业单位、学校、重点建设工程的治安保卫工作以及群众性治安组织的治安防范工作,指导企事业单位保卫组织和经济民警、保安队伍的建设;组织实施全县公安机关的信息通信工作以及全县公共信息网络安全监察工作;组织实施并指导看守所、治安拘留所的管理工作，开展深挖犯罪，扩大战果等工作;组织实施全县公安法制建设,指导、检查、监督公安机关执法活动,承担审批治安行政案件审核工作;组织实施全县科技强警工作，规划公安装备现代化建设;规划和指导全县公安队伍的现代化、正规化建设以及公安民警的管理、教育、训练;组织实施全县公安机关督察工作，按规定权限实施对民警的监督；查处公安队伍中的违法违纪案件; 负责涉林、涉野、涉资源违法犯罪活动打击，负责火案侦办;承办县委、县政府和上级公安机关交办的其他工作。</w:t>
      </w:r>
    </w:p>
    <w:p>
      <w:pPr>
        <w:spacing w:line="560" w:lineRule="exact"/>
        <w:ind w:firstLineChars="200" w:firstLine="640"/>
        <w:rPr>
          <w:rFonts w:ascii="Times New Roman" w:hAnsi="Times New Roman"/>
          <w:szCs w:val="32"/>
        </w:rPr>
      </w:pPr>
      <w:r>
        <w:rPr>
          <w:rFonts w:ascii="Times New Roman" w:eastAsia="楷体_GB2312" w:hAnsi="Times New Roman"/>
          <w:b/>
          <w:bCs/>
          <w:color w:val="000000"/>
          <w:kern w:val="0"/>
          <w:sz w:val="32"/>
          <w:szCs w:val="32"/>
          <w:shd w:val="clear" w:color="auto" w:fill="FFFFFF"/>
          <w:lang w:val="zh-CN"/>
        </w:rPr>
        <w:t>（</w:t>
      </w:r>
      <w:r>
        <w:rPr>
          <w:rFonts w:ascii="Times New Roman" w:eastAsia="楷体_GB2312" w:hAnsi="Times New Roman" w:hint="eastAsia"/>
          <w:b/>
          <w:bCs/>
          <w:color w:val="000000"/>
          <w:kern w:val="0"/>
          <w:sz w:val="32"/>
          <w:szCs w:val="32"/>
          <w:shd w:val="clear" w:color="auto" w:fill="FFFFFF"/>
          <w:lang w:val="zh-CN"/>
        </w:rPr>
        <w:t>三</w:t>
      </w:r>
      <w:r>
        <w:rPr>
          <w:rFonts w:ascii="Times New Roman" w:eastAsia="楷体_GB2312" w:hAnsi="Times New Roman"/>
          <w:b/>
          <w:bCs/>
          <w:color w:val="000000"/>
          <w:kern w:val="0"/>
          <w:sz w:val="32"/>
          <w:szCs w:val="32"/>
          <w:shd w:val="clear" w:color="auto" w:fill="FFFFFF"/>
          <w:lang w:val="zh-CN"/>
        </w:rPr>
        <w:t>）人员概况</w:t>
      </w:r>
      <w:r>
        <w:rPr>
          <w:rFonts w:ascii="Times New Roman" w:eastAsia="楷体_GB2312" w:hAnsi="Times New Roman" w:hint="eastAsia"/>
          <w:b/>
          <w:bCs/>
          <w:color w:val="000000"/>
          <w:kern w:val="0"/>
          <w:sz w:val="32"/>
          <w:szCs w:val="32"/>
          <w:shd w:val="clear" w:color="auto" w:fill="FFFFFF"/>
          <w:lang w:val="zh-CN"/>
        </w:rPr>
        <w:t>。</w:t>
      </w:r>
      <w:r>
        <w:rPr>
          <w:rFonts w:ascii="仿宋_GB2312" w:eastAsia="仿宋_GB2312" w:hint="eastAsia"/>
          <w:sz w:val="32"/>
          <w:szCs w:val="32"/>
        </w:rPr>
        <w:t>单位总编制数200名，其中：行政编制188名，行政工勤编制12名，事业编制0名。财政供养人员191人，其中：在职政法干警179人，在职工勤12人，离休0人，退休41人。本年在职新增3（其中：县内调入0人，县外调入3人,新录用0人）；在职减少4人（其中：县内调出0人，县外调出0人，退休新增4人,退休死亡1人。）</w:t>
      </w:r>
    </w:p>
    <w:p>
      <w:pPr>
        <w:widowControl/>
        <w:suppressAutoHyphens/>
        <w:adjustRightInd w:val="0"/>
        <w:snapToGrid w:val="0"/>
        <w:spacing w:line="560"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pPr>
        <w:snapToGrid w:val="0"/>
        <w:spacing w:line="560" w:lineRule="exact"/>
        <w:ind w:firstLineChars="200" w:firstLine="640"/>
        <w:rPr>
          <w:rFonts w:ascii="Times New Roman" w:eastAsia="楷体_GB2312" w:hAnsi="Times New Roman"/>
          <w:b/>
          <w:bCs/>
          <w:color w:val="000000"/>
          <w:kern w:val="0"/>
          <w:szCs w:val="32"/>
          <w:shd w:val="clear" w:color="auto" w:fill="FFFFFF"/>
        </w:rPr>
      </w:pPr>
      <w:r>
        <w:rPr>
          <w:rFonts w:ascii="Times New Roman" w:eastAsia="楷体_GB2312" w:hAnsi="Times New Roman"/>
          <w:b/>
          <w:bCs/>
          <w:color w:val="000000"/>
          <w:kern w:val="0"/>
          <w:sz w:val="32"/>
          <w:szCs w:val="32"/>
          <w:shd w:val="clear" w:color="auto" w:fill="FFFFFF"/>
          <w:lang w:val="zh-CN"/>
        </w:rPr>
        <w:t>（一）</w:t>
      </w:r>
      <w:r>
        <w:rPr>
          <w:rFonts w:ascii="Times New Roman" w:eastAsia="楷体_GB2312" w:hAnsi="Times New Roman" w:hint="eastAsia"/>
          <w:b/>
          <w:bCs/>
          <w:color w:val="000000"/>
          <w:kern w:val="0"/>
          <w:sz w:val="32"/>
          <w:szCs w:val="32"/>
          <w:shd w:val="clear" w:color="auto" w:fill="FFFFFF"/>
          <w:lang w:val="zh-CN"/>
        </w:rPr>
        <w:t>收入情况</w:t>
      </w:r>
      <w:r>
        <w:rPr>
          <w:rFonts w:ascii="Times New Roman" w:eastAsia="楷体_GB2312" w:hAnsi="Times New Roman"/>
          <w:b/>
          <w:bCs/>
          <w:color w:val="000000"/>
          <w:kern w:val="0"/>
          <w:sz w:val="32"/>
          <w:szCs w:val="32"/>
          <w:shd w:val="clear" w:color="auto" w:fill="FFFFFF"/>
          <w:lang w:val="zh-CN"/>
        </w:rPr>
        <w:t>。</w:t>
      </w:r>
      <w:r>
        <w:rPr>
          <w:rFonts w:ascii="仿宋_GB2312" w:eastAsia="仿宋_GB2312" w:cs="仿宋_GB2312"/>
          <w:color w:val="000000"/>
          <w:sz w:val="32"/>
          <w:szCs w:val="32"/>
        </w:rPr>
        <w:t>20</w:t>
      </w:r>
      <w:r>
        <w:rPr>
          <w:rFonts w:ascii="仿宋_GB2312" w:eastAsia="仿宋_GB2312" w:cs="仿宋_GB2312" w:hint="eastAsia"/>
          <w:color w:val="000000"/>
          <w:sz w:val="32"/>
          <w:szCs w:val="32"/>
        </w:rPr>
        <w:t>2</w:t>
      </w:r>
      <w:r>
        <w:rPr>
          <w:rFonts w:ascii="仿宋_GB2312" w:cs="仿宋_GB2312" w:hAnsi="仿宋_GB2312" w:hint="eastAsia"/>
          <w:color w:val="000000"/>
          <w:sz w:val="32"/>
          <w:szCs w:val="32"/>
        </w:rPr>
        <w:t>3</w:t>
      </w:r>
      <w:r>
        <w:rPr>
          <w:rFonts w:ascii="仿宋_GB2312" w:eastAsia="仿宋_GB2312" w:cs="仿宋_GB2312" w:hint="eastAsia"/>
          <w:color w:val="000000"/>
          <w:sz w:val="32"/>
          <w:szCs w:val="32"/>
        </w:rPr>
        <w:t>年我局本年收入总计</w:t>
      </w:r>
      <w:r>
        <w:rPr>
          <w:rFonts w:ascii="仿宋_GB2312" w:eastAsia="仿宋_GB2312" w:hint="eastAsia"/>
          <w:color w:val="000000"/>
          <w:sz w:val="32"/>
          <w:szCs w:val="32"/>
        </w:rPr>
        <w:t>7891.96</w:t>
      </w:r>
      <w:r>
        <w:rPr>
          <w:rFonts w:ascii="仿宋_GB2312" w:eastAsia="仿宋_GB2312" w:cs="仿宋_GB2312" w:hint="eastAsia"/>
          <w:color w:val="000000"/>
          <w:sz w:val="32"/>
          <w:szCs w:val="32"/>
        </w:rPr>
        <w:t>万元，其中：财政拨款收入</w:t>
      </w:r>
      <w:r>
        <w:rPr>
          <w:rFonts w:ascii="仿宋_GB2312" w:eastAsia="仿宋_GB2312" w:hint="eastAsia"/>
          <w:color w:val="000000"/>
          <w:sz w:val="32"/>
          <w:szCs w:val="32"/>
        </w:rPr>
        <w:t>7891.96</w:t>
      </w:r>
      <w:r>
        <w:rPr>
          <w:rFonts w:ascii="仿宋_GB2312" w:eastAsia="仿宋_GB2312" w:cs="仿宋_GB2312" w:hint="eastAsia"/>
          <w:color w:val="000000"/>
          <w:sz w:val="32"/>
          <w:szCs w:val="32"/>
        </w:rPr>
        <w:t>万元。其中：</w:t>
      </w:r>
      <w:r>
        <w:rPr>
          <w:rFonts w:ascii="仿宋_GB2312" w:eastAsia="仿宋_GB2312" w:cs="仿宋_GB2312" w:hint="eastAsia"/>
          <w:color w:val="000000"/>
          <w:kern w:val="0"/>
          <w:sz w:val="32"/>
          <w:szCs w:val="32"/>
          <w:shd w:val="clear" w:color="auto" w:fill="FFFFFF"/>
          <w:lang w:val="zh-CN"/>
        </w:rPr>
        <w:t>一般公共预算财政拨款收入</w:t>
      </w:r>
      <w:r>
        <w:rPr>
          <w:rFonts w:ascii="仿宋_GB2312" w:eastAsia="仿宋_GB2312" w:hint="eastAsia"/>
          <w:color w:val="000000"/>
          <w:sz w:val="32"/>
          <w:szCs w:val="32"/>
        </w:rPr>
        <w:t>7891.96</w:t>
      </w:r>
      <w:r>
        <w:rPr>
          <w:rFonts w:ascii="仿宋_GB2312" w:eastAsia="仿宋_GB2312" w:cs="仿宋_GB2312" w:hint="eastAsia"/>
          <w:color w:val="000000"/>
          <w:kern w:val="0"/>
          <w:sz w:val="32"/>
          <w:szCs w:val="32"/>
          <w:shd w:val="clear" w:color="auto" w:fill="FFFFFF"/>
          <w:lang w:val="zh-CN"/>
        </w:rPr>
        <w:t>万元，占</w:t>
      </w:r>
      <w:r>
        <w:rPr>
          <w:rFonts w:ascii="仿宋_GB2312" w:eastAsia="仿宋_GB2312" w:cs="仿宋_GB2312" w:hint="eastAsia"/>
          <w:color w:val="000000"/>
          <w:kern w:val="0"/>
          <w:sz w:val="32"/>
          <w:szCs w:val="32"/>
          <w:shd w:val="clear" w:color="auto" w:fill="FFFFFF"/>
        </w:rPr>
        <w:t>100</w:t>
      </w:r>
      <w:r>
        <w:rPr>
          <w:rFonts w:ascii="仿宋_GB2312" w:eastAsia="仿宋_GB2312" w:cs="仿宋_GB2312"/>
          <w:color w:val="000000"/>
          <w:kern w:val="0"/>
          <w:sz w:val="32"/>
          <w:szCs w:val="32"/>
          <w:shd w:val="clear" w:color="auto" w:fill="FFFFFF"/>
          <w:lang w:val="zh-CN"/>
        </w:rPr>
        <w:t>%</w:t>
      </w:r>
      <w:r>
        <w:rPr>
          <w:rFonts w:ascii="仿宋_GB2312" w:eastAsia="仿宋_GB2312" w:cs="仿宋_GB2312" w:hint="eastAsia"/>
          <w:color w:val="000000"/>
          <w:kern w:val="0"/>
          <w:sz w:val="32"/>
          <w:szCs w:val="32"/>
          <w:shd w:val="clear" w:color="auto" w:fill="FFFFFF"/>
          <w:lang w:val="zh-CN"/>
        </w:rPr>
        <w:t>；政府性基金预算财政拨款收入</w:t>
      </w:r>
      <w:r>
        <w:rPr>
          <w:rFonts w:ascii="仿宋_GB2312" w:eastAsia="仿宋_GB2312" w:cs="仿宋_GB2312" w:hint="eastAsia"/>
          <w:color w:val="000000"/>
          <w:kern w:val="0"/>
          <w:sz w:val="32"/>
          <w:szCs w:val="32"/>
          <w:shd w:val="clear" w:color="auto" w:fill="FFFFFF"/>
        </w:rPr>
        <w:t>0</w:t>
      </w:r>
      <w:r>
        <w:rPr>
          <w:rFonts w:ascii="仿宋_GB2312" w:eastAsia="仿宋_GB2312" w:cs="仿宋_GB2312" w:hint="eastAsia"/>
          <w:color w:val="000000"/>
          <w:kern w:val="0"/>
          <w:sz w:val="32"/>
          <w:szCs w:val="32"/>
          <w:shd w:val="clear" w:color="auto" w:fill="FFFFFF"/>
          <w:lang w:val="zh-CN"/>
        </w:rPr>
        <w:t>万元，占</w:t>
      </w:r>
      <w:r>
        <w:rPr>
          <w:rFonts w:ascii="仿宋_GB2312" w:eastAsia="仿宋_GB2312" w:cs="仿宋_GB2312" w:hint="eastAsia"/>
          <w:color w:val="000000"/>
          <w:kern w:val="0"/>
          <w:sz w:val="32"/>
          <w:szCs w:val="32"/>
          <w:shd w:val="clear" w:color="auto" w:fill="FFFFFF"/>
        </w:rPr>
        <w:t>0</w:t>
      </w:r>
      <w:r>
        <w:rPr>
          <w:rFonts w:ascii="仿宋_GB2312" w:eastAsia="仿宋_GB2312" w:cs="仿宋_GB2312"/>
          <w:color w:val="000000"/>
          <w:kern w:val="0"/>
          <w:sz w:val="32"/>
          <w:szCs w:val="32"/>
          <w:shd w:val="clear" w:color="auto" w:fill="FFFFFF"/>
          <w:lang w:val="zh-CN"/>
        </w:rPr>
        <w:t>%</w:t>
      </w:r>
      <w:r>
        <w:rPr>
          <w:rFonts w:ascii="仿宋_GB2312" w:eastAsia="仿宋_GB2312" w:cs="仿宋_GB2312" w:hint="eastAsia"/>
          <w:color w:val="000000"/>
          <w:kern w:val="0"/>
          <w:sz w:val="32"/>
          <w:szCs w:val="32"/>
          <w:shd w:val="clear" w:color="auto" w:fill="FFFFFF"/>
          <w:lang w:val="zh-CN"/>
        </w:rPr>
        <w:t>。</w:t>
      </w:r>
    </w:p>
    <w:p>
      <w:pPr>
        <w:widowControl/>
        <w:suppressAutoHyphens/>
        <w:adjustRightInd w:val="0"/>
        <w:snapToGrid w:val="0"/>
        <w:spacing w:line="560" w:lineRule="exact"/>
        <w:ind w:firstLineChars="200" w:firstLine="640"/>
        <w:contextualSpacing/>
        <w:jc w:val="left"/>
        <w:rPr>
          <w:rFonts w:ascii="Times New Roman" w:hAnsi="Times New Roman"/>
          <w:szCs w:val="32"/>
          <w:lang w:val="zh-CN"/>
        </w:rPr>
      </w:pPr>
      <w:r>
        <w:rPr>
          <w:rFonts w:ascii="Times New Roman" w:eastAsia="楷体_GB2312" w:hAnsi="Times New Roman"/>
          <w:b/>
          <w:bCs/>
          <w:color w:val="000000"/>
          <w:kern w:val="0"/>
          <w:sz w:val="32"/>
          <w:szCs w:val="32"/>
          <w:shd w:val="clear" w:color="auto" w:fill="FFFFFF"/>
          <w:lang w:val="zh-CN"/>
        </w:rPr>
        <w:t>（</w:t>
      </w:r>
      <w:r>
        <w:rPr>
          <w:rFonts w:ascii="Times New Roman" w:eastAsia="楷体_GB2312" w:hAnsi="Times New Roman" w:hint="eastAsia"/>
          <w:b/>
          <w:bCs/>
          <w:color w:val="000000"/>
          <w:kern w:val="0"/>
          <w:sz w:val="32"/>
          <w:szCs w:val="32"/>
          <w:shd w:val="clear" w:color="auto" w:fill="FFFFFF"/>
          <w:lang w:val="zh-CN"/>
        </w:rPr>
        <w:t>二</w:t>
      </w:r>
      <w:r>
        <w:rPr>
          <w:rFonts w:ascii="Times New Roman" w:eastAsia="楷体_GB2312" w:hAnsi="Times New Roman"/>
          <w:b/>
          <w:bCs/>
          <w:color w:val="000000"/>
          <w:kern w:val="0"/>
          <w:sz w:val="32"/>
          <w:szCs w:val="32"/>
          <w:shd w:val="clear" w:color="auto" w:fill="FFFFFF"/>
          <w:lang w:val="zh-CN"/>
        </w:rPr>
        <w:t>）</w:t>
      </w:r>
      <w:r>
        <w:rPr>
          <w:rFonts w:ascii="Times New Roman" w:eastAsia="楷体_GB2312" w:hAnsi="Times New Roman" w:hint="eastAsia"/>
          <w:b/>
          <w:bCs/>
          <w:color w:val="000000"/>
          <w:kern w:val="0"/>
          <w:sz w:val="32"/>
          <w:szCs w:val="32"/>
          <w:shd w:val="clear" w:color="auto" w:fill="FFFFFF"/>
          <w:lang w:val="zh-CN"/>
        </w:rPr>
        <w:t>支出情况</w:t>
      </w:r>
      <w:r>
        <w:rPr>
          <w:rFonts w:ascii="Times New Roman" w:eastAsia="楷体_GB2312" w:hAnsi="Times New Roman"/>
          <w:b/>
          <w:bCs/>
          <w:color w:val="000000"/>
          <w:kern w:val="0"/>
          <w:sz w:val="32"/>
          <w:szCs w:val="32"/>
          <w:shd w:val="clear" w:color="auto" w:fill="FFFFFF"/>
          <w:lang w:val="zh-CN"/>
        </w:rPr>
        <w:t>。</w:t>
      </w:r>
      <w:r>
        <w:rPr>
          <w:rFonts w:ascii="仿宋_GB2312" w:eastAsia="仿宋_GB2312" w:cs="仿宋_GB2312"/>
          <w:color w:val="000000"/>
          <w:kern w:val="0"/>
          <w:sz w:val="32"/>
          <w:szCs w:val="32"/>
          <w:shd w:val="clear" w:color="auto" w:fill="FFFFFF"/>
          <w:lang w:val="zh-CN"/>
        </w:rPr>
        <w:t>20</w:t>
      </w:r>
      <w:r>
        <w:rPr>
          <w:rFonts w:ascii="仿宋_GB2312" w:eastAsia="仿宋_GB2312" w:cs="仿宋_GB2312" w:hint="eastAsia"/>
          <w:color w:val="000000"/>
          <w:kern w:val="0"/>
          <w:sz w:val="32"/>
          <w:szCs w:val="32"/>
          <w:shd w:val="clear" w:color="auto" w:fill="FFFFFF"/>
          <w:lang w:val="zh-CN"/>
        </w:rPr>
        <w:t>2</w:t>
      </w:r>
      <w:r>
        <w:rPr>
          <w:rFonts w:ascii="仿宋_GB2312" w:cs="仿宋_GB2312" w:hAnsi="仿宋_GB2312" w:hint="eastAsia"/>
          <w:color w:val="000000"/>
          <w:kern w:val="0"/>
          <w:sz w:val="32"/>
          <w:szCs w:val="32"/>
          <w:shd w:val="clear" w:color="auto" w:fill="FFFFFF"/>
        </w:rPr>
        <w:t>3</w:t>
      </w:r>
      <w:r>
        <w:rPr>
          <w:rFonts w:ascii="仿宋_GB2312" w:eastAsia="仿宋_GB2312" w:cs="仿宋_GB2312" w:hint="eastAsia"/>
          <w:color w:val="000000"/>
          <w:kern w:val="0"/>
          <w:sz w:val="32"/>
          <w:szCs w:val="32"/>
          <w:shd w:val="clear" w:color="auto" w:fill="FFFFFF"/>
          <w:lang w:val="zh-CN"/>
        </w:rPr>
        <w:t>年我局本年支出总计</w:t>
      </w:r>
      <w:r>
        <w:rPr>
          <w:rFonts w:ascii="仿宋_GB2312" w:eastAsia="仿宋_GB2312" w:hint="eastAsia"/>
          <w:color w:val="000000"/>
          <w:sz w:val="32"/>
          <w:szCs w:val="32"/>
        </w:rPr>
        <w:t>7891.96</w:t>
      </w:r>
      <w:r>
        <w:rPr>
          <w:rFonts w:ascii="仿宋_GB2312" w:eastAsia="仿宋_GB2312" w:cs="仿宋_GB2312" w:hint="eastAsia"/>
          <w:color w:val="000000"/>
          <w:kern w:val="0"/>
          <w:sz w:val="32"/>
          <w:szCs w:val="32"/>
          <w:shd w:val="clear" w:color="auto" w:fill="FFFFFF"/>
          <w:lang w:val="zh-CN"/>
        </w:rPr>
        <w:t>万元，其中本年支出</w:t>
      </w:r>
      <w:r>
        <w:rPr>
          <w:rFonts w:ascii="仿宋_GB2312" w:eastAsia="仿宋_GB2312" w:hint="eastAsia"/>
          <w:color w:val="000000"/>
          <w:sz w:val="32"/>
          <w:szCs w:val="32"/>
        </w:rPr>
        <w:t>7891.96</w:t>
      </w:r>
      <w:r>
        <w:rPr>
          <w:rFonts w:ascii="仿宋_GB2312" w:eastAsia="仿宋_GB2312" w:cs="仿宋_GB2312" w:hint="eastAsia"/>
          <w:color w:val="000000"/>
          <w:kern w:val="0"/>
          <w:sz w:val="32"/>
          <w:szCs w:val="32"/>
          <w:shd w:val="clear" w:color="auto" w:fill="FFFFFF"/>
          <w:lang w:val="zh-CN"/>
        </w:rPr>
        <w:t>万元。</w:t>
      </w:r>
      <w:r>
        <w:rPr>
          <w:rFonts w:ascii="仿宋_GB2312" w:eastAsia="仿宋_GB2312" w:hint="eastAsia"/>
          <w:color w:val="000000"/>
          <w:sz w:val="32"/>
          <w:szCs w:val="32"/>
        </w:rPr>
        <w:t>其中：公共安全支出为6631.56万元，占比84.03%；社会保障和就业支出为610.7万元，占比7.74%；卫生健康支出为287.98万元，占比3.65%；住房保障支出为361.73万元，占比4.58%。</w:t>
      </w:r>
    </w:p>
    <w:p>
      <w:pPr>
        <w:widowControl/>
        <w:suppressAutoHyphens/>
        <w:adjustRightInd w:val="0"/>
        <w:snapToGrid w:val="0"/>
        <w:spacing w:line="560" w:lineRule="exact"/>
        <w:ind w:firstLineChars="200" w:firstLine="640"/>
        <w:contextualSpacing/>
        <w:jc w:val="left"/>
        <w:rPr>
          <w:rFonts w:ascii="Times New Roman" w:eastAsia="仿宋_GB2312" w:hAnsi="Times New Roman"/>
          <w:color w:val="000000"/>
          <w:kern w:val="0"/>
          <w:szCs w:val="32"/>
          <w:shd w:val="clear" w:color="auto" w:fill="FFFFFF"/>
          <w:lang w:val="zh-CN"/>
        </w:rPr>
      </w:pPr>
      <w:r>
        <w:rPr>
          <w:rFonts w:ascii="Times New Roman" w:eastAsia="楷体_GB2312" w:hAnsi="Times New Roman"/>
          <w:b/>
          <w:bCs/>
          <w:color w:val="000000"/>
          <w:kern w:val="0"/>
          <w:sz w:val="32"/>
          <w:szCs w:val="32"/>
          <w:shd w:val="clear" w:color="auto" w:fill="FFFFFF"/>
          <w:lang w:val="zh-CN"/>
        </w:rPr>
        <w:t>（</w:t>
      </w:r>
      <w:r>
        <w:rPr>
          <w:rFonts w:ascii="Times New Roman" w:eastAsia="楷体_GB2312" w:hAnsi="Times New Roman" w:hint="eastAsia"/>
          <w:b/>
          <w:bCs/>
          <w:color w:val="000000"/>
          <w:kern w:val="0"/>
          <w:sz w:val="32"/>
          <w:szCs w:val="32"/>
          <w:shd w:val="clear" w:color="auto" w:fill="FFFFFF"/>
          <w:lang w:val="zh-CN"/>
        </w:rPr>
        <w:t>三</w:t>
      </w:r>
      <w:r>
        <w:rPr>
          <w:rFonts w:ascii="Times New Roman" w:eastAsia="楷体_GB2312" w:hAnsi="Times New Roman"/>
          <w:b/>
          <w:bCs/>
          <w:color w:val="000000"/>
          <w:kern w:val="0"/>
          <w:sz w:val="32"/>
          <w:szCs w:val="32"/>
          <w:shd w:val="clear" w:color="auto" w:fill="FFFFFF"/>
          <w:lang w:val="zh-CN"/>
        </w:rPr>
        <w:t>）结余分配和结转结余情况</w:t>
      </w:r>
      <w:r>
        <w:rPr>
          <w:rFonts w:ascii="Times New Roman" w:eastAsia="楷体_GB2312" w:hAnsi="Times New Roman" w:hint="eastAsia"/>
          <w:b/>
          <w:bCs/>
          <w:color w:val="000000"/>
          <w:kern w:val="0"/>
          <w:sz w:val="32"/>
          <w:szCs w:val="32"/>
          <w:shd w:val="clear" w:color="auto" w:fill="FFFFFF"/>
          <w:lang w:val="zh-CN"/>
        </w:rPr>
        <w:t>。</w:t>
      </w:r>
      <w:r>
        <w:rPr>
          <w:rFonts w:ascii="仿宋_GB2312" w:eastAsia="仿宋_GB2312" w:hint="eastAsia"/>
          <w:color w:val="000000"/>
          <w:sz w:val="32"/>
          <w:szCs w:val="32"/>
        </w:rPr>
        <w:t>我局2023</w:t>
      </w:r>
      <w:r>
        <w:rPr>
          <w:rFonts w:ascii="Times New Roman" w:eastAsia="仿宋_GB2312" w:hAnsi="Times New Roman" w:hint="eastAsia"/>
          <w:sz w:val="32"/>
          <w:szCs w:val="32"/>
        </w:rPr>
        <w:t>年决算报表无</w:t>
      </w:r>
      <w:r>
        <w:rPr>
          <w:rFonts w:ascii="Times New Roman" w:eastAsia="仿宋_GB2312" w:hAnsi="Times New Roman"/>
          <w:sz w:val="32"/>
          <w:szCs w:val="32"/>
        </w:rPr>
        <w:t>结转结余。</w:t>
      </w:r>
    </w:p>
    <w:p>
      <w:pPr>
        <w:widowControl/>
        <w:suppressAutoHyphens/>
        <w:adjustRightInd w:val="0"/>
        <w:snapToGrid w:val="0"/>
        <w:spacing w:line="560"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pPr>
        <w:adjustRightInd w:val="0"/>
        <w:snapToGrid w:val="0"/>
        <w:spacing w:line="560" w:lineRule="exact"/>
        <w:ind w:firstLineChars="200" w:firstLine="640"/>
        <w:contextualSpacing/>
        <w:jc w:val="left"/>
        <w:rPr>
          <w:rFonts w:ascii="Times New Roman" w:hAnsi="Times New Roman"/>
          <w:color w:val="000000"/>
          <w:kern w:val="0"/>
          <w:szCs w:val="32"/>
          <w:shd w:val="clear" w:color="auto" w:fill="FFFFFF"/>
          <w:lang w:val="zh-CN"/>
        </w:rPr>
      </w:pPr>
      <w:r>
        <w:rPr>
          <w:rFonts w:ascii="Times New Roman" w:eastAsia="楷体_GB2312" w:hAnsi="Times New Roman"/>
          <w:b/>
          <w:bCs/>
          <w:color w:val="000000"/>
          <w:kern w:val="0"/>
          <w:sz w:val="32"/>
          <w:szCs w:val="32"/>
          <w:shd w:val="clear" w:color="auto" w:fill="FFFFFF"/>
          <w:lang w:val="zh-CN"/>
        </w:rPr>
        <w:t>（一）</w:t>
      </w:r>
      <w:r>
        <w:rPr>
          <w:rFonts w:ascii="Times New Roman" w:eastAsia="楷体_GB2312" w:hAnsi="Times New Roman" w:hint="eastAsia"/>
          <w:b/>
          <w:bCs/>
          <w:color w:val="000000"/>
          <w:kern w:val="0"/>
          <w:sz w:val="32"/>
          <w:szCs w:val="32"/>
          <w:shd w:val="clear" w:color="auto" w:fill="FFFFFF"/>
          <w:lang w:val="zh-CN"/>
        </w:rPr>
        <w:t>部门预算</w:t>
      </w:r>
      <w:r>
        <w:rPr>
          <w:rFonts w:ascii="Times New Roman" w:eastAsia="楷体_GB2312" w:hAnsi="Times New Roman"/>
          <w:b/>
          <w:bCs/>
          <w:color w:val="000000"/>
          <w:kern w:val="0"/>
          <w:sz w:val="32"/>
          <w:szCs w:val="32"/>
          <w:shd w:val="clear" w:color="auto" w:fill="FFFFFF"/>
          <w:lang w:val="zh-CN"/>
        </w:rPr>
        <w:t>总体绩效分析。</w:t>
      </w:r>
      <w:r>
        <w:rPr>
          <w:rFonts w:ascii="Times New Roman" w:eastAsia="仿宋_GB2312" w:hAnsi="Times New Roman"/>
          <w:sz w:val="32"/>
          <w:szCs w:val="32"/>
          <w:lang w:val="zh-CN"/>
        </w:rPr>
        <w:t>根据部门预算绩效评价指标体系“总体绩效”涉及</w:t>
      </w:r>
      <w:r>
        <w:rPr>
          <w:rFonts w:ascii="Times New Roman" w:eastAsia="仿宋_GB2312" w:hAnsi="Times New Roman" w:hint="eastAsia"/>
          <w:sz w:val="32"/>
          <w:szCs w:val="32"/>
          <w:lang w:val="zh-CN"/>
        </w:rPr>
        <w:t>二、三级</w:t>
      </w:r>
      <w:r>
        <w:rPr>
          <w:rFonts w:ascii="Times New Roman" w:eastAsia="仿宋_GB2312" w:hAnsi="Times New Roman"/>
          <w:sz w:val="32"/>
          <w:szCs w:val="32"/>
          <w:lang w:val="zh-CN"/>
        </w:rPr>
        <w:t>指标进行</w:t>
      </w:r>
      <w:r>
        <w:rPr>
          <w:rFonts w:ascii="Times New Roman" w:eastAsia="仿宋_GB2312" w:hAnsi="Times New Roman" w:hint="eastAsia"/>
          <w:sz w:val="32"/>
          <w:szCs w:val="32"/>
          <w:lang w:val="zh-CN"/>
        </w:rPr>
        <w:t>逐项</w:t>
      </w:r>
      <w:r>
        <w:rPr>
          <w:rFonts w:ascii="Times New Roman" w:eastAsia="仿宋_GB2312" w:hAnsi="Times New Roman"/>
          <w:sz w:val="32"/>
          <w:szCs w:val="32"/>
          <w:lang w:val="zh-CN"/>
        </w:rPr>
        <w:t>绩效分析</w:t>
      </w:r>
      <w:r>
        <w:rPr>
          <w:rFonts w:ascii="Times New Roman" w:eastAsia="仿宋_GB2312" w:hAnsi="Times New Roman" w:hint="eastAsia"/>
          <w:sz w:val="32"/>
          <w:szCs w:val="32"/>
          <w:lang w:val="zh-CN"/>
        </w:rPr>
        <w:t>并评分</w:t>
      </w:r>
      <w:r>
        <w:rPr>
          <w:rFonts w:ascii="Times New Roman" w:eastAsia="仿宋_GB2312" w:hAnsi="Times New Roman"/>
          <w:sz w:val="32"/>
          <w:szCs w:val="32"/>
          <w:lang w:val="zh-CN"/>
        </w:rPr>
        <w:t>，依次包括履职效能、预算管理、财务管理、资产管理、采购管理等情况。</w:t>
      </w:r>
    </w:p>
    <w:p>
      <w:pPr>
        <w:adjustRightInd w:val="0"/>
        <w:snapToGrid w:val="0"/>
        <w:spacing w:line="560" w:lineRule="exact"/>
        <w:ind w:firstLineChars="200" w:firstLine="640"/>
        <w:contextualSpacing/>
        <w:jc w:val="left"/>
        <w:rPr>
          <w:rFonts w:ascii="Times New Roman" w:hAnsi="Times New Roman"/>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1.</w:t>
      </w:r>
      <w:r>
        <w:rPr>
          <w:rFonts w:ascii="楷体_GB2312" w:eastAsia="楷体_GB2312" w:cs="楷体_GB2312" w:hint="eastAsia"/>
          <w:color w:val="000000"/>
          <w:kern w:val="0"/>
          <w:sz w:val="32"/>
          <w:szCs w:val="32"/>
          <w:shd w:val="clear" w:color="auto" w:fill="FFFFFF"/>
          <w:lang w:val="zh-CN"/>
        </w:rPr>
        <w:t>履职效能。</w:t>
      </w:r>
      <w:r>
        <w:rPr>
          <w:rFonts w:ascii="仿宋_GB2312" w:eastAsia="仿宋_GB2312" w:cs="仿宋_GB2312" w:hint="eastAsia"/>
          <w:color w:val="000000"/>
          <w:sz w:val="32"/>
          <w:szCs w:val="32"/>
        </w:rPr>
        <w:t>202</w:t>
      </w:r>
      <w:r>
        <w:rPr>
          <w:rFonts w:ascii="仿宋_GB2312" w:cs="仿宋_GB2312" w:hAnsi="仿宋_GB2312" w:hint="eastAsia"/>
          <w:color w:val="000000"/>
          <w:sz w:val="32"/>
          <w:szCs w:val="32"/>
        </w:rPr>
        <w:t>3</w:t>
      </w:r>
      <w:r>
        <w:rPr>
          <w:rFonts w:ascii="仿宋_GB2312" w:eastAsia="仿宋_GB2312" w:cs="仿宋_GB2312" w:hint="eastAsia"/>
          <w:color w:val="000000"/>
          <w:sz w:val="32"/>
          <w:szCs w:val="32"/>
        </w:rPr>
        <w:t>年，</w:t>
      </w:r>
      <w:r>
        <w:rPr>
          <w:rFonts w:ascii="仿宋_GB2312" w:eastAsia="仿宋_GB2312" w:hint="eastAsia"/>
          <w:sz w:val="32"/>
          <w:szCs w:val="32"/>
        </w:rPr>
        <w:t>茂县公安局将坚持以习近平新时代中国特色社会主义思想为指导，全面贯彻党的二十大精神，进一步增强“四个意识”、坚定“四个自信”、做到“两个维护”，紧紧围绕维对党忠诚、服务人民、执法公正、纪律严明的总要求和“四个铁一般”标准，培育和践行“忠诚、为民、尚法、守纪；团结、实干、勇敢、奉献；缜密、善战、创新、卓越”的新时代阿坝公安精神，坚持带头讲政治、带头讲团结、带头将实干、带头讲纪律，紧扣二十大安保维稳工作任务，聚焦建设“生态茂县、智慧茂县、幸福茂县”，主动服务重大发展战略，努力为“一州两区三家园”和“五地一中心”建设创造安全稳定的政治社会环境，为全面建设社会主义现代化茂县开局起步服好务。</w:t>
      </w:r>
      <w:r>
        <w:rPr>
          <w:rFonts w:ascii="仿宋_GB2312" w:eastAsia="仿宋_GB2312" w:cs="仿宋_GB2312" w:hint="eastAsia"/>
          <w:color w:val="000000"/>
          <w:sz w:val="32"/>
          <w:szCs w:val="32"/>
        </w:rPr>
        <w:t>统筹做好常态化疫情防控和防风险、保安全、护稳定、抓改革、促发展各项工作，有力维护了全县政治安全和社会大局稳定。</w:t>
      </w:r>
    </w:p>
    <w:p>
      <w:pPr>
        <w:spacing w:line="560" w:lineRule="exact"/>
        <w:ind w:firstLineChars="200" w:firstLine="640"/>
        <w:rPr>
          <w:rFonts w:ascii="楷体_GB2312" w:eastAsia="楷体_GB2312" w:cs="楷体_GB2312"/>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2.</w:t>
      </w:r>
      <w:r>
        <w:rPr>
          <w:rFonts w:ascii="楷体_GB2312" w:eastAsia="楷体_GB2312" w:cs="楷体_GB2312"/>
          <w:color w:val="000000"/>
          <w:kern w:val="0"/>
          <w:sz w:val="32"/>
          <w:szCs w:val="32"/>
          <w:shd w:val="clear" w:color="auto" w:fill="FFFFFF"/>
          <w:lang w:val="zh-CN"/>
        </w:rPr>
        <w:t>预算管理</w:t>
      </w:r>
      <w:r>
        <w:rPr>
          <w:rFonts w:ascii="楷体_GB2312" w:eastAsia="楷体_GB2312" w:cs="楷体_GB2312" w:hint="eastAsia"/>
          <w:color w:val="000000"/>
          <w:kern w:val="0"/>
          <w:sz w:val="32"/>
          <w:szCs w:val="32"/>
          <w:shd w:val="clear" w:color="auto" w:fill="FFFFFF"/>
          <w:lang w:val="zh-CN"/>
        </w:rPr>
        <w:t>。</w:t>
      </w:r>
      <w:r>
        <w:rPr>
          <w:rFonts w:ascii="仿宋_GB2312" w:eastAsia="仿宋_GB2312" w:cs="仿宋_GB2312" w:hint="eastAsia"/>
          <w:sz w:val="32"/>
          <w:szCs w:val="32"/>
        </w:rPr>
        <w:t>结合年度工作计划，我局合理制定了</w:t>
      </w:r>
      <w:r>
        <w:rPr>
          <w:rFonts w:eastAsia="仿宋_GB2312" w:hint="eastAsia"/>
          <w:sz w:val="32"/>
          <w:szCs w:val="32"/>
        </w:rPr>
        <w:t>细化量化、完整准确</w:t>
      </w:r>
      <w:r>
        <w:rPr>
          <w:rFonts w:ascii="仿宋_GB2312" w:eastAsia="仿宋_GB2312" w:cs="仿宋_GB2312" w:hint="eastAsia"/>
          <w:sz w:val="32"/>
          <w:szCs w:val="32"/>
        </w:rPr>
        <w:t>的绩效目标；将绩效目标管理融入部门预算编制的各个环节，</w:t>
      </w:r>
      <w:r>
        <w:rPr>
          <w:rFonts w:eastAsia="仿宋_GB2312" w:hint="eastAsia"/>
          <w:sz w:val="32"/>
          <w:szCs w:val="32"/>
        </w:rPr>
        <w:t>通过科学绩效目标及指标体系清晰反映项目预算资金的投入、产出及效果；</w:t>
      </w:r>
      <w:r>
        <w:rPr>
          <w:rFonts w:ascii="仿宋_GB2312" w:eastAsia="仿宋_GB2312" w:cs="仿宋_GB2312" w:hint="eastAsia"/>
          <w:sz w:val="32"/>
          <w:szCs w:val="32"/>
        </w:rPr>
        <w:t>确保重点业务工作绩效目标内容制定明确，与预算项目实施内容匹配，财政资源配置合理。</w:t>
      </w:r>
    </w:p>
    <w:p>
      <w:pPr>
        <w:adjustRightInd w:val="0"/>
        <w:snapToGrid w:val="0"/>
        <w:spacing w:line="560" w:lineRule="exact"/>
        <w:ind w:firstLineChars="200" w:firstLine="640"/>
        <w:contextualSpacing/>
        <w:jc w:val="left"/>
        <w:rPr>
          <w:rFonts w:ascii="楷体_GB2312" w:eastAsia="楷体_GB2312" w:cs="楷体_GB2312"/>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3.</w:t>
      </w:r>
      <w:r>
        <w:rPr>
          <w:rFonts w:ascii="楷体_GB2312" w:eastAsia="楷体_GB2312" w:cs="楷体_GB2312"/>
          <w:color w:val="000000"/>
          <w:kern w:val="0"/>
          <w:sz w:val="32"/>
          <w:szCs w:val="32"/>
          <w:shd w:val="clear" w:color="auto" w:fill="FFFFFF"/>
          <w:lang w:val="zh-CN"/>
        </w:rPr>
        <w:t>财务管理</w:t>
      </w:r>
      <w:r>
        <w:rPr>
          <w:rFonts w:ascii="楷体_GB2312" w:eastAsia="楷体_GB2312" w:cs="楷体_GB2312" w:hint="eastAsia"/>
          <w:color w:val="000000"/>
          <w:kern w:val="0"/>
          <w:sz w:val="32"/>
          <w:szCs w:val="32"/>
          <w:shd w:val="clear" w:color="auto" w:fill="FFFFFF"/>
          <w:lang w:val="zh-CN"/>
        </w:rPr>
        <w:t>。</w:t>
      </w:r>
      <w:r>
        <w:rPr>
          <w:rFonts w:ascii="仿宋_GB2312" w:eastAsia="仿宋_GB2312" w:cs="仿宋_GB2312" w:hint="eastAsia"/>
          <w:sz w:val="32"/>
          <w:szCs w:val="32"/>
        </w:rPr>
        <w:t>我局属于一级预算单位，由警务保障室统一管理和核算经费，各部门经费实行报帐制。为切实加强我局财务管理，着力提高财务管理水平和经费使用效益，使之有效服务于公安工作大局，确保各项公安业务工作的顺利开展。本着“厉行节约、量力而行、保障运转、提高效益、收支平衡”的原则，制定了相关财务管理制度。</w:t>
      </w:r>
    </w:p>
    <w:p>
      <w:pPr>
        <w:spacing w:line="560" w:lineRule="exact"/>
        <w:ind w:firstLineChars="200" w:firstLine="640"/>
        <w:rPr>
          <w:rFonts w:ascii="楷体_GB2312" w:eastAsia="楷体_GB2312" w:cs="楷体_GB2312"/>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4.</w:t>
      </w:r>
      <w:r>
        <w:rPr>
          <w:rFonts w:ascii="楷体_GB2312" w:eastAsia="楷体_GB2312" w:cs="楷体_GB2312"/>
          <w:color w:val="000000"/>
          <w:kern w:val="0"/>
          <w:sz w:val="32"/>
          <w:szCs w:val="32"/>
          <w:shd w:val="clear" w:color="auto" w:fill="FFFFFF"/>
          <w:lang w:val="zh-CN"/>
        </w:rPr>
        <w:t>资产管理</w:t>
      </w:r>
      <w:r>
        <w:rPr>
          <w:rFonts w:ascii="楷体_GB2312" w:eastAsia="楷体_GB2312" w:cs="楷体_GB2312" w:hint="eastAsia"/>
          <w:color w:val="000000"/>
          <w:kern w:val="0"/>
          <w:sz w:val="32"/>
          <w:szCs w:val="32"/>
          <w:shd w:val="clear" w:color="auto" w:fill="FFFFFF"/>
          <w:lang w:val="zh-CN"/>
        </w:rPr>
        <w:t>。</w:t>
      </w:r>
    </w:p>
    <w:p>
      <w:pPr>
        <w:spacing w:line="560" w:lineRule="exact"/>
        <w:ind w:firstLineChars="200" w:firstLine="640"/>
        <w:rPr>
          <w:rFonts w:ascii="仿宋_GB2312" w:eastAsia="仿宋_GB2312" w:cs="仿宋_GB2312"/>
          <w:sz w:val="32"/>
          <w:szCs w:val="32"/>
        </w:rPr>
      </w:pPr>
      <w:r>
        <w:rPr>
          <w:rFonts w:ascii="仿宋_GB2312" w:cs="仿宋_GB2312" w:hAnsi="仿宋_GB2312" w:hint="eastAsia"/>
          <w:sz w:val="32"/>
          <w:szCs w:val="32"/>
          <w:lang w:val="zh-CN"/>
        </w:rPr>
        <w:t>（</w:t>
      </w:r>
      <w:r>
        <w:rPr>
          <w:rFonts w:ascii="仿宋_GB2312" w:cs="仿宋_GB2312" w:hAnsi="仿宋_GB2312" w:hint="eastAsia"/>
          <w:sz w:val="32"/>
          <w:szCs w:val="32"/>
        </w:rPr>
        <w:t>1</w:t>
      </w:r>
      <w:r>
        <w:rPr>
          <w:rFonts w:ascii="仿宋_GB2312" w:cs="仿宋_GB2312" w:hAnsi="仿宋_GB2312" w:hint="eastAsia"/>
          <w:sz w:val="32"/>
          <w:szCs w:val="32"/>
          <w:lang w:val="zh-CN"/>
        </w:rPr>
        <w:t>）</w:t>
      </w:r>
      <w:r>
        <w:rPr>
          <w:rFonts w:ascii="仿宋_GB2312" w:eastAsia="仿宋_GB2312" w:cs="仿宋_GB2312" w:hint="eastAsia"/>
          <w:sz w:val="32"/>
          <w:szCs w:val="32"/>
        </w:rPr>
        <w:t>为防止国有资产的流失，各部门通过各种方式购置、添置、奖励、配发的固定资产一律要在警务保障室填报、登记、造册，并妥善管理和使用。</w:t>
      </w:r>
    </w:p>
    <w:p>
      <w:pPr>
        <w:spacing w:line="560" w:lineRule="exact"/>
        <w:ind w:firstLineChars="200" w:firstLine="640"/>
        <w:rPr>
          <w:rFonts w:ascii="仿宋_GB2312" w:eastAsia="仿宋_GB2312" w:cs="仿宋_GB2312"/>
          <w:sz w:val="32"/>
          <w:szCs w:val="32"/>
        </w:rPr>
      </w:pPr>
      <w:r>
        <w:rPr>
          <w:rFonts w:ascii="仿宋_GB2312" w:cs="仿宋_GB2312" w:hAnsi="仿宋_GB2312" w:hint="eastAsia"/>
          <w:sz w:val="32"/>
          <w:szCs w:val="32"/>
        </w:rPr>
        <w:t>（2）</w:t>
      </w:r>
      <w:r>
        <w:rPr>
          <w:rFonts w:ascii="仿宋_GB2312" w:eastAsia="仿宋_GB2312" w:cs="仿宋_GB2312" w:hint="eastAsia"/>
          <w:sz w:val="32"/>
          <w:szCs w:val="32"/>
        </w:rPr>
        <w:t>各部门的固定资产应登记造册，并建立固定资产台帐，做到帐帐相符、帐实相符。</w:t>
      </w:r>
    </w:p>
    <w:p>
      <w:pPr>
        <w:spacing w:line="560" w:lineRule="exact"/>
        <w:ind w:firstLineChars="200" w:firstLine="640"/>
        <w:rPr>
          <w:rFonts w:ascii="仿宋_GB2312" w:eastAsia="仿宋_GB2312" w:cs="仿宋_GB2312"/>
          <w:sz w:val="32"/>
          <w:szCs w:val="32"/>
        </w:rPr>
      </w:pPr>
      <w:r>
        <w:rPr>
          <w:rFonts w:ascii="仿宋_GB2312" w:cs="仿宋_GB2312" w:hAnsi="仿宋_GB2312" w:hint="eastAsia"/>
          <w:sz w:val="32"/>
          <w:szCs w:val="32"/>
        </w:rPr>
        <w:t>（3）</w:t>
      </w:r>
      <w:r>
        <w:rPr>
          <w:rFonts w:ascii="仿宋_GB2312" w:eastAsia="仿宋_GB2312" w:cs="仿宋_GB2312" w:hint="eastAsia"/>
          <w:sz w:val="32"/>
          <w:szCs w:val="32"/>
        </w:rPr>
        <w:t>县局所有的资产都是国有资产，每个人有责任和义务管好、用好。任何固定资产的调出、出售、报废、报损，需按照固定资产报废有关程序，报警务保障室核实后统一上报县财政局国资办批准后，方可处理。</w:t>
      </w:r>
    </w:p>
    <w:p>
      <w:pPr>
        <w:spacing w:line="560" w:lineRule="exact"/>
        <w:ind w:firstLineChars="200" w:firstLine="640"/>
        <w:rPr>
          <w:rFonts w:ascii="仿宋_GB2312" w:eastAsia="仿宋_GB2312" w:cs="仿宋_GB2312"/>
          <w:sz w:val="32"/>
          <w:szCs w:val="32"/>
        </w:rPr>
      </w:pPr>
      <w:r>
        <w:rPr>
          <w:rFonts w:ascii="仿宋_GB2312" w:cs="仿宋_GB2312" w:hAnsi="仿宋_GB2312" w:hint="eastAsia"/>
          <w:sz w:val="32"/>
          <w:szCs w:val="32"/>
        </w:rPr>
        <w:t>（4）</w:t>
      </w:r>
      <w:r>
        <w:rPr>
          <w:rFonts w:ascii="仿宋_GB2312" w:eastAsia="仿宋_GB2312" w:cs="仿宋_GB2312" w:hint="eastAsia"/>
          <w:sz w:val="32"/>
          <w:szCs w:val="32"/>
        </w:rPr>
        <w:t>登记在册的固定资产丢失，责任人应照价赔偿。</w:t>
      </w:r>
    </w:p>
    <w:p>
      <w:pPr>
        <w:spacing w:line="560" w:lineRule="exact"/>
        <w:ind w:firstLineChars="200" w:firstLine="640"/>
        <w:rPr>
          <w:rFonts w:ascii="楷体_GB2312" w:eastAsia="楷体_GB2312" w:cs="楷体_GB2312"/>
          <w:color w:val="000000"/>
          <w:kern w:val="0"/>
          <w:sz w:val="32"/>
          <w:szCs w:val="32"/>
          <w:shd w:val="clear" w:color="auto" w:fill="FFFFFF"/>
          <w:lang w:val="zh-CN"/>
        </w:rPr>
      </w:pPr>
      <w:r>
        <w:rPr>
          <w:rFonts w:ascii="仿宋_GB2312" w:cs="仿宋_GB2312" w:hAnsi="仿宋_GB2312" w:hint="eastAsia"/>
          <w:sz w:val="32"/>
          <w:szCs w:val="32"/>
        </w:rPr>
        <w:t>（5）</w:t>
      </w:r>
      <w:r>
        <w:rPr>
          <w:rFonts w:ascii="仿宋_GB2312" w:eastAsia="仿宋_GB2312" w:cs="仿宋_GB2312" w:hint="eastAsia"/>
          <w:sz w:val="32"/>
          <w:szCs w:val="32"/>
        </w:rPr>
        <w:t>部门主要领导因工作变动其所属部门的财物需纪委、警务保障室进行监交，并填制固定资产移交清单，双方签字报警务保障室留存。不按规定执行，造成国有资产流失的，按有关规定严肃处理。</w:t>
      </w:r>
    </w:p>
    <w:p>
      <w:pPr>
        <w:spacing w:line="560" w:lineRule="exact"/>
        <w:ind w:firstLineChars="200" w:firstLine="640"/>
        <w:rPr>
          <w:rFonts w:ascii="楷体_GB2312" w:eastAsia="楷体_GB2312" w:cs="楷体_GB2312"/>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5.</w:t>
      </w:r>
      <w:r>
        <w:rPr>
          <w:rFonts w:ascii="楷体_GB2312" w:eastAsia="楷体_GB2312" w:cs="楷体_GB2312"/>
          <w:color w:val="000000"/>
          <w:kern w:val="0"/>
          <w:sz w:val="32"/>
          <w:szCs w:val="32"/>
          <w:shd w:val="clear" w:color="auto" w:fill="FFFFFF"/>
          <w:lang w:val="zh-CN"/>
        </w:rPr>
        <w:t>采购管理</w:t>
      </w:r>
      <w:r>
        <w:rPr>
          <w:rFonts w:ascii="楷体_GB2312" w:eastAsia="楷体_GB2312" w:cs="楷体_GB2312" w:hint="eastAsia"/>
          <w:color w:val="000000"/>
          <w:kern w:val="0"/>
          <w:sz w:val="32"/>
          <w:szCs w:val="32"/>
          <w:shd w:val="clear" w:color="auto" w:fill="FFFFFF"/>
          <w:lang w:val="zh-CN"/>
        </w:rPr>
        <w:t>。</w:t>
      </w:r>
      <w:r>
        <w:rPr>
          <w:rFonts w:ascii="仿宋_GB2312" w:eastAsia="仿宋_GB2312" w:cs="仿宋_GB2312" w:hint="eastAsia"/>
          <w:sz w:val="32"/>
          <w:szCs w:val="32"/>
        </w:rPr>
        <w:t>各部门需添置的大宗设备和维修项目每年9月一次性上报警务保障室，由警务保障室纳入次年部门预算，凡未纳入部门预算的，次年不安排资金。凡纳入年度财政预算和装备计划的设备采购、维修改造项目，做到专款专用，并按政府采购程序办理，各部门不得自行采购和开工。</w:t>
      </w:r>
    </w:p>
    <w:p>
      <w:pPr>
        <w:widowControl/>
        <w:suppressAutoHyphens/>
        <w:adjustRightInd w:val="0"/>
        <w:snapToGrid w:val="0"/>
        <w:spacing w:line="560" w:lineRule="exact"/>
        <w:ind w:firstLineChars="200" w:firstLine="640"/>
        <w:contextualSpacing/>
        <w:jc w:val="left"/>
        <w:rPr>
          <w:rFonts w:ascii="Times New Roman" w:eastAsia="仿宋_GB2312" w:hAnsi="Times New Roman"/>
          <w:sz w:val="32"/>
          <w:szCs w:val="32"/>
        </w:rPr>
      </w:pPr>
      <w:r>
        <w:rPr>
          <w:rFonts w:ascii="Times New Roman" w:eastAsia="楷体_GB2312" w:hAnsi="Times New Roman"/>
          <w:b/>
          <w:bCs/>
          <w:color w:val="000000"/>
          <w:kern w:val="0"/>
          <w:sz w:val="32"/>
          <w:szCs w:val="32"/>
          <w:shd w:val="clear" w:color="auto" w:fill="FFFFFF"/>
          <w:lang w:val="zh-CN"/>
        </w:rPr>
        <w:t>（二）部门预算项目绩效分析。</w:t>
      </w:r>
      <w:r>
        <w:rPr>
          <w:rFonts w:ascii="Times New Roman" w:eastAsia="仿宋_GB2312" w:hAnsi="Times New Roman" w:hint="eastAsia"/>
          <w:sz w:val="32"/>
          <w:szCs w:val="32"/>
          <w:lang w:val="zh-CN"/>
        </w:rPr>
        <w:t>填报以下数据，并</w:t>
      </w:r>
      <w:r>
        <w:rPr>
          <w:rFonts w:ascii="Times New Roman" w:eastAsia="仿宋_GB2312" w:hAnsi="Times New Roman"/>
          <w:sz w:val="32"/>
          <w:szCs w:val="32"/>
          <w:lang w:val="zh-CN"/>
        </w:rPr>
        <w:t>根据部门预算绩效评价指标体系“项目绩效”涉及</w:t>
      </w:r>
      <w:r>
        <w:rPr>
          <w:rFonts w:ascii="Times New Roman" w:eastAsia="仿宋_GB2312" w:hAnsi="Times New Roman" w:hint="eastAsia"/>
          <w:sz w:val="32"/>
          <w:szCs w:val="32"/>
          <w:lang w:val="zh-CN"/>
        </w:rPr>
        <w:t>二、三级</w:t>
      </w:r>
      <w:r>
        <w:rPr>
          <w:rFonts w:ascii="Times New Roman" w:eastAsia="仿宋_GB2312" w:hAnsi="Times New Roman"/>
          <w:sz w:val="32"/>
          <w:szCs w:val="32"/>
          <w:lang w:val="zh-CN"/>
        </w:rPr>
        <w:t>指标进行</w:t>
      </w:r>
      <w:r>
        <w:rPr>
          <w:rFonts w:ascii="Times New Roman" w:eastAsia="仿宋_GB2312" w:hAnsi="Times New Roman" w:hint="eastAsia"/>
          <w:sz w:val="32"/>
          <w:szCs w:val="32"/>
          <w:lang w:val="zh-CN"/>
        </w:rPr>
        <w:t>逐项</w:t>
      </w:r>
      <w:r>
        <w:rPr>
          <w:rFonts w:ascii="Times New Roman" w:eastAsia="仿宋_GB2312" w:hAnsi="Times New Roman"/>
          <w:sz w:val="32"/>
          <w:szCs w:val="32"/>
          <w:lang w:val="zh-CN"/>
        </w:rPr>
        <w:t>绩效分析</w:t>
      </w:r>
      <w:r>
        <w:rPr>
          <w:rFonts w:ascii="Times New Roman" w:eastAsia="仿宋_GB2312" w:hAnsi="Times New Roman" w:hint="eastAsia"/>
          <w:sz w:val="32"/>
          <w:szCs w:val="32"/>
          <w:lang w:val="zh-CN"/>
        </w:rPr>
        <w:t>并评分</w:t>
      </w:r>
      <w:r>
        <w:rPr>
          <w:rFonts w:ascii="Times New Roman" w:eastAsia="仿宋_GB2312" w:hAnsi="Times New Roman"/>
          <w:sz w:val="32"/>
          <w:szCs w:val="32"/>
          <w:lang w:val="zh-CN"/>
        </w:rPr>
        <w:t>，依次包括项目</w:t>
      </w:r>
      <w:r>
        <w:rPr>
          <w:rFonts w:ascii="Times New Roman" w:eastAsia="仿宋_GB2312" w:hAnsi="Times New Roman"/>
          <w:sz w:val="32"/>
          <w:szCs w:val="32"/>
        </w:rPr>
        <w:t>决策、项目执行、目标实现等情况</w:t>
      </w:r>
      <w:r>
        <w:rPr>
          <w:rFonts w:ascii="Times New Roman" w:eastAsia="仿宋_GB2312" w:hAnsi="Times New Roman" w:hint="eastAsia"/>
          <w:sz w:val="32"/>
          <w:szCs w:val="32"/>
        </w:rPr>
        <w:t>。</w:t>
      </w:r>
    </w:p>
    <w:p>
      <w:pPr>
        <w:adjustRightInd w:val="0"/>
        <w:snapToGrid w:val="0"/>
        <w:spacing w:line="560" w:lineRule="exact"/>
        <w:ind w:firstLineChars="200" w:firstLine="640"/>
        <w:contextualSpacing/>
        <w:jc w:val="left"/>
        <w:rPr>
          <w:rFonts w:ascii="Times New Roman" w:eastAsia="仿宋_GB2312" w:hAnsi="Times New Roman"/>
          <w:sz w:val="32"/>
          <w:szCs w:val="32"/>
          <w:lang w:val="zh-CN"/>
        </w:rPr>
      </w:pPr>
      <w:r>
        <w:rPr>
          <w:rFonts w:ascii="Times New Roman" w:eastAsia="仿宋_GB2312" w:hAnsi="Times New Roman"/>
          <w:sz w:val="32"/>
          <w:szCs w:val="32"/>
        </w:rPr>
        <w:t>常年项目绩效分析。</w:t>
      </w:r>
      <w:r>
        <w:rPr>
          <w:rFonts w:ascii="Times New Roman" w:eastAsia="仿宋_GB2312" w:hAnsi="Times New Roman"/>
          <w:sz w:val="32"/>
          <w:szCs w:val="32"/>
          <w:lang w:val="zh-CN"/>
        </w:rPr>
        <w:t>该类项目总数</w:t>
      </w:r>
      <w:r>
        <w:rPr>
          <w:rFonts w:ascii="Times New Roman" w:eastAsia="仿宋_GB2312" w:hAnsi="Times New Roman" w:hint="eastAsia"/>
          <w:sz w:val="32"/>
          <w:szCs w:val="32"/>
        </w:rPr>
        <w:t>15</w:t>
      </w:r>
      <w:r>
        <w:rPr>
          <w:rFonts w:ascii="Times New Roman" w:eastAsia="仿宋_GB2312" w:hAnsi="Times New Roman"/>
          <w:sz w:val="32"/>
          <w:szCs w:val="32"/>
          <w:lang w:val="zh-CN"/>
        </w:rPr>
        <w:t>个，涉及预算总金额</w:t>
      </w:r>
      <w:r>
        <w:rPr>
          <w:rFonts w:ascii="Times New Roman" w:eastAsia="仿宋_GB2312" w:hAnsi="Times New Roman" w:hint="eastAsia"/>
          <w:sz w:val="32"/>
          <w:szCs w:val="32"/>
        </w:rPr>
        <w:t>1754.22</w:t>
      </w:r>
      <w:r>
        <w:rPr>
          <w:rFonts w:ascii="Times New Roman" w:eastAsia="仿宋_GB2312" w:hAnsi="Times New Roman"/>
          <w:sz w:val="32"/>
          <w:szCs w:val="32"/>
          <w:lang w:val="zh-CN"/>
        </w:rPr>
        <w:t>万元，1</w:t>
      </w:r>
      <w:r>
        <w:rPr>
          <w:rFonts w:ascii="Times New Roman" w:eastAsia="仿宋_GB2312" w:hAnsi="Times New Roman" w:hint="eastAsia"/>
          <w:sz w:val="32"/>
          <w:szCs w:val="32"/>
          <w:lang w:val="zh-CN"/>
        </w:rPr>
        <w:t>—</w:t>
      </w:r>
      <w:r>
        <w:rPr>
          <w:rFonts w:ascii="Times New Roman" w:eastAsia="仿宋_GB2312" w:hAnsi="Times New Roman"/>
          <w:sz w:val="32"/>
          <w:szCs w:val="32"/>
          <w:lang w:val="zh-CN"/>
        </w:rPr>
        <w:t>1</w:t>
      </w:r>
      <w:r>
        <w:rPr>
          <w:rFonts w:ascii="Times New Roman" w:eastAsia="仿宋_GB2312" w:hAnsi="Times New Roman"/>
          <w:sz w:val="32"/>
          <w:szCs w:val="32"/>
        </w:rPr>
        <w:t>2</w:t>
      </w:r>
      <w:r>
        <w:rPr>
          <w:rFonts w:ascii="Times New Roman" w:eastAsia="仿宋_GB2312" w:hAnsi="Times New Roman"/>
          <w:sz w:val="32"/>
          <w:szCs w:val="32"/>
          <w:lang w:val="zh-CN"/>
        </w:rPr>
        <w:t>月预算执行总体进度为</w:t>
      </w:r>
      <w:r>
        <w:rPr>
          <w:rFonts w:ascii="Times New Roman" w:eastAsia="仿宋_GB2312" w:hAnsi="Times New Roman" w:hint="eastAsia"/>
          <w:sz w:val="32"/>
          <w:szCs w:val="32"/>
        </w:rPr>
        <w:t>100</w:t>
      </w:r>
      <w:r>
        <w:rPr>
          <w:rFonts w:ascii="Times New Roman" w:eastAsia="仿宋_GB2312" w:hAnsi="Times New Roman"/>
          <w:sz w:val="32"/>
          <w:szCs w:val="32"/>
          <w:lang w:val="zh-CN"/>
        </w:rPr>
        <w:t>%，其中：预算结余率大于</w:t>
      </w:r>
      <w:r>
        <w:rPr>
          <w:rFonts w:ascii="Times New Roman" w:eastAsia="仿宋_GB2312" w:hAnsi="Times New Roman"/>
          <w:sz w:val="32"/>
          <w:szCs w:val="32"/>
        </w:rPr>
        <w:t>10%</w:t>
      </w:r>
      <w:r>
        <w:rPr>
          <w:rFonts w:ascii="Times New Roman" w:eastAsia="仿宋_GB2312" w:hAnsi="Times New Roman"/>
          <w:sz w:val="32"/>
          <w:szCs w:val="32"/>
          <w:lang w:val="zh-CN"/>
        </w:rPr>
        <w:t>的项目共计</w:t>
      </w:r>
      <w:r>
        <w:rPr>
          <w:rFonts w:ascii="Times New Roman" w:eastAsia="仿宋_GB2312" w:hAnsi="Times New Roman" w:hint="eastAsia"/>
          <w:sz w:val="32"/>
          <w:szCs w:val="32"/>
        </w:rPr>
        <w:t>0</w:t>
      </w:r>
      <w:r>
        <w:rPr>
          <w:rFonts w:ascii="Times New Roman" w:eastAsia="仿宋_GB2312" w:hAnsi="Times New Roman"/>
          <w:sz w:val="32"/>
          <w:szCs w:val="32"/>
          <w:lang w:val="zh-CN"/>
        </w:rPr>
        <w:t>个。</w:t>
      </w:r>
    </w:p>
    <w:p>
      <w:pPr>
        <w:widowControl/>
        <w:suppressAutoHyphens/>
        <w:adjustRightInd w:val="0"/>
        <w:snapToGrid w:val="0"/>
        <w:spacing w:line="560" w:lineRule="exact"/>
        <w:ind w:firstLineChars="200" w:firstLine="640"/>
        <w:contextualSpacing/>
        <w:jc w:val="left"/>
        <w:rPr>
          <w:rFonts w:ascii="Times New Roman" w:eastAsia="仿宋_GB2312" w:hAnsi="Times New Roman"/>
          <w:sz w:val="32"/>
          <w:szCs w:val="32"/>
          <w:lang w:val="zh-CN"/>
        </w:rPr>
      </w:pPr>
      <w:r>
        <w:rPr>
          <w:rFonts w:ascii="Times New Roman" w:eastAsia="仿宋_GB2312" w:hAnsi="Times New Roman"/>
          <w:sz w:val="32"/>
          <w:szCs w:val="32"/>
        </w:rPr>
        <w:t>阶段</w:t>
      </w:r>
      <w:r>
        <w:rPr>
          <w:rFonts w:ascii="Times New Roman" w:eastAsia="仿宋_GB2312" w:hAnsi="Times New Roman" w:hint="eastAsia"/>
          <w:sz w:val="32"/>
          <w:szCs w:val="32"/>
        </w:rPr>
        <w:t>（</w:t>
      </w:r>
      <w:r>
        <w:rPr>
          <w:rFonts w:ascii="Times New Roman" w:eastAsia="仿宋_GB2312" w:hAnsi="Times New Roman"/>
          <w:sz w:val="32"/>
          <w:szCs w:val="32"/>
        </w:rPr>
        <w:t>一次性</w:t>
      </w:r>
      <w:r>
        <w:rPr>
          <w:rFonts w:ascii="Times New Roman" w:eastAsia="仿宋_GB2312" w:hAnsi="Times New Roman" w:hint="eastAsia"/>
          <w:sz w:val="32"/>
          <w:szCs w:val="32"/>
        </w:rPr>
        <w:t>）</w:t>
      </w:r>
      <w:r>
        <w:rPr>
          <w:rFonts w:ascii="Times New Roman" w:eastAsia="仿宋_GB2312" w:hAnsi="Times New Roman"/>
          <w:sz w:val="32"/>
          <w:szCs w:val="32"/>
        </w:rPr>
        <w:t>项目绩效分析。</w:t>
      </w:r>
      <w:r>
        <w:rPr>
          <w:rFonts w:ascii="Times New Roman" w:eastAsia="仿宋_GB2312" w:hAnsi="Times New Roman"/>
          <w:sz w:val="32"/>
          <w:szCs w:val="32"/>
          <w:lang w:val="zh-CN"/>
        </w:rPr>
        <w:t>该类项目总数</w:t>
      </w:r>
      <w:r>
        <w:rPr>
          <w:rFonts w:ascii="Times New Roman" w:eastAsia="仿宋_GB2312" w:hAnsi="Times New Roman" w:hint="eastAsia"/>
          <w:sz w:val="32"/>
          <w:szCs w:val="32"/>
        </w:rPr>
        <w:t>1</w:t>
      </w:r>
      <w:r>
        <w:rPr>
          <w:rFonts w:ascii="Times New Roman" w:eastAsia="仿宋_GB2312" w:hAnsi="Times New Roman"/>
          <w:sz w:val="32"/>
          <w:szCs w:val="32"/>
          <w:lang w:val="zh-CN"/>
        </w:rPr>
        <w:t>个，涉及预算总金额</w:t>
      </w:r>
      <w:r>
        <w:rPr>
          <w:rFonts w:ascii="Times New Roman" w:eastAsia="仿宋_GB2312" w:hAnsi="Times New Roman" w:hint="eastAsia"/>
          <w:sz w:val="32"/>
          <w:szCs w:val="32"/>
        </w:rPr>
        <w:t>105.8</w:t>
      </w:r>
      <w:r>
        <w:rPr>
          <w:rFonts w:ascii="Times New Roman" w:eastAsia="仿宋_GB2312" w:hAnsi="Times New Roman"/>
          <w:sz w:val="32"/>
          <w:szCs w:val="32"/>
          <w:lang w:val="zh-CN"/>
        </w:rPr>
        <w:t>万元，1</w:t>
      </w:r>
      <w:r>
        <w:rPr>
          <w:rFonts w:ascii="Times New Roman" w:eastAsia="仿宋_GB2312" w:hAnsi="Times New Roman" w:hint="eastAsia"/>
          <w:sz w:val="32"/>
          <w:szCs w:val="32"/>
          <w:lang w:val="zh-CN"/>
        </w:rPr>
        <w:t>—</w:t>
      </w:r>
      <w:r>
        <w:rPr>
          <w:rFonts w:ascii="Times New Roman" w:eastAsia="仿宋_GB2312" w:hAnsi="Times New Roman"/>
          <w:sz w:val="32"/>
          <w:szCs w:val="32"/>
          <w:lang w:val="zh-CN"/>
        </w:rPr>
        <w:t>12月预算执行总体进度为</w:t>
      </w:r>
      <w:r>
        <w:rPr>
          <w:rFonts w:ascii="Times New Roman" w:eastAsia="仿宋_GB2312" w:hAnsi="Times New Roman" w:hint="eastAsia"/>
          <w:sz w:val="32"/>
          <w:szCs w:val="32"/>
        </w:rPr>
        <w:t>100</w:t>
      </w:r>
      <w:r>
        <w:rPr>
          <w:rFonts w:ascii="Times New Roman" w:eastAsia="仿宋_GB2312" w:hAnsi="Times New Roman"/>
          <w:sz w:val="32"/>
          <w:szCs w:val="32"/>
          <w:lang w:val="zh-CN"/>
        </w:rPr>
        <w:t>%，其中：预算结余率大于10%的项目共计</w:t>
      </w:r>
      <w:r>
        <w:rPr>
          <w:rFonts w:ascii="Times New Roman" w:eastAsia="仿宋_GB2312" w:hAnsi="Times New Roman" w:hint="eastAsia"/>
          <w:sz w:val="32"/>
          <w:szCs w:val="32"/>
        </w:rPr>
        <w:t>0</w:t>
      </w:r>
      <w:r>
        <w:rPr>
          <w:rFonts w:ascii="Times New Roman" w:eastAsia="仿宋_GB2312" w:hAnsi="Times New Roman"/>
          <w:sz w:val="32"/>
          <w:szCs w:val="32"/>
          <w:lang w:val="zh-CN"/>
        </w:rPr>
        <w:t>个。</w:t>
      </w:r>
    </w:p>
    <w:p>
      <w:pPr>
        <w:adjustRightInd w:val="0"/>
        <w:snapToGrid w:val="0"/>
        <w:spacing w:line="560" w:lineRule="exact"/>
        <w:ind w:firstLineChars="200" w:firstLine="640"/>
        <w:contextualSpacing/>
        <w:jc w:val="left"/>
        <w:rPr>
          <w:rFonts w:ascii="Times New Roman" w:eastAsia="仿宋_GB2312" w:hAnsi="Times New Roman"/>
          <w:sz w:val="32"/>
          <w:szCs w:val="32"/>
          <w:lang w:val="zh-CN"/>
        </w:rPr>
      </w:pPr>
      <w:r>
        <w:rPr>
          <w:rFonts w:ascii="楷体_GB2312" w:eastAsia="楷体_GB2312" w:cs="楷体_GB2312" w:hint="eastAsia"/>
          <w:color w:val="000000"/>
          <w:kern w:val="0"/>
          <w:sz w:val="32"/>
          <w:szCs w:val="32"/>
          <w:shd w:val="clear" w:color="auto" w:fill="FFFFFF"/>
        </w:rPr>
        <w:t>1.</w:t>
      </w:r>
      <w:r>
        <w:rPr>
          <w:rFonts w:ascii="楷体_GB2312" w:eastAsia="楷体_GB2312" w:cs="楷体_GB2312" w:hint="eastAsia"/>
          <w:color w:val="000000"/>
          <w:kern w:val="0"/>
          <w:sz w:val="32"/>
          <w:szCs w:val="32"/>
          <w:shd w:val="clear" w:color="auto" w:fill="FFFFFF"/>
          <w:lang w:val="zh-CN"/>
        </w:rPr>
        <w:t>项目决策。</w:t>
      </w:r>
      <w:r>
        <w:rPr>
          <w:rFonts w:ascii="Times New Roman" w:eastAsia="仿宋_GB2312" w:hAnsi="Times New Roman" w:hint="eastAsia"/>
          <w:sz w:val="32"/>
          <w:szCs w:val="32"/>
          <w:lang w:val="zh-CN"/>
        </w:rPr>
        <w:t>围绕县委、县政府中心工作开展各项维稳、安保，打击各种违法犯罪行为，贯彻执行党和国家在公安工作等方面的路线、方针、政策，充分发挥党和政府的“保护神”作用，围绕县委、县政府中心开展公安工作。</w:t>
      </w:r>
    </w:p>
    <w:p>
      <w:pPr>
        <w:adjustRightInd w:val="0"/>
        <w:snapToGrid w:val="0"/>
        <w:spacing w:line="560" w:lineRule="exact"/>
        <w:contextualSpacing/>
        <w:jc w:val="left"/>
        <w:rPr>
          <w:rFonts w:ascii="Times New Roman" w:eastAsia="仿宋_GB2312" w:hAnsi="Times New Roman"/>
          <w:sz w:val="32"/>
          <w:szCs w:val="32"/>
          <w:lang w:val="zh-CN"/>
        </w:rPr>
      </w:pPr>
      <w:r>
        <w:rPr>
          <w:rFonts w:ascii="Times New Roman" w:eastAsia="仿宋_GB2312" w:hAnsi="Times New Roman" w:hint="eastAsia"/>
          <w:color w:val="000000"/>
          <w:kern w:val="0"/>
          <w:sz w:val="32"/>
          <w:szCs w:val="32"/>
          <w:shd w:val="clear" w:color="auto" w:fill="FFFFFF"/>
          <w:lang w:val="zh-CN"/>
        </w:rPr>
        <w:t>一是茂县公安局制定的2023年预算整体绩效目标，依据充分，与部门履职、年度工作任务相符，目标清晰、细化、可衡量。年度预算整体绩效目标是符合国家法律法规、国民经济和社会发展总体规划，部门“三定”方案确定的职责，部门制定的中长期实施规划，部门年度工作任务。二是项目绩效目标设定科学、合理，目标明确、目标细化、目标量化。项目绩效目标设定是经过充分调查研究、论证和科学、合理测算，与部门年度的任务数或计划数相对应，与本年度部门预算资金相匹配。</w:t>
      </w:r>
    </w:p>
    <w:p>
      <w:pPr>
        <w:adjustRightInd w:val="0"/>
        <w:snapToGrid w:val="0"/>
        <w:spacing w:line="560" w:lineRule="exact"/>
        <w:ind w:firstLineChars="200" w:firstLine="640"/>
        <w:contextualSpacing/>
        <w:jc w:val="left"/>
        <w:rPr>
          <w:rFonts w:ascii="Times New Roman" w:eastAsia="仿宋_GB2312" w:hAnsi="Times New Roman"/>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2.项目执行</w:t>
      </w:r>
      <w:r>
        <w:rPr>
          <w:rFonts w:ascii="楷体_GB2312" w:eastAsia="楷体_GB2312" w:cs="楷体_GB2312" w:hint="eastAsia"/>
          <w:color w:val="000000"/>
          <w:kern w:val="0"/>
          <w:sz w:val="32"/>
          <w:szCs w:val="32"/>
          <w:shd w:val="clear" w:color="auto" w:fill="FFFFFF"/>
          <w:lang w:val="zh-CN"/>
        </w:rPr>
        <w:t>。</w:t>
      </w:r>
      <w:r>
        <w:rPr>
          <w:rFonts w:ascii="Times New Roman" w:eastAsia="仿宋_GB2312" w:hAnsi="Times New Roman" w:hint="eastAsia"/>
          <w:color w:val="000000"/>
          <w:kern w:val="0"/>
          <w:sz w:val="32"/>
          <w:szCs w:val="32"/>
          <w:shd w:val="clear" w:color="auto" w:fill="FFFFFF"/>
          <w:lang w:val="zh-CN"/>
        </w:rPr>
        <w:t>一是严格预算执行，本年预算执行率为</w:t>
      </w:r>
      <w:r>
        <w:rPr>
          <w:rFonts w:ascii="Times New Roman" w:eastAsia="仿宋_GB2312" w:hAnsi="Times New Roman" w:hint="eastAsia"/>
          <w:color w:val="000000"/>
          <w:kern w:val="0"/>
          <w:sz w:val="32"/>
          <w:szCs w:val="32"/>
          <w:shd w:val="clear" w:color="auto" w:fill="FFFFFF"/>
        </w:rPr>
        <w:t>100</w:t>
      </w:r>
      <w:r>
        <w:rPr>
          <w:rFonts w:ascii="Times New Roman" w:eastAsia="仿宋_GB2312" w:hAnsi="Times New Roman" w:hint="eastAsia"/>
          <w:color w:val="000000"/>
          <w:kern w:val="0"/>
          <w:sz w:val="32"/>
          <w:szCs w:val="32"/>
          <w:shd w:val="clear" w:color="auto" w:fill="FFFFFF"/>
          <w:lang w:val="zh-CN"/>
        </w:rPr>
        <w:t>%。二是严控结转结余，本年无结转结余。三是严控“三公经费”节支增效。四是强化采购预算执行。五是严格收支管理，2023年取得的收入依据充分、来源合规，符合“放管服”改革要求和减税降费要求。2023年发生的支出符合国家财经法规和财务管理制度规定以及有关专项资金管理办法的规定，资金的拨付有完整的审批程序和手续，项目的重大开支经过评估论证，符合部门预算批复的用途，不存在截留、挤占、挪用、虚列支出等情况。</w:t>
      </w:r>
    </w:p>
    <w:p>
      <w:pPr>
        <w:adjustRightInd w:val="0"/>
        <w:snapToGrid w:val="0"/>
        <w:spacing w:line="560" w:lineRule="exact"/>
        <w:ind w:firstLineChars="200" w:firstLine="640"/>
        <w:contextualSpacing/>
        <w:jc w:val="left"/>
        <w:rPr>
          <w:rFonts w:ascii="楷体_GB2312" w:eastAsia="楷体_GB2312" w:cs="楷体_GB2312"/>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3.</w:t>
      </w:r>
      <w:r>
        <w:rPr>
          <w:rFonts w:ascii="楷体_GB2312" w:eastAsia="楷体_GB2312" w:cs="楷体_GB2312" w:hint="eastAsia"/>
          <w:color w:val="000000"/>
          <w:kern w:val="0"/>
          <w:sz w:val="32"/>
          <w:szCs w:val="32"/>
          <w:shd w:val="clear" w:color="auto" w:fill="FFFFFF"/>
          <w:lang w:val="zh-CN"/>
        </w:rPr>
        <w:t>目标实现。</w:t>
      </w:r>
      <w:r>
        <w:rPr>
          <w:rFonts w:ascii="Times New Roman" w:eastAsia="仿宋_GB2312" w:hAnsi="Times New Roman" w:hint="eastAsia"/>
          <w:color w:val="000000"/>
          <w:kern w:val="0"/>
          <w:sz w:val="32"/>
          <w:szCs w:val="32"/>
          <w:shd w:val="clear" w:color="auto" w:fill="FFFFFF"/>
          <w:lang w:val="zh-CN"/>
        </w:rPr>
        <w:t>2023年茂县公安局为保障依法履职，开展维稳、处突、反恐打击各类违法犯罪活动、禁毒人民战争、扫黑除恶专项斗争常态化、强边固防、装备建设等特定行政工作任务目标的完成，共有支出项目1</w:t>
      </w:r>
      <w:r>
        <w:rPr>
          <w:rFonts w:ascii="Times New Roman" w:eastAsia="仿宋_GB2312" w:hAnsi="Times New Roman" w:hint="eastAsia"/>
          <w:color w:val="000000"/>
          <w:kern w:val="0"/>
          <w:sz w:val="32"/>
          <w:szCs w:val="32"/>
          <w:shd w:val="clear" w:color="auto" w:fill="FFFFFF"/>
        </w:rPr>
        <w:t>6</w:t>
      </w:r>
      <w:r>
        <w:rPr>
          <w:rFonts w:ascii="Times New Roman" w:eastAsia="仿宋_GB2312" w:hAnsi="Times New Roman" w:hint="eastAsia"/>
          <w:color w:val="000000"/>
          <w:kern w:val="0"/>
          <w:sz w:val="32"/>
          <w:szCs w:val="32"/>
          <w:shd w:val="clear" w:color="auto" w:fill="FFFFFF"/>
          <w:lang w:val="zh-CN"/>
        </w:rPr>
        <w:t>个，项目执行部门为公安局各部门，项目总体目标是：进一步加强社会治安的防范工作，以反恐为重点，严厉打击各类刑事犯罪，提升全县治安环境的净化力，切实维护好全县社会政治稳定。一是实际到位资金执行率为</w:t>
      </w:r>
      <w:r>
        <w:rPr>
          <w:rFonts w:ascii="Times New Roman" w:eastAsia="仿宋_GB2312" w:hAnsi="Times New Roman" w:hint="eastAsia"/>
          <w:color w:val="000000"/>
          <w:kern w:val="0"/>
          <w:sz w:val="32"/>
          <w:szCs w:val="32"/>
          <w:shd w:val="clear" w:color="auto" w:fill="FFFFFF"/>
        </w:rPr>
        <w:t>100</w:t>
      </w:r>
      <w:r>
        <w:rPr>
          <w:rFonts w:ascii="Times New Roman" w:eastAsia="仿宋_GB2312" w:hAnsi="Times New Roman" w:hint="eastAsia"/>
          <w:color w:val="000000"/>
          <w:kern w:val="0"/>
          <w:sz w:val="32"/>
          <w:szCs w:val="32"/>
          <w:shd w:val="clear" w:color="auto" w:fill="FFFFFF"/>
          <w:lang w:val="zh-CN"/>
        </w:rPr>
        <w:t>%。二是各项目数量指标是根据公安机关职责要求及为完成特定的行政工作任务目标设定，实际指标值达到预期目标。三是各项目社会效益指标是根据公安机关职责要求及为完成特定的行政工作任务目标设定，实际指标值达到预期目标。四是社会公众或服务对象满意度指标达到预期目标，分别是：人民群众对茂县安全感综合满意度达</w:t>
      </w:r>
      <w:r>
        <w:rPr>
          <w:rFonts w:ascii="Times New Roman" w:eastAsia="仿宋_GB2312" w:hAnsi="Times New Roman" w:hint="eastAsia"/>
          <w:color w:val="000000"/>
          <w:kern w:val="0"/>
          <w:sz w:val="32"/>
          <w:szCs w:val="32"/>
          <w:shd w:val="clear" w:color="auto" w:fill="FFFFFF"/>
        </w:rPr>
        <w:t>85</w:t>
      </w:r>
      <w:r>
        <w:rPr>
          <w:rFonts w:ascii="Times New Roman" w:eastAsia="仿宋_GB2312" w:hAnsi="Times New Roman" w:hint="eastAsia"/>
          <w:color w:val="000000"/>
          <w:kern w:val="0"/>
          <w:sz w:val="32"/>
          <w:szCs w:val="32"/>
          <w:shd w:val="clear" w:color="auto" w:fill="FFFFFF"/>
          <w:lang w:val="zh-CN"/>
        </w:rPr>
        <w:t>%以上，绩效指标实际值</w:t>
      </w:r>
      <w:r>
        <w:rPr>
          <w:rFonts w:ascii="Times New Roman" w:eastAsia="仿宋_GB2312" w:hAnsi="Times New Roman" w:hint="eastAsia"/>
          <w:color w:val="000000"/>
          <w:kern w:val="0"/>
          <w:sz w:val="32"/>
          <w:szCs w:val="32"/>
          <w:shd w:val="clear" w:color="auto" w:fill="FFFFFF"/>
        </w:rPr>
        <w:t>95</w:t>
      </w:r>
      <w:r>
        <w:rPr>
          <w:rFonts w:ascii="Times New Roman" w:eastAsia="仿宋_GB2312" w:hAnsi="Times New Roman" w:hint="eastAsia"/>
          <w:color w:val="000000"/>
          <w:kern w:val="0"/>
          <w:sz w:val="32"/>
          <w:szCs w:val="32"/>
          <w:shd w:val="clear" w:color="auto" w:fill="FFFFFF"/>
          <w:lang w:val="zh-CN"/>
        </w:rPr>
        <w:t>%，预期值与绩效指标实际执行情况基本相符；人民群众对茂县执法满意度达85%以上，绩效指标实际值</w:t>
      </w:r>
      <w:r>
        <w:rPr>
          <w:rFonts w:ascii="Times New Roman" w:eastAsia="仿宋_GB2312" w:hAnsi="Times New Roman" w:hint="eastAsia"/>
          <w:color w:val="000000"/>
          <w:kern w:val="0"/>
          <w:sz w:val="32"/>
          <w:szCs w:val="32"/>
          <w:shd w:val="clear" w:color="auto" w:fill="FFFFFF"/>
        </w:rPr>
        <w:t>95</w:t>
      </w:r>
      <w:r>
        <w:rPr>
          <w:rFonts w:ascii="Times New Roman" w:eastAsia="仿宋_GB2312" w:hAnsi="Times New Roman" w:hint="eastAsia"/>
          <w:color w:val="000000"/>
          <w:kern w:val="0"/>
          <w:sz w:val="32"/>
          <w:szCs w:val="32"/>
          <w:shd w:val="clear" w:color="auto" w:fill="FFFFFF"/>
          <w:lang w:val="zh-CN"/>
        </w:rPr>
        <w:t>%，预期值与绩效指标实际执行情况基本相符；公安民警对信息化系统及装备设备使用满意度达95%以上，与绩效指标实际执行情况基本相符。</w:t>
      </w:r>
    </w:p>
    <w:p>
      <w:pPr>
        <w:widowControl/>
        <w:suppressAutoHyphens/>
        <w:adjustRightInd w:val="0"/>
        <w:snapToGrid w:val="0"/>
        <w:spacing w:line="560" w:lineRule="exact"/>
        <w:ind w:firstLineChars="200" w:firstLine="640"/>
        <w:contextualSpacing/>
        <w:jc w:val="left"/>
        <w:rPr>
          <w:rFonts w:ascii="Times New Roman" w:hAnsi="Times New Roman"/>
          <w:color w:val="000000"/>
          <w:kern w:val="0"/>
          <w:szCs w:val="32"/>
          <w:shd w:val="clear" w:color="auto" w:fill="FFFFFF"/>
        </w:rPr>
      </w:pPr>
      <w:r>
        <w:rPr>
          <w:rFonts w:ascii="Times New Roman" w:eastAsia="楷体_GB2312" w:hAnsi="Times New Roman"/>
          <w:b/>
          <w:bCs/>
          <w:color w:val="000000"/>
          <w:kern w:val="0"/>
          <w:sz w:val="32"/>
          <w:szCs w:val="32"/>
          <w:shd w:val="clear" w:color="auto" w:fill="FFFFFF"/>
          <w:lang w:val="zh-CN"/>
        </w:rPr>
        <w:t>（</w:t>
      </w:r>
      <w:r>
        <w:rPr>
          <w:rFonts w:ascii="Times New Roman" w:eastAsia="楷体_GB2312" w:hAnsi="Times New Roman" w:hint="eastAsia"/>
          <w:b/>
          <w:bCs/>
          <w:color w:val="000000"/>
          <w:kern w:val="0"/>
          <w:sz w:val="32"/>
          <w:szCs w:val="32"/>
          <w:shd w:val="clear" w:color="auto" w:fill="FFFFFF"/>
          <w:lang w:val="zh-CN"/>
        </w:rPr>
        <w:t>三</w:t>
      </w:r>
      <w:r>
        <w:rPr>
          <w:rFonts w:ascii="Times New Roman" w:eastAsia="楷体_GB2312" w:hAnsi="Times New Roman"/>
          <w:b/>
          <w:bCs/>
          <w:color w:val="000000"/>
          <w:kern w:val="0"/>
          <w:sz w:val="32"/>
          <w:szCs w:val="32"/>
          <w:shd w:val="clear" w:color="auto" w:fill="FFFFFF"/>
          <w:lang w:val="zh-CN"/>
        </w:rPr>
        <w:t>）重点领域绩效分析。</w:t>
      </w:r>
      <w:r>
        <w:rPr>
          <w:rFonts w:ascii="Times New Roman" w:eastAsia="仿宋_GB2312" w:hAnsi="Times New Roman" w:hint="eastAsia"/>
          <w:sz w:val="32"/>
          <w:szCs w:val="32"/>
        </w:rPr>
        <w:t>我局严格执行政府采购程序，部门政府采购项目资金按照年初编报计划实施，我局无闲置资产。2023年度不涉及</w:t>
      </w:r>
      <w:r>
        <w:rPr>
          <w:rFonts w:ascii="Times New Roman" w:eastAsia="仿宋_GB2312" w:hAnsi="Times New Roman"/>
          <w:sz w:val="32"/>
          <w:szCs w:val="32"/>
        </w:rPr>
        <w:t>国有资本、债券资金、政府购买服务等重点领域</w:t>
      </w:r>
      <w:r>
        <w:rPr>
          <w:rFonts w:ascii="Times New Roman" w:eastAsia="仿宋_GB2312" w:hAnsi="Times New Roman" w:hint="eastAsia"/>
          <w:sz w:val="32"/>
          <w:szCs w:val="32"/>
        </w:rPr>
        <w:t>。</w:t>
      </w:r>
    </w:p>
    <w:p>
      <w:pPr>
        <w:spacing w:line="560" w:lineRule="exact"/>
        <w:ind w:firstLineChars="196" w:firstLine="627"/>
        <w:jc w:val="left"/>
        <w:rPr>
          <w:rFonts w:ascii="Times New Roman" w:eastAsia="仿宋_GB2312" w:hAnsi="Times New Roman"/>
          <w:sz w:val="32"/>
          <w:szCs w:val="32"/>
        </w:rPr>
      </w:pPr>
      <w:r>
        <w:rPr>
          <w:rFonts w:ascii="Times New Roman" w:eastAsia="楷体_GB2312" w:hAnsi="Times New Roman"/>
          <w:b/>
          <w:bCs/>
          <w:color w:val="000000"/>
          <w:kern w:val="0"/>
          <w:sz w:val="32"/>
          <w:szCs w:val="32"/>
          <w:shd w:val="clear" w:color="auto" w:fill="FFFFFF"/>
          <w:lang w:val="zh-CN"/>
        </w:rPr>
        <w:t>（四）绩效结果应用情况</w:t>
      </w:r>
      <w:r>
        <w:rPr>
          <w:rFonts w:ascii="Times New Roman" w:eastAsia="楷体_GB2312" w:hAnsi="Times New Roman" w:hint="eastAsia"/>
          <w:b/>
          <w:bCs/>
          <w:color w:val="000000"/>
          <w:kern w:val="0"/>
          <w:sz w:val="32"/>
          <w:szCs w:val="32"/>
          <w:shd w:val="clear" w:color="auto" w:fill="FFFFFF"/>
          <w:lang w:val="zh-CN"/>
        </w:rPr>
        <w:t>。</w:t>
      </w:r>
      <w:r>
        <w:rPr>
          <w:rFonts w:ascii="仿宋_GB2312" w:eastAsia="仿宋_GB2312" w:hint="eastAsia"/>
          <w:sz w:val="32"/>
          <w:szCs w:val="32"/>
        </w:rPr>
        <w:t>按财政要求，我局及时将部门预算、决算及部门整体绩效自评情况等通过茂县政府门户网站栏向社会公开，并确保基础数据、会计信息资料真实、完整、准确，</w:t>
      </w:r>
      <w:r>
        <w:rPr>
          <w:rFonts w:ascii="仿宋_GB2312" w:eastAsia="仿宋_GB2312"/>
          <w:sz w:val="32"/>
          <w:szCs w:val="32"/>
        </w:rPr>
        <w:t>接受</w:t>
      </w:r>
      <w:r>
        <w:rPr>
          <w:rFonts w:ascii="仿宋_GB2312" w:eastAsia="仿宋_GB2312" w:hint="eastAsia"/>
          <w:sz w:val="32"/>
          <w:szCs w:val="32"/>
        </w:rPr>
        <w:t>社会</w:t>
      </w:r>
      <w:r>
        <w:rPr>
          <w:rFonts w:ascii="仿宋_GB2312" w:eastAsia="仿宋_GB2312"/>
          <w:sz w:val="32"/>
          <w:szCs w:val="32"/>
        </w:rPr>
        <w:t>监督</w:t>
      </w:r>
      <w:r>
        <w:rPr>
          <w:rFonts w:ascii="仿宋_GB2312" w:eastAsia="仿宋_GB2312" w:hint="eastAsia"/>
          <w:sz w:val="32"/>
          <w:szCs w:val="32"/>
        </w:rPr>
        <w:t>。针对绩效管理过程中发现的问题，我局及时制定解决措施和方案进行整改，将绩效管理结果与预算安排绩效挂钩。同时，按要求及时向财政反馈结果应用情况。</w:t>
      </w:r>
    </w:p>
    <w:p>
      <w:pPr>
        <w:widowControl/>
        <w:suppressAutoHyphens/>
        <w:adjustRightInd w:val="0"/>
        <w:snapToGrid w:val="0"/>
        <w:spacing w:line="560"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pPr>
        <w:widowControl/>
        <w:suppressAutoHyphens/>
        <w:adjustRightInd w:val="0"/>
        <w:snapToGrid w:val="0"/>
        <w:spacing w:line="560" w:lineRule="exact"/>
        <w:ind w:firstLineChars="200" w:firstLine="640"/>
        <w:contextualSpacing/>
        <w:jc w:val="left"/>
        <w:rPr>
          <w:rFonts w:ascii="Times New Roman" w:eastAsia="仿宋_GB2312" w:hAnsi="Times New Roman"/>
          <w:sz w:val="32"/>
          <w:szCs w:val="32"/>
        </w:rPr>
      </w:pPr>
      <w:r>
        <w:rPr>
          <w:rFonts w:ascii="Times New Roman" w:eastAsia="楷体_GB2312" w:hAnsi="Times New Roman"/>
          <w:b/>
          <w:bCs/>
          <w:color w:val="000000"/>
          <w:kern w:val="0"/>
          <w:sz w:val="32"/>
          <w:szCs w:val="32"/>
          <w:shd w:val="clear" w:color="auto" w:fill="FFFFFF"/>
          <w:lang w:val="zh-CN"/>
        </w:rPr>
        <w:t>（一）评价结论。</w:t>
      </w:r>
      <w:r>
        <w:rPr>
          <w:rFonts w:ascii="仿宋_GB2312" w:eastAsia="仿宋_GB2312" w:cs="仿宋_GB2312" w:hint="eastAsia"/>
          <w:kern w:val="0"/>
          <w:sz w:val="32"/>
          <w:szCs w:val="32"/>
        </w:rPr>
        <w:t>根据预算绩效管理相关制度的要求，结合项目绩效指标完成情况及对项目成本、项目效率、部门绩效目标实现的综合分析，项目综合评价为项目各项指标项均达到指标要求，项目实施达到预期效果，共计开展自评项目16个，自评分均在90分以上，自评为“优级”项目。茂县公安局整体支出情况合法、合规，由于严格执行法律、政策、科学分配、有效使用、严密管理，使各项资金基本做到服从全局、科学分配、有效使用、严密管理，资金分配侧重服务基层、倾斜一线，有力地促进了我县各项公安任务的顺利完成和各项目标的实现，整体支出情况良好，自评得分</w:t>
      </w:r>
      <w:r>
        <w:rPr>
          <w:rFonts w:ascii="仿宋_GB2312" w:cs="仿宋_GB2312" w:hAnsi="仿宋_GB2312" w:hint="eastAsia"/>
          <w:kern w:val="0"/>
          <w:sz w:val="32"/>
          <w:szCs w:val="32"/>
        </w:rPr>
        <w:t>94</w:t>
      </w:r>
      <w:r>
        <w:rPr>
          <w:rFonts w:ascii="仿宋_GB2312" w:eastAsia="仿宋_GB2312" w:cs="仿宋_GB2312" w:hint="eastAsia"/>
          <w:kern w:val="0"/>
          <w:sz w:val="32"/>
          <w:szCs w:val="32"/>
        </w:rPr>
        <w:t>分。</w:t>
      </w:r>
    </w:p>
    <w:p>
      <w:pPr>
        <w:widowControl/>
        <w:suppressAutoHyphens/>
        <w:adjustRightInd w:val="0"/>
        <w:snapToGrid w:val="0"/>
        <w:spacing w:line="560" w:lineRule="exact"/>
        <w:ind w:firstLineChars="200" w:firstLine="640"/>
        <w:jc w:val="left"/>
        <w:rPr>
          <w:rFonts w:ascii="仿宋_GB2312" w:eastAsia="仿宋_GB2312" w:cs="仿宋_GB2312"/>
          <w:kern w:val="0"/>
          <w:sz w:val="32"/>
          <w:szCs w:val="32"/>
        </w:rPr>
      </w:pPr>
      <w:r>
        <w:rPr>
          <w:rFonts w:ascii="Times New Roman" w:eastAsia="楷体_GB2312" w:hAnsi="Times New Roman"/>
          <w:b/>
          <w:bCs/>
          <w:color w:val="000000"/>
          <w:kern w:val="0"/>
          <w:sz w:val="32"/>
          <w:szCs w:val="32"/>
          <w:shd w:val="clear" w:color="auto" w:fill="FFFFFF"/>
          <w:lang w:val="zh-CN"/>
        </w:rPr>
        <w:t>（二）存在问题。</w:t>
      </w:r>
      <w:r>
        <w:rPr>
          <w:rFonts w:ascii="仿宋_GB2312" w:eastAsia="仿宋_GB2312" w:cs="仿宋_GB2312" w:hint="eastAsia"/>
          <w:kern w:val="0"/>
          <w:sz w:val="32"/>
          <w:szCs w:val="32"/>
        </w:rPr>
        <w:t>由于对支出绩效评价工作的重要性还认识不够，因此对绩效评价工作的重视度还不够，尤其对下属各所队室的支出绩效评价工作较差；部分项目支出绩效指标无法用量化指标来进行考评。</w:t>
      </w:r>
    </w:p>
    <w:p>
      <w:pPr>
        <w:widowControl/>
        <w:suppressAutoHyphens/>
        <w:adjustRightInd w:val="0"/>
        <w:snapToGrid w:val="0"/>
        <w:spacing w:line="560" w:lineRule="exact"/>
        <w:ind w:firstLineChars="200" w:firstLine="640"/>
        <w:jc w:val="left"/>
        <w:rPr>
          <w:rFonts w:ascii="仿宋_GB2312" w:eastAsia="仿宋_GB2312" w:cs="仿宋_GB2312"/>
          <w:color w:val="000000"/>
          <w:kern w:val="0"/>
          <w:sz w:val="32"/>
          <w:szCs w:val="32"/>
          <w:shd w:val="clear" w:color="auto" w:fill="FFFFFF"/>
          <w:lang w:val="zh-CN"/>
        </w:rPr>
      </w:pPr>
      <w:r>
        <w:rPr>
          <w:rFonts w:ascii="Times New Roman" w:eastAsia="楷体_GB2312" w:hAnsi="Times New Roman"/>
          <w:b/>
          <w:bCs/>
          <w:color w:val="000000"/>
          <w:kern w:val="0"/>
          <w:sz w:val="32"/>
          <w:szCs w:val="32"/>
          <w:shd w:val="clear" w:color="auto" w:fill="FFFFFF"/>
          <w:lang w:val="zh-CN"/>
        </w:rPr>
        <w:t>（三）改进建议。</w:t>
      </w:r>
      <w:bookmarkStart w:id="68" w:name="_Hlk110546638"/>
      <w:r>
        <w:rPr>
          <w:rFonts w:ascii="仿宋_GB2312" w:eastAsia="仿宋_GB2312" w:cs="仿宋_GB2312"/>
          <w:color w:val="000000"/>
          <w:kern w:val="0"/>
          <w:sz w:val="32"/>
          <w:szCs w:val="32"/>
          <w:shd w:val="clear" w:color="auto" w:fill="FFFFFF"/>
          <w:lang w:val="zh-CN"/>
        </w:rPr>
        <w:t>针对</w:t>
      </w:r>
      <w:r>
        <w:rPr>
          <w:rFonts w:ascii="仿宋_GB2312" w:eastAsia="仿宋_GB2312" w:cs="仿宋_GB2312" w:hint="eastAsia"/>
          <w:color w:val="000000"/>
          <w:kern w:val="0"/>
          <w:sz w:val="32"/>
          <w:szCs w:val="32"/>
          <w:shd w:val="clear" w:color="auto" w:fill="FFFFFF"/>
          <w:lang w:val="zh-CN"/>
        </w:rPr>
        <w:t>存在的问题，我们将进一步科学设定绩效目标，加强预算执行管理。遵循先有预算、后有支出的原则，加强《新预算法》、《政府会计制度》等学习培训，规范部门预算收支核算，加强财务管理和内部控制监督制度。进一步建立健全财务管理制度、固定资产管理制度，进一步强化财务监督体系。进一步加强对本单位绩效评价工作的重视，提高预算绩效申报工作质量，尽量采取定量完成，制定清晰、可衡量的绩效指标。</w:t>
      </w:r>
    </w:p>
    <w:p>
      <w:pPr>
        <w:widowControl/>
        <w:suppressAutoHyphens/>
        <w:adjustRightInd w:val="0"/>
        <w:snapToGrid w:val="0"/>
        <w:spacing w:line="560" w:lineRule="exact"/>
        <w:ind w:firstLineChars="200" w:firstLine="640"/>
        <w:jc w:val="left"/>
        <w:rPr>
          <w:rFonts w:ascii="Times New Roman" w:eastAsia="仿宋_GB2312" w:hAnsi="Times New Roman"/>
          <w:sz w:val="32"/>
          <w:szCs w:val="32"/>
        </w:rPr>
      </w:pPr>
      <w:r>
        <w:rPr>
          <w:rFonts w:ascii="仿宋_GB2312" w:eastAsia="仿宋_GB2312" w:cs="仿宋_GB2312" w:hint="eastAsia"/>
          <w:sz w:val="32"/>
          <w:szCs w:val="32"/>
        </w:rPr>
        <w:t>建议：一是县业务主管部门多进行业务指导和培训；二是本局党委对该项工作进一步提高认识、加强领导，尤其需强化对所属所、队、室支出情况的绩效评价，进一步提高资金使用效率。</w:t>
      </w:r>
    </w:p>
    <w:p>
      <w:pPr>
        <w:pStyle w:val="19"/>
        <w:spacing w:line="560" w:lineRule="exact"/>
        <w:ind w:leftChars="0" w:left="0"/>
        <w:rPr>
          <w:sz w:val="32"/>
          <w:lang w:val="zh-CN"/>
        </w:rPr>
      </w:pPr>
      <w:bookmarkEnd w:id="68"/>
    </w:p>
    <w:p>
      <w:pPr>
        <w:pStyle w:val="19"/>
        <w:spacing w:line="560" w:lineRule="exact"/>
        <w:ind w:leftChars="0" w:left="0"/>
        <w:rPr>
          <w:rFonts w:eastAsia="仿宋_GB2312" w:cs="仿宋_GB2312"/>
          <w:kern w:val="0"/>
          <w:sz w:val="32"/>
        </w:rPr>
      </w:pPr>
      <w:r>
        <w:rPr>
          <w:rFonts w:hint="eastAsia"/>
          <w:sz w:val="32"/>
          <w:lang w:val="zh-CN"/>
        </w:rPr>
        <w:t>附表：</w:t>
      </w:r>
      <w:r>
        <w:rPr>
          <w:rFonts w:hint="eastAsia"/>
          <w:sz w:val="32"/>
        </w:rPr>
        <w:t>部门预算项目支出绩效自评表（2023年度）</w:t>
      </w:r>
    </w:p>
    <w:p>
      <w:pPr>
        <w:pStyle w:val="19"/>
        <w:spacing w:line="560" w:lineRule="exact"/>
        <w:ind w:leftChars="0" w:left="0" w:firstLineChars="0" w:firstLine="0"/>
        <w:rPr>
          <w:rFonts w:eastAsia="仿宋_GB2312" w:cs="仿宋_GB2312"/>
          <w:kern w:val="0"/>
          <w:sz w:val="32"/>
          <w:lang w:val="zh-CN"/>
        </w:rPr>
      </w:pPr>
    </w:p>
    <w:tbl>
      <w:tblPr>
        <w:jc w:val="left"/>
        <w:tblInd w:w="-1414" w:type="dxa"/>
        <w:tblW w:w="1134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00"/>
        <w:gridCol w:w="2380"/>
        <w:gridCol w:w="1134"/>
        <w:gridCol w:w="1450"/>
        <w:gridCol w:w="436"/>
        <w:gridCol w:w="1105"/>
        <w:gridCol w:w="436"/>
        <w:gridCol w:w="846"/>
        <w:gridCol w:w="486"/>
        <w:gridCol w:w="436"/>
        <w:gridCol w:w="1638"/>
      </w:tblGrid>
      <w:tr>
        <w:trPr>
          <w:trHeight w:val="736"/>
        </w:trPr>
        <w:tc>
          <w:tcPr>
            <w:tcW w:w="11347" w:type="dxa"/>
            <w:gridSpan w:val="11"/>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黑体" w:eastAsia="黑体" w:cs="黑体"/>
                <w:b/>
                <w:bCs/>
                <w:color w:val="000000"/>
                <w:sz w:val="30"/>
                <w:szCs w:val="30"/>
              </w:rPr>
            </w:pPr>
            <w:r>
              <w:rPr>
                <w:rFonts w:ascii="黑体" w:eastAsia="黑体" w:cs="黑体" w:hint="eastAsia"/>
                <w:b/>
                <w:bCs/>
                <w:color w:val="000000"/>
                <w:kern w:val="0"/>
                <w:sz w:val="30"/>
                <w:szCs w:val="30"/>
              </w:rPr>
              <w:t>部门预算项目支出绩效自评表（2023年度）</w:t>
            </w:r>
          </w:p>
        </w:tc>
      </w:tr>
      <w:tr>
        <w:trPr>
          <w:trHeight w:val="259"/>
        </w:trPr>
        <w:tc>
          <w:tcPr>
            <w:tcW w:w="3380" w:type="dxa"/>
            <w:gridSpan w:val="2"/>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项目名称</w:t>
            </w:r>
          </w:p>
        </w:tc>
        <w:tc>
          <w:tcPr>
            <w:tcW w:w="7967" w:type="dxa"/>
            <w:gridSpan w:val="9"/>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51322321T000000051506-道路交通安全整治经费</w:t>
            </w:r>
          </w:p>
        </w:tc>
      </w:tr>
      <w:tr>
        <w:trPr>
          <w:trHeight w:val="510"/>
        </w:trPr>
        <w:tc>
          <w:tcPr>
            <w:tcW w:w="3380" w:type="dxa"/>
            <w:gridSpan w:val="2"/>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主管部门</w:t>
            </w: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茂县公安局本级</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实施单位 （盖章）</w:t>
            </w:r>
          </w:p>
        </w:tc>
        <w:tc>
          <w:tcPr>
            <w:tcW w:w="2560"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茂县公安局</w:t>
            </w:r>
          </w:p>
        </w:tc>
      </w:tr>
      <w:tr>
        <w:trPr>
          <w:trHeight w:val="259"/>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项目基本情况</w:t>
            </w:r>
          </w:p>
        </w:tc>
        <w:tc>
          <w:tcPr>
            <w:tcW w:w="238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1.项目年度目标完成情况</w:t>
            </w: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项目年度目标</w:t>
            </w:r>
          </w:p>
        </w:tc>
        <w:tc>
          <w:tcPr>
            <w:tcW w:w="3406" w:type="dxa"/>
            <w:gridSpan w:val="4"/>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黑体" w:eastAsia="黑体" w:cs="黑体"/>
                <w:color w:val="000000"/>
                <w:sz w:val="18"/>
                <w:szCs w:val="18"/>
              </w:rPr>
            </w:pPr>
            <w:r>
              <w:rPr>
                <w:rFonts w:ascii="黑体" w:eastAsia="黑体" w:cs="黑体" w:hint="eastAsia"/>
                <w:color w:val="000000"/>
                <w:kern w:val="0"/>
                <w:sz w:val="18"/>
                <w:szCs w:val="18"/>
              </w:rPr>
              <w:t>年度目标完成情况</w:t>
            </w:r>
          </w:p>
        </w:tc>
      </w:tr>
      <w:tr>
        <w:trPr>
          <w:trHeight w:val="126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vMerge/>
            <w:tcBorders>
              <w:top w:val="single" w:sz="4" w:space="0" w:color="000000"/>
              <w:left w:val="single" w:sz="4" w:space="0" w:color="000000"/>
              <w:bottom w:val="single" w:sz="4" w:space="0" w:color="000000"/>
              <w:right w:val="single" w:sz="4" w:space="0" w:color="000000"/>
            </w:tcBorders>
            <w:vAlign w:val="center"/>
          </w:tcP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进一步加强农村道路交通管控力度，改善农村道路交通环境，最大限度减少农村道路交通事故的发生。</w:t>
            </w:r>
          </w:p>
        </w:tc>
        <w:tc>
          <w:tcPr>
            <w:tcW w:w="3406" w:type="dxa"/>
            <w:gridSpan w:val="4"/>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切实巩固了全县道路交通安全综合治理成效，进一步深化了农村道路交通安全管理工作机制，提升了管理水平和能力，坚决防范和遏制农村地区道路交通事故。农村道路交通事故明显减少，提升了人民群众安全出行的道路交通环境。</w:t>
            </w:r>
          </w:p>
        </w:tc>
      </w:tr>
      <w:tr>
        <w:trPr>
          <w:trHeight w:val="76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2.项目实施内容及过程概述</w:t>
            </w:r>
          </w:p>
        </w:tc>
        <w:tc>
          <w:tcPr>
            <w:tcW w:w="7967" w:type="dxa"/>
            <w:gridSpan w:val="9"/>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根据阿坝州道路交通安全综合治理委员会《关于强化落实农村道路交通安全管理工作经费保障的紧急通知》（阿道安[2022]5号）文件要求，县道安办实地踏勘全县108个村（社区）共需设置108个劝导站、108名劝导员，分专职设置、兼职设置、统筹设置三类，其中：专职设置由公益性岗位人员安排，共53名；兼职设置由村小三职干部或组长兼任，只补贴绩效考核，共21名；统筹设置即为平日属公安交警所属辖区中队管控范围的村（社区），共34名。</w:t>
            </w:r>
          </w:p>
        </w:tc>
      </w:tr>
      <w:tr>
        <w:trPr>
          <w:trHeight w:val="510"/>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预算执行情况（10分）</w:t>
            </w: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年度预算数（万元）</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年初预算</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调整后预算数</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预算执行数</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预算执行率</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权重</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得分</w:t>
            </w:r>
          </w:p>
        </w:tc>
        <w:tc>
          <w:tcPr>
            <w:tcW w:w="1638"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原因</w:t>
            </w:r>
          </w:p>
        </w:tc>
      </w:tr>
      <w:tr>
        <w:trPr>
          <w:trHeight w:val="287"/>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总额</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102.47</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102.47</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1638"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i/>
                <w:iCs/>
                <w:color w:val="000000"/>
                <w:sz w:val="18"/>
                <w:szCs w:val="18"/>
              </w:rPr>
            </w:pPr>
            <w:r>
              <w:rPr>
                <w:rFonts w:ascii="黑体" w:eastAsia="黑体" w:cs="黑体" w:hint="eastAsia"/>
                <w:i/>
                <w:iCs/>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rPr>
          <w:trHeight w:val="32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其中：财政资金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102.47</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102.47</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336"/>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财政专户管理资金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299"/>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单位资金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52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其他资金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1450"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846"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1012"/>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绩效指标（90分）</w:t>
            </w: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一级指标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二级指标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三级指标</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指标性质</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指标值</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度量单位</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完成值</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权重</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得分</w:t>
            </w:r>
          </w:p>
        </w:tc>
        <w:tc>
          <w:tcPr>
            <w:tcW w:w="1638"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未完成原因分析</w:t>
            </w:r>
          </w:p>
        </w:tc>
      </w:tr>
      <w:tr>
        <w:trPr>
          <w:trHeight w:val="76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产出指标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数量指标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最大限度减少农村道路交通事故的发生。</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案件数</w:t>
            </w:r>
          </w:p>
        </w:tc>
        <w:tc>
          <w:tcPr>
            <w:tcW w:w="846"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50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47</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76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效益指标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社会效益指标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改善农村道路交通环境，最大限度减少农村道路交通事故的发生</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定性</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良好</w:t>
            </w:r>
          </w:p>
        </w:tc>
        <w:tc>
          <w:tcPr>
            <w:tcW w:w="436" w:type="dxa"/>
            <w:tcBorders>
              <w:top w:val="single" w:sz="4" w:space="0" w:color="000000"/>
              <w:left w:val="single" w:sz="4" w:space="0" w:color="000000"/>
              <w:bottom w:val="single" w:sz="4" w:space="0" w:color="000000"/>
              <w:right w:val="single" w:sz="4" w:space="0" w:color="000000"/>
            </w:tcBorders>
            <w:vAlign w:val="center"/>
          </w:tcPr>
          <w:p>
            <w:pPr>
              <w:jc w:val="center"/>
              <w:rPr>
                <w:rFonts w:ascii="宋体" w:cs="宋体"/>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良好</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30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28</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510"/>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满意度指标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服务对象满意度指标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群众满意度</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95</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846"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9</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259"/>
        </w:trPr>
        <w:tc>
          <w:tcPr>
            <w:tcW w:w="8787" w:type="dxa"/>
            <w:gridSpan w:val="8"/>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合计</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18"/>
                <w:szCs w:val="18"/>
              </w:rPr>
            </w:pPr>
            <w:r>
              <w:rPr>
                <w:rFonts w:ascii="宋体" w:cs="宋体"/>
                <w:color w:val="000000"/>
                <w:kern w:val="0"/>
                <w:sz w:val="18"/>
                <w:szCs w:val="18"/>
              </w:rPr>
              <w:t>94</w:t>
            </w:r>
          </w:p>
        </w:tc>
        <w:tc>
          <w:tcPr>
            <w:tcW w:w="1638"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r>
      <w:tr>
        <w:trPr>
          <w:trHeight w:val="510"/>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评价结论</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根据预算绩效管理相关制度的要求，结合项目绩效指标完成情况及对项目成本、项目效率、部门绩效目标实现的综合分析，项目综合评价为项目各项指标项均达到指标要求，项目实施达到预期效果。自评得分94分。</w:t>
            </w:r>
          </w:p>
        </w:tc>
      </w:tr>
      <w:tr>
        <w:trPr>
          <w:trHeight w:val="510"/>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存在问题</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由于对支出绩效评价工作的重要性还认识不够，因此对绩效评价工作的重视度还不够，部分项目支出绩效指标无法用量化指标来进行考评。</w:t>
            </w:r>
          </w:p>
        </w:tc>
      </w:tr>
      <w:tr>
        <w:trPr>
          <w:trHeight w:val="518"/>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改进措施</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259"/>
        </w:trPr>
        <w:tc>
          <w:tcPr>
            <w:tcW w:w="6400"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项目负责人：张玉海</w:t>
            </w:r>
          </w:p>
        </w:tc>
        <w:tc>
          <w:tcPr>
            <w:tcW w:w="4947" w:type="dxa"/>
            <w:gridSpan w:val="6"/>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财务负责人：季万美</w:t>
            </w:r>
          </w:p>
        </w:tc>
      </w:tr>
      <w:tr>
        <w:trPr>
          <w:trHeight w:val="259"/>
        </w:trPr>
        <w:tc>
          <w:tcPr>
            <w:tcW w:w="100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238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45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105"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8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638"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r>
      <w:tr>
        <w:trPr>
          <w:trHeight w:val="736"/>
        </w:trPr>
        <w:tc>
          <w:tcPr>
            <w:tcW w:w="11347" w:type="dxa"/>
            <w:gridSpan w:val="11"/>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黑体" w:eastAsia="黑体" w:cs="黑体"/>
                <w:b/>
                <w:bCs/>
                <w:color w:val="000000"/>
                <w:sz w:val="30"/>
                <w:szCs w:val="30"/>
              </w:rPr>
            </w:pPr>
            <w:r>
              <w:rPr>
                <w:rFonts w:ascii="黑体" w:eastAsia="黑体" w:cs="黑体" w:hint="eastAsia"/>
                <w:b/>
                <w:bCs/>
                <w:color w:val="000000"/>
                <w:kern w:val="0"/>
                <w:sz w:val="30"/>
                <w:szCs w:val="30"/>
              </w:rPr>
              <w:t>部门预算项目支出绩效自评表（2023年度）</w:t>
            </w:r>
          </w:p>
        </w:tc>
      </w:tr>
      <w:tr>
        <w:trPr>
          <w:trHeight w:val="259"/>
        </w:trPr>
        <w:tc>
          <w:tcPr>
            <w:tcW w:w="3380" w:type="dxa"/>
            <w:gridSpan w:val="2"/>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项目名称</w:t>
            </w:r>
          </w:p>
        </w:tc>
        <w:tc>
          <w:tcPr>
            <w:tcW w:w="7967" w:type="dxa"/>
            <w:gridSpan w:val="9"/>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51322322T000006347214-包虫病经费</w:t>
            </w:r>
          </w:p>
        </w:tc>
      </w:tr>
      <w:tr>
        <w:trPr>
          <w:trHeight w:val="510"/>
        </w:trPr>
        <w:tc>
          <w:tcPr>
            <w:tcW w:w="3380" w:type="dxa"/>
            <w:gridSpan w:val="2"/>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主管部门</w:t>
            </w: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茂县公安局本级</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实施单位 （盖章）</w:t>
            </w:r>
          </w:p>
        </w:tc>
        <w:tc>
          <w:tcPr>
            <w:tcW w:w="2560"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茂县公安局</w:t>
            </w:r>
          </w:p>
        </w:tc>
      </w:tr>
      <w:tr>
        <w:trPr>
          <w:trHeight w:val="259"/>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项目基本情况</w:t>
            </w:r>
          </w:p>
        </w:tc>
        <w:tc>
          <w:tcPr>
            <w:tcW w:w="238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1.项目年度目标完成情况</w:t>
            </w: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项目年度目标</w:t>
            </w:r>
          </w:p>
        </w:tc>
        <w:tc>
          <w:tcPr>
            <w:tcW w:w="3406" w:type="dxa"/>
            <w:gridSpan w:val="4"/>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黑体" w:eastAsia="黑体" w:cs="黑体"/>
                <w:color w:val="000000"/>
                <w:sz w:val="18"/>
                <w:szCs w:val="18"/>
              </w:rPr>
            </w:pPr>
            <w:r>
              <w:rPr>
                <w:rFonts w:ascii="黑体" w:eastAsia="黑体" w:cs="黑体" w:hint="eastAsia"/>
                <w:color w:val="000000"/>
                <w:kern w:val="0"/>
                <w:sz w:val="18"/>
                <w:szCs w:val="18"/>
              </w:rPr>
              <w:t>年度目标完成情况</w:t>
            </w:r>
          </w:p>
        </w:tc>
      </w:tr>
      <w:tr>
        <w:trPr>
          <w:trHeight w:val="76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vMerge/>
            <w:tcBorders>
              <w:top w:val="single" w:sz="4" w:space="0" w:color="000000"/>
              <w:left w:val="single" w:sz="4" w:space="0" w:color="000000"/>
              <w:bottom w:val="single" w:sz="4" w:space="0" w:color="000000"/>
              <w:right w:val="single" w:sz="4" w:space="0" w:color="000000"/>
            </w:tcBorders>
            <w:vAlign w:val="center"/>
          </w:tcP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协助开展包虫病防治工作，进行犬只登记、管理。</w:t>
            </w:r>
          </w:p>
        </w:tc>
        <w:tc>
          <w:tcPr>
            <w:tcW w:w="3406" w:type="dxa"/>
            <w:gridSpan w:val="4"/>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保障了居民的生命健康。提高养犬登记办证率、文明规范养犬；减少流浪犬、无主犬和犬伤人、扰民的问题，普及包虫病防治知识。</w:t>
            </w:r>
          </w:p>
        </w:tc>
      </w:tr>
      <w:tr>
        <w:trPr>
          <w:trHeight w:val="566"/>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2.项目实施内容及过程概述</w:t>
            </w:r>
          </w:p>
        </w:tc>
        <w:tc>
          <w:tcPr>
            <w:tcW w:w="7967" w:type="dxa"/>
            <w:gridSpan w:val="9"/>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普及包虫病防治知识宣传费，聘请第三方机构对犬只进行捕捉，支付劳务费。</w:t>
            </w:r>
          </w:p>
        </w:tc>
      </w:tr>
      <w:tr>
        <w:trPr>
          <w:trHeight w:val="510"/>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预算执行情况（10分）</w:t>
            </w: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年度预算数（万元）</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年初预算</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调整后预算数</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预算执行数</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预算执行率</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权重</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得分</w:t>
            </w:r>
          </w:p>
        </w:tc>
        <w:tc>
          <w:tcPr>
            <w:tcW w:w="1638"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原因</w:t>
            </w:r>
          </w:p>
        </w:tc>
      </w:tr>
      <w:tr>
        <w:trPr>
          <w:trHeight w:val="287"/>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总额</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3.00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3.00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1638"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i/>
                <w:iCs/>
                <w:color w:val="000000"/>
                <w:sz w:val="18"/>
                <w:szCs w:val="18"/>
              </w:rPr>
            </w:pPr>
            <w:r>
              <w:rPr>
                <w:rFonts w:ascii="黑体" w:eastAsia="黑体" w:cs="黑体" w:hint="eastAsia"/>
                <w:i/>
                <w:iCs/>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rPr>
          <w:trHeight w:val="32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其中：财政资金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3.00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3.00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336"/>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财政专户管理资金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299"/>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单位资金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52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其他资金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1450"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846"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1012"/>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绩效指标（90分）</w:t>
            </w: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一级指标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二级指标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三级指标</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指标性质</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指标值</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度量单位</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完成值</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权重</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得分</w:t>
            </w:r>
          </w:p>
        </w:tc>
        <w:tc>
          <w:tcPr>
            <w:tcW w:w="1638"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未完成原因分析</w:t>
            </w:r>
          </w:p>
        </w:tc>
      </w:tr>
      <w:tr>
        <w:trPr>
          <w:trHeight w:val="28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产出指标</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数量指标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犬只管理、灭犬</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200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只</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250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25</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28</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28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vMerge/>
            <w:tcBorders>
              <w:top w:val="single" w:sz="4" w:space="0" w:color="000000"/>
              <w:left w:val="single" w:sz="4" w:space="0" w:color="000000"/>
              <w:bottom w:val="single" w:sz="4" w:space="0" w:color="000000"/>
              <w:right w:val="single" w:sz="4" w:space="0" w:color="000000"/>
            </w:tcBorders>
            <w:vAlign w:val="center"/>
          </w:tcPr>
          <w:p/>
        </w:tc>
        <w:tc>
          <w:tcPr>
            <w:tcW w:w="1134" w:type="dxa"/>
            <w:vMerge/>
            <w:tcBorders>
              <w:top w:val="single" w:sz="4" w:space="0" w:color="000000"/>
              <w:left w:val="single" w:sz="4" w:space="0" w:color="000000"/>
              <w:bottom w:val="single" w:sz="4" w:space="0" w:color="000000"/>
              <w:right w:val="single" w:sz="4" w:space="0" w:color="000000"/>
            </w:tcBorders>
            <w:vAlign w:val="center"/>
          </w:tcP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全县犬只登记</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只</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80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25</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15</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510"/>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效益指标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社会效益指标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协助开展包虫病防治工作</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定性</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良好</w:t>
            </w:r>
          </w:p>
        </w:tc>
        <w:tc>
          <w:tcPr>
            <w:tcW w:w="436" w:type="dxa"/>
            <w:tcBorders>
              <w:top w:val="single" w:sz="4" w:space="0" w:color="000000"/>
              <w:left w:val="single" w:sz="4" w:space="0" w:color="000000"/>
              <w:bottom w:val="single" w:sz="4" w:space="0" w:color="000000"/>
              <w:right w:val="single" w:sz="4" w:space="0" w:color="000000"/>
            </w:tcBorders>
            <w:vAlign w:val="center"/>
          </w:tcPr>
          <w:p>
            <w:pPr>
              <w:jc w:val="center"/>
              <w:rPr>
                <w:rFonts w:ascii="宋体" w:cs="宋体"/>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良好</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30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33</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510"/>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满意度指标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服务对象满意度指标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群众满意度</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95</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95</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8</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259"/>
        </w:trPr>
        <w:tc>
          <w:tcPr>
            <w:tcW w:w="8787" w:type="dxa"/>
            <w:gridSpan w:val="8"/>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合计</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18"/>
                <w:szCs w:val="18"/>
              </w:rPr>
            </w:pPr>
            <w:r>
              <w:rPr>
                <w:rFonts w:ascii="宋体" w:cs="宋体"/>
                <w:color w:val="000000"/>
                <w:kern w:val="0"/>
                <w:sz w:val="18"/>
                <w:szCs w:val="18"/>
              </w:rPr>
              <w:t>94</w:t>
            </w:r>
          </w:p>
        </w:tc>
        <w:tc>
          <w:tcPr>
            <w:tcW w:w="1638"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r>
      <w:tr>
        <w:trPr>
          <w:trHeight w:val="510"/>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评价结论</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绩效自评总体情况较好，项目实施取得了一定的成效，根据预算绩效管理相关制度的要求，结合项目绩效指标完成情况及对项目成本、项目效率、部门绩效目标实现的综合分析，项目综合评价为项目各项指标项均达到指标要求，项目实施达到预期效果。自评得分94分。</w:t>
            </w:r>
          </w:p>
        </w:tc>
      </w:tr>
      <w:tr>
        <w:trPr>
          <w:trHeight w:val="510"/>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存在问题</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由于对支出绩效评价工作的重要性还认识不够，因此对绩效评价工作的重视度还不够，部分项目支出绩效指标无法用量化指标来进行考评。</w:t>
            </w:r>
          </w:p>
        </w:tc>
      </w:tr>
      <w:tr>
        <w:trPr>
          <w:trHeight w:val="518"/>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改进措施</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259"/>
        </w:trPr>
        <w:tc>
          <w:tcPr>
            <w:tcW w:w="6400"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项目负责人：坤吉伦</w:t>
            </w:r>
          </w:p>
        </w:tc>
        <w:tc>
          <w:tcPr>
            <w:tcW w:w="4947" w:type="dxa"/>
            <w:gridSpan w:val="6"/>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财务负责人：季万美</w:t>
            </w:r>
          </w:p>
        </w:tc>
      </w:tr>
      <w:tr>
        <w:trPr>
          <w:trHeight w:val="259"/>
        </w:trPr>
        <w:tc>
          <w:tcPr>
            <w:tcW w:w="100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238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45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105"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8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638"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r>
      <w:tr>
        <w:trPr>
          <w:trHeight w:val="736"/>
        </w:trPr>
        <w:tc>
          <w:tcPr>
            <w:tcW w:w="11347" w:type="dxa"/>
            <w:gridSpan w:val="11"/>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黑体" w:eastAsia="黑体" w:cs="黑体"/>
                <w:b/>
                <w:bCs/>
                <w:color w:val="000000"/>
                <w:sz w:val="30"/>
                <w:szCs w:val="30"/>
              </w:rPr>
            </w:pPr>
            <w:r>
              <w:rPr>
                <w:rFonts w:ascii="黑体" w:eastAsia="黑体" w:cs="黑体" w:hint="eastAsia"/>
                <w:b/>
                <w:bCs/>
                <w:color w:val="000000"/>
                <w:kern w:val="0"/>
                <w:sz w:val="30"/>
                <w:szCs w:val="30"/>
              </w:rPr>
              <w:t>部门预算项目支出绩效自评表（2023年度）</w:t>
            </w:r>
          </w:p>
        </w:tc>
      </w:tr>
      <w:tr>
        <w:trPr>
          <w:trHeight w:val="259"/>
        </w:trPr>
        <w:tc>
          <w:tcPr>
            <w:tcW w:w="3380" w:type="dxa"/>
            <w:gridSpan w:val="2"/>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项目名称</w:t>
            </w:r>
          </w:p>
        </w:tc>
        <w:tc>
          <w:tcPr>
            <w:tcW w:w="7967" w:type="dxa"/>
            <w:gridSpan w:val="9"/>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51322323T000009401777-沟口所、交警飞虹中队业务用房规范化建设</w:t>
            </w:r>
          </w:p>
        </w:tc>
      </w:tr>
      <w:tr>
        <w:trPr>
          <w:trHeight w:val="510"/>
        </w:trPr>
        <w:tc>
          <w:tcPr>
            <w:tcW w:w="3380" w:type="dxa"/>
            <w:gridSpan w:val="2"/>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主管部门</w:t>
            </w: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茂县公安局本级</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实施单位 （盖章）</w:t>
            </w:r>
          </w:p>
        </w:tc>
        <w:tc>
          <w:tcPr>
            <w:tcW w:w="2560"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茂县公安局</w:t>
            </w:r>
          </w:p>
        </w:tc>
      </w:tr>
      <w:tr>
        <w:trPr>
          <w:trHeight w:val="259"/>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项目基本情况</w:t>
            </w:r>
          </w:p>
        </w:tc>
        <w:tc>
          <w:tcPr>
            <w:tcW w:w="238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1.项目年度目标完成情况</w:t>
            </w: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项目年度目标</w:t>
            </w:r>
          </w:p>
        </w:tc>
        <w:tc>
          <w:tcPr>
            <w:tcW w:w="3406" w:type="dxa"/>
            <w:gridSpan w:val="4"/>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黑体" w:eastAsia="黑体" w:cs="黑体"/>
                <w:color w:val="000000"/>
                <w:sz w:val="18"/>
                <w:szCs w:val="18"/>
              </w:rPr>
            </w:pPr>
            <w:r>
              <w:rPr>
                <w:rFonts w:ascii="黑体" w:eastAsia="黑体" w:cs="黑体" w:hint="eastAsia"/>
                <w:color w:val="000000"/>
                <w:kern w:val="0"/>
                <w:sz w:val="18"/>
                <w:szCs w:val="18"/>
              </w:rPr>
              <w:t>年度目标完成情况</w:t>
            </w:r>
          </w:p>
        </w:tc>
      </w:tr>
      <w:tr>
        <w:trPr>
          <w:trHeight w:val="76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vMerge/>
            <w:tcBorders>
              <w:top w:val="single" w:sz="4" w:space="0" w:color="000000"/>
              <w:left w:val="single" w:sz="4" w:space="0" w:color="000000"/>
              <w:bottom w:val="single" w:sz="4" w:space="0" w:color="000000"/>
              <w:right w:val="single" w:sz="4" w:space="0" w:color="000000"/>
            </w:tcBorders>
            <w:vAlign w:val="center"/>
          </w:tcP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保障了茂县公安局沟口派出所民警、辅警日常工作的开展，进一步提升派出所运行能力，充分发挥公安基层所队的职能职责，更好地服务辖区人民群众，维护辖区交通管理秩序，维护基层政权安全，维护辖区社会治安稳定。</w:t>
            </w:r>
          </w:p>
        </w:tc>
        <w:tc>
          <w:tcPr>
            <w:tcW w:w="3406" w:type="dxa"/>
            <w:gridSpan w:val="4"/>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维护基层政权，维护辖区社会治安稳定，充分发挥公安基层所队的职能职责，解决民、辅警实际困难，营造一个舒适整洁、井然有序的值班备勤环境.</w:t>
            </w:r>
          </w:p>
        </w:tc>
      </w:tr>
      <w:tr>
        <w:trPr>
          <w:trHeight w:val="76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2.项目实施内容及过程概述</w:t>
            </w:r>
          </w:p>
        </w:tc>
        <w:tc>
          <w:tcPr>
            <w:tcW w:w="7967" w:type="dxa"/>
            <w:gridSpan w:val="9"/>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2019年我县进行乡镇行政区划调整，全县21个乡镇撤并成11个镇，按照全州两项改革“后半篇”文章盘活用好乡镇村公有资产工作的要求，根据县委、县政府工作部署，将原乡政府值班室移交县公安局使用，根据国家发改委、建设部、公安部关于公安派出所建设规范和标准，需对移交的房屋进行规范化改造。</w:t>
            </w:r>
          </w:p>
        </w:tc>
      </w:tr>
      <w:tr>
        <w:trPr>
          <w:trHeight w:val="510"/>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预算执行情况（10分）</w:t>
            </w: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年度预算数（万元）</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年初预算</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调整后预算数</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预算执行数</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预算执行率</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权重</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得分</w:t>
            </w:r>
          </w:p>
        </w:tc>
        <w:tc>
          <w:tcPr>
            <w:tcW w:w="1638"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原因</w:t>
            </w:r>
          </w:p>
        </w:tc>
      </w:tr>
      <w:tr>
        <w:trPr>
          <w:trHeight w:val="287"/>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总额</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105.80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105.80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1638"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i/>
                <w:iCs/>
                <w:color w:val="000000"/>
                <w:sz w:val="18"/>
                <w:szCs w:val="18"/>
              </w:rPr>
            </w:pPr>
            <w:r>
              <w:rPr>
                <w:rFonts w:ascii="黑体" w:eastAsia="黑体" w:cs="黑体" w:hint="eastAsia"/>
                <w:i/>
                <w:iCs/>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rPr>
          <w:trHeight w:val="32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其中：财政资金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105.80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105.80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336"/>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财政专户管理资金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299"/>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单位资金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52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其他资金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1450"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846"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1012"/>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绩效指标（90分）</w:t>
            </w: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一级指标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二级指标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三级指标</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指标性质</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指标值</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度量单位</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完成值</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权重</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得分</w:t>
            </w:r>
          </w:p>
        </w:tc>
        <w:tc>
          <w:tcPr>
            <w:tcW w:w="1638"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未完成原因分析</w:t>
            </w:r>
          </w:p>
        </w:tc>
      </w:tr>
      <w:tr>
        <w:trPr>
          <w:trHeight w:val="28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产出指标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时效指标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经费年度</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1年</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50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26</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76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效益指标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社会效益指标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维护辖区交通管理秩序，维护基层政权安全，维护辖区社会治安稳定</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定性</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良好</w:t>
            </w:r>
          </w:p>
        </w:tc>
        <w:tc>
          <w:tcPr>
            <w:tcW w:w="436" w:type="dxa"/>
            <w:tcBorders>
              <w:top w:val="single" w:sz="4" w:space="0" w:color="000000"/>
              <w:left w:val="single" w:sz="4" w:space="0" w:color="000000"/>
              <w:bottom w:val="single" w:sz="4" w:space="0" w:color="000000"/>
              <w:right w:val="single" w:sz="4" w:space="0" w:color="000000"/>
            </w:tcBorders>
            <w:vAlign w:val="center"/>
          </w:tcPr>
          <w:p>
            <w:pPr>
              <w:jc w:val="center"/>
              <w:rPr>
                <w:rFonts w:ascii="宋体" w:cs="宋体"/>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良好</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15</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25</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1012"/>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vMerge/>
            <w:tcBorders>
              <w:top w:val="single" w:sz="4" w:space="0" w:color="000000"/>
              <w:left w:val="single" w:sz="4" w:space="0" w:color="000000"/>
              <w:bottom w:val="single" w:sz="4" w:space="0" w:color="000000"/>
              <w:right w:val="single" w:sz="4" w:space="0" w:color="000000"/>
            </w:tcBorders>
            <w:vAlign w:val="center"/>
          </w:tcP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可持续发展指标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进一步提升派出所运行能力，充分发挥公安基层所队的职能职责，更好地服务辖区人民群众</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定性</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良好</w:t>
            </w:r>
          </w:p>
        </w:tc>
        <w:tc>
          <w:tcPr>
            <w:tcW w:w="436" w:type="dxa"/>
            <w:tcBorders>
              <w:top w:val="single" w:sz="4" w:space="0" w:color="000000"/>
              <w:left w:val="single" w:sz="4" w:space="0" w:color="000000"/>
              <w:bottom w:val="single" w:sz="4" w:space="0" w:color="000000"/>
              <w:right w:val="single" w:sz="4" w:space="0" w:color="000000"/>
            </w:tcBorders>
            <w:vAlign w:val="center"/>
          </w:tcPr>
          <w:p>
            <w:pPr>
              <w:jc w:val="center"/>
              <w:rPr>
                <w:rFonts w:ascii="宋体" w:cs="宋体"/>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良好</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15</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25</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510"/>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满意度指标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服务对象满意度指标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群众满意度</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95</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95%</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8</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259"/>
        </w:trPr>
        <w:tc>
          <w:tcPr>
            <w:tcW w:w="8787" w:type="dxa"/>
            <w:gridSpan w:val="8"/>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合计</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18"/>
                <w:szCs w:val="18"/>
              </w:rPr>
            </w:pPr>
            <w:r>
              <w:rPr>
                <w:rFonts w:ascii="宋体" w:cs="宋体"/>
                <w:color w:val="000000"/>
                <w:kern w:val="0"/>
                <w:sz w:val="18"/>
                <w:szCs w:val="18"/>
              </w:rPr>
              <w:t>94</w:t>
            </w:r>
          </w:p>
        </w:tc>
        <w:tc>
          <w:tcPr>
            <w:tcW w:w="1638"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r>
      <w:tr>
        <w:trPr>
          <w:trHeight w:val="510"/>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评价结论</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根据预算绩效管理相关制度的要求，结合项目绩效指标完成情况及对项目成本、项目效率、部门绩效目标实现的综合分析，项目综合评价为项目各项指标项均达到指标要求，项目实施达到预期效果。自评得分94分。</w:t>
            </w:r>
          </w:p>
        </w:tc>
      </w:tr>
      <w:tr>
        <w:trPr>
          <w:trHeight w:val="510"/>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存在问题</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由于对支出绩效评价工作的重要性还认识不够，因此对绩效评价工作的重视度还不够，部分项目支出绩效指标无法用量化指标来进行考评。</w:t>
            </w:r>
          </w:p>
        </w:tc>
      </w:tr>
      <w:tr>
        <w:trPr>
          <w:trHeight w:val="518"/>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改进措施</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259"/>
        </w:trPr>
        <w:tc>
          <w:tcPr>
            <w:tcW w:w="6400"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项目负责人：陈茂川</w:t>
            </w:r>
          </w:p>
        </w:tc>
        <w:tc>
          <w:tcPr>
            <w:tcW w:w="4947" w:type="dxa"/>
            <w:gridSpan w:val="6"/>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财务负责人：季万美</w:t>
            </w:r>
          </w:p>
        </w:tc>
      </w:tr>
      <w:tr>
        <w:trPr>
          <w:trHeight w:val="259"/>
        </w:trPr>
        <w:tc>
          <w:tcPr>
            <w:tcW w:w="100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238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450"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105"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84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8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c>
          <w:tcPr>
            <w:tcW w:w="1638"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r>
      <w:tr>
        <w:trPr>
          <w:trHeight w:val="736"/>
        </w:trPr>
        <w:tc>
          <w:tcPr>
            <w:tcW w:w="11347" w:type="dxa"/>
            <w:gridSpan w:val="11"/>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黑体" w:eastAsia="黑体" w:cs="黑体"/>
                <w:b/>
                <w:bCs/>
                <w:color w:val="000000"/>
                <w:sz w:val="30"/>
                <w:szCs w:val="30"/>
              </w:rPr>
            </w:pPr>
            <w:r>
              <w:rPr>
                <w:rFonts w:ascii="黑体" w:eastAsia="黑体" w:cs="黑体" w:hint="eastAsia"/>
                <w:b/>
                <w:bCs/>
                <w:color w:val="000000"/>
                <w:kern w:val="0"/>
                <w:sz w:val="30"/>
                <w:szCs w:val="30"/>
              </w:rPr>
              <w:t>部门预算项目支出绩效自评表（2023年度）</w:t>
            </w:r>
          </w:p>
        </w:tc>
      </w:tr>
      <w:tr>
        <w:trPr>
          <w:trHeight w:val="259"/>
        </w:trPr>
        <w:tc>
          <w:tcPr>
            <w:tcW w:w="3380" w:type="dxa"/>
            <w:gridSpan w:val="2"/>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项目名称</w:t>
            </w:r>
          </w:p>
        </w:tc>
        <w:tc>
          <w:tcPr>
            <w:tcW w:w="7967" w:type="dxa"/>
            <w:gridSpan w:val="9"/>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51322324T000010055314-铁路护路联防专项资金</w:t>
            </w:r>
          </w:p>
        </w:tc>
      </w:tr>
      <w:tr>
        <w:trPr>
          <w:trHeight w:val="510"/>
        </w:trPr>
        <w:tc>
          <w:tcPr>
            <w:tcW w:w="3380" w:type="dxa"/>
            <w:gridSpan w:val="2"/>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主管部门</w:t>
            </w: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茂县公安局本级</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实施单位 （盖章）</w:t>
            </w:r>
          </w:p>
        </w:tc>
        <w:tc>
          <w:tcPr>
            <w:tcW w:w="2560"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茂县公安局</w:t>
            </w:r>
          </w:p>
        </w:tc>
      </w:tr>
      <w:tr>
        <w:trPr>
          <w:trHeight w:val="259"/>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项目基本情况</w:t>
            </w:r>
          </w:p>
        </w:tc>
        <w:tc>
          <w:tcPr>
            <w:tcW w:w="238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1.项目年度目标完成情况</w:t>
            </w: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项目年度目标</w:t>
            </w:r>
          </w:p>
        </w:tc>
        <w:tc>
          <w:tcPr>
            <w:tcW w:w="3406" w:type="dxa"/>
            <w:gridSpan w:val="4"/>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黑体" w:eastAsia="黑体" w:cs="黑体"/>
                <w:color w:val="000000"/>
                <w:sz w:val="18"/>
                <w:szCs w:val="18"/>
              </w:rPr>
            </w:pPr>
            <w:r>
              <w:rPr>
                <w:rFonts w:ascii="黑体" w:eastAsia="黑体" w:cs="黑体" w:hint="eastAsia"/>
                <w:color w:val="000000"/>
                <w:kern w:val="0"/>
                <w:sz w:val="18"/>
                <w:szCs w:val="18"/>
              </w:rPr>
              <w:t>年度目标完成情况</w:t>
            </w:r>
          </w:p>
        </w:tc>
      </w:tr>
      <w:tr>
        <w:trPr>
          <w:trHeight w:val="578"/>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vMerge/>
            <w:tcBorders>
              <w:top w:val="single" w:sz="4" w:space="0" w:color="000000"/>
              <w:left w:val="single" w:sz="4" w:space="0" w:color="000000"/>
              <w:bottom w:val="single" w:sz="4" w:space="0" w:color="000000"/>
              <w:right w:val="single" w:sz="4" w:space="0" w:color="000000"/>
            </w:tcBorders>
            <w:vAlign w:val="center"/>
          </w:tcPr>
          <w:p/>
        </w:tc>
        <w:tc>
          <w:tcPr>
            <w:tcW w:w="4561"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提升铁路沿线治安环境综合治理能力，严厉打击各类违法犯罪，解决好铁路沿线及周边广大人民群众关切的问题，保障好铁路运输的绝对安全。</w:t>
            </w:r>
          </w:p>
        </w:tc>
        <w:tc>
          <w:tcPr>
            <w:tcW w:w="3406" w:type="dxa"/>
            <w:gridSpan w:val="4"/>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铁路沿线治安秩序良好，无危行事故发生，爱路护路氛围浓厚。</w:t>
            </w:r>
          </w:p>
        </w:tc>
      </w:tr>
      <w:tr>
        <w:trPr>
          <w:trHeight w:val="566"/>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2.项目实施内容及过程概述</w:t>
            </w:r>
          </w:p>
        </w:tc>
        <w:tc>
          <w:tcPr>
            <w:tcW w:w="7967" w:type="dxa"/>
            <w:gridSpan w:val="9"/>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18"/>
                <w:szCs w:val="18"/>
              </w:rPr>
            </w:pPr>
            <w:r>
              <w:rPr>
                <w:rFonts w:ascii="宋体" w:cs="宋体"/>
                <w:color w:val="000000"/>
                <w:kern w:val="0"/>
                <w:sz w:val="18"/>
                <w:szCs w:val="18"/>
              </w:rPr>
              <w:t>下达群防群治务工补助、公务经费、重点整治信息化建设、护路队员绩效考核经费。维护号铁路沿线治安秩序，严厉打击危害铁路运输安全的各种违法犯罪活动，适时开展铁路沿线突出治安问题整治活动，完善沿线警示牌设立，督导护路队伍开展好巡查及宣传工作。</w:t>
            </w:r>
          </w:p>
        </w:tc>
      </w:tr>
      <w:tr>
        <w:trPr>
          <w:trHeight w:val="510"/>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预算执行情况（10分）</w:t>
            </w: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年度预算数（万元）</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年初预算</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调整后预算数</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预算执行数</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预算执行率</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权重</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得分</w:t>
            </w:r>
          </w:p>
        </w:tc>
        <w:tc>
          <w:tcPr>
            <w:tcW w:w="1638"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原因</w:t>
            </w:r>
          </w:p>
        </w:tc>
      </w:tr>
      <w:tr>
        <w:trPr>
          <w:trHeight w:val="287"/>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总额</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2.56</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2.56</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w:t>
            </w:r>
          </w:p>
        </w:tc>
        <w:tc>
          <w:tcPr>
            <w:tcW w:w="1638"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i/>
                <w:iCs/>
                <w:color w:val="000000"/>
                <w:sz w:val="18"/>
                <w:szCs w:val="18"/>
              </w:rPr>
            </w:pPr>
            <w:r>
              <w:rPr>
                <w:rFonts w:ascii="黑体" w:eastAsia="黑体" w:cs="黑体" w:hint="eastAsia"/>
                <w:i/>
                <w:iCs/>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rPr>
          <w:trHeight w:val="32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其中：财政资金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2.56</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2.56</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336"/>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财政专户管理资金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299"/>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单位资金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0.00%</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523"/>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其他资金</w:t>
            </w:r>
          </w:p>
        </w:tc>
        <w:tc>
          <w:tcPr>
            <w:tcW w:w="1134"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1450"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1977" w:type="dxa"/>
            <w:gridSpan w:val="3"/>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846"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w:t>
            </w:r>
          </w:p>
        </w:tc>
        <w:tc>
          <w:tcPr>
            <w:tcW w:w="1638" w:type="dxa"/>
            <w:vMerge/>
            <w:tcBorders>
              <w:top w:val="single" w:sz="4" w:space="0" w:color="000000"/>
              <w:left w:val="single" w:sz="4" w:space="0" w:color="000000"/>
              <w:bottom w:val="single" w:sz="4" w:space="0" w:color="000000"/>
              <w:right w:val="single" w:sz="4" w:space="0" w:color="000000"/>
            </w:tcBorders>
            <w:vAlign w:val="center"/>
          </w:tcPr>
          <w:p/>
        </w:tc>
      </w:tr>
      <w:tr>
        <w:trPr>
          <w:trHeight w:val="1012"/>
        </w:trPr>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绩效指标（90分）</w:t>
            </w: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一级指标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二级指标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三级指标</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指标性质</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指标值</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度量单位</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完成值</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权重</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得分</w:t>
            </w:r>
          </w:p>
        </w:tc>
        <w:tc>
          <w:tcPr>
            <w:tcW w:w="1638"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未完成原因分析</w:t>
            </w:r>
          </w:p>
        </w:tc>
      </w:tr>
      <w:tr>
        <w:trPr>
          <w:trHeight w:val="372"/>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质量指标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铁路沿线治安稳定</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定性</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良好</w:t>
            </w: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22"/>
                <w:szCs w:val="22"/>
              </w:rPr>
            </w:pP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良好</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30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26</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宋体" w:cs="宋体"/>
                <w:color w:val="000000"/>
                <w:sz w:val="18"/>
                <w:szCs w:val="18"/>
              </w:rPr>
            </w:pPr>
          </w:p>
        </w:tc>
      </w:tr>
      <w:tr>
        <w:trPr>
          <w:trHeight w:val="372"/>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产出指标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时效指标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经费年度</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1</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年</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1年</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20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20</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宋体" w:cs="宋体"/>
                <w:color w:val="000000"/>
                <w:sz w:val="18"/>
                <w:szCs w:val="18"/>
              </w:rPr>
            </w:pPr>
          </w:p>
        </w:tc>
      </w:tr>
      <w:tr>
        <w:trPr>
          <w:trHeight w:val="510"/>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效益指标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社会效益指标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铁路沿线治安稳定</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定性</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良好</w:t>
            </w:r>
          </w:p>
        </w:tc>
        <w:tc>
          <w:tcPr>
            <w:tcW w:w="436"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22"/>
                <w:szCs w:val="22"/>
              </w:rPr>
            </w:pP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良好</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30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27</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宋体" w:cs="宋体"/>
                <w:color w:val="000000"/>
                <w:sz w:val="18"/>
                <w:szCs w:val="18"/>
              </w:rPr>
            </w:pPr>
          </w:p>
        </w:tc>
      </w:tr>
      <w:tr>
        <w:trPr>
          <w:trHeight w:val="281"/>
        </w:trPr>
        <w:tc>
          <w:tcPr>
            <w:tcW w:w="1000" w:type="dxa"/>
            <w:vMerge/>
            <w:tcBorders>
              <w:top w:val="single" w:sz="4" w:space="0" w:color="000000"/>
              <w:left w:val="single" w:sz="4" w:space="0" w:color="000000"/>
              <w:bottom w:val="single" w:sz="4" w:space="0" w:color="000000"/>
              <w:right w:val="single" w:sz="4" w:space="0" w:color="000000"/>
            </w:tcBorders>
            <w:vAlign w:val="center"/>
          </w:tcPr>
          <w:p/>
        </w:tc>
        <w:tc>
          <w:tcPr>
            <w:tcW w:w="238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满意度指标</w:t>
            </w:r>
          </w:p>
        </w:tc>
        <w:tc>
          <w:tcPr>
            <w:tcW w:w="1134"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满意度指标</w:t>
            </w:r>
          </w:p>
        </w:tc>
        <w:tc>
          <w:tcPr>
            <w:tcW w:w="145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群众满意度</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w:t>
            </w:r>
          </w:p>
        </w:tc>
        <w:tc>
          <w:tcPr>
            <w:tcW w:w="1105"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95</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宋体" w:cs="宋体"/>
                <w:color w:val="000000"/>
                <w:sz w:val="22"/>
                <w:szCs w:val="22"/>
              </w:rPr>
            </w:pPr>
            <w:r>
              <w:rPr>
                <w:rFonts w:ascii="宋体" w:cs="宋体" w:hint="eastAsia"/>
                <w:color w:val="000000"/>
                <w:kern w:val="0"/>
                <w:sz w:val="22"/>
                <w:szCs w:val="22"/>
              </w:rPr>
              <w:t>%</w:t>
            </w:r>
          </w:p>
        </w:tc>
        <w:tc>
          <w:tcPr>
            <w:tcW w:w="84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95%</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10</w:t>
            </w:r>
          </w:p>
        </w:tc>
        <w:tc>
          <w:tcPr>
            <w:tcW w:w="436" w:type="dxa"/>
            <w:tcBorders>
              <w:top w:val="single" w:sz="4" w:space="0" w:color="000000"/>
              <w:left w:val="single" w:sz="4" w:space="0" w:color="000000"/>
              <w:bottom w:val="single" w:sz="4" w:space="0" w:color="000000"/>
              <w:right w:val="single" w:sz="4" w:space="0" w:color="000000"/>
            </w:tcBorders>
            <w:noWrap/>
            <w:vAlign w:val="center"/>
          </w:tcPr>
          <w:p>
            <w:pPr>
              <w:widowControl/>
              <w:suppressAutoHyphens/>
              <w:jc w:val="right"/>
              <w:textAlignment w:val="center"/>
              <w:rPr>
                <w:rFonts w:ascii="宋体" w:cs="宋体"/>
                <w:color w:val="000000"/>
                <w:sz w:val="22"/>
                <w:szCs w:val="22"/>
              </w:rPr>
            </w:pPr>
            <w:r>
              <w:rPr>
                <w:rFonts w:ascii="宋体" w:cs="宋体" w:hint="eastAsia"/>
                <w:color w:val="000000"/>
                <w:kern w:val="0"/>
                <w:sz w:val="22"/>
                <w:szCs w:val="22"/>
              </w:rPr>
              <w:t>9</w:t>
            </w:r>
          </w:p>
        </w:tc>
        <w:tc>
          <w:tcPr>
            <w:tcW w:w="1638" w:type="dxa"/>
            <w:tcBorders>
              <w:top w:val="single" w:sz="4" w:space="0" w:color="000000"/>
              <w:left w:val="single" w:sz="4" w:space="0" w:color="000000"/>
              <w:bottom w:val="single" w:sz="4" w:space="0" w:color="000000"/>
              <w:right w:val="single" w:sz="4" w:space="0" w:color="000000"/>
            </w:tcBorders>
            <w:vAlign w:val="center"/>
          </w:tcPr>
          <w:p>
            <w:pPr>
              <w:jc w:val="center"/>
              <w:rPr>
                <w:rFonts w:ascii="微软雅黑" w:eastAsia="微软雅黑" w:cs="微软雅黑"/>
                <w:i/>
                <w:iCs/>
                <w:color w:val="000000"/>
                <w:sz w:val="16"/>
                <w:szCs w:val="16"/>
              </w:rPr>
            </w:pPr>
          </w:p>
        </w:tc>
      </w:tr>
      <w:tr>
        <w:trPr>
          <w:trHeight w:val="259"/>
        </w:trPr>
        <w:tc>
          <w:tcPr>
            <w:tcW w:w="8787" w:type="dxa"/>
            <w:gridSpan w:val="8"/>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合计</w:t>
            </w:r>
          </w:p>
        </w:tc>
        <w:tc>
          <w:tcPr>
            <w:tcW w:w="48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100</w:t>
            </w:r>
          </w:p>
        </w:tc>
        <w:tc>
          <w:tcPr>
            <w:tcW w:w="436"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right"/>
              <w:textAlignment w:val="center"/>
              <w:rPr>
                <w:rFonts w:ascii="宋体" w:cs="宋体"/>
                <w:color w:val="000000"/>
                <w:sz w:val="18"/>
                <w:szCs w:val="18"/>
              </w:rPr>
            </w:pPr>
            <w:r>
              <w:rPr>
                <w:rFonts w:ascii="宋体" w:cs="宋体"/>
                <w:color w:val="000000"/>
                <w:kern w:val="0"/>
                <w:sz w:val="18"/>
                <w:szCs w:val="18"/>
              </w:rPr>
              <w:t>94</w:t>
            </w:r>
          </w:p>
        </w:tc>
        <w:tc>
          <w:tcPr>
            <w:tcW w:w="1638" w:type="dxa"/>
            <w:tcBorders>
              <w:top w:val="single" w:sz="4" w:space="0" w:color="000000"/>
              <w:left w:val="single" w:sz="4" w:space="0" w:color="000000"/>
              <w:bottom w:val="single" w:sz="4" w:space="0" w:color="000000"/>
              <w:right w:val="single" w:sz="4" w:space="0" w:color="000000"/>
            </w:tcBorders>
            <w:vAlign w:val="center"/>
          </w:tcPr>
          <w:p>
            <w:pPr>
              <w:rPr>
                <w:rFonts w:ascii="宋体" w:cs="宋体"/>
                <w:color w:val="000000"/>
                <w:sz w:val="18"/>
                <w:szCs w:val="18"/>
              </w:rPr>
            </w:pPr>
          </w:p>
        </w:tc>
      </w:tr>
      <w:tr>
        <w:trPr>
          <w:trHeight w:val="510"/>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评价结论</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根据预算绩效管理相关制度的要求，结合项目绩效指标完成情况及对项目成本、项目效率、部门绩效目标实现的综合分析，项目综合评价为项目各项指标项均达到指标要求，项目实施达到预期效果。自评得分94分。</w:t>
            </w:r>
          </w:p>
        </w:tc>
      </w:tr>
      <w:tr>
        <w:trPr>
          <w:trHeight w:val="510"/>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存在问题</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由于对支出绩效评价工作的重要性还认识不够，因此对绩效评价工作的重视度还不够，部分项目支出绩效指标无法用量化指标来进行考评。</w:t>
            </w:r>
          </w:p>
        </w:tc>
      </w:tr>
      <w:tr>
        <w:trPr>
          <w:trHeight w:val="518"/>
        </w:trPr>
        <w:tc>
          <w:tcPr>
            <w:tcW w:w="1000" w:type="dxa"/>
            <w:tcBorders>
              <w:top w:val="single" w:sz="4" w:space="0" w:color="000000"/>
              <w:left w:val="single" w:sz="4" w:space="0" w:color="000000"/>
              <w:bottom w:val="single" w:sz="4" w:space="0" w:color="000000"/>
              <w:right w:val="single" w:sz="4" w:space="0" w:color="000000"/>
            </w:tcBorders>
            <w:vAlign w:val="center"/>
          </w:tcPr>
          <w:p>
            <w:pPr>
              <w:widowControl/>
              <w:suppressAutoHyphens/>
              <w:jc w:val="center"/>
              <w:textAlignment w:val="center"/>
              <w:rPr>
                <w:rFonts w:ascii="宋体" w:cs="宋体"/>
                <w:color w:val="000000"/>
                <w:sz w:val="18"/>
                <w:szCs w:val="18"/>
              </w:rPr>
            </w:pPr>
            <w:r>
              <w:rPr>
                <w:rFonts w:ascii="宋体" w:cs="宋体"/>
                <w:color w:val="000000"/>
                <w:kern w:val="0"/>
                <w:sz w:val="18"/>
                <w:szCs w:val="18"/>
              </w:rPr>
              <w:t>改进措施</w:t>
            </w:r>
          </w:p>
        </w:tc>
        <w:tc>
          <w:tcPr>
            <w:tcW w:w="10347" w:type="dxa"/>
            <w:gridSpan w:val="10"/>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微软雅黑" w:eastAsia="微软雅黑" w:cs="微软雅黑"/>
                <w:i/>
                <w:iCs/>
                <w:color w:val="000000"/>
                <w:sz w:val="16"/>
                <w:szCs w:val="16"/>
              </w:rPr>
            </w:pPr>
            <w:r>
              <w:rPr>
                <w:rFonts w:ascii="微软雅黑" w:eastAsia="微软雅黑" w:cs="微软雅黑" w:hint="eastAsia"/>
                <w:i/>
                <w:iCs/>
                <w:color w:val="000000"/>
                <w:kern w:val="0"/>
                <w:sz w:val="16"/>
                <w:szCs w:val="16"/>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268"/>
        </w:trPr>
        <w:tc>
          <w:tcPr>
            <w:tcW w:w="6400" w:type="dxa"/>
            <w:gridSpan w:val="5"/>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项目负责人：坤吉伦</w:t>
            </w:r>
          </w:p>
        </w:tc>
        <w:tc>
          <w:tcPr>
            <w:tcW w:w="4947" w:type="dxa"/>
            <w:gridSpan w:val="6"/>
            <w:tcBorders>
              <w:top w:val="single" w:sz="4" w:space="0" w:color="000000"/>
              <w:left w:val="single" w:sz="4" w:space="0" w:color="000000"/>
              <w:bottom w:val="single" w:sz="4" w:space="0" w:color="000000"/>
              <w:right w:val="single" w:sz="4" w:space="0" w:color="000000"/>
            </w:tcBorders>
            <w:vAlign w:val="center"/>
          </w:tcPr>
          <w:p>
            <w:pPr>
              <w:widowControl/>
              <w:suppressAutoHyphens/>
              <w:jc w:val="left"/>
              <w:textAlignment w:val="center"/>
              <w:rPr>
                <w:rFonts w:ascii="黑体" w:eastAsia="黑体" w:cs="黑体"/>
                <w:color w:val="000000"/>
                <w:sz w:val="18"/>
                <w:szCs w:val="18"/>
              </w:rPr>
            </w:pPr>
            <w:r>
              <w:rPr>
                <w:rFonts w:ascii="黑体" w:eastAsia="黑体" w:cs="黑体" w:hint="eastAsia"/>
                <w:color w:val="000000"/>
                <w:kern w:val="0"/>
                <w:sz w:val="18"/>
                <w:szCs w:val="18"/>
              </w:rPr>
              <w:t>财务负责人：季万美</w:t>
            </w:r>
          </w:p>
        </w:tc>
      </w:tr>
    </w:tbl>
    <w:p>
      <w:pPr>
        <w:pStyle w:val="19"/>
        <w:spacing w:line="560" w:lineRule="exact"/>
        <w:ind w:leftChars="0" w:left="0" w:firstLineChars="0" w:firstLine="0"/>
        <w:rPr>
          <w:sz w:val="32"/>
          <w:lang w:val="zh-CN"/>
          <w:highlight w:val="yellow"/>
        </w:rPr>
      </w:pPr>
    </w:p>
    <w:p>
      <w:pPr>
        <w:pStyle w:val="17"/>
        <w:rPr>
          <w:rFonts w:cs="宋体"/>
          <w:color w:val="FF0000"/>
          <w:kern w:val="0"/>
          <w:sz w:val="32"/>
          <w:szCs w:val="32"/>
          <w:shd w:val="clear" w:color="auto" w:fill="FFFFFF"/>
          <w:lang w:val="zh-CN"/>
          <w:highlight w:val="yellow"/>
        </w:rPr>
      </w:pPr>
    </w:p>
    <w:p>
      <w:pPr>
        <w:rPr>
          <w:rFonts w:ascii="黑体" w:eastAsia="黑体" w:cs="黑体"/>
          <w:kern w:val="0"/>
          <w:sz w:val="32"/>
          <w:szCs w:val="32"/>
          <w:shd w:val="clear" w:color="auto" w:fill="FFFFFF"/>
          <w:lang w:val="zh-CN"/>
        </w:rPr>
      </w:pPr>
    </w:p>
    <w:p>
      <w:pPr>
        <w:pStyle w:val="15"/>
        <w:rPr>
          <w:rFonts w:ascii="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15"/>
        <w:rPr>
          <w:rFonts w:ascii="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15"/>
        <w:rPr>
          <w:rFonts w:ascii="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15"/>
        <w:rPr>
          <w:rFonts w:ascii="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15"/>
        <w:rPr>
          <w:lang w:val="zh-CN"/>
        </w:rPr>
      </w:pPr>
    </w:p>
    <w:p>
      <w:pPr>
        <w:rPr>
          <w:lang w:val="zh-CN"/>
        </w:rPr>
      </w:pPr>
    </w:p>
    <w:p>
      <w:pPr>
        <w:pStyle w:val="15"/>
        <w:rPr>
          <w:lang w:val="zh-CN"/>
        </w:rPr>
      </w:pPr>
    </w:p>
    <w:p>
      <w:pPr>
        <w:rPr>
          <w:lang w:val="zh-CN"/>
        </w:rPr>
      </w:pPr>
    </w:p>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lang w:val="zh-CN"/>
        </w:rPr>
      </w:pPr>
    </w:p>
    <w:p>
      <w:pPr>
        <w:pStyle w:val="17"/>
        <w:spacing w:line="560" w:lineRule="exact"/>
        <w:rPr>
          <w:rFonts w:ascii="黑体" w:eastAsia="黑体" w:cs="黑体"/>
          <w:kern w:val="0"/>
          <w:sz w:val="32"/>
          <w:szCs w:val="32"/>
          <w:shd w:val="clear" w:color="auto" w:fill="FFFFFF"/>
        </w:rPr>
      </w:pPr>
      <w:r>
        <w:rPr>
          <w:rFonts w:ascii="黑体" w:eastAsia="黑体" w:cs="黑体" w:hint="eastAsia"/>
          <w:kern w:val="0"/>
          <w:sz w:val="32"/>
          <w:szCs w:val="32"/>
          <w:shd w:val="clear" w:color="auto" w:fill="FFFFFF"/>
          <w:lang w:val="zh-CN"/>
        </w:rPr>
        <w:t>附件</w:t>
      </w:r>
      <w:r>
        <w:rPr>
          <w:rFonts w:ascii="黑体" w:eastAsia="黑体" w:cs="黑体" w:hint="eastAsia"/>
          <w:kern w:val="0"/>
          <w:sz w:val="32"/>
          <w:szCs w:val="32"/>
          <w:shd w:val="clear" w:color="auto" w:fill="FFFFFF"/>
        </w:rPr>
        <w:t>2</w:t>
      </w:r>
    </w:p>
    <w:p>
      <w:pPr>
        <w:pStyle w:val="33"/>
        <w:spacing w:line="560" w:lineRule="exact"/>
        <w:jc w:val="center"/>
        <w:rPr>
          <w:rFonts w:ascii="方正小标宋简体" w:eastAsia="方正小标宋简体" w:cs="方正小标宋简体"/>
          <w:color w:val="auto"/>
          <w:kern w:val="2"/>
          <w:sz w:val="44"/>
          <w:szCs w:val="44"/>
          <w:lang w:val="en-US"/>
        </w:rPr>
      </w:pPr>
      <w:r>
        <w:rPr>
          <w:rFonts w:ascii="方正小标宋简体" w:eastAsia="方正小标宋简体" w:cs="方正小标宋简体" w:hint="eastAsia"/>
          <w:color w:val="auto"/>
          <w:kern w:val="2"/>
          <w:sz w:val="44"/>
          <w:szCs w:val="44"/>
          <w:lang w:val="en-US"/>
        </w:rPr>
        <w:t>道路交通安全整治经费项目绩效评价报告</w:t>
      </w:r>
    </w:p>
    <w:p>
      <w:pPr>
        <w:pStyle w:val="33"/>
        <w:spacing w:line="560" w:lineRule="exact"/>
        <w:ind w:firstLine="640"/>
        <w:jc w:val="center"/>
        <w:rPr>
          <w:rFonts w:ascii="宋体"/>
          <w:color w:val="auto"/>
          <w:kern w:val="2"/>
          <w:sz w:val="32"/>
          <w:szCs w:val="32"/>
        </w:rPr>
      </w:pPr>
    </w:p>
    <w:p>
      <w:pPr>
        <w:adjustRightInd w:val="0"/>
        <w:snapToGrid w:val="0"/>
        <w:spacing w:line="560" w:lineRule="exact"/>
        <w:ind w:firstLineChars="200" w:firstLine="640"/>
        <w:rPr>
          <w:rFonts w:ascii="黑体" w:eastAsia="黑体"/>
          <w:sz w:val="32"/>
          <w:szCs w:val="32"/>
          <w:lang w:val="zh-CN"/>
        </w:rPr>
      </w:pPr>
      <w:r>
        <w:rPr>
          <w:rFonts w:ascii="黑体" w:eastAsia="黑体" w:hint="eastAsia"/>
          <w:sz w:val="32"/>
          <w:szCs w:val="32"/>
          <w:lang w:val="zh-CN"/>
        </w:rPr>
        <w:t>一、项目概况</w:t>
      </w:r>
    </w:p>
    <w:p>
      <w:pPr>
        <w:widowControl/>
        <w:suppressAutoHyphens/>
        <w:adjustRightInd w:val="0"/>
        <w:snapToGrid w:val="0"/>
        <w:spacing w:line="560" w:lineRule="exact"/>
        <w:ind w:firstLineChars="200" w:firstLine="640"/>
        <w:contextualSpacing/>
        <w:jc w:val="left"/>
        <w:rPr>
          <w:rFonts w:ascii="楷体_GB2312" w:eastAsia="楷体_GB2312"/>
          <w:b/>
          <w:sz w:val="32"/>
          <w:szCs w:val="32"/>
          <w:lang w:val="zh-CN"/>
        </w:rPr>
      </w:pPr>
      <w:r>
        <w:rPr>
          <w:rFonts w:ascii="楷体_GB2312" w:eastAsia="楷体_GB2312" w:hint="eastAsia"/>
          <w:b/>
          <w:sz w:val="32"/>
          <w:szCs w:val="32"/>
          <w:lang w:val="zh-CN"/>
        </w:rPr>
        <w:t>（一）设立背景及基本情况。</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rPr>
      </w:pPr>
      <w:r>
        <w:rPr>
          <w:rFonts w:ascii="仿宋_GB2312" w:eastAsia="仿宋_GB2312" w:cs="仿宋_GB2312" w:hint="eastAsia"/>
          <w:kern w:val="0"/>
          <w:sz w:val="32"/>
          <w:szCs w:val="32"/>
        </w:rPr>
        <w:t>为切实巩固全县道路交通安全综合治理成效，进一步深化农村道路交通安全管理工作机制，提升管理水平和能力，坚决防范和遏制农村地区道路交通事故。根据阿坝州道路交通安全综合治理委员会《关于强化落实农村道路交通安全管理工作经费保障的紧急通知》（阿道安[2022]5号）文件要求，县道安办实地踏勘全县108个村（社区）共需设置108个劝导站、108名劝导员，分专职设置、兼职设置、统筹设置三类，其中：专职设置由公益性岗位人员安排，共53名；兼职设置由村小三职干部或组长兼任，只补贴绩效考核，共21名；统筹设置即为平日属公安交警所属辖区中队管控范围的村（社区），共34名。</w:t>
      </w:r>
    </w:p>
    <w:p>
      <w:pPr>
        <w:widowControl/>
        <w:suppressAutoHyphens/>
        <w:adjustRightInd w:val="0"/>
        <w:snapToGrid w:val="0"/>
        <w:spacing w:line="560" w:lineRule="exact"/>
        <w:ind w:firstLineChars="200" w:firstLine="640"/>
        <w:contextualSpacing/>
        <w:jc w:val="left"/>
        <w:rPr>
          <w:rFonts w:ascii="楷体_GB2312" w:eastAsia="楷体_GB2312"/>
          <w:b/>
          <w:sz w:val="32"/>
          <w:szCs w:val="32"/>
          <w:lang w:val="zh-CN"/>
        </w:rPr>
      </w:pPr>
      <w:r>
        <w:rPr>
          <w:rFonts w:ascii="楷体_GB2312" w:eastAsia="楷体_GB2312" w:hint="eastAsia"/>
          <w:b/>
          <w:sz w:val="32"/>
          <w:szCs w:val="32"/>
          <w:lang w:val="zh-CN"/>
        </w:rPr>
        <w:t>（二）实施目的及支持方向。</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lang w:val="zh-CN"/>
        </w:rPr>
      </w:pPr>
      <w:r>
        <w:rPr>
          <w:rFonts w:ascii="仿宋_GB2312" w:eastAsia="仿宋_GB2312" w:cs="仿宋_GB2312" w:hint="eastAsia"/>
          <w:kern w:val="0"/>
          <w:sz w:val="32"/>
          <w:szCs w:val="32"/>
        </w:rPr>
        <w:t>为切实巩固全县道路交通安全综合治理成效，进一步深化农村道路交通安全管理工作机制，提升管理水平和能力，坚决防范和遏制农村地区道路交通事故。根据阿坝州道路交通安全综合治理委员会《关于强化落实农村道路交通安全管理工作经费保障的紧急通知》（阿道安[2022]5号）文件要求，</w:t>
      </w:r>
      <w:r>
        <w:rPr>
          <w:rFonts w:ascii="仿宋_GB2312" w:eastAsia="仿宋_GB2312" w:cs="仿宋_GB2312" w:hint="eastAsia"/>
          <w:kern w:val="0"/>
          <w:sz w:val="32"/>
          <w:szCs w:val="32"/>
          <w:lang w:val="zh-CN"/>
        </w:rPr>
        <w:t>该项目严格执行财务管理制度、专款专用、单独核算、财务处理及时、会计核算规范。</w:t>
      </w:r>
    </w:p>
    <w:p>
      <w:pPr>
        <w:widowControl/>
        <w:suppressAutoHyphens/>
        <w:adjustRightInd w:val="0"/>
        <w:snapToGrid w:val="0"/>
        <w:spacing w:line="560" w:lineRule="exact"/>
        <w:ind w:firstLineChars="200" w:firstLine="640"/>
        <w:contextualSpacing/>
        <w:jc w:val="left"/>
        <w:rPr>
          <w:rFonts w:ascii="楷体_GB2312" w:eastAsia="楷体_GB2312"/>
          <w:b/>
          <w:sz w:val="32"/>
          <w:szCs w:val="32"/>
          <w:lang w:val="zh-CN"/>
        </w:rPr>
      </w:pPr>
      <w:r>
        <w:rPr>
          <w:rFonts w:ascii="楷体_GB2312" w:eastAsia="楷体_GB2312" w:hint="eastAsia"/>
          <w:b/>
          <w:sz w:val="32"/>
          <w:szCs w:val="32"/>
          <w:lang w:val="zh-CN"/>
        </w:rPr>
        <w:t>（三）预算安排及分配管理。</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rPr>
      </w:pPr>
      <w:r>
        <w:rPr>
          <w:rFonts w:ascii="仿宋_GB2312" w:eastAsia="仿宋_GB2312" w:cs="仿宋_GB2312" w:hint="eastAsia"/>
          <w:kern w:val="0"/>
          <w:sz w:val="32"/>
          <w:szCs w:val="32"/>
          <w:lang w:val="zh-CN"/>
        </w:rPr>
        <w:t>劝导员绩效补贴：包括专职设置</w:t>
      </w:r>
      <w:r>
        <w:rPr>
          <w:rFonts w:ascii="仿宋_GB2312" w:eastAsia="仿宋_GB2312" w:cs="仿宋_GB2312" w:hint="eastAsia"/>
          <w:kern w:val="0"/>
          <w:sz w:val="32"/>
          <w:szCs w:val="32"/>
        </w:rPr>
        <w:t>53名、兼职设置21名，共74名。根据（阿道安（2022）5号）文件要求，农村道路交通安全劝导员每月绩效补贴经费不低于400元，全年共计355200.00元。农村道路交通安全宣传经费、有奖举报工作经费：根据（阿道安（2022）5号）文件要求，按照每镇每年不低于5万元的标准，全县11个镇共需工作经费550000.00元。县道安办工作经费200000.00元。</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lang w:val="zh-CN"/>
        </w:rPr>
      </w:pPr>
      <w:r>
        <w:rPr>
          <w:rFonts w:ascii="楷体_GB2312" w:eastAsia="楷体_GB2312" w:hint="eastAsia"/>
          <w:b/>
          <w:sz w:val="32"/>
          <w:szCs w:val="32"/>
          <w:lang w:val="zh-CN"/>
        </w:rPr>
        <w:t>（四）项目绩效目标设置。</w:t>
      </w:r>
      <w:r>
        <w:rPr>
          <w:rFonts w:ascii="仿宋_GB2312" w:eastAsia="仿宋_GB2312" w:cs="仿宋_GB2312" w:hint="eastAsia"/>
          <w:kern w:val="0"/>
          <w:sz w:val="32"/>
          <w:szCs w:val="32"/>
        </w:rPr>
        <w:t>切实巩固全县道路交通安全综合治理成效，进一步深化农村道路交通安全管理工作机制，提升管理水平和能力，坚决防范和遏制农村地区道路交通事故。农村道路交通事故明显减少，提升人民群众安全出行的道路交通环境。</w:t>
      </w:r>
    </w:p>
    <w:p>
      <w:pPr>
        <w:adjustRightInd w:val="0"/>
        <w:snapToGrid w:val="0"/>
        <w:spacing w:line="560" w:lineRule="exact"/>
        <w:ind w:firstLineChars="200" w:firstLine="640"/>
        <w:rPr>
          <w:rFonts w:ascii="黑体" w:eastAsia="黑体"/>
          <w:sz w:val="32"/>
          <w:szCs w:val="32"/>
          <w:lang w:val="zh-CN"/>
        </w:rPr>
      </w:pPr>
      <w:r>
        <w:rPr>
          <w:rFonts w:ascii="黑体" w:eastAsia="黑体" w:hint="eastAsia"/>
          <w:sz w:val="32"/>
          <w:szCs w:val="32"/>
          <w:lang w:val="zh-CN"/>
        </w:rPr>
        <w:t>二、评价实施</w:t>
      </w:r>
    </w:p>
    <w:p>
      <w:pPr>
        <w:pStyle w:val="25"/>
        <w:widowControl/>
        <w:shd w:val="clear" w:color="auto" w:fill="FFFFFF"/>
        <w:suppressAutoHyphens/>
        <w:spacing w:before="0" w:beforeAutospacing="0" w:after="0" w:afterAutospacing="0" w:line="560" w:lineRule="exact"/>
        <w:ind w:firstLineChars="200" w:firstLine="640"/>
        <w:jc w:val="both"/>
      </w:pPr>
      <w:r>
        <w:rPr>
          <w:rFonts w:ascii="楷体_GB2312" w:eastAsia="楷体_GB2312" w:hint="eastAsia"/>
          <w:b/>
          <w:kern w:val="2"/>
          <w:sz w:val="32"/>
          <w:szCs w:val="32"/>
          <w:lang w:val="zh-CN"/>
        </w:rPr>
        <w:t>（一）评价目的。</w:t>
      </w:r>
      <w:r>
        <w:rPr>
          <w:rFonts w:ascii="仿宋_GB2312" w:eastAsia="仿宋_GB2312" w:cs="仿宋_GB2312" w:hint="eastAsia"/>
          <w:sz w:val="32"/>
          <w:szCs w:val="32"/>
          <w:shd w:val="clear" w:color="auto" w:fill="FFFFFF"/>
        </w:rPr>
        <w:t>加强和改进资金管理工作，严格落实《预算法》及县绩效管理工作的有关规定，进一步规范财政资金的管理，强化财政支出效绩理念，提升部门责任意识，提高资金利用效率，促进决策的科学化，促进组织目标的实现，提高工作效率。</w:t>
      </w:r>
    </w:p>
    <w:p>
      <w:pPr>
        <w:pStyle w:val="25"/>
        <w:widowControl/>
        <w:shd w:val="clear" w:color="auto" w:fill="FFFFFF"/>
        <w:suppressAutoHyphens/>
        <w:spacing w:before="0" w:beforeAutospacing="0" w:after="0" w:afterAutospacing="0" w:line="560" w:lineRule="exact"/>
        <w:ind w:firstLineChars="200" w:firstLine="640"/>
        <w:jc w:val="both"/>
      </w:pPr>
      <w:r>
        <w:rPr>
          <w:rFonts w:ascii="楷体_GB2312" w:eastAsia="楷体_GB2312" w:hint="eastAsia"/>
          <w:b/>
          <w:kern w:val="2"/>
          <w:sz w:val="32"/>
          <w:szCs w:val="32"/>
          <w:lang w:val="zh-CN"/>
        </w:rPr>
        <w:t>（二）预设问题及评价重点。</w:t>
      </w:r>
      <w:r>
        <w:rPr>
          <w:rFonts w:ascii="仿宋_GB2312" w:eastAsia="仿宋_GB2312" w:cs="仿宋_GB2312" w:hint="eastAsia"/>
          <w:sz w:val="32"/>
          <w:szCs w:val="32"/>
          <w:shd w:val="clear" w:color="auto" w:fill="FFFFFF"/>
        </w:rPr>
        <w:t>资金支出范围、程序合规。</w:t>
      </w:r>
    </w:p>
    <w:p>
      <w:pPr>
        <w:adjustRightInd w:val="0"/>
        <w:snapToGrid w:val="0"/>
        <w:spacing w:line="560" w:lineRule="exact"/>
        <w:ind w:firstLineChars="200" w:firstLine="640"/>
        <w:rPr>
          <w:rFonts w:ascii="仿宋_GB2312" w:eastAsia="仿宋_GB2312" w:cs="仿宋_GB2312"/>
          <w:kern w:val="0"/>
          <w:sz w:val="32"/>
          <w:szCs w:val="32"/>
          <w:shd w:val="clear" w:color="auto" w:fill="FFFFFF"/>
          <w:lang w:val="zh-CN"/>
        </w:rPr>
      </w:pPr>
      <w:r>
        <w:rPr>
          <w:rFonts w:ascii="楷体_GB2312" w:eastAsia="楷体_GB2312" w:hint="eastAsia"/>
          <w:b/>
          <w:sz w:val="32"/>
          <w:szCs w:val="32"/>
          <w:lang w:val="zh-CN"/>
        </w:rPr>
        <w:t>（三）评价选点。</w:t>
      </w:r>
      <w:r>
        <w:rPr>
          <w:rFonts w:ascii="仿宋_GB2312" w:eastAsia="仿宋_GB2312" w:cs="仿宋_GB2312" w:hint="eastAsia"/>
          <w:kern w:val="0"/>
          <w:sz w:val="32"/>
          <w:szCs w:val="32"/>
          <w:shd w:val="clear" w:color="auto" w:fill="FFFFFF"/>
        </w:rPr>
        <w:t>农村道路交通安全劝导员绩效补贴</w:t>
      </w:r>
      <w:r>
        <w:rPr>
          <w:rFonts w:ascii="仿宋_GB2312" w:eastAsia="仿宋_GB2312" w:cs="仿宋_GB2312" w:hint="eastAsia"/>
          <w:kern w:val="0"/>
          <w:sz w:val="32"/>
          <w:szCs w:val="32"/>
          <w:shd w:val="clear" w:color="auto" w:fill="FFFFFF"/>
          <w:lang w:val="zh-CN"/>
        </w:rPr>
        <w:t>。</w:t>
      </w:r>
    </w:p>
    <w:p>
      <w:pPr>
        <w:spacing w:line="560" w:lineRule="exact"/>
        <w:ind w:firstLine="640"/>
        <w:rPr>
          <w:rFonts w:ascii="仿宋_GB2312" w:eastAsia="仿宋_GB2312" w:cs="仿宋_GB2312"/>
          <w:kern w:val="0"/>
          <w:sz w:val="32"/>
          <w:szCs w:val="32"/>
          <w:shd w:val="clear" w:color="auto" w:fill="FFFFFF"/>
        </w:rPr>
      </w:pPr>
      <w:r>
        <w:rPr>
          <w:rFonts w:ascii="楷体_GB2312" w:eastAsia="楷体_GB2312" w:hint="eastAsia"/>
          <w:b/>
          <w:sz w:val="32"/>
          <w:szCs w:val="32"/>
          <w:lang w:val="zh-CN"/>
        </w:rPr>
        <w:t>（四）评价方法。</w:t>
      </w:r>
      <w:r>
        <w:rPr>
          <w:rFonts w:ascii="仿宋_GB2312" w:eastAsia="仿宋_GB2312" w:cs="仿宋_GB2312" w:hint="eastAsia"/>
          <w:kern w:val="0"/>
          <w:sz w:val="32"/>
          <w:szCs w:val="32"/>
          <w:shd w:val="clear" w:color="auto" w:fill="FFFFFF"/>
        </w:rPr>
        <w:t>采用单位自评法和实地勘察法收集相关材料，开展评价。</w:t>
      </w:r>
    </w:p>
    <w:p>
      <w:pPr>
        <w:spacing w:line="560" w:lineRule="exact"/>
        <w:ind w:firstLine="640"/>
        <w:rPr>
          <w:rFonts w:eastAsia="仿宋_GB2312"/>
          <w:bCs/>
        </w:rPr>
      </w:pPr>
      <w:r>
        <w:rPr>
          <w:rFonts w:ascii="楷体_GB2312" w:eastAsia="楷体_GB2312" w:hint="eastAsia"/>
          <w:b/>
          <w:sz w:val="32"/>
          <w:szCs w:val="32"/>
          <w:lang w:val="zh-CN"/>
        </w:rPr>
        <w:t>（五）评价组织。</w:t>
      </w:r>
      <w:r>
        <w:rPr>
          <w:rFonts w:ascii="仿宋_GB2312" w:eastAsia="仿宋_GB2312" w:cs="仿宋_GB2312" w:hint="eastAsia"/>
          <w:kern w:val="0"/>
          <w:sz w:val="32"/>
          <w:szCs w:val="32"/>
          <w:shd w:val="clear" w:color="auto" w:fill="FFFFFF"/>
        </w:rPr>
        <w:t>评价组人员构成和职责分工。成立以分管领导为组长，各部门负责人为成员的道路交通安全整治经费绩效评价领导小组，领导小组设办公室于交警大队，大队长兼任办公室主任，负责对道路交通安全整治经费情况进行评价。</w:t>
      </w:r>
    </w:p>
    <w:p>
      <w:pPr>
        <w:adjustRightInd w:val="0"/>
        <w:snapToGrid w:val="0"/>
        <w:spacing w:line="560" w:lineRule="exact"/>
        <w:ind w:firstLineChars="200" w:firstLine="640"/>
        <w:rPr>
          <w:rFonts w:ascii="仿宋_GB2312" w:hAnsi="仿宋_GB2312"/>
          <w:lang w:val="zh-CN"/>
        </w:rPr>
      </w:pPr>
      <w:r>
        <w:rPr>
          <w:rFonts w:ascii="黑体" w:eastAsia="黑体" w:hint="eastAsia"/>
          <w:sz w:val="32"/>
          <w:szCs w:val="32"/>
          <w:lang w:val="zh-CN"/>
        </w:rPr>
        <w:t>三、绩效分析</w:t>
      </w:r>
      <w:r>
        <w:rPr>
          <w:rFonts w:ascii="仿宋_GB2312" w:hAnsi="仿宋_GB2312" w:hint="eastAsia"/>
          <w:lang w:val="zh-CN"/>
        </w:rPr>
        <w:tab/>
      </w:r>
    </w:p>
    <w:p>
      <w:pPr>
        <w:spacing w:line="560" w:lineRule="exact"/>
        <w:ind w:firstLine="640"/>
        <w:rPr>
          <w:rFonts w:ascii="Times New Roman" w:eastAsia="仿宋_GB2312" w:hAnsi="Times New Roman"/>
          <w:color w:val="000000"/>
          <w:kern w:val="0"/>
          <w:sz w:val="32"/>
          <w:szCs w:val="32"/>
          <w:shd w:val="clear" w:color="auto" w:fill="FFFFFF"/>
          <w:lang w:val="zh-CN"/>
        </w:rPr>
      </w:pPr>
      <w:r>
        <w:rPr>
          <w:rFonts w:ascii="Times New Roman" w:eastAsia="仿宋_GB2312" w:hAnsi="Times New Roman" w:hint="eastAsia"/>
          <w:color w:val="000000"/>
          <w:kern w:val="0"/>
          <w:sz w:val="32"/>
          <w:szCs w:val="32"/>
          <w:shd w:val="clear" w:color="auto" w:fill="FFFFFF"/>
          <w:lang w:val="zh-CN"/>
        </w:rPr>
        <w:t>根据项目预算绩效评价指标体系“通用指标”“专用指标”“个性指标”涉及二、三级指标进行逐项绩效分析并评分。</w:t>
      </w:r>
    </w:p>
    <w:p>
      <w:pPr>
        <w:spacing w:line="560" w:lineRule="exact"/>
        <w:ind w:firstLine="640"/>
        <w:rPr>
          <w:rFonts w:ascii="楷体_GB2312" w:eastAsia="楷体_GB2312"/>
          <w:b/>
          <w:sz w:val="32"/>
          <w:szCs w:val="32"/>
          <w:lang w:val="zh-CN"/>
        </w:rPr>
      </w:pPr>
      <w:r>
        <w:rPr>
          <w:rFonts w:ascii="楷体_GB2312" w:eastAsia="楷体_GB2312" w:hint="eastAsia"/>
          <w:b/>
          <w:sz w:val="32"/>
          <w:szCs w:val="32"/>
          <w:lang w:val="zh-CN"/>
        </w:rPr>
        <w:t>（一）通用指标绩效分析。</w:t>
      </w:r>
    </w:p>
    <w:p>
      <w:pPr>
        <w:spacing w:line="560" w:lineRule="exact"/>
        <w:ind w:firstLine="640"/>
        <w:rPr>
          <w:rFonts w:ascii="Times New Roman" w:eastAsia="仿宋_GB2312" w:hAnsi="Times New Roman"/>
          <w:color w:val="000000"/>
          <w:kern w:val="0"/>
          <w:sz w:val="32"/>
          <w:szCs w:val="32"/>
          <w:shd w:val="clear" w:color="auto" w:fill="FFFFFF"/>
          <w:lang w:val="zh-CN"/>
        </w:rPr>
      </w:pPr>
      <w:r>
        <w:rPr>
          <w:rFonts w:ascii="楷体_GB2312" w:eastAsia="楷体_GB2312" w:cs="楷体_GB2312" w:hint="eastAsia"/>
          <w:sz w:val="32"/>
          <w:szCs w:val="32"/>
        </w:rPr>
        <w:t>1.项目决策。</w:t>
      </w:r>
      <w:r>
        <w:rPr>
          <w:rFonts w:ascii="Times New Roman" w:eastAsia="仿宋_GB2312" w:hAnsi="Times New Roman" w:hint="eastAsia"/>
          <w:color w:val="000000"/>
          <w:kern w:val="0"/>
          <w:sz w:val="32"/>
          <w:szCs w:val="32"/>
          <w:shd w:val="clear" w:color="auto" w:fill="FFFFFF"/>
          <w:lang w:val="zh-CN"/>
        </w:rPr>
        <w:t>围绕县委、县政府中心工作开展农村道路交通安全管理工作，开展交通管理工作。</w:t>
      </w:r>
    </w:p>
    <w:p>
      <w:pPr>
        <w:pStyle w:val="25"/>
        <w:widowControl/>
        <w:shd w:val="clear" w:color="auto" w:fill="FFFFFF"/>
        <w:suppressAutoHyphens/>
        <w:spacing w:before="75" w:beforeAutospacing="0" w:after="75" w:afterAutospacing="0" w:line="560" w:lineRule="exact"/>
        <w:ind w:firstLineChars="200" w:firstLine="640"/>
      </w:pPr>
      <w:r>
        <w:rPr>
          <w:rFonts w:ascii="楷体_GB2312" w:eastAsia="楷体_GB2312" w:cs="楷体_GB2312" w:hint="eastAsia"/>
          <w:kern w:val="2"/>
          <w:sz w:val="32"/>
          <w:szCs w:val="32"/>
        </w:rPr>
        <w:t>2.项目管理。</w:t>
      </w:r>
      <w:r>
        <w:rPr>
          <w:rFonts w:ascii="Times New Roman" w:eastAsia="仿宋_GB2312" w:hAnsi="Times New Roman" w:hint="eastAsia"/>
          <w:color w:val="000000"/>
          <w:sz w:val="32"/>
          <w:szCs w:val="32"/>
          <w:shd w:val="clear" w:color="auto" w:fill="FFFFFF"/>
          <w:lang w:val="zh-CN"/>
        </w:rPr>
        <w:t>该项目严格执行财务管理制度、财务处理及时、会计核算规范。一是项目实施主体明确，在县公安局党委的领导下，项目实施主体明确，由交警大队按照县局细化预算项目支出方案组织实施。二是保障措施规范有力，保障措施是：加强财务管理，提高资金使用效益；建立健全完善部门内部控制制度，强化督促检查，严格落实项目工作计划，确保茂县公安交警大队发展规划项目依法依规组织实施。三是资金安排程序依法依规有序，资金安排程序是：根据财政部门预算批复资金项目内容，按照经县公安局党委批准的内部细化预算方案，由交警大队组织项目实施，依据项目实施进度及资金使用计划，落实项目预算资金保障，确保项目有计划执行。四是资金安排标准或依据合理充分，资金安排依据是：茂财预调（2023）00035号、茂财预往（2023）00175号</w:t>
      </w:r>
      <w:r>
        <w:rPr>
          <w:rFonts w:hint="eastAsia"/>
          <w:color w:val="000000"/>
          <w:sz w:val="32"/>
          <w:szCs w:val="32"/>
          <w:shd w:val="clear" w:color="auto" w:fill="FFFFFF"/>
          <w:lang w:val="zh-CN"/>
        </w:rPr>
        <w:t>文件</w:t>
      </w:r>
      <w:r>
        <w:rPr>
          <w:rFonts w:ascii="Times New Roman" w:eastAsia="仿宋_GB2312" w:hAnsi="Times New Roman" w:hint="eastAsia"/>
          <w:color w:val="000000"/>
          <w:sz w:val="32"/>
          <w:szCs w:val="32"/>
          <w:shd w:val="clear" w:color="auto" w:fill="FFFFFF"/>
          <w:lang w:val="zh-CN"/>
        </w:rPr>
        <w:t>。五是财务管理规范，按照《公安机关财务管理办法》《茂县公安局机关财务管理办法》的规定使用资金。</w:t>
      </w:r>
    </w:p>
    <w:p>
      <w:pPr>
        <w:spacing w:line="560" w:lineRule="exact"/>
        <w:ind w:firstLineChars="200" w:firstLine="640"/>
        <w:rPr>
          <w:rFonts w:ascii="Times New Roman" w:eastAsia="仿宋_GB2312" w:hAnsi="Times New Roman"/>
          <w:color w:val="000000"/>
          <w:kern w:val="0"/>
          <w:sz w:val="32"/>
          <w:szCs w:val="32"/>
          <w:shd w:val="clear" w:color="auto" w:fill="FFFFFF"/>
          <w:lang w:val="zh-CN"/>
        </w:rPr>
      </w:pPr>
      <w:r>
        <w:rPr>
          <w:rFonts w:ascii="楷体_GB2312" w:eastAsia="楷体_GB2312" w:cs="楷体_GB2312" w:hint="eastAsia"/>
          <w:sz w:val="32"/>
          <w:szCs w:val="32"/>
        </w:rPr>
        <w:t>3.项目实施。</w:t>
      </w:r>
      <w:r>
        <w:rPr>
          <w:rFonts w:ascii="Times New Roman" w:eastAsia="仿宋_GB2312" w:hAnsi="Times New Roman" w:hint="eastAsia"/>
          <w:color w:val="000000"/>
          <w:kern w:val="0"/>
          <w:sz w:val="32"/>
          <w:szCs w:val="32"/>
          <w:shd w:val="clear" w:color="auto" w:fill="FFFFFF"/>
          <w:lang w:val="zh-CN"/>
        </w:rPr>
        <w:t>该项目支出符合国家财经法规和财务管理制度规定以及有关专项资金管理办法的规定，资金的拨付有完整的审批程序和手续，项目的重大开支经过评估论证，符合部门预算批复的用途，不存在截留、挤占、挪用、虚列支出等情况。</w:t>
      </w:r>
    </w:p>
    <w:p>
      <w:pPr>
        <w:adjustRightInd w:val="0"/>
        <w:snapToGrid w:val="0"/>
        <w:spacing w:line="560" w:lineRule="exact"/>
        <w:ind w:firstLineChars="200" w:firstLine="640"/>
        <w:rPr>
          <w:rFonts w:ascii="Times New Roman" w:eastAsia="仿宋_GB2312" w:hAnsi="Times New Roman"/>
          <w:color w:val="000000"/>
          <w:kern w:val="0"/>
          <w:sz w:val="32"/>
          <w:szCs w:val="32"/>
          <w:shd w:val="clear" w:color="auto" w:fill="FFFFFF"/>
          <w:lang w:val="zh-CN"/>
        </w:rPr>
      </w:pPr>
      <w:r>
        <w:rPr>
          <w:rFonts w:ascii="楷体_GB2312" w:eastAsia="楷体_GB2312" w:cs="楷体_GB2312" w:hint="eastAsia"/>
          <w:sz w:val="32"/>
          <w:szCs w:val="32"/>
        </w:rPr>
        <w:t>4.项目结果。</w:t>
      </w:r>
      <w:r>
        <w:rPr>
          <w:rFonts w:ascii="Times New Roman" w:eastAsia="仿宋_GB2312" w:hAnsi="Times New Roman" w:hint="eastAsia"/>
          <w:color w:val="000000"/>
          <w:kern w:val="0"/>
          <w:sz w:val="32"/>
          <w:szCs w:val="32"/>
          <w:shd w:val="clear" w:color="auto" w:fill="FFFFFF"/>
          <w:lang w:val="zh-CN"/>
        </w:rPr>
        <w:t>切实巩固了全县道路交通安全综合治理成效，进一步深化了农村道路交通安全管理工作机制，提升了管理水平和能力，坚决防范和遏制农村地区道路交通事故。农村道路交通事故明显减少，提升了人民群众安全出行的道路交通环境。</w:t>
      </w:r>
    </w:p>
    <w:p>
      <w:pPr>
        <w:spacing w:line="560" w:lineRule="exact"/>
        <w:ind w:firstLineChars="200" w:firstLine="640"/>
        <w:rPr>
          <w:rFonts w:ascii="楷体_GB2312" w:eastAsia="楷体_GB2312" w:cs="楷体_GB2312"/>
          <w:lang w:val="zh-CN"/>
        </w:rPr>
      </w:pPr>
      <w:r>
        <w:rPr>
          <w:rFonts w:ascii="楷体_GB2312" w:eastAsia="楷体_GB2312" w:hint="eastAsia"/>
          <w:b/>
          <w:sz w:val="32"/>
          <w:szCs w:val="32"/>
          <w:lang w:val="zh-CN"/>
        </w:rPr>
        <w:t>（二）专用指标绩效分析。</w:t>
      </w:r>
      <w:r>
        <w:rPr>
          <w:rFonts w:ascii="仿宋_GB2312" w:eastAsia="仿宋_GB2312" w:cs="仿宋_GB2312" w:hint="eastAsia"/>
          <w:kern w:val="0"/>
          <w:sz w:val="32"/>
          <w:szCs w:val="32"/>
          <w:lang w:val="zh-CN"/>
        </w:rPr>
        <w:t>根据</w:t>
      </w:r>
      <w:r>
        <w:rPr>
          <w:rFonts w:ascii="仿宋_GB2312" w:eastAsia="仿宋_GB2312" w:cs="仿宋_GB2312" w:hint="eastAsia"/>
          <w:kern w:val="0"/>
          <w:sz w:val="32"/>
          <w:szCs w:val="32"/>
        </w:rPr>
        <w:t>专项预算项目资金支持对象选择所属指标进行绩效分析。支持对象</w:t>
      </w:r>
      <w:r>
        <w:rPr>
          <w:rFonts w:ascii="仿宋_GB2312" w:eastAsia="仿宋_GB2312" w:cs="仿宋_GB2312" w:hint="eastAsia"/>
          <w:kern w:val="0"/>
          <w:sz w:val="32"/>
          <w:szCs w:val="32"/>
          <w:lang w:val="zh-CN"/>
        </w:rPr>
        <w:t>包括产业发展、民生保障、基础设施、行政运转等方面。无</w:t>
      </w:r>
    </w:p>
    <w:p>
      <w:pPr>
        <w:spacing w:line="560" w:lineRule="exact"/>
        <w:ind w:firstLineChars="200" w:firstLine="640"/>
        <w:rPr>
          <w:rFonts w:ascii="楷体_GB2312" w:eastAsia="仿宋_GB2312" w:cs="楷体_GB2312" w:hAnsi="楷体_GB2312"/>
        </w:rPr>
      </w:pPr>
      <w:r>
        <w:rPr>
          <w:rFonts w:ascii="楷体_GB2312" w:eastAsia="楷体_GB2312" w:cs="楷体_GB2312" w:hint="eastAsia"/>
          <w:sz w:val="32"/>
          <w:szCs w:val="32"/>
        </w:rPr>
        <w:t>1.产业发展。</w:t>
      </w:r>
      <w:r>
        <w:rPr>
          <w:rFonts w:ascii="仿宋_GB2312" w:eastAsia="仿宋_GB2312" w:cs="仿宋_GB2312" w:hint="eastAsia"/>
          <w:kern w:val="0"/>
          <w:sz w:val="32"/>
          <w:szCs w:val="32"/>
        </w:rPr>
        <w:t>围绕符合性、成长性、经济性进行绩效分析。无</w:t>
      </w:r>
    </w:p>
    <w:p>
      <w:pPr>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2.</w:t>
      </w:r>
      <w:r>
        <w:rPr>
          <w:rFonts w:ascii="楷体_GB2312" w:eastAsia="楷体_GB2312" w:cs="楷体_GB2312" w:hint="eastAsia"/>
          <w:sz w:val="32"/>
          <w:szCs w:val="32"/>
          <w:lang w:val="zh-CN"/>
        </w:rPr>
        <w:t>民生保障。</w:t>
      </w:r>
      <w:r>
        <w:rPr>
          <w:rFonts w:ascii="仿宋_GB2312" w:eastAsia="仿宋_GB2312" w:cs="仿宋_GB2312" w:hint="eastAsia"/>
          <w:kern w:val="0"/>
          <w:sz w:val="32"/>
          <w:szCs w:val="32"/>
        </w:rPr>
        <w:t>围绕区域均衡性、对象精准性、标准合理性、群众满意度进行绩效分析。无</w:t>
      </w:r>
    </w:p>
    <w:p>
      <w:pPr>
        <w:spacing w:line="560" w:lineRule="exact"/>
        <w:ind w:firstLineChars="200" w:firstLine="640"/>
        <w:rPr>
          <w:rFonts w:ascii="Times New Roman" w:eastAsia="仿宋_GB2312" w:hAnsi="Times New Roman"/>
          <w:color w:val="000000"/>
          <w:kern w:val="0"/>
          <w:sz w:val="32"/>
          <w:szCs w:val="32"/>
          <w:shd w:val="clear" w:color="auto" w:fill="FFFFFF"/>
          <w:lang w:val="zh-CN"/>
        </w:rPr>
      </w:pPr>
      <w:r>
        <w:rPr>
          <w:rFonts w:ascii="楷体_GB2312" w:eastAsia="楷体_GB2312" w:cs="楷体_GB2312" w:hint="eastAsia"/>
          <w:sz w:val="32"/>
          <w:szCs w:val="32"/>
          <w:lang w:val="zh-CN"/>
        </w:rPr>
        <w:t>3.基础设施。</w:t>
      </w:r>
      <w:r>
        <w:rPr>
          <w:rFonts w:ascii="Times New Roman" w:eastAsia="仿宋_GB2312" w:hAnsi="Times New Roman" w:hint="eastAsia"/>
          <w:color w:val="000000"/>
          <w:kern w:val="0"/>
          <w:sz w:val="32"/>
          <w:szCs w:val="32"/>
          <w:shd w:val="clear" w:color="auto" w:fill="FFFFFF"/>
          <w:lang w:val="zh-CN"/>
        </w:rPr>
        <w:t>在建项目围绕工程进度和资金拨付进行绩效分析；建成项目围绕项目验收、功能实现、后续管护进行绩效分析。无</w:t>
      </w:r>
    </w:p>
    <w:p>
      <w:pPr>
        <w:spacing w:line="560" w:lineRule="exact"/>
        <w:ind w:firstLineChars="200" w:firstLine="640"/>
        <w:rPr>
          <w:rFonts w:ascii="Times New Roman" w:eastAsia="仿宋_GB2312" w:hAnsi="Times New Roman"/>
          <w:color w:val="000000"/>
          <w:kern w:val="0"/>
          <w:sz w:val="32"/>
          <w:szCs w:val="32"/>
          <w:shd w:val="clear" w:color="auto" w:fill="FFFFFF"/>
          <w:lang w:val="zh-CN"/>
        </w:rPr>
      </w:pPr>
      <w:r>
        <w:rPr>
          <w:rFonts w:ascii="楷体_GB2312" w:eastAsia="楷体_GB2312" w:cs="楷体_GB2312" w:hint="eastAsia"/>
          <w:sz w:val="32"/>
          <w:szCs w:val="32"/>
          <w:lang w:val="zh-CN"/>
        </w:rPr>
        <w:t>4.行政运转。</w:t>
      </w:r>
      <w:r>
        <w:rPr>
          <w:rFonts w:ascii="Times New Roman" w:eastAsia="仿宋_GB2312" w:hAnsi="Times New Roman" w:hint="eastAsia"/>
          <w:color w:val="000000"/>
          <w:kern w:val="0"/>
          <w:sz w:val="32"/>
          <w:szCs w:val="32"/>
          <w:shd w:val="clear" w:color="auto" w:fill="FFFFFF"/>
          <w:lang w:val="zh-CN"/>
        </w:rPr>
        <w:t>该项目支出符合国家财经法规和财务管理制度规定以及有关专项资金管理办法的规定，按规定用途、适用范围管理，资金管理程序符合专项资金管理要求，资金分配标准符合专项资金管理要求。</w:t>
      </w:r>
    </w:p>
    <w:p>
      <w:pPr>
        <w:spacing w:line="560" w:lineRule="exact"/>
        <w:ind w:firstLine="640"/>
        <w:rPr>
          <w:rFonts w:ascii="Times New Roman" w:eastAsia="仿宋_GB2312" w:hAnsi="Times New Roman"/>
          <w:color w:val="000000"/>
          <w:kern w:val="0"/>
          <w:sz w:val="32"/>
          <w:szCs w:val="32"/>
          <w:shd w:val="clear" w:color="auto" w:fill="FFFFFF"/>
          <w:lang w:val="zh-CN"/>
        </w:rPr>
      </w:pPr>
      <w:r>
        <w:rPr>
          <w:rFonts w:ascii="楷体_GB2312" w:eastAsia="楷体_GB2312" w:hint="eastAsia"/>
          <w:b/>
          <w:sz w:val="32"/>
          <w:szCs w:val="32"/>
          <w:lang w:val="zh-CN"/>
        </w:rPr>
        <w:t>（三）个性指标绩效分析。</w:t>
      </w:r>
      <w:r>
        <w:rPr>
          <w:rFonts w:ascii="Times New Roman" w:eastAsia="仿宋_GB2312" w:hAnsi="Times New Roman" w:hint="eastAsia"/>
          <w:color w:val="000000"/>
          <w:kern w:val="0"/>
          <w:sz w:val="32"/>
          <w:szCs w:val="32"/>
          <w:shd w:val="clear" w:color="auto" w:fill="FFFFFF"/>
          <w:lang w:val="zh-CN"/>
        </w:rPr>
        <w:t>根据项目个性自行设定部分指标，反映该项指标执行完成情况。无</w:t>
      </w:r>
    </w:p>
    <w:p>
      <w:pPr>
        <w:pStyle w:val="17"/>
        <w:tabs>
          <w:tab w:val="left" w:pos="2160"/>
        </w:tabs>
        <w:spacing w:line="560" w:lineRule="exact"/>
        <w:ind w:firstLineChars="200" w:firstLine="640"/>
        <w:rPr>
          <w:rFonts w:ascii="黑体" w:hAnsi="黑体"/>
          <w:sz w:val="32"/>
          <w:szCs w:val="32"/>
        </w:rPr>
      </w:pPr>
      <w:r>
        <w:rPr>
          <w:rFonts w:ascii="黑体" w:hAnsi="黑体" w:hint="eastAsia"/>
          <w:sz w:val="32"/>
          <w:szCs w:val="32"/>
        </w:rPr>
        <w:t>四、评价结论</w:t>
      </w:r>
    </w:p>
    <w:p>
      <w:pPr>
        <w:pStyle w:val="17"/>
        <w:tabs>
          <w:tab w:val="left" w:pos="2160"/>
        </w:tabs>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kern w:val="0"/>
          <w:sz w:val="32"/>
          <w:szCs w:val="32"/>
        </w:rPr>
        <w:t>根据预算绩效管理相关制度的要求，结合项目绩效指标完成情况及对项目成本、项目效率、部门绩效目标实现的综合分析，项目综合评价为项目各项指标项均达到指标要求，项目实施达到预期效果。自评得分</w:t>
      </w:r>
      <w:r>
        <w:rPr>
          <w:rFonts w:ascii="仿宋_GB2312" w:cs="仿宋_GB2312" w:hAnsi="仿宋_GB2312" w:hint="eastAsia"/>
          <w:kern w:val="0"/>
          <w:sz w:val="32"/>
          <w:szCs w:val="32"/>
        </w:rPr>
        <w:t>94</w:t>
      </w:r>
      <w:r>
        <w:rPr>
          <w:rFonts w:ascii="仿宋_GB2312" w:eastAsia="仿宋_GB2312" w:cs="仿宋_GB2312" w:hint="eastAsia"/>
          <w:kern w:val="0"/>
          <w:sz w:val="32"/>
          <w:szCs w:val="32"/>
        </w:rPr>
        <w:t>分。</w:t>
      </w:r>
    </w:p>
    <w:p>
      <w:pPr>
        <w:pStyle w:val="17"/>
        <w:tabs>
          <w:tab w:val="left" w:pos="2160"/>
        </w:tabs>
        <w:spacing w:line="560" w:lineRule="exact"/>
        <w:ind w:firstLineChars="200" w:firstLine="640"/>
        <w:rPr>
          <w:rFonts w:ascii="黑体" w:hAnsi="黑体"/>
          <w:sz w:val="32"/>
          <w:szCs w:val="32"/>
        </w:rPr>
      </w:pPr>
      <w:r>
        <w:rPr>
          <w:rFonts w:ascii="黑体" w:hAnsi="黑体" w:hint="eastAsia"/>
          <w:sz w:val="32"/>
          <w:szCs w:val="32"/>
        </w:rPr>
        <w:t>五、存在主要问题</w:t>
      </w:r>
    </w:p>
    <w:p>
      <w:pPr>
        <w:widowControl/>
        <w:suppressAutoHyphens/>
        <w:adjustRightInd w:val="0"/>
        <w:snapToGrid w:val="0"/>
        <w:spacing w:line="560" w:lineRule="exact"/>
        <w:ind w:firstLineChars="200" w:firstLine="640"/>
        <w:jc w:val="left"/>
        <w:rPr>
          <w:rFonts w:eastAsia="楷体_GB2312"/>
          <w:b/>
          <w:bCs/>
          <w:color w:val="000000"/>
          <w:kern w:val="0"/>
          <w:szCs w:val="32"/>
          <w:shd w:val="clear" w:color="auto" w:fill="FFFFFF"/>
        </w:rPr>
      </w:pPr>
      <w:r>
        <w:rPr>
          <w:rFonts w:ascii="仿宋_GB2312" w:eastAsia="仿宋_GB2312" w:cs="仿宋_GB2312" w:hint="eastAsia"/>
          <w:kern w:val="0"/>
          <w:sz w:val="32"/>
          <w:szCs w:val="32"/>
        </w:rPr>
        <w:t>由于对支出绩效评价工作的重要性还认识不够，因此对绩效评价工作的重视度还不够，部分项目支出绩效指标无法用量化指标来进行考评。</w:t>
      </w:r>
    </w:p>
    <w:p>
      <w:pPr>
        <w:pStyle w:val="17"/>
        <w:tabs>
          <w:tab w:val="left" w:pos="2160"/>
        </w:tabs>
        <w:spacing w:line="560" w:lineRule="exact"/>
        <w:ind w:firstLineChars="200" w:firstLine="640"/>
        <w:rPr>
          <w:rFonts w:ascii="黑体" w:hAnsi="黑体"/>
          <w:sz w:val="32"/>
          <w:szCs w:val="32"/>
          <w:lang w:val="zh-CN"/>
        </w:rPr>
      </w:pPr>
      <w:r>
        <w:rPr>
          <w:rFonts w:ascii="黑体" w:hAnsi="黑体" w:hint="eastAsia"/>
          <w:sz w:val="32"/>
          <w:szCs w:val="32"/>
          <w:lang w:val="zh-CN"/>
        </w:rPr>
        <w:t>六、改进建议</w:t>
      </w:r>
    </w:p>
    <w:p>
      <w:pPr>
        <w:pStyle w:val="17"/>
        <w:spacing w:line="560" w:lineRule="exact"/>
        <w:ind w:firstLine="420"/>
        <w:rPr>
          <w:rFonts w:ascii="仿宋_GB2312" w:eastAsia="仿宋_GB2312" w:cs="仿宋_GB2312"/>
          <w:color w:val="000000"/>
          <w:kern w:val="0"/>
          <w:sz w:val="32"/>
          <w:szCs w:val="32"/>
          <w:shd w:val="clear" w:color="auto" w:fill="FFFFFF"/>
          <w:lang w:val="zh-CN"/>
        </w:rPr>
      </w:pPr>
      <w:r>
        <w:rPr>
          <w:rFonts w:ascii="仿宋_GB2312" w:eastAsia="仿宋_GB2312" w:cs="仿宋_GB2312"/>
          <w:color w:val="000000"/>
          <w:kern w:val="0"/>
          <w:sz w:val="32"/>
          <w:szCs w:val="32"/>
          <w:shd w:val="clear" w:color="auto" w:fill="FFFFFF"/>
          <w:lang w:val="zh-CN"/>
        </w:rPr>
        <w:t>针对</w:t>
      </w:r>
      <w:r>
        <w:rPr>
          <w:rFonts w:ascii="仿宋_GB2312" w:eastAsia="仿宋_GB2312" w:cs="仿宋_GB2312" w:hint="eastAsia"/>
          <w:color w:val="000000"/>
          <w:kern w:val="0"/>
          <w:sz w:val="32"/>
          <w:szCs w:val="32"/>
          <w:shd w:val="clear" w:color="auto" w:fill="FFFFFF"/>
          <w:lang w:val="zh-CN"/>
        </w:rPr>
        <w:t>存在的问题，我们将进一步科学设定绩效目标，加强预算执行管理。遵循先有预算、后有支出的原则，加强《新预算法》、《政府会计制度》等学习培训，规范部门预算收支核算，加强财务管理和内部控制监督制度。</w:t>
      </w:r>
    </w:p>
    <w:p>
      <w:pPr>
        <w:pStyle w:val="17"/>
        <w:spacing w:line="560" w:lineRule="exact"/>
        <w:ind w:firstLine="420"/>
        <w:rPr>
          <w:rFonts w:ascii="仿宋_GB2312" w:eastAsia="仿宋_GB2312" w:cs="仿宋_GB2312"/>
          <w:color w:val="000000"/>
          <w:kern w:val="0"/>
          <w:sz w:val="32"/>
          <w:szCs w:val="32"/>
          <w:shd w:val="clear" w:color="auto" w:fill="FFFFFF"/>
        </w:rPr>
      </w:pPr>
    </w:p>
    <w:p>
      <w:pPr>
        <w:pStyle w:val="17"/>
        <w:spacing w:line="560" w:lineRule="exact"/>
        <w:ind w:firstLine="420"/>
        <w:rPr>
          <w:rFonts w:ascii="仿宋_GB2312" w:eastAsia="仿宋_GB2312" w:cs="仿宋_GB2312"/>
          <w:color w:val="000000"/>
          <w:kern w:val="0"/>
          <w:sz w:val="32"/>
          <w:szCs w:val="32"/>
          <w:shd w:val="clear" w:color="auto" w:fill="FFFFFF"/>
        </w:rPr>
      </w:pPr>
    </w:p>
    <w:p>
      <w:pPr>
        <w:pStyle w:val="17"/>
        <w:spacing w:line="560" w:lineRule="exact"/>
        <w:rPr>
          <w:rFonts w:ascii="仿宋_GB2312" w:eastAsia="仿宋_GB2312" w:cs="仿宋_GB2312"/>
          <w:color w:val="000000"/>
          <w:kern w:val="0"/>
          <w:sz w:val="32"/>
          <w:szCs w:val="32"/>
          <w:shd w:val="clear" w:color="auto" w:fill="FFFFFF"/>
        </w:rPr>
      </w:pPr>
    </w:p>
    <w:p>
      <w:pPr>
        <w:pStyle w:val="33"/>
        <w:spacing w:line="560" w:lineRule="exact"/>
        <w:jc w:val="center"/>
        <w:rPr>
          <w:rFonts w:ascii="方正小标宋简体" w:eastAsia="方正小标宋简体" w:cs="方正小标宋简体"/>
          <w:color w:val="auto"/>
          <w:kern w:val="2"/>
          <w:sz w:val="44"/>
          <w:szCs w:val="44"/>
          <w:lang w:val="en-US"/>
        </w:rPr>
      </w:pPr>
      <w:r>
        <w:rPr>
          <w:rFonts w:ascii="方正小标宋简体" w:eastAsia="方正小标宋简体" w:cs="方正小标宋简体" w:hint="eastAsia"/>
          <w:color w:val="auto"/>
          <w:kern w:val="2"/>
          <w:sz w:val="44"/>
          <w:szCs w:val="44"/>
          <w:lang w:val="en-US"/>
        </w:rPr>
        <w:t>包虫病经费项目绩效评价报告</w:t>
      </w:r>
    </w:p>
    <w:p>
      <w:pPr>
        <w:pStyle w:val="33"/>
        <w:spacing w:line="560" w:lineRule="exact"/>
        <w:ind w:firstLine="640"/>
        <w:jc w:val="center"/>
        <w:rPr>
          <w:rFonts w:ascii="宋体"/>
          <w:color w:val="auto"/>
          <w:kern w:val="2"/>
          <w:sz w:val="32"/>
          <w:szCs w:val="32"/>
        </w:rPr>
      </w:pPr>
    </w:p>
    <w:p>
      <w:pPr>
        <w:adjustRightInd w:val="0"/>
        <w:snapToGrid w:val="0"/>
        <w:spacing w:line="560" w:lineRule="exact"/>
        <w:ind w:firstLineChars="200" w:firstLine="64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lang w:val="zh-CN"/>
        </w:rPr>
      </w:pPr>
      <w:r>
        <w:rPr>
          <w:rFonts w:ascii="楷体_GB2312" w:eastAsia="楷体_GB2312" w:hint="eastAsia"/>
          <w:b/>
          <w:sz w:val="32"/>
          <w:szCs w:val="32"/>
          <w:lang w:val="zh-CN"/>
        </w:rPr>
        <w:t>（一）设立背景及基本情况。</w:t>
      </w:r>
      <w:r>
        <w:rPr>
          <w:rFonts w:ascii="仿宋_GB2312" w:eastAsia="仿宋_GB2312" w:cs="仿宋_GB2312"/>
          <w:kern w:val="0"/>
          <w:sz w:val="32"/>
          <w:szCs w:val="32"/>
          <w:lang w:val="zh-CN"/>
        </w:rPr>
        <w:t>随着</w:t>
      </w:r>
      <w:r>
        <w:rPr>
          <w:rFonts w:ascii="仿宋_GB2312" w:eastAsia="仿宋_GB2312" w:cs="仿宋_GB2312" w:hint="eastAsia"/>
          <w:kern w:val="0"/>
          <w:sz w:val="32"/>
          <w:szCs w:val="32"/>
          <w:lang w:val="zh-CN"/>
        </w:rPr>
        <w:t>我州</w:t>
      </w:r>
      <w:r>
        <w:rPr>
          <w:rFonts w:ascii="仿宋_GB2312" w:eastAsia="仿宋_GB2312" w:cs="仿宋_GB2312"/>
          <w:kern w:val="0"/>
          <w:sz w:val="32"/>
          <w:szCs w:val="32"/>
          <w:lang w:val="zh-CN"/>
        </w:rPr>
        <w:t>传染病形势的日益严峻，以及本县人口流动的增加和生态环境的变化，传染病的防控压力不断增大。为有效应对可能出现的重大传染病疫情，保障居民的生命健康</w:t>
      </w:r>
      <w:r>
        <w:rPr>
          <w:rFonts w:ascii="仿宋_GB2312" w:eastAsia="仿宋_GB2312" w:cs="仿宋_GB2312" w:hint="eastAsia"/>
          <w:kern w:val="0"/>
          <w:sz w:val="32"/>
          <w:szCs w:val="32"/>
          <w:lang w:val="zh-CN"/>
        </w:rPr>
        <w:t>。提高养犬登记办证率、文明规范养犬；减少流浪犬、无主犬和犬伤人、扰民的问题，普及包虫病防治知识。</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lang w:val="zh-CN"/>
        </w:rPr>
      </w:pPr>
      <w:r>
        <w:rPr>
          <w:rFonts w:ascii="楷体_GB2312" w:eastAsia="楷体_GB2312" w:hint="eastAsia"/>
          <w:b/>
          <w:sz w:val="32"/>
          <w:szCs w:val="32"/>
          <w:lang w:val="zh-CN"/>
        </w:rPr>
        <w:t>（二）</w:t>
      </w:r>
      <w:r>
        <w:rPr>
          <w:rFonts w:ascii="楷体_GB2312" w:eastAsia="楷体_GB2312"/>
          <w:b/>
          <w:sz w:val="32"/>
          <w:szCs w:val="32"/>
        </w:rPr>
        <w:t>实施目的及支持方向</w:t>
      </w:r>
      <w:r>
        <w:rPr>
          <w:rFonts w:ascii="楷体_GB2312" w:eastAsia="楷体_GB2312" w:hint="eastAsia"/>
          <w:b/>
          <w:sz w:val="32"/>
          <w:szCs w:val="32"/>
        </w:rPr>
        <w:t>。</w:t>
      </w:r>
      <w:r>
        <w:rPr>
          <w:rFonts w:ascii="仿宋_GB2312" w:eastAsia="仿宋_GB2312" w:cs="仿宋_GB2312"/>
          <w:kern w:val="0"/>
          <w:sz w:val="32"/>
          <w:szCs w:val="32"/>
          <w:lang w:val="zh-CN"/>
        </w:rPr>
        <w:t>提高</w:t>
      </w:r>
      <w:r>
        <w:rPr>
          <w:rFonts w:ascii="仿宋_GB2312" w:eastAsia="仿宋_GB2312" w:cs="仿宋_GB2312" w:hint="eastAsia"/>
          <w:kern w:val="0"/>
          <w:sz w:val="32"/>
          <w:szCs w:val="32"/>
          <w:lang w:val="zh-CN"/>
        </w:rPr>
        <w:t>我县</w:t>
      </w:r>
      <w:r>
        <w:rPr>
          <w:rFonts w:ascii="仿宋_GB2312" w:eastAsia="仿宋_GB2312" w:cs="仿宋_GB2312"/>
          <w:kern w:val="0"/>
          <w:sz w:val="32"/>
          <w:szCs w:val="32"/>
          <w:lang w:val="zh-CN"/>
        </w:rPr>
        <w:t>重大传染病的预防控制</w:t>
      </w:r>
      <w:r>
        <w:rPr>
          <w:rFonts w:ascii="仿宋_GB2312" w:eastAsia="仿宋_GB2312" w:cs="仿宋_GB2312" w:hint="eastAsia"/>
          <w:kern w:val="0"/>
          <w:sz w:val="32"/>
          <w:szCs w:val="32"/>
          <w:lang w:val="zh-CN"/>
        </w:rPr>
        <w:t>，切实保障人民群众的身体健康，</w:t>
      </w:r>
      <w:r>
        <w:rPr>
          <w:rFonts w:ascii="仿宋_GB2312" w:eastAsia="仿宋_GB2312" w:cs="仿宋_GB2312"/>
          <w:kern w:val="0"/>
          <w:sz w:val="32"/>
          <w:szCs w:val="32"/>
          <w:lang w:val="zh-CN"/>
        </w:rPr>
        <w:t>为进一步加强重大传染病防治工作</w:t>
      </w:r>
      <w:r>
        <w:rPr>
          <w:rFonts w:ascii="仿宋_GB2312" w:eastAsia="仿宋_GB2312" w:cs="仿宋_GB2312" w:hint="eastAsia"/>
          <w:kern w:val="0"/>
          <w:sz w:val="32"/>
          <w:szCs w:val="32"/>
          <w:lang w:val="zh-CN"/>
        </w:rPr>
        <w:t>，协助开展包虫病防治工作，进行犬只登记、管理。</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lang w:val="zh-CN"/>
        </w:rPr>
      </w:pPr>
      <w:r>
        <w:rPr>
          <w:rFonts w:ascii="楷体_GB2312" w:eastAsia="楷体_GB2312" w:hint="eastAsia"/>
          <w:b/>
          <w:sz w:val="32"/>
          <w:szCs w:val="32"/>
          <w:lang w:val="zh-CN"/>
        </w:rPr>
        <w:t>（三）</w:t>
      </w:r>
      <w:r>
        <w:rPr>
          <w:rFonts w:ascii="楷体_GB2312" w:eastAsia="楷体_GB2312"/>
          <w:b/>
          <w:sz w:val="32"/>
          <w:szCs w:val="32"/>
        </w:rPr>
        <w:t>预算安排及分配管理</w:t>
      </w:r>
      <w:r>
        <w:rPr>
          <w:rFonts w:ascii="楷体_GB2312" w:eastAsia="楷体_GB2312" w:hint="eastAsia"/>
          <w:b/>
          <w:sz w:val="32"/>
          <w:szCs w:val="32"/>
          <w:lang w:val="zh-CN"/>
        </w:rPr>
        <w:t>。</w:t>
      </w:r>
      <w:r>
        <w:rPr>
          <w:rFonts w:ascii="仿宋_GB2312" w:eastAsia="仿宋_GB2312" w:cs="仿宋_GB2312" w:hint="eastAsia"/>
          <w:kern w:val="0"/>
          <w:sz w:val="32"/>
          <w:szCs w:val="32"/>
          <w:lang w:val="zh-CN"/>
        </w:rPr>
        <w:t>普及包虫病防治知识宣传费，聘请第三方机构对犬只进行捕捉，支付劳务费。</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（四）项目绩效目标设置。</w:t>
      </w:r>
      <w:r>
        <w:rPr>
          <w:rFonts w:ascii="仿宋_GB2312" w:eastAsia="仿宋_GB2312" w:cs="仿宋_GB2312" w:hint="eastAsia"/>
          <w:kern w:val="0"/>
          <w:sz w:val="32"/>
          <w:szCs w:val="32"/>
          <w:lang w:val="zh-CN"/>
        </w:rPr>
        <w:t>犬只管理、灭犬情况以及协助开展包虫病防治工作宣传情况。</w:t>
      </w:r>
    </w:p>
    <w:p>
      <w:pPr>
        <w:adjustRightInd w:val="0"/>
        <w:snapToGrid w:val="0"/>
        <w:spacing w:line="560" w:lineRule="exact"/>
        <w:ind w:firstLineChars="200" w:firstLine="640"/>
        <w:rPr>
          <w:rFonts w:ascii="黑体" w:eastAsia="黑体"/>
          <w:sz w:val="32"/>
          <w:szCs w:val="32"/>
        </w:rPr>
      </w:pPr>
      <w:r>
        <w:rPr>
          <w:rFonts w:ascii="黑体" w:eastAsia="黑体" w:hint="eastAsia"/>
          <w:sz w:val="32"/>
          <w:szCs w:val="32"/>
        </w:rPr>
        <w:t>二、评价实施</w:t>
      </w:r>
    </w:p>
    <w:p>
      <w:pPr>
        <w:pStyle w:val="25"/>
        <w:widowControl/>
        <w:shd w:val="clear" w:color="auto" w:fill="FFFFFF"/>
        <w:suppressAutoHyphens/>
        <w:spacing w:before="0" w:beforeAutospacing="0" w:after="0" w:afterAutospacing="0" w:line="560" w:lineRule="exact"/>
        <w:ind w:firstLineChars="200" w:firstLine="640"/>
        <w:jc w:val="both"/>
        <w:rPr>
          <w:rFonts w:ascii="仿宋_GB2312" w:eastAsia="仿宋_GB2312" w:cs="仿宋_GB2312"/>
          <w:sz w:val="32"/>
          <w:szCs w:val="32"/>
          <w:lang w:val="zh-CN"/>
        </w:rPr>
      </w:pPr>
      <w:r>
        <w:rPr>
          <w:rFonts w:ascii="楷体_GB2312" w:eastAsia="楷体_GB2312" w:hint="eastAsia"/>
          <w:b/>
          <w:sz w:val="32"/>
          <w:szCs w:val="32"/>
          <w:lang w:val="zh-CN"/>
        </w:rPr>
        <w:t>（一）评价目的。</w:t>
      </w:r>
      <w:r>
        <w:rPr>
          <w:rFonts w:ascii="仿宋_GB2312" w:eastAsia="仿宋_GB2312" w:cs="仿宋_GB2312" w:hint="eastAsia"/>
          <w:sz w:val="32"/>
          <w:szCs w:val="32"/>
          <w:shd w:val="clear" w:color="auto" w:fill="FFFFFF"/>
        </w:rPr>
        <w:t>加强和改进资金管理工作，严格落实《预算法》及县绩效管理工作的有关规定，进一步规范财政资金的管理，强化财政支出效绩理念，提升部门责任意识，提高资金利用效率，促进决策的科学化，促进组织目标的实现，提高工作效率。</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（二）预设问题及评价重点。</w:t>
      </w:r>
      <w:r>
        <w:rPr>
          <w:rFonts w:ascii="仿宋_GB2312" w:eastAsia="仿宋_GB2312" w:cs="仿宋_GB2312" w:hint="eastAsia"/>
          <w:kern w:val="0"/>
          <w:sz w:val="32"/>
          <w:szCs w:val="32"/>
          <w:shd w:val="clear" w:color="auto" w:fill="FFFFFF"/>
        </w:rPr>
        <w:t>资金支出范围、程序合规。</w:t>
      </w:r>
    </w:p>
    <w:p>
      <w:pPr>
        <w:adjustRightInd w:val="0"/>
        <w:snapToGrid w:val="0"/>
        <w:spacing w:line="560" w:lineRule="exact"/>
        <w:ind w:firstLineChars="200" w:firstLine="640"/>
        <w:rPr>
          <w:rFonts w:ascii="仿宋_GB2312" w:eastAsia="仿宋_GB2312" w:cs="仿宋_GB2312"/>
          <w:kern w:val="0"/>
          <w:sz w:val="32"/>
          <w:szCs w:val="32"/>
          <w:shd w:val="clear" w:color="auto" w:fill="FFFFFF"/>
          <w:lang w:val="zh-CN"/>
        </w:rPr>
      </w:pPr>
      <w:r>
        <w:rPr>
          <w:rFonts w:ascii="楷体_GB2312" w:eastAsia="楷体_GB2312" w:hint="eastAsia"/>
          <w:b/>
          <w:sz w:val="32"/>
          <w:szCs w:val="32"/>
          <w:lang w:val="zh-CN"/>
        </w:rPr>
        <w:t>（三）评价选点。</w:t>
      </w:r>
      <w:r>
        <w:rPr>
          <w:rFonts w:ascii="仿宋_GB2312" w:eastAsia="仿宋_GB2312" w:cs="仿宋_GB2312" w:hint="eastAsia"/>
          <w:kern w:val="0"/>
          <w:sz w:val="32"/>
          <w:szCs w:val="32"/>
          <w:shd w:val="clear" w:color="auto" w:fill="FFFFFF"/>
          <w:lang w:val="zh-CN"/>
        </w:rPr>
        <w:t>犬只捕杀情况。</w:t>
      </w:r>
    </w:p>
    <w:p>
      <w:pPr>
        <w:spacing w:line="560" w:lineRule="exact"/>
        <w:ind w:firstLineChars="200" w:firstLine="640"/>
        <w:rPr>
          <w:rFonts w:ascii="仿宋_GB2312" w:eastAsia="仿宋_GB2312" w:cs="仿宋_GB2312"/>
          <w:kern w:val="0"/>
          <w:sz w:val="32"/>
          <w:szCs w:val="32"/>
          <w:shd w:val="clear" w:color="auto" w:fill="FFFFFF"/>
          <w:lang w:val="zh-CN"/>
        </w:rPr>
      </w:pPr>
      <w:r>
        <w:rPr>
          <w:rFonts w:ascii="楷体_GB2312" w:eastAsia="楷体_GB2312" w:hint="eastAsia"/>
          <w:b/>
          <w:sz w:val="32"/>
          <w:szCs w:val="32"/>
          <w:lang w:val="zh-CN"/>
        </w:rPr>
        <w:t>（四）评价方法。</w:t>
      </w:r>
      <w:r>
        <w:rPr>
          <w:rFonts w:ascii="仿宋_GB2312" w:eastAsia="仿宋_GB2312" w:cs="仿宋_GB2312" w:hint="eastAsia"/>
          <w:kern w:val="0"/>
          <w:sz w:val="32"/>
          <w:szCs w:val="32"/>
          <w:shd w:val="clear" w:color="auto" w:fill="FFFFFF"/>
        </w:rPr>
        <w:t>根据单位自评和现场抽样考核，项目未出现重大调整或无法实施的情况。现场查阅执行文件、会议记录等资料，</w:t>
      </w:r>
      <w:r>
        <w:rPr>
          <w:rFonts w:ascii="仿宋_GB2312" w:eastAsia="仿宋_GB2312" w:cs="仿宋_GB2312"/>
          <w:kern w:val="0"/>
          <w:sz w:val="32"/>
          <w:szCs w:val="32"/>
          <w:shd w:val="clear" w:color="auto" w:fill="FFFFFF"/>
        </w:rPr>
        <w:t>了解项目的实施过程和管理情况。</w:t>
      </w:r>
      <w:r>
        <w:rPr>
          <w:rFonts w:ascii="仿宋_GB2312" w:eastAsia="仿宋_GB2312" w:cs="仿宋_GB2312" w:hint="eastAsia"/>
          <w:kern w:val="0"/>
          <w:sz w:val="32"/>
          <w:szCs w:val="32"/>
          <w:shd w:val="clear" w:color="auto" w:fill="FFFFFF"/>
        </w:rPr>
        <w:t>县公安局有召开党委会议，讨论并安排项目相关工作，明确责任，合理分工，为项目顺利实施提供保障。</w:t>
      </w:r>
    </w:p>
    <w:p>
      <w:pPr>
        <w:spacing w:line="560" w:lineRule="exact"/>
        <w:ind w:firstLine="640"/>
        <w:rPr>
          <w:rFonts w:eastAsia="仿宋_GB2312"/>
          <w:bCs/>
        </w:rPr>
      </w:pPr>
      <w:r>
        <w:rPr>
          <w:rFonts w:ascii="楷体_GB2312" w:eastAsia="楷体_GB2312" w:hint="eastAsia"/>
          <w:b/>
          <w:sz w:val="32"/>
          <w:szCs w:val="32"/>
          <w:lang w:val="zh-CN"/>
        </w:rPr>
        <w:t>（五）评价组织。</w:t>
      </w:r>
      <w:r>
        <w:rPr>
          <w:rFonts w:ascii="仿宋_GB2312" w:eastAsia="仿宋_GB2312" w:cs="仿宋_GB2312" w:hint="eastAsia"/>
          <w:kern w:val="0"/>
          <w:sz w:val="32"/>
          <w:szCs w:val="32"/>
          <w:shd w:val="clear" w:color="auto" w:fill="FFFFFF"/>
        </w:rPr>
        <w:t>评价组人员构成和职责分工。成立以分管领导为组长，各部门负责人为成员的包虫病经费绩效评价领导小组，领导小组设办公室于治安大队，治安大队长兼任办公室主任，负责对包虫病经费情况进行评价。</w:t>
      </w:r>
    </w:p>
    <w:p>
      <w:pPr>
        <w:adjustRightInd w:val="0"/>
        <w:snapToGrid w:val="0"/>
        <w:spacing w:line="560" w:lineRule="exact"/>
        <w:ind w:firstLineChars="200" w:firstLine="640"/>
        <w:rPr>
          <w:rFonts w:ascii="仿宋_GB2312" w:hAnsi="仿宋_GB2312"/>
          <w:sz w:val="32"/>
          <w:szCs w:val="32"/>
          <w:lang w:val="zh-CN"/>
        </w:rPr>
      </w:pPr>
      <w:r>
        <w:rPr>
          <w:rFonts w:ascii="黑体" w:eastAsia="黑体" w:hint="eastAsia"/>
          <w:sz w:val="32"/>
          <w:szCs w:val="32"/>
        </w:rPr>
        <w:t>三、绩效分析</w:t>
      </w:r>
      <w:r>
        <w:rPr>
          <w:rFonts w:ascii="仿宋_GB2312" w:hAnsi="仿宋_GB2312" w:hint="eastAsia"/>
          <w:sz w:val="32"/>
          <w:szCs w:val="32"/>
          <w:lang w:val="zh-CN"/>
        </w:rPr>
        <w:tab/>
      </w:r>
    </w:p>
    <w:p>
      <w:pPr>
        <w:spacing w:line="560" w:lineRule="exact"/>
        <w:ind w:firstLine="640"/>
        <w:rPr>
          <w:rFonts w:ascii="仿宋_GB2312" w:eastAsia="仿宋_GB2312" w:cs="仿宋_GB2312"/>
          <w:kern w:val="0"/>
          <w:sz w:val="32"/>
          <w:szCs w:val="32"/>
        </w:rPr>
      </w:pPr>
      <w:r>
        <w:rPr>
          <w:rFonts w:ascii="仿宋_GB2312" w:eastAsia="仿宋_GB2312" w:cs="仿宋_GB2312"/>
          <w:kern w:val="0"/>
          <w:sz w:val="32"/>
          <w:szCs w:val="32"/>
          <w:lang w:val="zh-CN"/>
        </w:rPr>
        <w:t>根据</w:t>
      </w:r>
      <w:r>
        <w:rPr>
          <w:rFonts w:ascii="仿宋_GB2312" w:eastAsia="仿宋_GB2312" w:cs="仿宋_GB2312" w:hint="eastAsia"/>
          <w:kern w:val="0"/>
          <w:sz w:val="32"/>
          <w:szCs w:val="32"/>
          <w:lang w:val="zh-CN"/>
        </w:rPr>
        <w:t>项目</w:t>
      </w:r>
      <w:r>
        <w:rPr>
          <w:rFonts w:ascii="仿宋_GB2312" w:eastAsia="仿宋_GB2312" w:cs="仿宋_GB2312"/>
          <w:kern w:val="0"/>
          <w:sz w:val="32"/>
          <w:szCs w:val="32"/>
          <w:lang w:val="zh-CN"/>
        </w:rPr>
        <w:t>预算绩效评价指标体系“</w:t>
      </w:r>
      <w:r>
        <w:rPr>
          <w:rFonts w:ascii="仿宋_GB2312" w:eastAsia="仿宋_GB2312" w:cs="仿宋_GB2312" w:hint="eastAsia"/>
          <w:kern w:val="0"/>
          <w:sz w:val="32"/>
          <w:szCs w:val="32"/>
          <w:lang w:val="zh-CN"/>
        </w:rPr>
        <w:t>通用指标</w:t>
      </w:r>
      <w:r>
        <w:rPr>
          <w:rFonts w:ascii="仿宋_GB2312" w:eastAsia="仿宋_GB2312" w:cs="仿宋_GB2312"/>
          <w:kern w:val="0"/>
          <w:sz w:val="32"/>
          <w:szCs w:val="32"/>
          <w:lang w:val="zh-CN"/>
        </w:rPr>
        <w:t>”</w:t>
      </w:r>
      <w:r>
        <w:rPr>
          <w:rFonts w:ascii="仿宋_GB2312" w:eastAsia="仿宋_GB2312" w:cs="仿宋_GB2312" w:hint="eastAsia"/>
          <w:kern w:val="0"/>
          <w:sz w:val="32"/>
          <w:szCs w:val="32"/>
          <w:lang w:val="zh-CN"/>
        </w:rPr>
        <w:t>“专用指标”“个性指标”</w:t>
      </w:r>
      <w:r>
        <w:rPr>
          <w:rFonts w:ascii="仿宋_GB2312" w:eastAsia="仿宋_GB2312" w:cs="仿宋_GB2312"/>
          <w:kern w:val="0"/>
          <w:sz w:val="32"/>
          <w:szCs w:val="32"/>
          <w:lang w:val="zh-CN"/>
        </w:rPr>
        <w:t>涉及</w:t>
      </w:r>
      <w:r>
        <w:rPr>
          <w:rFonts w:ascii="仿宋_GB2312" w:eastAsia="仿宋_GB2312" w:cs="仿宋_GB2312" w:hint="eastAsia"/>
          <w:kern w:val="0"/>
          <w:sz w:val="32"/>
          <w:szCs w:val="32"/>
          <w:lang w:val="zh-CN"/>
        </w:rPr>
        <w:t>二、三级</w:t>
      </w:r>
      <w:r>
        <w:rPr>
          <w:rFonts w:ascii="仿宋_GB2312" w:eastAsia="仿宋_GB2312" w:cs="仿宋_GB2312"/>
          <w:kern w:val="0"/>
          <w:sz w:val="32"/>
          <w:szCs w:val="32"/>
          <w:lang w:val="zh-CN"/>
        </w:rPr>
        <w:t>指标进行</w:t>
      </w:r>
      <w:r>
        <w:rPr>
          <w:rFonts w:ascii="仿宋_GB2312" w:eastAsia="仿宋_GB2312" w:cs="仿宋_GB2312" w:hint="eastAsia"/>
          <w:kern w:val="0"/>
          <w:sz w:val="32"/>
          <w:szCs w:val="32"/>
          <w:lang w:val="zh-CN"/>
        </w:rPr>
        <w:t>逐项</w:t>
      </w:r>
      <w:r>
        <w:rPr>
          <w:rFonts w:ascii="仿宋_GB2312" w:eastAsia="仿宋_GB2312" w:cs="仿宋_GB2312"/>
          <w:kern w:val="0"/>
          <w:sz w:val="32"/>
          <w:szCs w:val="32"/>
          <w:lang w:val="zh-CN"/>
        </w:rPr>
        <w:t>绩效分析</w:t>
      </w:r>
      <w:r>
        <w:rPr>
          <w:rFonts w:ascii="仿宋_GB2312" w:eastAsia="仿宋_GB2312" w:cs="仿宋_GB2312" w:hint="eastAsia"/>
          <w:kern w:val="0"/>
          <w:sz w:val="32"/>
          <w:szCs w:val="32"/>
          <w:lang w:val="zh-CN"/>
        </w:rPr>
        <w:t>并评分</w:t>
      </w:r>
      <w:r>
        <w:rPr>
          <w:rFonts w:ascii="仿宋_GB2312" w:eastAsia="仿宋_GB2312" w:cs="仿宋_GB2312" w:hint="eastAsia"/>
          <w:kern w:val="0"/>
          <w:sz w:val="32"/>
          <w:szCs w:val="32"/>
        </w:rPr>
        <w:t>。</w:t>
      </w:r>
    </w:p>
    <w:p>
      <w:pPr>
        <w:spacing w:line="560" w:lineRule="exact"/>
        <w:ind w:firstLine="640"/>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ascii="Times New Roman" w:eastAsia="楷体_GB2312" w:hAnsi="Times New Roman"/>
          <w:b/>
          <w:bCs/>
          <w:color w:val="000000"/>
          <w:kern w:val="0"/>
          <w:sz w:val="32"/>
          <w:szCs w:val="32"/>
          <w:shd w:val="clear" w:color="auto" w:fill="FFFFFF"/>
          <w:lang w:val="zh-CN"/>
        </w:rPr>
        <w:t>绩效分析。</w:t>
      </w:r>
    </w:p>
    <w:p>
      <w:pPr>
        <w:spacing w:line="560" w:lineRule="exact"/>
        <w:ind w:firstLineChars="200" w:firstLine="640"/>
        <w:rPr>
          <w:rFonts w:ascii="仿宋_GB2312" w:cs="仿宋_GB2312" w:hAnsi="仿宋_GB2312"/>
          <w:kern w:val="0"/>
          <w:sz w:val="32"/>
          <w:szCs w:val="32"/>
          <w:shd w:val="clear" w:color="auto" w:fill="FFFFFF"/>
          <w:lang w:val="zh-CN"/>
        </w:rPr>
      </w:pPr>
      <w:r>
        <w:rPr>
          <w:rFonts w:ascii="楷体_GB2312" w:eastAsia="楷体_GB2312" w:cs="楷体_GB2312" w:hint="eastAsia"/>
          <w:sz w:val="32"/>
          <w:szCs w:val="32"/>
        </w:rPr>
        <w:t>1.项目决策。</w:t>
      </w:r>
      <w:r>
        <w:rPr>
          <w:rFonts w:ascii="仿宋_GB2312" w:eastAsia="仿宋_GB2312" w:cs="仿宋_GB2312"/>
          <w:kern w:val="0"/>
          <w:sz w:val="32"/>
          <w:szCs w:val="32"/>
        </w:rPr>
        <w:t>项目立项经过了充分的调研和论证，决策程序规范、科学</w:t>
      </w:r>
      <w:r>
        <w:rPr>
          <w:rFonts w:ascii="仿宋_GB2312" w:eastAsia="仿宋_GB2312" w:cs="仿宋_GB2312" w:hint="eastAsia"/>
          <w:kern w:val="0"/>
          <w:sz w:val="32"/>
          <w:szCs w:val="32"/>
        </w:rPr>
        <w:t>，项目规划符合国家和地方重大传染病防治的总体要求，具有较强的针对性和可操作性。</w:t>
      </w:r>
    </w:p>
    <w:p>
      <w:pPr>
        <w:widowControl/>
        <w:suppressAutoHyphens/>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2.项目管理。</w:t>
      </w:r>
      <w:r>
        <w:rPr>
          <w:rFonts w:ascii="仿宋_GB2312" w:eastAsia="仿宋_GB2312" w:cs="仿宋_GB2312"/>
          <w:kern w:val="0"/>
          <w:sz w:val="32"/>
          <w:szCs w:val="32"/>
        </w:rPr>
        <w:t>建立了完善的项目管理制度和资金管理办法，保障了项目的规范实施。资金分配公平、合理，考虑了地区差异和实际需求。建立了绩效监管机制，对项目的实施过程和绩效目标完成情况进行了动态监控。</w:t>
      </w:r>
    </w:p>
    <w:p>
      <w:pPr>
        <w:widowControl/>
        <w:suppressAutoHyphens/>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3.项目实施。</w:t>
      </w:r>
      <w:r>
        <w:rPr>
          <w:rFonts w:ascii="仿宋_GB2312" w:eastAsia="仿宋_GB2312" w:cs="仿宋_GB2312"/>
          <w:kern w:val="0"/>
          <w:sz w:val="32"/>
          <w:szCs w:val="32"/>
        </w:rPr>
        <w:t>预算执行情况良好，资金到位率高，支出进度符合项目要求。资金使用合规，未发现截留、挪用等违规现象。</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4.项目结果。</w:t>
      </w:r>
      <w:r>
        <w:rPr>
          <w:rFonts w:ascii="仿宋_GB2312" w:eastAsia="仿宋_GB2312" w:cs="仿宋_GB2312" w:hint="eastAsia"/>
          <w:kern w:val="0"/>
          <w:sz w:val="32"/>
          <w:szCs w:val="32"/>
        </w:rPr>
        <w:t>组织开展了犬只登记管理专项整治行动，努力实现三个“明显提高”、三个“明显减少”、三个“基本解决”的工作目标。即：养犬登记办证率、狂犬病免疫率和文明规范养犬知晓率明显提高；限养区饲养禁养犬，流浪犬、无主犬和犬伤人、扰民的问题明显减少；遛犬不束链、犬只随地便溺和违规进入禁止公共区域的问题基本解决。普及了包虫病防治知识。公众满意度</w:t>
      </w:r>
      <w:r>
        <w:rPr>
          <w:rFonts w:ascii="仿宋_GB2312" w:eastAsia="仿宋_GB2312" w:cs="仿宋_GB2312"/>
          <w:kern w:val="0"/>
          <w:sz w:val="32"/>
          <w:szCs w:val="32"/>
        </w:rPr>
        <w:t>&gt;95%</w:t>
      </w:r>
      <w:r>
        <w:rPr>
          <w:rFonts w:ascii="仿宋_GB2312" w:eastAsia="仿宋_GB2312" w:cs="仿宋_GB2312" w:hint="eastAsia"/>
          <w:kern w:val="0"/>
          <w:sz w:val="32"/>
          <w:szCs w:val="32"/>
        </w:rPr>
        <w:t>。</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（二）</w:t>
      </w:r>
      <w:r>
        <w:rPr>
          <w:rFonts w:ascii="楷体_GB2312" w:eastAsia="楷体_GB2312" w:hint="eastAsia"/>
          <w:b/>
          <w:sz w:val="32"/>
          <w:szCs w:val="32"/>
        </w:rPr>
        <w:t>专用指标</w:t>
      </w:r>
      <w:r>
        <w:rPr>
          <w:rFonts w:ascii="Times New Roman" w:eastAsia="楷体_GB2312" w:hAnsi="Times New Roman"/>
          <w:b/>
          <w:bCs/>
          <w:color w:val="000000"/>
          <w:kern w:val="0"/>
          <w:sz w:val="32"/>
          <w:szCs w:val="32"/>
          <w:shd w:val="clear" w:color="auto" w:fill="FFFFFF"/>
          <w:lang w:val="zh-CN"/>
        </w:rPr>
        <w:t>绩效分析。</w:t>
      </w:r>
      <w:r>
        <w:rPr>
          <w:rFonts w:ascii="仿宋_GB2312" w:eastAsia="仿宋_GB2312" w:cs="仿宋_GB2312" w:hint="eastAsia"/>
          <w:kern w:val="0"/>
          <w:sz w:val="32"/>
          <w:szCs w:val="32"/>
          <w:lang w:val="zh-CN"/>
        </w:rPr>
        <w:t>根据</w:t>
      </w:r>
      <w:r>
        <w:rPr>
          <w:rFonts w:ascii="仿宋_GB2312" w:eastAsia="仿宋_GB2312" w:cs="仿宋_GB2312" w:hint="eastAsia"/>
          <w:kern w:val="0"/>
          <w:sz w:val="32"/>
          <w:szCs w:val="32"/>
        </w:rPr>
        <w:t>专项预算项目资金支持对象选择所属指标进行绩效分析。支持对象</w:t>
      </w:r>
      <w:r>
        <w:rPr>
          <w:rFonts w:ascii="仿宋_GB2312" w:eastAsia="仿宋_GB2312" w:cs="仿宋_GB2312" w:hint="eastAsia"/>
          <w:kern w:val="0"/>
          <w:sz w:val="32"/>
          <w:szCs w:val="32"/>
          <w:lang w:val="zh-CN"/>
        </w:rPr>
        <w:t>包括产业发展、民生保障、基础设施、行政运转等方面。</w:t>
      </w:r>
    </w:p>
    <w:p>
      <w:pPr>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1.产业发展。</w:t>
      </w:r>
      <w:r>
        <w:rPr>
          <w:rFonts w:ascii="仿宋_GB2312" w:eastAsia="仿宋_GB2312" w:cs="仿宋_GB2312" w:hint="eastAsia"/>
          <w:kern w:val="0"/>
          <w:sz w:val="32"/>
          <w:szCs w:val="32"/>
        </w:rPr>
        <w:t>围绕符合性、成长性、经济性进行绩效分析。无</w:t>
      </w:r>
    </w:p>
    <w:p>
      <w:pPr>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2.</w:t>
      </w:r>
      <w:r>
        <w:rPr>
          <w:rFonts w:ascii="楷体_GB2312" w:eastAsia="楷体_GB2312" w:cs="楷体_GB2312" w:hint="eastAsia"/>
          <w:sz w:val="32"/>
          <w:szCs w:val="32"/>
          <w:lang w:val="zh-CN"/>
        </w:rPr>
        <w:t>民生保障。</w:t>
      </w:r>
      <w:r>
        <w:rPr>
          <w:rFonts w:ascii="仿宋_GB2312" w:eastAsia="仿宋_GB2312" w:cs="仿宋_GB2312" w:hint="eastAsia"/>
          <w:kern w:val="0"/>
          <w:sz w:val="32"/>
          <w:szCs w:val="32"/>
        </w:rPr>
        <w:t>围绕区域均衡性、对象精准性、标准合理性、群众满意度进行绩效分析。无</w:t>
      </w:r>
    </w:p>
    <w:p>
      <w:pPr>
        <w:spacing w:line="560" w:lineRule="exact"/>
        <w:ind w:firstLineChars="200" w:firstLine="640"/>
        <w:rPr>
          <w:rFonts w:ascii="楷体_GB2312" w:eastAsia="楷体_GB2312" w:cs="楷体_GB2312"/>
          <w:sz w:val="32"/>
          <w:szCs w:val="32"/>
        </w:rPr>
      </w:pPr>
      <w:r>
        <w:rPr>
          <w:rFonts w:ascii="楷体_GB2312" w:eastAsia="楷体_GB2312" w:cs="楷体_GB2312" w:hint="eastAsia"/>
          <w:sz w:val="32"/>
          <w:szCs w:val="32"/>
        </w:rPr>
        <w:t>3.基础设施。</w:t>
      </w:r>
      <w:r>
        <w:rPr>
          <w:rFonts w:ascii="仿宋_GB2312" w:eastAsia="仿宋_GB2312" w:cs="仿宋_GB2312" w:hint="eastAsia"/>
          <w:kern w:val="0"/>
          <w:sz w:val="32"/>
          <w:szCs w:val="32"/>
        </w:rPr>
        <w:t>在建项目围绕工程进度和资金拨付进行绩效分析；建成项目围绕项目验收、功能实现、后续管护进行</w:t>
      </w:r>
      <w:r>
        <w:rPr>
          <w:rFonts w:ascii="仿宋_GB2312" w:eastAsia="仿宋_GB2312" w:cs="仿宋_GB2312" w:hint="eastAsia"/>
          <w:kern w:val="0"/>
          <w:sz w:val="32"/>
          <w:szCs w:val="32"/>
          <w:lang w:val="zh-CN"/>
        </w:rPr>
        <w:t>绩效分析。无</w:t>
      </w:r>
    </w:p>
    <w:p>
      <w:pPr>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4.</w:t>
      </w:r>
      <w:r>
        <w:rPr>
          <w:rFonts w:ascii="楷体_GB2312" w:eastAsia="楷体_GB2312" w:cs="楷体_GB2312" w:hint="eastAsia"/>
          <w:sz w:val="32"/>
          <w:szCs w:val="32"/>
          <w:lang w:val="zh-CN"/>
        </w:rPr>
        <w:t>行政运转。</w:t>
      </w:r>
      <w:r>
        <w:rPr>
          <w:rFonts w:ascii="仿宋_GB2312" w:eastAsia="仿宋_GB2312" w:cs="仿宋_GB2312" w:hint="eastAsia"/>
          <w:kern w:val="0"/>
          <w:sz w:val="32"/>
          <w:szCs w:val="32"/>
          <w:lang w:val="zh-CN"/>
        </w:rPr>
        <w:t>该项目支出符合国家财经法规和财务管理制度规定以及有关专项资金管理办法的规定，按规定用途、适用范围管理，资金管理程序符合专项资金管理要求，资金分配标准符合专项资金管理要求。</w:t>
      </w:r>
    </w:p>
    <w:p>
      <w:pPr>
        <w:spacing w:line="560" w:lineRule="exact"/>
        <w:ind w:firstLine="640"/>
        <w:rPr>
          <w:rFonts w:ascii="仿宋_GB2312" w:eastAsia="仿宋_GB2312" w:cs="仿宋_GB2312"/>
          <w:kern w:val="0"/>
          <w:sz w:val="32"/>
          <w:szCs w:val="32"/>
        </w:rPr>
      </w:pPr>
      <w:r>
        <w:rPr>
          <w:rFonts w:ascii="楷体_GB2312" w:eastAsia="楷体_GB2312" w:hint="eastAsia"/>
          <w:b/>
          <w:sz w:val="32"/>
          <w:szCs w:val="32"/>
          <w:lang w:val="zh-CN"/>
        </w:rPr>
        <w:t>（三）</w:t>
      </w:r>
      <w:r>
        <w:rPr>
          <w:rFonts w:ascii="楷体_GB2312" w:eastAsia="楷体_GB2312" w:hint="eastAsia"/>
          <w:b/>
          <w:sz w:val="32"/>
          <w:szCs w:val="32"/>
        </w:rPr>
        <w:t>个性指标</w:t>
      </w:r>
      <w:r>
        <w:rPr>
          <w:rFonts w:ascii="Times New Roman" w:eastAsia="楷体_GB2312" w:hAnsi="Times New Roman"/>
          <w:b/>
          <w:bCs/>
          <w:color w:val="000000"/>
          <w:kern w:val="0"/>
          <w:sz w:val="32"/>
          <w:szCs w:val="32"/>
          <w:shd w:val="clear" w:color="auto" w:fill="FFFFFF"/>
          <w:lang w:val="zh-CN"/>
        </w:rPr>
        <w:t>绩效分析。</w:t>
      </w:r>
      <w:r>
        <w:rPr>
          <w:rFonts w:ascii="仿宋_GB2312" w:eastAsia="仿宋_GB2312" w:cs="仿宋_GB2312" w:hint="eastAsia"/>
          <w:kern w:val="0"/>
          <w:sz w:val="32"/>
          <w:szCs w:val="32"/>
          <w:lang w:val="zh-CN"/>
        </w:rPr>
        <w:t>根据项目个性自行设定部分指标，反映该项指标执行完成情况。无</w:t>
      </w:r>
    </w:p>
    <w:p>
      <w:pPr>
        <w:pStyle w:val="17"/>
        <w:tabs>
          <w:tab w:val="left" w:pos="2160"/>
        </w:tabs>
        <w:spacing w:line="560" w:lineRule="exact"/>
        <w:ind w:firstLineChars="200" w:firstLine="640"/>
        <w:rPr>
          <w:rFonts w:ascii="黑体" w:eastAsia="黑体"/>
          <w:sz w:val="32"/>
          <w:szCs w:val="32"/>
        </w:rPr>
      </w:pPr>
      <w:r>
        <w:rPr>
          <w:rFonts w:ascii="黑体" w:eastAsia="黑体" w:hint="eastAsia"/>
          <w:sz w:val="32"/>
          <w:szCs w:val="32"/>
        </w:rPr>
        <w:t>四、评价结论</w:t>
      </w:r>
    </w:p>
    <w:p>
      <w:pPr>
        <w:pStyle w:val="17"/>
        <w:tabs>
          <w:tab w:val="left" w:pos="2160"/>
        </w:tabs>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color w:val="222222"/>
          <w:sz w:val="32"/>
          <w:szCs w:val="32"/>
          <w:shd w:val="clear" w:color="auto" w:fill="FFFFFF"/>
        </w:rPr>
        <w:t>绩效自评总体情况较好，项目实施取得了一定的成效，</w:t>
      </w:r>
      <w:r>
        <w:rPr>
          <w:rFonts w:ascii="仿宋_GB2312" w:eastAsia="仿宋_GB2312" w:cs="仿宋_GB2312" w:hint="eastAsia"/>
          <w:kern w:val="0"/>
          <w:sz w:val="32"/>
          <w:szCs w:val="32"/>
        </w:rPr>
        <w:t>根据预算绩效管理相关制度的要求，结合项目绩效指标完成情况及对项目成本、项目效率、部门绩效目标实现的综合分析，项目综合评价为项目各项指标项均达到指标要求，项目实施达到预期效果。自评得分</w:t>
      </w:r>
      <w:r>
        <w:rPr>
          <w:rFonts w:ascii="仿宋_GB2312" w:cs="仿宋_GB2312" w:hAnsi="仿宋_GB2312" w:hint="eastAsia"/>
          <w:kern w:val="0"/>
          <w:sz w:val="32"/>
          <w:szCs w:val="32"/>
        </w:rPr>
        <w:t>94</w:t>
      </w:r>
      <w:r>
        <w:rPr>
          <w:rFonts w:ascii="仿宋_GB2312" w:eastAsia="仿宋_GB2312" w:cs="仿宋_GB2312" w:hint="eastAsia"/>
          <w:kern w:val="0"/>
          <w:sz w:val="32"/>
          <w:szCs w:val="32"/>
        </w:rPr>
        <w:t>分。</w:t>
      </w:r>
    </w:p>
    <w:p>
      <w:pPr>
        <w:pStyle w:val="17"/>
        <w:tabs>
          <w:tab w:val="left" w:pos="2160"/>
        </w:tabs>
        <w:spacing w:line="560" w:lineRule="exact"/>
        <w:ind w:firstLineChars="200" w:firstLine="640"/>
        <w:rPr>
          <w:rFonts w:ascii="黑体" w:eastAsia="黑体"/>
          <w:sz w:val="32"/>
          <w:szCs w:val="32"/>
        </w:rPr>
      </w:pPr>
      <w:r>
        <w:rPr>
          <w:rFonts w:ascii="黑体" w:eastAsia="黑体" w:hint="eastAsia"/>
          <w:sz w:val="32"/>
          <w:szCs w:val="32"/>
        </w:rPr>
        <w:t>五、存在主要问题</w:t>
      </w:r>
    </w:p>
    <w:p>
      <w:pPr>
        <w:pStyle w:val="17"/>
        <w:tabs>
          <w:tab w:val="left" w:pos="2160"/>
        </w:tabs>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kern w:val="0"/>
          <w:sz w:val="32"/>
          <w:szCs w:val="32"/>
        </w:rPr>
        <w:t>由于对支出绩效评价工作的重要性还认识不够，因此对绩效评价工作的重视度还不够，部分项目支出绩效指标无法用量化指标来进行考评。</w:t>
      </w:r>
    </w:p>
    <w:p>
      <w:pPr>
        <w:pStyle w:val="17"/>
        <w:tabs>
          <w:tab w:val="left" w:pos="2160"/>
        </w:tabs>
        <w:spacing w:line="560" w:lineRule="exact"/>
        <w:ind w:firstLineChars="200" w:firstLine="640"/>
        <w:rPr>
          <w:rFonts w:ascii="黑体" w:eastAsia="黑体"/>
          <w:kern w:val="0"/>
          <w:position w:val="3"/>
          <w:sz w:val="32"/>
          <w:szCs w:val="32"/>
          <w:lang w:val="zh-CN"/>
        </w:rPr>
      </w:pPr>
      <w:r>
        <w:rPr>
          <w:rFonts w:ascii="黑体" w:eastAsia="黑体" w:hint="eastAsia"/>
          <w:kern w:val="0"/>
          <w:position w:val="3"/>
          <w:sz w:val="32"/>
          <w:szCs w:val="32"/>
          <w:lang w:val="zh-CN"/>
        </w:rPr>
        <w:t>六、改进建议</w:t>
      </w:r>
    </w:p>
    <w:p>
      <w:pPr>
        <w:pStyle w:val="17"/>
        <w:tabs>
          <w:tab w:val="left" w:pos="2160"/>
        </w:tabs>
        <w:spacing w:line="560" w:lineRule="exact"/>
        <w:ind w:firstLineChars="200" w:firstLine="640"/>
        <w:rPr>
          <w:rFonts w:ascii="仿宋_GB2312" w:eastAsia="仿宋_GB2312" w:cs="仿宋_GB2312"/>
          <w:kern w:val="0"/>
          <w:sz w:val="32"/>
          <w:szCs w:val="32"/>
        </w:rPr>
      </w:pPr>
      <w:r>
        <w:rPr>
          <w:rFonts w:ascii="仿宋_GB2312" w:eastAsia="仿宋_GB2312" w:cs="仿宋_GB2312"/>
          <w:kern w:val="0"/>
          <w:sz w:val="32"/>
          <w:szCs w:val="32"/>
        </w:rPr>
        <w:t>针对</w:t>
      </w:r>
      <w:r>
        <w:rPr>
          <w:rFonts w:ascii="仿宋_GB2312" w:eastAsia="仿宋_GB2312" w:cs="仿宋_GB2312" w:hint="eastAsia"/>
          <w:kern w:val="0"/>
          <w:sz w:val="32"/>
          <w:szCs w:val="32"/>
        </w:rPr>
        <w:t>存在的问题，我们将进一步科学设定绩效目标，加强预算执行管理。遵循先有预算、后有支出的原则，加强《新预算</w:t>
      </w:r>
      <w:r>
        <w:rPr>
          <w:rFonts w:ascii="仿宋_GB2312" w:eastAsia="仿宋_GB2312" w:cs="仿宋_GB2312" w:hint="eastAsia"/>
          <w:kern w:val="0"/>
          <w:sz w:val="32"/>
          <w:szCs w:val="32"/>
          <w:lang w:val="zh-CN"/>
        </w:rPr>
        <w:t>法》、《政府会计</w:t>
      </w:r>
      <w:r>
        <w:rPr>
          <w:rFonts w:ascii="仿宋_GB2312" w:eastAsia="仿宋_GB2312" w:cs="仿宋_GB2312" w:hint="eastAsia"/>
          <w:kern w:val="0"/>
          <w:sz w:val="32"/>
          <w:szCs w:val="32"/>
        </w:rPr>
        <w:t>制度》等学习培训，规范部门预算收支核算，加强财务管理和内部控制监督制度。</w:t>
      </w:r>
    </w:p>
    <w:p>
      <w:pPr>
        <w:autoSpaceDE w:val="0"/>
        <w:autoSpaceDN w:val="0"/>
        <w:adjustRightInd w:val="0"/>
        <w:spacing w:line="560" w:lineRule="exact"/>
        <w:rPr>
          <w:rFonts w:ascii="仿宋" w:eastAsia="仿宋"/>
          <w:b/>
          <w:sz w:val="32"/>
          <w:szCs w:val="32"/>
        </w:rPr>
      </w:pPr>
    </w:p>
    <w:p>
      <w:pPr>
        <w:pStyle w:val="15"/>
        <w:rPr>
          <w:rFonts w:ascii="仿宋" w:eastAsia="仿宋"/>
          <w:sz w:val="32"/>
          <w:szCs w:val="32"/>
        </w:rPr>
      </w:pPr>
    </w:p>
    <w:p>
      <w:pPr>
        <w:rPr>
          <w:rFonts w:ascii="仿宋" w:eastAsia="仿宋"/>
          <w:b/>
          <w:sz w:val="32"/>
          <w:szCs w:val="32"/>
        </w:rPr>
      </w:pPr>
    </w:p>
    <w:p>
      <w:pPr>
        <w:pStyle w:val="15"/>
        <w:rPr>
          <w:rFonts w:ascii="仿宋" w:eastAsia="仿宋"/>
          <w:sz w:val="32"/>
          <w:szCs w:val="32"/>
        </w:rPr>
      </w:pPr>
    </w:p>
    <w:p/>
    <w:p>
      <w:pPr>
        <w:pStyle w:val="33"/>
        <w:spacing w:line="560" w:lineRule="exact"/>
        <w:jc w:val="center"/>
        <w:rPr>
          <w:rFonts w:ascii="方正小标宋简体" w:eastAsia="方正小标宋简体" w:cs="方正小标宋简体"/>
          <w:color w:val="auto"/>
          <w:kern w:val="2"/>
          <w:sz w:val="44"/>
          <w:szCs w:val="44"/>
          <w:lang w:val="en-US"/>
        </w:rPr>
      </w:pPr>
      <w:r>
        <w:rPr>
          <w:rFonts w:ascii="方正小标宋简体" w:eastAsia="方正小标宋简体" w:cs="方正小标宋简体" w:hint="eastAsia"/>
          <w:color w:val="auto"/>
          <w:kern w:val="2"/>
          <w:sz w:val="44"/>
          <w:szCs w:val="44"/>
          <w:lang w:val="en-US"/>
        </w:rPr>
        <w:t>沟口所、交警飞虹中队业务用房规范化建设项目绩效评价报告</w:t>
      </w:r>
    </w:p>
    <w:p>
      <w:pPr>
        <w:pStyle w:val="33"/>
        <w:spacing w:line="560" w:lineRule="exact"/>
        <w:ind w:firstLine="640"/>
        <w:jc w:val="center"/>
        <w:rPr>
          <w:rFonts w:ascii="宋体"/>
          <w:color w:val="auto"/>
          <w:kern w:val="2"/>
          <w:sz w:val="32"/>
          <w:szCs w:val="32"/>
        </w:rPr>
      </w:pPr>
    </w:p>
    <w:p>
      <w:pPr>
        <w:adjustRightInd w:val="0"/>
        <w:snapToGrid w:val="0"/>
        <w:spacing w:line="560" w:lineRule="exact"/>
        <w:ind w:firstLineChars="200" w:firstLine="64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adjustRightInd w:val="0"/>
        <w:snapToGrid w:val="0"/>
        <w:spacing w:line="560" w:lineRule="exact"/>
        <w:ind w:firstLineChars="200" w:firstLine="640"/>
        <w:rPr>
          <w:rFonts w:ascii="楷体_GB2312" w:eastAsia="楷体_GB2312"/>
          <w:b/>
          <w:sz w:val="32"/>
          <w:szCs w:val="32"/>
          <w:lang w:val="zh-CN"/>
        </w:rPr>
      </w:pPr>
      <w:r>
        <w:rPr>
          <w:rFonts w:ascii="楷体_GB2312" w:eastAsia="楷体_GB2312" w:hint="eastAsia"/>
          <w:b/>
          <w:sz w:val="32"/>
          <w:szCs w:val="32"/>
          <w:lang w:val="zh-CN"/>
        </w:rPr>
        <w:t>（一）设立背景及基本情况。</w:t>
      </w:r>
    </w:p>
    <w:p>
      <w:pPr>
        <w:adjustRightInd w:val="0"/>
        <w:snapToGrid w:val="0"/>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kern w:val="0"/>
          <w:sz w:val="32"/>
          <w:szCs w:val="32"/>
        </w:rPr>
        <w:t>2019年我县进行乡镇行政区划调整，全县21个乡镇撤并成11个镇，按照全州两项改革“后半篇”文章盘活用好乡镇村公有资产工作的要求，根据县委、县政府工作部署，将原乡政府值班室移交县公安局使用，根据国家发改委、建设部、公安部关于公安派出所建设规范和标准，需对移交的房屋进行规范化改造。</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仿宋_GB2312" w:eastAsia="仿宋_GB2312" w:cs="仿宋_GB2312" w:hint="eastAsia"/>
          <w:kern w:val="0"/>
          <w:sz w:val="32"/>
          <w:szCs w:val="32"/>
        </w:rPr>
        <w:t>茂县公安局交警飞虹中队现使用原飞虹派出所业务用房，该业务用房位于国道213线，因该房屋常年受恶劣气候影响，又年久失修，不修缮已不适宜正常值班备勤使用，需对该房屋进行规范化建设改造。</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（二）</w:t>
      </w:r>
      <w:r>
        <w:rPr>
          <w:rFonts w:ascii="楷体_GB2312" w:eastAsia="楷体_GB2312"/>
          <w:b/>
          <w:sz w:val="32"/>
          <w:szCs w:val="32"/>
        </w:rPr>
        <w:t>实施目的及支持方向</w:t>
      </w:r>
      <w:r>
        <w:rPr>
          <w:rFonts w:ascii="楷体_GB2312" w:eastAsia="楷体_GB2312" w:hint="eastAsia"/>
          <w:b/>
          <w:sz w:val="32"/>
          <w:szCs w:val="32"/>
        </w:rPr>
        <w:t>。</w:t>
      </w:r>
      <w:r>
        <w:rPr>
          <w:rFonts w:ascii="仿宋_GB2312" w:eastAsia="仿宋_GB2312" w:cs="仿宋_GB2312" w:hint="eastAsia"/>
          <w:kern w:val="0"/>
          <w:sz w:val="32"/>
          <w:szCs w:val="32"/>
        </w:rPr>
        <w:t>为更好地服务人民群众，维护基层政权，维护辖区社会治安稳定，充分发挥公安基层所队的职能职责，</w:t>
      </w:r>
      <w:r>
        <w:rPr>
          <w:rFonts w:ascii="仿宋_GB2312" w:eastAsia="仿宋_GB2312" w:cs="仿宋_GB2312" w:hint="eastAsia"/>
          <w:kern w:val="0"/>
          <w:sz w:val="32"/>
          <w:szCs w:val="32"/>
          <w:lang w:val="zh-CN"/>
        </w:rPr>
        <w:t>解决民、辅警实际困难，营造一个舒适整洁、井然有序的值班备勤环境。</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lang w:val="zh-CN"/>
        </w:rPr>
      </w:pPr>
      <w:r>
        <w:rPr>
          <w:rFonts w:ascii="楷体_GB2312" w:eastAsia="楷体_GB2312" w:hint="eastAsia"/>
          <w:b/>
          <w:sz w:val="32"/>
          <w:szCs w:val="32"/>
          <w:lang w:val="zh-CN"/>
        </w:rPr>
        <w:t>（三）</w:t>
      </w:r>
      <w:r>
        <w:rPr>
          <w:rFonts w:ascii="楷体_GB2312" w:eastAsia="楷体_GB2312"/>
          <w:b/>
          <w:sz w:val="32"/>
          <w:szCs w:val="32"/>
        </w:rPr>
        <w:t>预算安排及分配管理</w:t>
      </w:r>
      <w:r>
        <w:rPr>
          <w:rFonts w:ascii="楷体_GB2312" w:eastAsia="楷体_GB2312" w:hint="eastAsia"/>
          <w:b/>
          <w:sz w:val="32"/>
          <w:szCs w:val="32"/>
          <w:lang w:val="zh-CN"/>
        </w:rPr>
        <w:t>。</w:t>
      </w:r>
      <w:r>
        <w:rPr>
          <w:rFonts w:ascii="仿宋_GB2312" w:eastAsia="仿宋_GB2312" w:cs="仿宋_GB2312" w:hint="eastAsia"/>
          <w:kern w:val="0"/>
          <w:sz w:val="32"/>
          <w:szCs w:val="32"/>
          <w:lang w:val="zh-CN"/>
        </w:rPr>
        <w:t>县公安局党委会议纪要（茂公委纪〔2022〕53号），县人民政府常务会议议定事项通知（十六届茂县人民政府第28次18号）</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（四）项目绩效目标设置。</w:t>
      </w:r>
      <w:r>
        <w:rPr>
          <w:rFonts w:ascii="仿宋_GB2312" w:eastAsia="仿宋_GB2312" w:cs="仿宋_GB2312" w:hint="eastAsia"/>
          <w:kern w:val="0"/>
          <w:sz w:val="32"/>
          <w:szCs w:val="32"/>
          <w:lang w:val="zh-CN"/>
        </w:rPr>
        <w:t>因乡镇行政区划调整后，辖区面积增大，工作量相应增加，为更好地服务人民群众，维护基层政权，维护辖区社会治安稳定和交通管理秩序，充分发挥公安基层所队的职能职责，解决民、辅警实际困难，营造一个舒适整洁、井然有序的值班备勤环境。</w:t>
      </w:r>
    </w:p>
    <w:p>
      <w:pPr>
        <w:adjustRightInd w:val="0"/>
        <w:snapToGrid w:val="0"/>
        <w:spacing w:line="560" w:lineRule="exact"/>
        <w:ind w:firstLineChars="200" w:firstLine="640"/>
        <w:rPr>
          <w:rFonts w:ascii="黑体" w:eastAsia="黑体"/>
          <w:sz w:val="32"/>
          <w:szCs w:val="32"/>
        </w:rPr>
      </w:pPr>
      <w:r>
        <w:rPr>
          <w:rFonts w:ascii="黑体" w:eastAsia="黑体" w:hint="eastAsia"/>
          <w:sz w:val="32"/>
          <w:szCs w:val="32"/>
        </w:rPr>
        <w:t>二、评价实施</w:t>
      </w:r>
    </w:p>
    <w:p>
      <w:pPr>
        <w:pStyle w:val="25"/>
        <w:widowControl/>
        <w:shd w:val="clear" w:color="auto" w:fill="FFFFFF"/>
        <w:suppressAutoHyphens/>
        <w:spacing w:beforeAutospacing="0" w:afterAutospacing="0" w:line="560" w:lineRule="exact"/>
        <w:ind w:firstLineChars="200" w:firstLine="640"/>
        <w:jc w:val="both"/>
        <w:rPr>
          <w:rFonts w:ascii="仿宋_GB2312" w:eastAsia="仿宋_GB2312" w:cs="仿宋_GB2312"/>
          <w:sz w:val="32"/>
          <w:szCs w:val="32"/>
          <w:lang w:val="zh-CN"/>
        </w:rPr>
      </w:pPr>
      <w:r>
        <w:rPr>
          <w:rFonts w:ascii="楷体_GB2312" w:eastAsia="楷体_GB2312" w:hint="eastAsia"/>
          <w:b/>
          <w:sz w:val="32"/>
          <w:szCs w:val="32"/>
          <w:lang w:val="zh-CN"/>
        </w:rPr>
        <w:t>（一）评价目的。</w:t>
      </w:r>
      <w:r>
        <w:rPr>
          <w:rFonts w:ascii="仿宋_GB2312" w:eastAsia="仿宋_GB2312" w:cs="仿宋_GB2312" w:hint="eastAsia"/>
          <w:sz w:val="32"/>
          <w:szCs w:val="32"/>
          <w:lang w:val="zh-CN"/>
        </w:rPr>
        <w:t>加强和改进资金管理工作，严格落实《预算法》及县绩效管理工作的有关规定，进一步规范财政资金的管理，强化财政支出效绩理念，提升部门责任意识，提高资金利用效率，促进决策的科学化，促进组织目标的实现，提高工作效率。</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（二）预设问题及评价重点。</w:t>
      </w:r>
      <w:r>
        <w:rPr>
          <w:rFonts w:ascii="仿宋_GB2312" w:eastAsia="仿宋_GB2312" w:cs="仿宋_GB2312" w:hint="eastAsia"/>
          <w:kern w:val="0"/>
          <w:sz w:val="32"/>
          <w:szCs w:val="32"/>
          <w:lang w:val="zh-CN"/>
        </w:rPr>
        <w:t>通过对业务用房进行规范化建设改造，进一步改善民辅警的工作环境，提高工作质量和效率。</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（三）评价选点。</w:t>
      </w:r>
      <w:r>
        <w:rPr>
          <w:rFonts w:ascii="仿宋_GB2312" w:eastAsia="仿宋_GB2312" w:cs="仿宋_GB2312" w:hint="eastAsia"/>
          <w:kern w:val="0"/>
          <w:sz w:val="32"/>
          <w:szCs w:val="32"/>
          <w:lang w:val="zh-CN"/>
        </w:rPr>
        <w:t>工作质量与效率。</w:t>
      </w:r>
    </w:p>
    <w:p>
      <w:pPr>
        <w:spacing w:line="560" w:lineRule="exact"/>
        <w:ind w:firstLine="640"/>
        <w:rPr>
          <w:rFonts w:ascii="仿宋_GB2312" w:eastAsia="仿宋_GB2312" w:cs="仿宋_GB2312"/>
          <w:kern w:val="0"/>
          <w:sz w:val="32"/>
          <w:szCs w:val="32"/>
          <w:lang w:val="zh-CN"/>
        </w:rPr>
      </w:pPr>
      <w:r>
        <w:rPr>
          <w:rFonts w:ascii="楷体_GB2312" w:eastAsia="楷体_GB2312" w:hint="eastAsia"/>
          <w:b/>
          <w:sz w:val="32"/>
          <w:szCs w:val="32"/>
          <w:lang w:val="zh-CN"/>
        </w:rPr>
        <w:t>（四）评价方法。</w:t>
      </w:r>
      <w:r>
        <w:rPr>
          <w:rFonts w:ascii="仿宋_GB2312" w:eastAsia="仿宋_GB2312" w:cs="仿宋_GB2312" w:hint="eastAsia"/>
          <w:kern w:val="0"/>
          <w:sz w:val="32"/>
          <w:szCs w:val="32"/>
          <w:lang w:val="zh-CN"/>
        </w:rPr>
        <w:t>采用单位自评法和实地勘察法收集相关材料，开展评价。</w:t>
      </w:r>
    </w:p>
    <w:p>
      <w:pPr>
        <w:spacing w:line="560" w:lineRule="exact"/>
        <w:ind w:firstLine="640"/>
        <w:rPr>
          <w:rFonts w:eastAsia="仿宋_GB2312"/>
          <w:bCs/>
        </w:rPr>
      </w:pPr>
      <w:r>
        <w:rPr>
          <w:rFonts w:ascii="楷体_GB2312" w:eastAsia="楷体_GB2312" w:hint="eastAsia"/>
          <w:b/>
          <w:sz w:val="32"/>
          <w:szCs w:val="32"/>
          <w:lang w:val="zh-CN"/>
        </w:rPr>
        <w:t>（五）评价组织。</w:t>
      </w:r>
      <w:r>
        <w:rPr>
          <w:rFonts w:ascii="仿宋_GB2312" w:eastAsia="仿宋_GB2312" w:cs="仿宋_GB2312" w:hint="eastAsia"/>
          <w:kern w:val="0"/>
          <w:sz w:val="32"/>
          <w:szCs w:val="32"/>
          <w:lang w:val="zh-CN"/>
        </w:rPr>
        <w:t>评价组人员构成和职责分工。成立以分管领导为组长，各部门负责人为成员的沟口所、交警飞虹中队业务用房规范化建设经费绩效评价领导小组，领导小组设办公室于警务保障室，警保室主任兼任办公室主任，负责对沟口所、交警飞虹中队业务用房规范化建设经费情况进行评价。</w:t>
      </w:r>
    </w:p>
    <w:p>
      <w:pPr>
        <w:adjustRightInd w:val="0"/>
        <w:snapToGrid w:val="0"/>
        <w:spacing w:line="560" w:lineRule="exact"/>
        <w:ind w:firstLineChars="200" w:firstLine="640"/>
        <w:rPr>
          <w:rFonts w:ascii="仿宋_GB2312" w:hAnsi="仿宋_GB2312"/>
          <w:sz w:val="32"/>
          <w:szCs w:val="32"/>
          <w:lang w:val="zh-CN"/>
        </w:rPr>
      </w:pPr>
      <w:r>
        <w:rPr>
          <w:rFonts w:ascii="黑体" w:eastAsia="黑体" w:hint="eastAsia"/>
          <w:sz w:val="32"/>
          <w:szCs w:val="32"/>
        </w:rPr>
        <w:t>三、绩效分析</w:t>
      </w:r>
      <w:r>
        <w:rPr>
          <w:rFonts w:ascii="仿宋_GB2312" w:hAnsi="仿宋_GB2312" w:hint="eastAsia"/>
          <w:sz w:val="32"/>
          <w:szCs w:val="32"/>
          <w:lang w:val="zh-CN"/>
        </w:rPr>
        <w:tab/>
      </w:r>
    </w:p>
    <w:p>
      <w:pPr>
        <w:spacing w:line="560" w:lineRule="exact"/>
        <w:ind w:firstLine="640"/>
        <w:rPr>
          <w:rFonts w:ascii="仿宋_GB2312" w:eastAsia="仿宋_GB2312" w:cs="仿宋_GB2312"/>
          <w:kern w:val="0"/>
          <w:sz w:val="32"/>
          <w:szCs w:val="32"/>
        </w:rPr>
      </w:pPr>
      <w:r>
        <w:rPr>
          <w:rFonts w:ascii="仿宋_GB2312" w:eastAsia="仿宋_GB2312" w:cs="仿宋_GB2312"/>
          <w:kern w:val="0"/>
          <w:sz w:val="32"/>
          <w:szCs w:val="32"/>
          <w:lang w:val="zh-CN"/>
        </w:rPr>
        <w:t>根据</w:t>
      </w:r>
      <w:r>
        <w:rPr>
          <w:rFonts w:ascii="仿宋_GB2312" w:eastAsia="仿宋_GB2312" w:cs="仿宋_GB2312" w:hint="eastAsia"/>
          <w:kern w:val="0"/>
          <w:sz w:val="32"/>
          <w:szCs w:val="32"/>
          <w:lang w:val="zh-CN"/>
        </w:rPr>
        <w:t>项目</w:t>
      </w:r>
      <w:r>
        <w:rPr>
          <w:rFonts w:ascii="仿宋_GB2312" w:eastAsia="仿宋_GB2312" w:cs="仿宋_GB2312"/>
          <w:kern w:val="0"/>
          <w:sz w:val="32"/>
          <w:szCs w:val="32"/>
          <w:lang w:val="zh-CN"/>
        </w:rPr>
        <w:t>预算绩效评价指标体系“</w:t>
      </w:r>
      <w:r>
        <w:rPr>
          <w:rFonts w:ascii="仿宋_GB2312" w:eastAsia="仿宋_GB2312" w:cs="仿宋_GB2312" w:hint="eastAsia"/>
          <w:kern w:val="0"/>
          <w:sz w:val="32"/>
          <w:szCs w:val="32"/>
          <w:lang w:val="zh-CN"/>
        </w:rPr>
        <w:t>通用指标</w:t>
      </w:r>
      <w:r>
        <w:rPr>
          <w:rFonts w:ascii="仿宋_GB2312" w:eastAsia="仿宋_GB2312" w:cs="仿宋_GB2312"/>
          <w:kern w:val="0"/>
          <w:sz w:val="32"/>
          <w:szCs w:val="32"/>
          <w:lang w:val="zh-CN"/>
        </w:rPr>
        <w:t>”</w:t>
      </w:r>
      <w:r>
        <w:rPr>
          <w:rFonts w:ascii="仿宋_GB2312" w:eastAsia="仿宋_GB2312" w:cs="仿宋_GB2312" w:hint="eastAsia"/>
          <w:kern w:val="0"/>
          <w:sz w:val="32"/>
          <w:szCs w:val="32"/>
          <w:lang w:val="zh-CN"/>
        </w:rPr>
        <w:t>“专用指标”“个性指标”</w:t>
      </w:r>
      <w:r>
        <w:rPr>
          <w:rFonts w:ascii="仿宋_GB2312" w:eastAsia="仿宋_GB2312" w:cs="仿宋_GB2312"/>
          <w:kern w:val="0"/>
          <w:sz w:val="32"/>
          <w:szCs w:val="32"/>
          <w:lang w:val="zh-CN"/>
        </w:rPr>
        <w:t>涉及</w:t>
      </w:r>
      <w:r>
        <w:rPr>
          <w:rFonts w:ascii="仿宋_GB2312" w:eastAsia="仿宋_GB2312" w:cs="仿宋_GB2312" w:hint="eastAsia"/>
          <w:kern w:val="0"/>
          <w:sz w:val="32"/>
          <w:szCs w:val="32"/>
          <w:lang w:val="zh-CN"/>
        </w:rPr>
        <w:t>二、三级</w:t>
      </w:r>
      <w:r>
        <w:rPr>
          <w:rFonts w:ascii="仿宋_GB2312" w:eastAsia="仿宋_GB2312" w:cs="仿宋_GB2312"/>
          <w:kern w:val="0"/>
          <w:sz w:val="32"/>
          <w:szCs w:val="32"/>
          <w:lang w:val="zh-CN"/>
        </w:rPr>
        <w:t>指标进行</w:t>
      </w:r>
      <w:r>
        <w:rPr>
          <w:rFonts w:ascii="仿宋_GB2312" w:eastAsia="仿宋_GB2312" w:cs="仿宋_GB2312" w:hint="eastAsia"/>
          <w:kern w:val="0"/>
          <w:sz w:val="32"/>
          <w:szCs w:val="32"/>
          <w:lang w:val="zh-CN"/>
        </w:rPr>
        <w:t>逐项</w:t>
      </w:r>
      <w:r>
        <w:rPr>
          <w:rFonts w:ascii="仿宋_GB2312" w:eastAsia="仿宋_GB2312" w:cs="仿宋_GB2312"/>
          <w:kern w:val="0"/>
          <w:sz w:val="32"/>
          <w:szCs w:val="32"/>
          <w:lang w:val="zh-CN"/>
        </w:rPr>
        <w:t>绩效分析</w:t>
      </w:r>
      <w:r>
        <w:rPr>
          <w:rFonts w:ascii="仿宋_GB2312" w:eastAsia="仿宋_GB2312" w:cs="仿宋_GB2312" w:hint="eastAsia"/>
          <w:kern w:val="0"/>
          <w:sz w:val="32"/>
          <w:szCs w:val="32"/>
          <w:lang w:val="zh-CN"/>
        </w:rPr>
        <w:t>并评分</w:t>
      </w:r>
      <w:r>
        <w:rPr>
          <w:rFonts w:ascii="仿宋_GB2312" w:eastAsia="仿宋_GB2312" w:cs="仿宋_GB2312" w:hint="eastAsia"/>
          <w:kern w:val="0"/>
          <w:sz w:val="32"/>
          <w:szCs w:val="32"/>
        </w:rPr>
        <w:t>。</w:t>
      </w:r>
    </w:p>
    <w:p>
      <w:pPr>
        <w:spacing w:line="560" w:lineRule="exact"/>
        <w:ind w:firstLine="640"/>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ascii="Times New Roman" w:eastAsia="楷体_GB2312" w:hAnsi="Times New Roman"/>
          <w:b/>
          <w:bCs/>
          <w:color w:val="000000"/>
          <w:kern w:val="0"/>
          <w:sz w:val="32"/>
          <w:szCs w:val="32"/>
          <w:shd w:val="clear" w:color="auto" w:fill="FFFFFF"/>
          <w:lang w:val="zh-CN"/>
        </w:rPr>
        <w:t>绩效分析。</w:t>
      </w:r>
    </w:p>
    <w:p>
      <w:pPr>
        <w:spacing w:line="560" w:lineRule="exact"/>
        <w:ind w:firstLine="640"/>
        <w:rPr>
          <w:rFonts w:ascii="仿宋_GB2312" w:eastAsia="仿宋_GB2312" w:cs="仿宋_GB2312"/>
          <w:kern w:val="0"/>
          <w:sz w:val="32"/>
          <w:szCs w:val="32"/>
          <w:lang w:val="zh-CN"/>
        </w:rPr>
      </w:pPr>
      <w:r>
        <w:rPr>
          <w:rFonts w:ascii="楷体_GB2312" w:eastAsia="楷体_GB2312" w:cs="楷体_GB2312" w:hint="eastAsia"/>
          <w:sz w:val="32"/>
          <w:szCs w:val="32"/>
        </w:rPr>
        <w:t>1.项目决策。</w:t>
      </w:r>
      <w:r>
        <w:rPr>
          <w:rFonts w:ascii="仿宋_GB2312" w:eastAsia="仿宋_GB2312" w:cs="仿宋_GB2312" w:hint="eastAsia"/>
          <w:kern w:val="0"/>
          <w:sz w:val="32"/>
          <w:szCs w:val="32"/>
          <w:lang w:val="zh-CN"/>
        </w:rPr>
        <w:t>经局党委会研究决定并报县人民政府常务会议审议通过。</w:t>
      </w:r>
    </w:p>
    <w:p>
      <w:pPr>
        <w:spacing w:line="560" w:lineRule="exact"/>
        <w:ind w:firstLine="640"/>
        <w:rPr>
          <w:rFonts w:ascii="仿宋_GB2312" w:eastAsia="仿宋_GB2312" w:cs="仿宋_GB2312"/>
          <w:kern w:val="0"/>
          <w:sz w:val="32"/>
          <w:szCs w:val="32"/>
          <w:lang w:val="zh-CN"/>
        </w:rPr>
      </w:pPr>
      <w:r>
        <w:rPr>
          <w:rFonts w:ascii="楷体_GB2312" w:eastAsia="楷体_GB2312" w:cs="楷体_GB2312" w:hint="eastAsia"/>
          <w:sz w:val="32"/>
          <w:szCs w:val="32"/>
        </w:rPr>
        <w:t>2.项目管理。</w:t>
      </w:r>
      <w:r>
        <w:rPr>
          <w:rFonts w:ascii="仿宋_GB2312" w:eastAsia="仿宋_GB2312" w:cs="仿宋_GB2312" w:hint="eastAsia"/>
          <w:kern w:val="0"/>
          <w:sz w:val="32"/>
          <w:szCs w:val="32"/>
          <w:lang w:val="zh-CN"/>
        </w:rPr>
        <w:t>该项目严格执行财务管理制度、财务处理及时、会计核算规范。一是项目实施主体明确，在县公安局党委的领导下，项目实施主体明确，由警务保障按照县局细化预算项目支出方案组织实施。二是保障措施规范有力，保障措施是：加强财务管理，提高资金使用效益；建立健全完善部门内部控制制度，强化督促检查，严格落实项目工作计划，确保茂县公安事业发展规划项目依法依规组织实施。三是资金安排程序依法依规有序，资金安排程序是：根据财政部门预算批复资金项目内容，按照经县公安局党委批准的内部细化预算方案，由警务保障室组织项目实施，依据项目实施进度及资金使用计划，落实项目预算资金保障，确保项目有计划执行。四是资金安排标准或依据合理充分，资金安排依据是：茂财预调（2023）00035号文。五是财务管理规范，按照《公安机关财务管理办法》《茂县公安局机关财务管理办法》的规定使用资金。</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3.项目实施。</w:t>
      </w:r>
      <w:r>
        <w:rPr>
          <w:rFonts w:ascii="仿宋_GB2312" w:eastAsia="仿宋_GB2312" w:cs="仿宋_GB2312" w:hint="eastAsia"/>
          <w:kern w:val="0"/>
          <w:sz w:val="32"/>
          <w:szCs w:val="32"/>
          <w:lang w:val="zh-CN"/>
        </w:rPr>
        <w:t>预算执行情况良好，资金到位率高，支出进度符合项目要求。资金使用合规，未发现截留、挪用等违规现象。</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4.项目结果。</w:t>
      </w:r>
      <w:r>
        <w:rPr>
          <w:rFonts w:ascii="仿宋_GB2312" w:eastAsia="仿宋_GB2312" w:cs="仿宋_GB2312" w:hint="eastAsia"/>
          <w:kern w:val="0"/>
          <w:sz w:val="32"/>
          <w:szCs w:val="32"/>
        </w:rPr>
        <w:t>绩效目标基本完成，项目整体按时推进，项目验收合格。</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（二）</w:t>
      </w:r>
      <w:r>
        <w:rPr>
          <w:rFonts w:ascii="楷体_GB2312" w:eastAsia="楷体_GB2312" w:hint="eastAsia"/>
          <w:b/>
          <w:sz w:val="32"/>
          <w:szCs w:val="32"/>
        </w:rPr>
        <w:t>专用指标</w:t>
      </w:r>
      <w:r>
        <w:rPr>
          <w:rFonts w:ascii="Times New Roman" w:eastAsia="楷体_GB2312" w:hAnsi="Times New Roman"/>
          <w:b/>
          <w:bCs/>
          <w:color w:val="000000"/>
          <w:kern w:val="0"/>
          <w:sz w:val="32"/>
          <w:szCs w:val="32"/>
          <w:shd w:val="clear" w:color="auto" w:fill="FFFFFF"/>
          <w:lang w:val="zh-CN"/>
        </w:rPr>
        <w:t>绩效分析。</w:t>
      </w:r>
      <w:r>
        <w:rPr>
          <w:rFonts w:ascii="仿宋_GB2312" w:eastAsia="仿宋_GB2312" w:cs="仿宋_GB2312" w:hint="eastAsia"/>
          <w:kern w:val="0"/>
          <w:sz w:val="32"/>
          <w:szCs w:val="32"/>
          <w:lang w:val="zh-CN"/>
        </w:rPr>
        <w:t>根据</w:t>
      </w:r>
      <w:r>
        <w:rPr>
          <w:rFonts w:ascii="仿宋_GB2312" w:eastAsia="仿宋_GB2312" w:cs="仿宋_GB2312" w:hint="eastAsia"/>
          <w:kern w:val="0"/>
          <w:sz w:val="32"/>
          <w:szCs w:val="32"/>
        </w:rPr>
        <w:t>专项预算项目资金支持对象选择所属指标进行绩效分析。支持对象</w:t>
      </w:r>
      <w:r>
        <w:rPr>
          <w:rFonts w:ascii="仿宋_GB2312" w:eastAsia="仿宋_GB2312" w:cs="仿宋_GB2312" w:hint="eastAsia"/>
          <w:kern w:val="0"/>
          <w:sz w:val="32"/>
          <w:szCs w:val="32"/>
          <w:lang w:val="zh-CN"/>
        </w:rPr>
        <w:t>包括产业发展、民生保障、基础设施、行政运转等方面。</w:t>
      </w:r>
    </w:p>
    <w:p>
      <w:pPr>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1.产业发展。</w:t>
      </w:r>
      <w:r>
        <w:rPr>
          <w:rFonts w:ascii="仿宋_GB2312" w:eastAsia="仿宋_GB2312" w:cs="仿宋_GB2312" w:hint="eastAsia"/>
          <w:kern w:val="0"/>
          <w:sz w:val="32"/>
          <w:szCs w:val="32"/>
        </w:rPr>
        <w:t>围绕符合性、成长性、经济性进行绩效分析。无</w:t>
      </w:r>
    </w:p>
    <w:p>
      <w:pPr>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2.</w:t>
      </w:r>
      <w:r>
        <w:rPr>
          <w:rFonts w:ascii="楷体_GB2312" w:eastAsia="楷体_GB2312" w:cs="楷体_GB2312" w:hint="eastAsia"/>
          <w:sz w:val="32"/>
          <w:szCs w:val="32"/>
          <w:lang w:val="zh-CN"/>
        </w:rPr>
        <w:t>民生保障。</w:t>
      </w:r>
      <w:r>
        <w:rPr>
          <w:rFonts w:ascii="仿宋_GB2312" w:eastAsia="仿宋_GB2312" w:cs="仿宋_GB2312" w:hint="eastAsia"/>
          <w:kern w:val="0"/>
          <w:sz w:val="32"/>
          <w:szCs w:val="32"/>
        </w:rPr>
        <w:t>围绕区域均衡性、对象精准性、标准合理性、群众满意度进行绩效分析。无</w:t>
      </w:r>
    </w:p>
    <w:p>
      <w:pPr>
        <w:adjustRightInd w:val="0"/>
        <w:snapToGrid w:val="0"/>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3.基础设施。</w:t>
      </w:r>
      <w:r>
        <w:rPr>
          <w:rFonts w:ascii="仿宋_GB2312" w:eastAsia="仿宋_GB2312" w:cs="仿宋_GB2312" w:hint="eastAsia"/>
          <w:kern w:val="0"/>
          <w:sz w:val="32"/>
          <w:szCs w:val="32"/>
        </w:rPr>
        <w:t>项目验收合格，按照合同约定进行资金支付，该项目的实施进一步改善民辅警的工作环境，提高工作质量和效率。</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4.</w:t>
      </w:r>
      <w:r>
        <w:rPr>
          <w:rFonts w:ascii="楷体_GB2312" w:eastAsia="楷体_GB2312" w:cs="楷体_GB2312" w:hint="eastAsia"/>
          <w:sz w:val="32"/>
          <w:szCs w:val="32"/>
          <w:lang w:val="zh-CN"/>
        </w:rPr>
        <w:t>行政运转。</w:t>
      </w:r>
      <w:r>
        <w:rPr>
          <w:rFonts w:ascii="仿宋_GB2312" w:eastAsia="仿宋_GB2312" w:cs="仿宋_GB2312" w:hint="eastAsia"/>
          <w:kern w:val="0"/>
          <w:sz w:val="32"/>
          <w:szCs w:val="32"/>
          <w:lang w:val="zh-CN"/>
        </w:rPr>
        <w:t>该项目支出符合国家财经法规和财务管理制度规定以及有关专项资金管理办法的规定，按规定用途、适用范围管理，资金管理程序符合专项资金管理要求，资金分配标准符合专项资金管理要求。</w:t>
      </w:r>
    </w:p>
    <w:p>
      <w:pPr>
        <w:spacing w:line="560" w:lineRule="exact"/>
        <w:ind w:firstLine="640"/>
        <w:rPr>
          <w:rFonts w:ascii="仿宋_GB2312" w:eastAsia="仿宋_GB2312" w:cs="仿宋_GB2312"/>
          <w:kern w:val="0"/>
          <w:sz w:val="32"/>
          <w:szCs w:val="32"/>
        </w:rPr>
      </w:pPr>
      <w:r>
        <w:rPr>
          <w:rFonts w:ascii="楷体_GB2312" w:eastAsia="楷体_GB2312" w:hint="eastAsia"/>
          <w:b/>
          <w:sz w:val="32"/>
          <w:szCs w:val="32"/>
          <w:lang w:val="zh-CN"/>
        </w:rPr>
        <w:t>（三）</w:t>
      </w:r>
      <w:r>
        <w:rPr>
          <w:rFonts w:ascii="楷体_GB2312" w:eastAsia="楷体_GB2312" w:hint="eastAsia"/>
          <w:b/>
          <w:sz w:val="32"/>
          <w:szCs w:val="32"/>
        </w:rPr>
        <w:t>个性指标</w:t>
      </w:r>
      <w:r>
        <w:rPr>
          <w:rFonts w:ascii="Times New Roman" w:eastAsia="楷体_GB2312" w:hAnsi="Times New Roman"/>
          <w:b/>
          <w:bCs/>
          <w:color w:val="000000"/>
          <w:kern w:val="0"/>
          <w:sz w:val="32"/>
          <w:szCs w:val="32"/>
          <w:shd w:val="clear" w:color="auto" w:fill="FFFFFF"/>
          <w:lang w:val="zh-CN"/>
        </w:rPr>
        <w:t>绩效分析。</w:t>
      </w:r>
      <w:r>
        <w:rPr>
          <w:rFonts w:ascii="仿宋_GB2312" w:eastAsia="仿宋_GB2312" w:cs="仿宋_GB2312" w:hint="eastAsia"/>
          <w:kern w:val="0"/>
          <w:sz w:val="32"/>
          <w:szCs w:val="32"/>
          <w:lang w:val="zh-CN"/>
        </w:rPr>
        <w:t>根据项目个性自行设定部分指标，反映该项指标执行完成情况。无</w:t>
      </w:r>
    </w:p>
    <w:p>
      <w:pPr>
        <w:pStyle w:val="17"/>
        <w:tabs>
          <w:tab w:val="left" w:pos="2160"/>
        </w:tabs>
        <w:spacing w:line="560" w:lineRule="exact"/>
        <w:ind w:firstLineChars="200" w:firstLine="640"/>
        <w:rPr>
          <w:rFonts w:ascii="黑体" w:eastAsia="黑体"/>
          <w:sz w:val="32"/>
          <w:szCs w:val="32"/>
        </w:rPr>
      </w:pPr>
      <w:r>
        <w:rPr>
          <w:rFonts w:ascii="黑体" w:eastAsia="黑体" w:hint="eastAsia"/>
          <w:sz w:val="32"/>
          <w:szCs w:val="32"/>
        </w:rPr>
        <w:t>四、评价结论</w:t>
      </w:r>
    </w:p>
    <w:p>
      <w:pPr>
        <w:pStyle w:val="17"/>
        <w:tabs>
          <w:tab w:val="left" w:pos="2160"/>
        </w:tabs>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kern w:val="0"/>
          <w:sz w:val="32"/>
          <w:szCs w:val="32"/>
        </w:rPr>
        <w:t>根据预算绩效管理相关制度的要求，结合项目绩效指标完成情况及对项目成本、项目效率、部门绩效目标实现的综合分析，项目综合评价为项目各项指标项均达到指标要求，项目实施达到预期效果。自评得分94分。</w:t>
      </w:r>
    </w:p>
    <w:p>
      <w:pPr>
        <w:pStyle w:val="17"/>
        <w:tabs>
          <w:tab w:val="left" w:pos="2160"/>
        </w:tabs>
        <w:spacing w:line="560" w:lineRule="exact"/>
        <w:ind w:firstLineChars="200" w:firstLine="640"/>
        <w:rPr>
          <w:rFonts w:ascii="黑体" w:eastAsia="黑体"/>
          <w:sz w:val="32"/>
          <w:szCs w:val="32"/>
        </w:rPr>
      </w:pPr>
      <w:r>
        <w:rPr>
          <w:rFonts w:ascii="黑体" w:eastAsia="黑体" w:hint="eastAsia"/>
          <w:sz w:val="32"/>
          <w:szCs w:val="32"/>
        </w:rPr>
        <w:t>五、存在主要问题</w:t>
      </w:r>
    </w:p>
    <w:p>
      <w:pPr>
        <w:pStyle w:val="17"/>
        <w:tabs>
          <w:tab w:val="left" w:pos="2160"/>
        </w:tabs>
        <w:spacing w:line="560" w:lineRule="exact"/>
        <w:ind w:firstLineChars="200" w:firstLine="640"/>
        <w:rPr>
          <w:rFonts w:ascii="黑体" w:cs="黑体" w:hAnsi="黑体"/>
          <w:sz w:val="32"/>
          <w:szCs w:val="32"/>
        </w:rPr>
      </w:pPr>
      <w:r>
        <w:rPr>
          <w:rFonts w:ascii="仿宋_GB2312" w:eastAsia="仿宋_GB2312" w:cs="仿宋_GB2312" w:hint="eastAsia"/>
          <w:kern w:val="0"/>
          <w:sz w:val="32"/>
          <w:szCs w:val="32"/>
        </w:rPr>
        <w:t>由于对支出绩效评价工作的重要性还认识不够，因此对绩效评价工作的重视度还不够，部分项目支出绩效指标无法用量化指标来进行考评。</w:t>
      </w:r>
    </w:p>
    <w:p>
      <w:pPr>
        <w:pStyle w:val="17"/>
        <w:tabs>
          <w:tab w:val="left" w:pos="2160"/>
        </w:tabs>
        <w:spacing w:line="560" w:lineRule="exact"/>
        <w:ind w:firstLineChars="200" w:firstLine="640"/>
        <w:rPr>
          <w:rFonts w:ascii="黑体" w:eastAsia="黑体"/>
          <w:kern w:val="0"/>
          <w:position w:val="3"/>
          <w:sz w:val="32"/>
          <w:szCs w:val="32"/>
          <w:lang w:val="zh-CN"/>
        </w:rPr>
      </w:pPr>
      <w:r>
        <w:rPr>
          <w:rFonts w:ascii="黑体" w:eastAsia="黑体" w:hint="eastAsia"/>
          <w:kern w:val="0"/>
          <w:position w:val="3"/>
          <w:sz w:val="32"/>
          <w:szCs w:val="32"/>
          <w:lang w:val="zh-CN"/>
        </w:rPr>
        <w:t>六、改进建议</w:t>
      </w:r>
    </w:p>
    <w:p>
      <w:pPr>
        <w:tabs>
          <w:tab w:val="left" w:pos="1911"/>
        </w:tabs>
        <w:spacing w:line="560" w:lineRule="exact"/>
        <w:jc w:val="left"/>
        <w:rPr>
          <w:rFonts w:ascii="仿宋_GB2312" w:eastAsia="仿宋_GB2312" w:cs="仿宋_GB2312"/>
          <w:kern w:val="0"/>
          <w:sz w:val="32"/>
          <w:szCs w:val="32"/>
        </w:rPr>
      </w:pPr>
      <w:r>
        <w:rPr>
          <w:rFonts w:ascii="仿宋_GB2312" w:eastAsia="仿宋_GB2312" w:cs="仿宋_GB2312" w:hint="eastAsia"/>
          <w:kern w:val="0"/>
          <w:sz w:val="32"/>
          <w:szCs w:val="32"/>
          <w:lang w:val="zh-CN"/>
        </w:rPr>
        <w:t xml:space="preserve"> </w:t>
      </w:r>
      <w:r>
        <w:rPr>
          <w:rFonts w:ascii="仿宋_GB2312" w:eastAsia="仿宋_GB2312" w:cs="仿宋_GB2312" w:hint="eastAsia"/>
          <w:kern w:val="0"/>
          <w:sz w:val="32"/>
          <w:szCs w:val="32"/>
        </w:rPr>
        <w:t xml:space="preserve">   </w:t>
      </w:r>
      <w:r>
        <w:rPr>
          <w:rFonts w:ascii="仿宋_GB2312" w:eastAsia="仿宋_GB2312" w:cs="仿宋_GB2312" w:hint="eastAsia"/>
          <w:kern w:val="0"/>
          <w:sz w:val="32"/>
          <w:szCs w:val="32"/>
          <w:lang w:val="zh-CN"/>
        </w:rPr>
        <w:t>针对存在的问题，我们将进一步科学设定绩效目标，加强预算执行管理。遵循先有预算、后有支出的原则，加强《新预算法》、《政府会计制度》等学习培训，规范部门预算收支核算，加强财务管理和内部控制监督制度。</w:t>
      </w:r>
    </w:p>
    <w:p>
      <w:pPr>
        <w:spacing w:line="560" w:lineRule="exact"/>
        <w:rPr>
          <w:rStyle w:val="1Char"/>
          <w:rFonts w:ascii="黑体" w:eastAsia="黑体"/>
          <w:b w:val="0"/>
        </w:rPr>
      </w:pPr>
    </w:p>
    <w:p>
      <w:pPr>
        <w:spacing w:line="560" w:lineRule="exact"/>
        <w:rPr>
          <w:rFonts w:ascii="黑体" w:eastAsia="黑体"/>
          <w:sz w:val="44"/>
          <w:szCs w:val="44"/>
        </w:rPr>
      </w:pPr>
      <w:bookmarkStart w:id="69" w:name="_Toc15396618"/>
    </w:p>
    <w:p>
      <w:pPr>
        <w:spacing w:line="560" w:lineRule="exact"/>
        <w:rPr>
          <w:rFonts w:ascii="黑体" w:eastAsia="黑体"/>
          <w:sz w:val="44"/>
          <w:szCs w:val="44"/>
        </w:rPr>
      </w:pPr>
    </w:p>
    <w:p>
      <w:pPr>
        <w:pStyle w:val="15"/>
        <w:rPr>
          <w:rFonts w:ascii="黑体"/>
          <w:sz w:val="44"/>
          <w:szCs w:val="44"/>
        </w:rPr>
      </w:pPr>
    </w:p>
    <w:p>
      <w:pPr>
        <w:rPr>
          <w:rFonts w:ascii="黑体" w:eastAsia="黑体"/>
          <w:sz w:val="44"/>
          <w:szCs w:val="44"/>
        </w:rPr>
      </w:pPr>
    </w:p>
    <w:p>
      <w:pPr>
        <w:pStyle w:val="15"/>
        <w:rPr>
          <w:rFonts w:ascii="黑体"/>
          <w:sz w:val="44"/>
          <w:szCs w:val="44"/>
        </w:rPr>
      </w:pPr>
    </w:p>
    <w:p>
      <w:pPr>
        <w:rPr>
          <w:rFonts w:ascii="黑体" w:eastAsia="黑体"/>
          <w:sz w:val="44"/>
          <w:szCs w:val="44"/>
        </w:rPr>
      </w:pPr>
    </w:p>
    <w:p>
      <w:pPr>
        <w:pStyle w:val="15"/>
        <w:rPr>
          <w:rFonts w:ascii="黑体"/>
          <w:sz w:val="44"/>
          <w:szCs w:val="44"/>
        </w:rPr>
      </w:pPr>
    </w:p>
    <w:p>
      <w:pPr>
        <w:rPr>
          <w:rFonts w:ascii="黑体" w:eastAsia="黑体"/>
          <w:sz w:val="44"/>
          <w:szCs w:val="44"/>
        </w:rPr>
      </w:pPr>
    </w:p>
    <w:p>
      <w:pPr>
        <w:pStyle w:val="15"/>
        <w:rPr>
          <w:rFonts w:ascii="黑体"/>
          <w:sz w:val="44"/>
          <w:szCs w:val="44"/>
        </w:rPr>
      </w:pPr>
    </w:p>
    <w:p>
      <w:pPr>
        <w:rPr>
          <w:rFonts w:ascii="黑体" w:eastAsia="黑体"/>
          <w:sz w:val="44"/>
          <w:szCs w:val="44"/>
        </w:rPr>
      </w:pPr>
    </w:p>
    <w:p>
      <w:pPr>
        <w:pStyle w:val="15"/>
      </w:pPr>
    </w:p>
    <w:p>
      <w:pPr>
        <w:spacing w:line="560" w:lineRule="exact"/>
        <w:rPr>
          <w:rFonts w:ascii="黑体" w:eastAsia="黑体"/>
          <w:sz w:val="44"/>
          <w:szCs w:val="44"/>
        </w:rPr>
      </w:pPr>
    </w:p>
    <w:p>
      <w:pPr>
        <w:pStyle w:val="33"/>
        <w:spacing w:line="560" w:lineRule="exact"/>
        <w:jc w:val="center"/>
        <w:rPr>
          <w:rFonts w:ascii="方正小标宋简体" w:eastAsia="方正小标宋简体" w:cs="方正小标宋简体"/>
          <w:color w:val="auto"/>
          <w:kern w:val="2"/>
          <w:sz w:val="44"/>
          <w:szCs w:val="44"/>
          <w:lang w:val="en-US"/>
        </w:rPr>
      </w:pPr>
      <w:r>
        <w:rPr>
          <w:rFonts w:ascii="方正小标宋简体" w:eastAsia="方正小标宋简体" w:cs="方正小标宋简体" w:hint="eastAsia"/>
          <w:color w:val="auto"/>
          <w:kern w:val="2"/>
          <w:sz w:val="44"/>
          <w:szCs w:val="44"/>
          <w:lang w:val="en-US"/>
        </w:rPr>
        <w:t>铁路护路联防专项资金项目绩效评价报告</w:t>
      </w:r>
    </w:p>
    <w:p>
      <w:pPr>
        <w:pStyle w:val="33"/>
        <w:spacing w:line="560" w:lineRule="exact"/>
        <w:ind w:firstLine="640"/>
        <w:jc w:val="center"/>
        <w:rPr>
          <w:rFonts w:ascii="宋体"/>
          <w:color w:val="auto"/>
          <w:kern w:val="2"/>
          <w:sz w:val="32"/>
          <w:szCs w:val="32"/>
        </w:rPr>
      </w:pPr>
    </w:p>
    <w:p>
      <w:pPr>
        <w:adjustRightInd w:val="0"/>
        <w:snapToGrid w:val="0"/>
        <w:spacing w:line="560" w:lineRule="exact"/>
        <w:ind w:firstLineChars="200" w:firstLine="640"/>
        <w:rPr>
          <w:rFonts w:ascii="黑体" w:eastAsia="黑体"/>
          <w:sz w:val="32"/>
          <w:szCs w:val="32"/>
          <w:lang w:val="zh-CN"/>
        </w:rPr>
      </w:pPr>
      <w:r>
        <w:rPr>
          <w:rFonts w:ascii="黑体" w:eastAsia="黑体" w:hint="eastAsia"/>
          <w:sz w:val="32"/>
          <w:szCs w:val="32"/>
        </w:rPr>
        <w:t>一、</w:t>
      </w:r>
      <w:r>
        <w:rPr>
          <w:rFonts w:ascii="黑体" w:eastAsia="黑体" w:hint="eastAsia"/>
          <w:sz w:val="32"/>
          <w:szCs w:val="32"/>
          <w:lang w:val="zh-CN"/>
        </w:rPr>
        <w:t>项目概况</w:t>
      </w:r>
    </w:p>
    <w:p>
      <w:pPr>
        <w:adjustRightInd w:val="0"/>
        <w:snapToGrid w:val="0"/>
        <w:spacing w:line="560" w:lineRule="exact"/>
        <w:ind w:firstLineChars="200" w:firstLine="640"/>
        <w:rPr>
          <w:rFonts w:ascii="仿宋_GB2312" w:eastAsia="仿宋_GB2312" w:cs="仿宋_GB2312"/>
          <w:kern w:val="0"/>
          <w:sz w:val="32"/>
          <w:szCs w:val="32"/>
          <w:shd w:val="clear" w:color="auto" w:fill="FFFFFF"/>
          <w:lang w:val="zh-CN"/>
        </w:rPr>
      </w:pPr>
      <w:r>
        <w:rPr>
          <w:rFonts w:ascii="楷体_GB2312" w:eastAsia="楷体_GB2312" w:hint="eastAsia"/>
          <w:b/>
          <w:sz w:val="32"/>
          <w:szCs w:val="32"/>
          <w:lang w:val="zh-CN"/>
        </w:rPr>
        <w:t>（一）设立背景及基本情况。</w:t>
      </w:r>
      <w:r>
        <w:rPr>
          <w:rFonts w:ascii="仿宋_GB2312" w:eastAsia="仿宋_GB2312" w:cs="仿宋_GB2312" w:hint="eastAsia"/>
          <w:kern w:val="0"/>
          <w:sz w:val="32"/>
          <w:szCs w:val="32"/>
          <w:lang w:val="zh-CN"/>
        </w:rPr>
        <w:t>项目设立原因及背景：</w:t>
      </w:r>
      <w:r>
        <w:rPr>
          <w:rFonts w:ascii="仿宋_GB2312" w:eastAsia="仿宋_GB2312" w:cs="仿宋_GB2312" w:hint="eastAsia"/>
          <w:kern w:val="0"/>
          <w:sz w:val="32"/>
          <w:szCs w:val="32"/>
        </w:rPr>
        <w:t>2023年11月28日，川青铁路茂县站正式开通，为扎实开展好铁路联防工作，省财政厅下达我县铁路护路联防专项资金。</w:t>
      </w:r>
      <w:r>
        <w:rPr>
          <w:rFonts w:ascii="仿宋_GB2312" w:eastAsia="仿宋_GB2312" w:cs="仿宋_GB2312" w:hint="eastAsia"/>
          <w:kern w:val="0"/>
          <w:sz w:val="32"/>
          <w:szCs w:val="32"/>
          <w:lang w:val="zh-CN"/>
        </w:rPr>
        <w:t>资金申报依据：</w:t>
      </w:r>
      <w:r>
        <w:rPr>
          <w:rFonts w:ascii="仿宋_GB2312" w:eastAsia="仿宋_GB2312" w:cs="仿宋_GB2312" w:hint="eastAsia"/>
          <w:kern w:val="0"/>
          <w:sz w:val="32"/>
          <w:szCs w:val="32"/>
        </w:rPr>
        <w:t>依据是四川省财政厅《关于下达2023年省级铁路护路联防专项资金的通知》（川财行【2023】28号），</w:t>
      </w:r>
      <w:r>
        <w:rPr>
          <w:rFonts w:ascii="仿宋_GB2312" w:eastAsia="仿宋_GB2312" w:cs="仿宋_GB2312" w:hint="eastAsia"/>
          <w:kern w:val="0"/>
          <w:sz w:val="32"/>
          <w:szCs w:val="32"/>
          <w:lang w:val="zh-CN"/>
        </w:rPr>
        <w:t>项目主要包括：群防群治务工补助、公务经费、重点整治信息化建设、护路队员绩效考核。主管部门职能：维护号铁路沿线治安秩序，严厉打击危害铁路运输安全的各种违法犯罪活动，适时开展铁路沿线突出治安问题整治活动，完善沿线警示牌设立，督导护路队伍开展好巡查及宣传工作。</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（二）</w:t>
      </w:r>
      <w:r>
        <w:rPr>
          <w:rFonts w:ascii="楷体_GB2312" w:eastAsia="楷体_GB2312"/>
          <w:b/>
          <w:sz w:val="32"/>
          <w:szCs w:val="32"/>
        </w:rPr>
        <w:t>实施目的及支持方向</w:t>
      </w:r>
      <w:r>
        <w:rPr>
          <w:rFonts w:ascii="楷体_GB2312" w:eastAsia="楷体_GB2312" w:hint="eastAsia"/>
          <w:b/>
          <w:sz w:val="32"/>
          <w:szCs w:val="32"/>
        </w:rPr>
        <w:t>。</w:t>
      </w:r>
      <w:r>
        <w:rPr>
          <w:rFonts w:ascii="仿宋_GB2312" w:eastAsia="仿宋_GB2312" w:cs="仿宋_GB2312" w:hint="eastAsia"/>
          <w:kern w:val="0"/>
          <w:sz w:val="32"/>
          <w:szCs w:val="32"/>
          <w:lang w:val="zh-CN"/>
        </w:rPr>
        <w:t>项目资金管理办法制定情况：县护路办参照州护路办专项资金分配方案制定《茂县公安局</w:t>
      </w:r>
      <w:r>
        <w:rPr>
          <w:rFonts w:ascii="仿宋_GB2312" w:eastAsia="仿宋_GB2312" w:cs="仿宋_GB2312" w:hint="eastAsia"/>
          <w:kern w:val="0"/>
          <w:sz w:val="32"/>
          <w:szCs w:val="32"/>
        </w:rPr>
        <w:t>2023年铁路护路联防专项资金分配方案</w:t>
      </w:r>
      <w:r>
        <w:rPr>
          <w:rFonts w:ascii="仿宋_GB2312" w:eastAsia="仿宋_GB2312" w:cs="仿宋_GB2312" w:hint="eastAsia"/>
          <w:kern w:val="0"/>
          <w:sz w:val="32"/>
          <w:szCs w:val="32"/>
          <w:lang w:val="zh-CN"/>
        </w:rPr>
        <w:t>》。项目实施目的和主要工作任务：通过完善铁路沿线警示牌，加大铁路沿线治安防范及危行宣传教育，漂浮物清理等确保铁路安全运行。项目支持方向：群防群治务工补助、公务经费、重点整治信息化建设、护路队员绩效考核。</w:t>
      </w:r>
    </w:p>
    <w:p>
      <w:pPr>
        <w:widowControl/>
        <w:suppressAutoHyphens/>
        <w:adjustRightInd w:val="0"/>
        <w:snapToGrid w:val="0"/>
        <w:spacing w:line="560" w:lineRule="exact"/>
        <w:ind w:firstLineChars="200" w:firstLine="640"/>
        <w:contextualSpacing/>
        <w:jc w:val="left"/>
        <w:rPr>
          <w:rFonts w:ascii="仿宋_GB2312" w:eastAsia="仿宋_GB2312" w:cs="仿宋_GB2312"/>
          <w:kern w:val="0"/>
          <w:sz w:val="32"/>
          <w:szCs w:val="32"/>
          <w:lang w:val="zh-CN"/>
        </w:rPr>
      </w:pPr>
      <w:r>
        <w:rPr>
          <w:rFonts w:ascii="楷体_GB2312" w:eastAsia="楷体_GB2312" w:hint="eastAsia"/>
          <w:b/>
          <w:sz w:val="32"/>
          <w:szCs w:val="32"/>
          <w:lang w:val="zh-CN"/>
        </w:rPr>
        <w:t>（三）</w:t>
      </w:r>
      <w:r>
        <w:rPr>
          <w:rFonts w:ascii="楷体_GB2312" w:eastAsia="楷体_GB2312"/>
          <w:b/>
          <w:sz w:val="32"/>
          <w:szCs w:val="32"/>
        </w:rPr>
        <w:t>预算安排及分配管理</w:t>
      </w:r>
      <w:r>
        <w:rPr>
          <w:rFonts w:ascii="楷体_GB2312" w:eastAsia="楷体_GB2312" w:hint="eastAsia"/>
          <w:b/>
          <w:sz w:val="32"/>
          <w:szCs w:val="32"/>
          <w:lang w:val="zh-CN"/>
        </w:rPr>
        <w:t>。</w:t>
      </w:r>
      <w:r>
        <w:rPr>
          <w:rFonts w:ascii="仿宋_GB2312" w:eastAsia="仿宋_GB2312" w:cs="仿宋_GB2312" w:hint="eastAsia"/>
          <w:kern w:val="0"/>
          <w:sz w:val="32"/>
          <w:szCs w:val="32"/>
          <w:lang w:val="zh-CN"/>
        </w:rPr>
        <w:t>项目预算安排情况：</w:t>
      </w:r>
      <w:r>
        <w:rPr>
          <w:rFonts w:ascii="仿宋_GB2312" w:eastAsia="仿宋_GB2312" w:cs="仿宋_GB2312" w:hint="eastAsia"/>
          <w:kern w:val="0"/>
          <w:sz w:val="32"/>
          <w:szCs w:val="32"/>
        </w:rPr>
        <w:t>省财政厅下达我县48万元，其中群防群治务工补助31万元，公务经费补助4万元，</w:t>
      </w:r>
      <w:r>
        <w:rPr>
          <w:rFonts w:ascii="仿宋_GB2312" w:eastAsia="仿宋_GB2312" w:cs="仿宋_GB2312" w:hint="eastAsia"/>
          <w:kern w:val="0"/>
          <w:sz w:val="32"/>
          <w:szCs w:val="32"/>
          <w:lang w:val="zh-CN"/>
        </w:rPr>
        <w:t>重点整治信息化建设</w:t>
      </w:r>
      <w:r>
        <w:rPr>
          <w:rFonts w:ascii="仿宋_GB2312" w:eastAsia="仿宋_GB2312" w:cs="仿宋_GB2312" w:hint="eastAsia"/>
          <w:kern w:val="0"/>
          <w:sz w:val="32"/>
          <w:szCs w:val="32"/>
        </w:rPr>
        <w:t>3万元，</w:t>
      </w:r>
      <w:r>
        <w:rPr>
          <w:rFonts w:ascii="仿宋_GB2312" w:eastAsia="仿宋_GB2312" w:cs="仿宋_GB2312" w:hint="eastAsia"/>
          <w:kern w:val="0"/>
          <w:sz w:val="32"/>
          <w:szCs w:val="32"/>
          <w:lang w:val="zh-CN"/>
        </w:rPr>
        <w:t>护路队员绩效考核</w:t>
      </w:r>
      <w:r>
        <w:rPr>
          <w:rFonts w:ascii="仿宋_GB2312" w:eastAsia="仿宋_GB2312" w:cs="仿宋_GB2312" w:hint="eastAsia"/>
          <w:kern w:val="0"/>
          <w:sz w:val="32"/>
          <w:szCs w:val="32"/>
        </w:rPr>
        <w:t>10万元。</w:t>
      </w:r>
      <w:r>
        <w:rPr>
          <w:rFonts w:ascii="仿宋_GB2312" w:eastAsia="仿宋_GB2312" w:cs="仿宋_GB2312" w:hint="eastAsia"/>
          <w:kern w:val="0"/>
          <w:sz w:val="32"/>
          <w:szCs w:val="32"/>
          <w:lang w:val="zh-CN"/>
        </w:rPr>
        <w:t>项目资金分配原则及考虑因素：按照我县铁路总里程</w:t>
      </w:r>
      <w:r>
        <w:rPr>
          <w:rFonts w:ascii="仿宋_GB2312" w:eastAsia="仿宋_GB2312" w:cs="仿宋_GB2312" w:hint="eastAsia"/>
          <w:kern w:val="0"/>
          <w:sz w:val="32"/>
          <w:szCs w:val="32"/>
        </w:rPr>
        <w:t>79.33公里，每名护路队伍管辖3-5公里及沿线治安环境、护路实际进行测算</w:t>
      </w:r>
      <w:r>
        <w:rPr>
          <w:rFonts w:ascii="仿宋_GB2312" w:eastAsia="仿宋_GB2312" w:cs="仿宋_GB2312" w:hint="eastAsia"/>
          <w:kern w:val="0"/>
          <w:sz w:val="32"/>
          <w:szCs w:val="32"/>
          <w:lang w:val="zh-CN"/>
        </w:rPr>
        <w:t>。</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（四）项目绩效目标设置。</w:t>
      </w:r>
      <w:r>
        <w:rPr>
          <w:rFonts w:ascii="仿宋_GB2312" w:eastAsia="仿宋_GB2312" w:cs="仿宋_GB2312" w:hint="eastAsia"/>
          <w:kern w:val="0"/>
          <w:sz w:val="32"/>
          <w:szCs w:val="32"/>
        </w:rPr>
        <w:t>铁路沿线治安秩序良好，无危行事故发生，爱路护路氛围浓厚</w:t>
      </w:r>
      <w:r>
        <w:rPr>
          <w:rFonts w:ascii="仿宋_GB2312" w:eastAsia="仿宋_GB2312" w:cs="仿宋_GB2312" w:hint="eastAsia"/>
          <w:kern w:val="0"/>
          <w:sz w:val="32"/>
          <w:szCs w:val="32"/>
          <w:lang w:val="zh-CN"/>
        </w:rPr>
        <w:t>。</w:t>
      </w:r>
    </w:p>
    <w:p>
      <w:pPr>
        <w:adjustRightInd w:val="0"/>
        <w:snapToGrid w:val="0"/>
        <w:spacing w:line="560" w:lineRule="exact"/>
        <w:ind w:firstLineChars="200" w:firstLine="640"/>
        <w:rPr>
          <w:rFonts w:ascii="黑体" w:eastAsia="黑体"/>
          <w:sz w:val="32"/>
          <w:szCs w:val="32"/>
        </w:rPr>
      </w:pPr>
      <w:r>
        <w:rPr>
          <w:rFonts w:ascii="黑体" w:eastAsia="黑体" w:hint="eastAsia"/>
          <w:sz w:val="32"/>
          <w:szCs w:val="32"/>
        </w:rPr>
        <w:t>二、评价实施</w:t>
      </w:r>
    </w:p>
    <w:p>
      <w:pPr>
        <w:pStyle w:val="25"/>
        <w:widowControl/>
        <w:shd w:val="clear" w:color="auto" w:fill="FFFFFF"/>
        <w:suppressAutoHyphens/>
        <w:spacing w:before="0" w:beforeAutospacing="0" w:after="0" w:afterAutospacing="0" w:line="560" w:lineRule="exact"/>
        <w:ind w:firstLineChars="200" w:firstLine="640"/>
        <w:jc w:val="both"/>
        <w:rPr>
          <w:rFonts w:ascii="仿宋_GB2312" w:eastAsia="仿宋_GB2312" w:cs="仿宋_GB2312"/>
          <w:sz w:val="32"/>
          <w:szCs w:val="32"/>
          <w:lang w:val="zh-CN"/>
        </w:rPr>
      </w:pPr>
      <w:r>
        <w:rPr>
          <w:rFonts w:ascii="楷体_GB2312" w:eastAsia="楷体_GB2312" w:hint="eastAsia"/>
          <w:b/>
          <w:sz w:val="32"/>
          <w:szCs w:val="32"/>
          <w:lang w:val="zh-CN"/>
        </w:rPr>
        <w:t>（一）评价目的。</w:t>
      </w:r>
      <w:r>
        <w:rPr>
          <w:rFonts w:ascii="仿宋_GB2312" w:eastAsia="仿宋_GB2312" w:cs="仿宋_GB2312" w:hint="eastAsia"/>
          <w:sz w:val="32"/>
          <w:szCs w:val="32"/>
          <w:shd w:val="clear" w:color="auto" w:fill="FFFFFF"/>
        </w:rPr>
        <w:t>加强和改进资金管理工作，严格落实《预算法》及县绩效管理工作的有关规定，进一步规范财政资金的管理，强化财政支出效绩理念，提升部门责任意识，提高资金利用效率，促进决策的科学化，促进组织目标的实现，提高工作效率。</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（二）预设问题及评价重点。</w:t>
      </w:r>
      <w:r>
        <w:rPr>
          <w:rFonts w:ascii="仿宋_GB2312" w:eastAsia="仿宋_GB2312" w:cs="仿宋_GB2312" w:hint="eastAsia"/>
          <w:kern w:val="0"/>
          <w:sz w:val="32"/>
          <w:szCs w:val="32"/>
          <w:shd w:val="clear" w:color="auto" w:fill="FFFFFF"/>
        </w:rPr>
        <w:t>资金支出范围、程序是否合规。</w:t>
      </w:r>
    </w:p>
    <w:p>
      <w:pPr>
        <w:adjustRightInd w:val="0"/>
        <w:snapToGrid w:val="0"/>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（三）评价选点。</w:t>
      </w:r>
      <w:r>
        <w:rPr>
          <w:rFonts w:ascii="仿宋_GB2312" w:eastAsia="仿宋_GB2312" w:cs="仿宋_GB2312" w:hint="eastAsia"/>
          <w:kern w:val="0"/>
          <w:sz w:val="32"/>
          <w:szCs w:val="32"/>
          <w:shd w:val="clear" w:color="auto" w:fill="FFFFFF"/>
          <w:lang w:val="zh-CN"/>
        </w:rPr>
        <w:t>护路队员护路质效情况。</w:t>
      </w:r>
    </w:p>
    <w:p>
      <w:pPr>
        <w:spacing w:line="560" w:lineRule="exact"/>
        <w:ind w:firstLine="640"/>
      </w:pPr>
      <w:r>
        <w:rPr>
          <w:rFonts w:ascii="楷体_GB2312" w:eastAsia="楷体_GB2312" w:hint="eastAsia"/>
          <w:b/>
          <w:sz w:val="32"/>
          <w:szCs w:val="32"/>
          <w:lang w:val="zh-CN"/>
        </w:rPr>
        <w:t>（四）评价方法。</w:t>
      </w:r>
      <w:r>
        <w:rPr>
          <w:rFonts w:ascii="仿宋_GB2312" w:eastAsia="仿宋_GB2312" w:cs="仿宋_GB2312" w:hint="eastAsia"/>
          <w:kern w:val="0"/>
          <w:sz w:val="32"/>
          <w:szCs w:val="32"/>
          <w:shd w:val="clear" w:color="auto" w:fill="FFFFFF"/>
        </w:rPr>
        <w:t>根据单位自评和现场抽样考核，项目未出现重大调整或无法实施的情况。现场查阅执行文件、会议记录等资料，</w:t>
      </w:r>
      <w:r>
        <w:rPr>
          <w:rFonts w:ascii="仿宋_GB2312" w:eastAsia="仿宋_GB2312" w:cs="仿宋_GB2312"/>
          <w:kern w:val="0"/>
          <w:sz w:val="32"/>
          <w:szCs w:val="32"/>
          <w:shd w:val="clear" w:color="auto" w:fill="FFFFFF"/>
        </w:rPr>
        <w:t>了解项目的实施过程和管理情况。</w:t>
      </w:r>
      <w:r>
        <w:rPr>
          <w:rFonts w:ascii="仿宋_GB2312" w:eastAsia="仿宋_GB2312" w:cs="仿宋_GB2312" w:hint="eastAsia"/>
          <w:kern w:val="0"/>
          <w:sz w:val="32"/>
          <w:szCs w:val="32"/>
          <w:shd w:val="clear" w:color="auto" w:fill="FFFFFF"/>
        </w:rPr>
        <w:t>县公安局有召开党委会议，讨论并安排项目相关工作，明确责任，合理分工，为项目顺利实施提供保障。</w:t>
      </w:r>
    </w:p>
    <w:p>
      <w:pPr>
        <w:spacing w:line="560" w:lineRule="exact"/>
        <w:ind w:firstLine="640"/>
        <w:rPr>
          <w:rFonts w:eastAsia="仿宋_GB2312"/>
          <w:bCs/>
        </w:rPr>
      </w:pPr>
      <w:r>
        <w:rPr>
          <w:rFonts w:ascii="楷体_GB2312" w:eastAsia="楷体_GB2312" w:hint="eastAsia"/>
          <w:b/>
          <w:sz w:val="32"/>
          <w:szCs w:val="32"/>
          <w:lang w:val="zh-CN"/>
        </w:rPr>
        <w:t>（五）评价组织。</w:t>
      </w:r>
      <w:r>
        <w:rPr>
          <w:rFonts w:ascii="仿宋_GB2312" w:eastAsia="仿宋_GB2312" w:cs="仿宋_GB2312" w:hint="eastAsia"/>
          <w:kern w:val="0"/>
          <w:sz w:val="32"/>
          <w:szCs w:val="32"/>
          <w:shd w:val="clear" w:color="auto" w:fill="FFFFFF"/>
        </w:rPr>
        <w:t>评价组人员构成和职责分工。成立以分管领导为组长，各部门负责人为成员的铁路护路联防专项资金绩效评价领导小组，领导小组设办公室于治安大队，治安大队长兼任办公室主任，负责对铁路护路联防专项资金情况进行评价。</w:t>
      </w:r>
    </w:p>
    <w:p>
      <w:pPr>
        <w:adjustRightInd w:val="0"/>
        <w:snapToGrid w:val="0"/>
        <w:spacing w:line="560" w:lineRule="exact"/>
        <w:ind w:firstLineChars="200" w:firstLine="640"/>
        <w:rPr>
          <w:rFonts w:ascii="仿宋_GB2312" w:hAnsi="仿宋_GB2312"/>
          <w:sz w:val="32"/>
          <w:szCs w:val="32"/>
          <w:lang w:val="zh-CN"/>
        </w:rPr>
      </w:pPr>
      <w:r>
        <w:rPr>
          <w:rFonts w:ascii="黑体" w:eastAsia="黑体" w:hint="eastAsia"/>
          <w:sz w:val="32"/>
          <w:szCs w:val="32"/>
        </w:rPr>
        <w:t>三、绩效分析</w:t>
      </w:r>
      <w:r>
        <w:rPr>
          <w:rFonts w:ascii="仿宋_GB2312" w:hAnsi="仿宋_GB2312" w:hint="eastAsia"/>
          <w:sz w:val="32"/>
          <w:szCs w:val="32"/>
          <w:lang w:val="zh-CN"/>
        </w:rPr>
        <w:tab/>
      </w:r>
    </w:p>
    <w:p>
      <w:pPr>
        <w:spacing w:line="560" w:lineRule="exact"/>
        <w:ind w:firstLine="640"/>
        <w:rPr>
          <w:rFonts w:ascii="仿宋_GB2312" w:eastAsia="仿宋_GB2312" w:cs="仿宋_GB2312"/>
          <w:kern w:val="0"/>
          <w:sz w:val="32"/>
          <w:szCs w:val="32"/>
        </w:rPr>
      </w:pPr>
      <w:r>
        <w:rPr>
          <w:rFonts w:ascii="仿宋_GB2312" w:eastAsia="仿宋_GB2312" w:cs="仿宋_GB2312"/>
          <w:kern w:val="0"/>
          <w:sz w:val="32"/>
          <w:szCs w:val="32"/>
          <w:lang w:val="zh-CN"/>
        </w:rPr>
        <w:t>根据</w:t>
      </w:r>
      <w:r>
        <w:rPr>
          <w:rFonts w:ascii="仿宋_GB2312" w:eastAsia="仿宋_GB2312" w:cs="仿宋_GB2312" w:hint="eastAsia"/>
          <w:kern w:val="0"/>
          <w:sz w:val="32"/>
          <w:szCs w:val="32"/>
          <w:lang w:val="zh-CN"/>
        </w:rPr>
        <w:t>项目</w:t>
      </w:r>
      <w:r>
        <w:rPr>
          <w:rFonts w:ascii="仿宋_GB2312" w:eastAsia="仿宋_GB2312" w:cs="仿宋_GB2312"/>
          <w:kern w:val="0"/>
          <w:sz w:val="32"/>
          <w:szCs w:val="32"/>
          <w:lang w:val="zh-CN"/>
        </w:rPr>
        <w:t>预算绩效评价指标体系“</w:t>
      </w:r>
      <w:r>
        <w:rPr>
          <w:rFonts w:ascii="仿宋_GB2312" w:eastAsia="仿宋_GB2312" w:cs="仿宋_GB2312" w:hint="eastAsia"/>
          <w:kern w:val="0"/>
          <w:sz w:val="32"/>
          <w:szCs w:val="32"/>
          <w:lang w:val="zh-CN"/>
        </w:rPr>
        <w:t>通用指标</w:t>
      </w:r>
      <w:r>
        <w:rPr>
          <w:rFonts w:ascii="仿宋_GB2312" w:eastAsia="仿宋_GB2312" w:cs="仿宋_GB2312"/>
          <w:kern w:val="0"/>
          <w:sz w:val="32"/>
          <w:szCs w:val="32"/>
          <w:lang w:val="zh-CN"/>
        </w:rPr>
        <w:t>”</w:t>
      </w:r>
      <w:r>
        <w:rPr>
          <w:rFonts w:ascii="仿宋_GB2312" w:eastAsia="仿宋_GB2312" w:cs="仿宋_GB2312" w:hint="eastAsia"/>
          <w:kern w:val="0"/>
          <w:sz w:val="32"/>
          <w:szCs w:val="32"/>
          <w:lang w:val="zh-CN"/>
        </w:rPr>
        <w:t>“专用指标”“个性指标”</w:t>
      </w:r>
      <w:r>
        <w:rPr>
          <w:rFonts w:ascii="仿宋_GB2312" w:eastAsia="仿宋_GB2312" w:cs="仿宋_GB2312"/>
          <w:kern w:val="0"/>
          <w:sz w:val="32"/>
          <w:szCs w:val="32"/>
          <w:lang w:val="zh-CN"/>
        </w:rPr>
        <w:t>涉及</w:t>
      </w:r>
      <w:r>
        <w:rPr>
          <w:rFonts w:ascii="仿宋_GB2312" w:eastAsia="仿宋_GB2312" w:cs="仿宋_GB2312" w:hint="eastAsia"/>
          <w:kern w:val="0"/>
          <w:sz w:val="32"/>
          <w:szCs w:val="32"/>
          <w:lang w:val="zh-CN"/>
        </w:rPr>
        <w:t>二、三级</w:t>
      </w:r>
      <w:r>
        <w:rPr>
          <w:rFonts w:ascii="仿宋_GB2312" w:eastAsia="仿宋_GB2312" w:cs="仿宋_GB2312"/>
          <w:kern w:val="0"/>
          <w:sz w:val="32"/>
          <w:szCs w:val="32"/>
          <w:lang w:val="zh-CN"/>
        </w:rPr>
        <w:t>指标进行</w:t>
      </w:r>
      <w:r>
        <w:rPr>
          <w:rFonts w:ascii="仿宋_GB2312" w:eastAsia="仿宋_GB2312" w:cs="仿宋_GB2312" w:hint="eastAsia"/>
          <w:kern w:val="0"/>
          <w:sz w:val="32"/>
          <w:szCs w:val="32"/>
          <w:lang w:val="zh-CN"/>
        </w:rPr>
        <w:t>逐项</w:t>
      </w:r>
      <w:r>
        <w:rPr>
          <w:rFonts w:ascii="仿宋_GB2312" w:eastAsia="仿宋_GB2312" w:cs="仿宋_GB2312"/>
          <w:kern w:val="0"/>
          <w:sz w:val="32"/>
          <w:szCs w:val="32"/>
          <w:lang w:val="zh-CN"/>
        </w:rPr>
        <w:t>绩效分析</w:t>
      </w:r>
      <w:r>
        <w:rPr>
          <w:rFonts w:ascii="仿宋_GB2312" w:eastAsia="仿宋_GB2312" w:cs="仿宋_GB2312" w:hint="eastAsia"/>
          <w:kern w:val="0"/>
          <w:sz w:val="32"/>
          <w:szCs w:val="32"/>
          <w:lang w:val="zh-CN"/>
        </w:rPr>
        <w:t>并评分</w:t>
      </w:r>
      <w:r>
        <w:rPr>
          <w:rFonts w:ascii="仿宋_GB2312" w:eastAsia="仿宋_GB2312" w:cs="仿宋_GB2312" w:hint="eastAsia"/>
          <w:kern w:val="0"/>
          <w:sz w:val="32"/>
          <w:szCs w:val="32"/>
        </w:rPr>
        <w:t>。</w:t>
      </w:r>
    </w:p>
    <w:p>
      <w:pPr>
        <w:spacing w:line="560" w:lineRule="exact"/>
        <w:ind w:firstLine="640"/>
        <w:rPr>
          <w:rFonts w:ascii="楷体_GB2312" w:eastAsia="楷体_GB2312"/>
          <w:b/>
          <w:sz w:val="32"/>
          <w:szCs w:val="32"/>
        </w:rPr>
      </w:pPr>
      <w:r>
        <w:rPr>
          <w:rFonts w:ascii="楷体_GB2312" w:eastAsia="楷体_GB2312" w:hint="eastAsia"/>
          <w:b/>
          <w:sz w:val="32"/>
          <w:szCs w:val="32"/>
          <w:lang w:val="zh-CN"/>
        </w:rPr>
        <w:t>（一）</w:t>
      </w:r>
      <w:r>
        <w:rPr>
          <w:rFonts w:ascii="楷体_GB2312" w:eastAsia="楷体_GB2312" w:hint="eastAsia"/>
          <w:b/>
          <w:sz w:val="32"/>
          <w:szCs w:val="32"/>
        </w:rPr>
        <w:t>通用指标</w:t>
      </w:r>
      <w:r>
        <w:rPr>
          <w:rFonts w:ascii="Times New Roman" w:eastAsia="楷体_GB2312" w:hAnsi="Times New Roman"/>
          <w:b/>
          <w:bCs/>
          <w:color w:val="000000"/>
          <w:kern w:val="0"/>
          <w:sz w:val="32"/>
          <w:szCs w:val="32"/>
          <w:shd w:val="clear" w:color="auto" w:fill="FFFFFF"/>
          <w:lang w:val="zh-CN"/>
        </w:rPr>
        <w:t>绩效分析。</w:t>
      </w:r>
    </w:p>
    <w:p>
      <w:pPr>
        <w:spacing w:line="560" w:lineRule="exact"/>
        <w:ind w:firstLine="640"/>
        <w:rPr>
          <w:rFonts w:ascii="仿宋_GB2312" w:eastAsia="仿宋_GB2312" w:cs="仿宋_GB2312"/>
          <w:kern w:val="0"/>
          <w:sz w:val="32"/>
          <w:szCs w:val="32"/>
          <w:lang w:val="zh-CN"/>
        </w:rPr>
      </w:pPr>
      <w:r>
        <w:rPr>
          <w:rFonts w:ascii="楷体_GB2312" w:eastAsia="楷体_GB2312" w:cs="楷体_GB2312" w:hint="eastAsia"/>
          <w:sz w:val="32"/>
          <w:szCs w:val="32"/>
        </w:rPr>
        <w:t>1.项目决策。</w:t>
      </w:r>
      <w:r>
        <w:rPr>
          <w:rFonts w:ascii="仿宋_GB2312" w:eastAsia="仿宋_GB2312" w:cs="仿宋_GB2312" w:hint="eastAsia"/>
          <w:kern w:val="0"/>
          <w:sz w:val="32"/>
          <w:szCs w:val="32"/>
          <w:lang w:val="zh-CN"/>
        </w:rPr>
        <w:t>项目立项经过了充分的调研和论证，决策程序规范、科学，项目规划符合国家和地方重大传染病防治的总体要求，具有较强的针对性和可操作性。</w:t>
      </w:r>
    </w:p>
    <w:p>
      <w:pPr>
        <w:spacing w:line="560" w:lineRule="exact"/>
        <w:ind w:firstLine="640"/>
        <w:rPr>
          <w:rFonts w:ascii="仿宋_GB2312" w:eastAsia="仿宋_GB2312" w:cs="仿宋_GB2312"/>
          <w:kern w:val="0"/>
          <w:sz w:val="32"/>
          <w:szCs w:val="32"/>
          <w:lang w:val="zh-CN"/>
        </w:rPr>
      </w:pPr>
      <w:r>
        <w:rPr>
          <w:rFonts w:ascii="楷体_GB2312" w:eastAsia="楷体_GB2312" w:cs="楷体_GB2312" w:hint="eastAsia"/>
          <w:sz w:val="32"/>
          <w:szCs w:val="32"/>
        </w:rPr>
        <w:t>2.项目管理。</w:t>
      </w:r>
      <w:r>
        <w:rPr>
          <w:rFonts w:ascii="仿宋_GB2312" w:eastAsia="仿宋_GB2312" w:cs="仿宋_GB2312" w:hint="eastAsia"/>
          <w:kern w:val="0"/>
          <w:sz w:val="32"/>
          <w:szCs w:val="32"/>
          <w:lang w:val="zh-CN"/>
        </w:rPr>
        <w:t>建立了完善的项目管理制度和资金管理办法，履行会计核算和财务管理制度。严格执行财务管理制度，财务处理及时，会计核算规范，使项目资金发挥最大的社会效益。</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3.项目实施。</w:t>
      </w:r>
      <w:r>
        <w:rPr>
          <w:rFonts w:ascii="仿宋_GB2312" w:eastAsia="仿宋_GB2312" w:cs="仿宋_GB2312" w:hint="eastAsia"/>
          <w:kern w:val="0"/>
          <w:sz w:val="32"/>
          <w:szCs w:val="32"/>
          <w:lang w:val="zh-CN"/>
        </w:rPr>
        <w:t>预算执行情况良好，资金到位率高，支出进度符合项目要求。资金使用合规，未发现截留、挪用等违规现象。</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4.项目结果。</w:t>
      </w:r>
      <w:r>
        <w:rPr>
          <w:rFonts w:ascii="仿宋_GB2312" w:eastAsia="仿宋_GB2312" w:cs="仿宋_GB2312" w:hint="eastAsia"/>
          <w:kern w:val="0"/>
          <w:sz w:val="32"/>
          <w:szCs w:val="32"/>
        </w:rPr>
        <w:t>铁路沿线治安秩序良好，无危行事故发生，爱路护路氛围浓厚。</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hint="eastAsia"/>
          <w:b/>
          <w:sz w:val="32"/>
          <w:szCs w:val="32"/>
          <w:lang w:val="zh-CN"/>
        </w:rPr>
        <w:t>（二）</w:t>
      </w:r>
      <w:r>
        <w:rPr>
          <w:rFonts w:ascii="楷体_GB2312" w:eastAsia="楷体_GB2312" w:hint="eastAsia"/>
          <w:b/>
          <w:sz w:val="32"/>
          <w:szCs w:val="32"/>
        </w:rPr>
        <w:t>专用指标</w:t>
      </w:r>
      <w:r>
        <w:rPr>
          <w:rFonts w:ascii="Times New Roman" w:eastAsia="楷体_GB2312" w:hAnsi="Times New Roman"/>
          <w:b/>
          <w:bCs/>
          <w:color w:val="000000"/>
          <w:kern w:val="0"/>
          <w:sz w:val="32"/>
          <w:szCs w:val="32"/>
          <w:shd w:val="clear" w:color="auto" w:fill="FFFFFF"/>
          <w:lang w:val="zh-CN"/>
        </w:rPr>
        <w:t>绩效分析。</w:t>
      </w:r>
      <w:r>
        <w:rPr>
          <w:rFonts w:ascii="仿宋_GB2312" w:eastAsia="仿宋_GB2312" w:cs="仿宋_GB2312" w:hint="eastAsia"/>
          <w:kern w:val="0"/>
          <w:sz w:val="32"/>
          <w:szCs w:val="32"/>
          <w:lang w:val="zh-CN"/>
        </w:rPr>
        <w:t>根据</w:t>
      </w:r>
      <w:r>
        <w:rPr>
          <w:rFonts w:ascii="仿宋_GB2312" w:eastAsia="仿宋_GB2312" w:cs="仿宋_GB2312" w:hint="eastAsia"/>
          <w:kern w:val="0"/>
          <w:sz w:val="32"/>
          <w:szCs w:val="32"/>
        </w:rPr>
        <w:t>专项预算项目资金支持对象选择所属指标进行绩效分析。支持对象</w:t>
      </w:r>
      <w:r>
        <w:rPr>
          <w:rFonts w:ascii="仿宋_GB2312" w:eastAsia="仿宋_GB2312" w:cs="仿宋_GB2312" w:hint="eastAsia"/>
          <w:kern w:val="0"/>
          <w:sz w:val="32"/>
          <w:szCs w:val="32"/>
          <w:lang w:val="zh-CN"/>
        </w:rPr>
        <w:t>包括产业发展、民生保障、基础设施、行政运转等方面。</w:t>
      </w:r>
    </w:p>
    <w:p>
      <w:pPr>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1.产业发展。</w:t>
      </w:r>
      <w:r>
        <w:rPr>
          <w:rFonts w:ascii="仿宋_GB2312" w:eastAsia="仿宋_GB2312" w:cs="仿宋_GB2312" w:hint="eastAsia"/>
          <w:kern w:val="0"/>
          <w:sz w:val="32"/>
          <w:szCs w:val="32"/>
        </w:rPr>
        <w:t>围绕符合性、成长性、经济性进行绩效分析。无</w:t>
      </w:r>
    </w:p>
    <w:p>
      <w:pPr>
        <w:spacing w:line="560" w:lineRule="exact"/>
        <w:ind w:firstLineChars="200" w:firstLine="640"/>
        <w:rPr>
          <w:rFonts w:ascii="仿宋_GB2312" w:eastAsia="仿宋_GB2312" w:cs="仿宋_GB2312"/>
          <w:kern w:val="0"/>
          <w:sz w:val="32"/>
          <w:szCs w:val="32"/>
        </w:rPr>
      </w:pPr>
      <w:r>
        <w:rPr>
          <w:rFonts w:ascii="楷体_GB2312" w:eastAsia="楷体_GB2312" w:cs="楷体_GB2312" w:hint="eastAsia"/>
          <w:sz w:val="32"/>
          <w:szCs w:val="32"/>
        </w:rPr>
        <w:t>2.</w:t>
      </w:r>
      <w:r>
        <w:rPr>
          <w:rFonts w:ascii="楷体_GB2312" w:eastAsia="楷体_GB2312" w:cs="楷体_GB2312" w:hint="eastAsia"/>
          <w:sz w:val="32"/>
          <w:szCs w:val="32"/>
          <w:lang w:val="zh-CN"/>
        </w:rPr>
        <w:t>民生保障。</w:t>
      </w:r>
      <w:r>
        <w:rPr>
          <w:rFonts w:ascii="仿宋_GB2312" w:eastAsia="仿宋_GB2312" w:cs="仿宋_GB2312" w:hint="eastAsia"/>
          <w:kern w:val="0"/>
          <w:sz w:val="32"/>
          <w:szCs w:val="32"/>
        </w:rPr>
        <w:t>围绕区域均衡性、对象精准性、标准合理性、群众满意度进行绩效分析。无</w:t>
      </w:r>
    </w:p>
    <w:p>
      <w:pPr>
        <w:spacing w:line="560" w:lineRule="exact"/>
        <w:ind w:firstLineChars="200" w:firstLine="640"/>
        <w:rPr>
          <w:rFonts w:ascii="楷体_GB2312" w:eastAsia="楷体_GB2312" w:cs="楷体_GB2312"/>
          <w:sz w:val="32"/>
          <w:szCs w:val="32"/>
        </w:rPr>
      </w:pPr>
      <w:r>
        <w:rPr>
          <w:rFonts w:ascii="楷体_GB2312" w:eastAsia="楷体_GB2312" w:cs="楷体_GB2312" w:hint="eastAsia"/>
          <w:sz w:val="32"/>
          <w:szCs w:val="32"/>
        </w:rPr>
        <w:t>3.基础设施。</w:t>
      </w:r>
      <w:r>
        <w:rPr>
          <w:rFonts w:ascii="仿宋_GB2312" w:eastAsia="仿宋_GB2312" w:cs="仿宋_GB2312" w:hint="eastAsia"/>
          <w:kern w:val="0"/>
          <w:sz w:val="32"/>
          <w:szCs w:val="32"/>
        </w:rPr>
        <w:t>在建项目围绕工程进度和资金拨付进行绩效分析；建成项目围绕项目验收、功能实现、后续管护进行</w:t>
      </w:r>
      <w:r>
        <w:rPr>
          <w:rFonts w:ascii="仿宋_GB2312" w:eastAsia="仿宋_GB2312" w:cs="仿宋_GB2312" w:hint="eastAsia"/>
          <w:kern w:val="0"/>
          <w:sz w:val="32"/>
          <w:szCs w:val="32"/>
          <w:lang w:val="zh-CN"/>
        </w:rPr>
        <w:t>绩效分析。无</w:t>
      </w:r>
    </w:p>
    <w:p>
      <w:pPr>
        <w:spacing w:line="560" w:lineRule="exact"/>
        <w:ind w:firstLineChars="200" w:firstLine="640"/>
        <w:rPr>
          <w:rFonts w:ascii="仿宋_GB2312" w:eastAsia="仿宋_GB2312" w:cs="仿宋_GB2312"/>
          <w:kern w:val="0"/>
          <w:sz w:val="32"/>
          <w:szCs w:val="32"/>
          <w:lang w:val="zh-CN"/>
        </w:rPr>
      </w:pPr>
      <w:r>
        <w:rPr>
          <w:rFonts w:ascii="楷体_GB2312" w:eastAsia="楷体_GB2312" w:cs="楷体_GB2312" w:hint="eastAsia"/>
          <w:sz w:val="32"/>
          <w:szCs w:val="32"/>
        </w:rPr>
        <w:t>4.</w:t>
      </w:r>
      <w:r>
        <w:rPr>
          <w:rFonts w:ascii="楷体_GB2312" w:eastAsia="楷体_GB2312" w:cs="楷体_GB2312" w:hint="eastAsia"/>
          <w:sz w:val="32"/>
          <w:szCs w:val="32"/>
          <w:lang w:val="zh-CN"/>
        </w:rPr>
        <w:t>行政运转。</w:t>
      </w:r>
      <w:r>
        <w:rPr>
          <w:rFonts w:ascii="仿宋_GB2312" w:eastAsia="仿宋_GB2312" w:cs="仿宋_GB2312" w:hint="eastAsia"/>
          <w:kern w:val="0"/>
          <w:sz w:val="32"/>
          <w:szCs w:val="32"/>
          <w:lang w:val="zh-CN"/>
        </w:rPr>
        <w:t>该项目支出符合国家财经法规和财务管理制度规定以及有关专项资金管理办法的规定，按规定用途、适用范围管理，资金管理程序符合专项资金管理要求，资金分配标准符合专项资金管理要求。</w:t>
      </w:r>
    </w:p>
    <w:p>
      <w:pPr>
        <w:spacing w:line="560" w:lineRule="exact"/>
        <w:ind w:firstLine="640"/>
        <w:rPr>
          <w:rFonts w:ascii="仿宋_GB2312" w:eastAsia="仿宋_GB2312" w:cs="仿宋_GB2312"/>
          <w:kern w:val="0"/>
          <w:sz w:val="32"/>
          <w:szCs w:val="32"/>
        </w:rPr>
      </w:pPr>
      <w:r>
        <w:rPr>
          <w:rFonts w:ascii="楷体_GB2312" w:eastAsia="楷体_GB2312" w:hint="eastAsia"/>
          <w:b/>
          <w:sz w:val="32"/>
          <w:szCs w:val="32"/>
          <w:lang w:val="zh-CN"/>
        </w:rPr>
        <w:t>（三）</w:t>
      </w:r>
      <w:r>
        <w:rPr>
          <w:rFonts w:ascii="楷体_GB2312" w:eastAsia="楷体_GB2312" w:hint="eastAsia"/>
          <w:b/>
          <w:sz w:val="32"/>
          <w:szCs w:val="32"/>
        </w:rPr>
        <w:t>个性指标</w:t>
      </w:r>
      <w:r>
        <w:rPr>
          <w:rFonts w:ascii="Times New Roman" w:eastAsia="楷体_GB2312" w:hAnsi="Times New Roman"/>
          <w:b/>
          <w:bCs/>
          <w:color w:val="000000"/>
          <w:kern w:val="0"/>
          <w:sz w:val="32"/>
          <w:szCs w:val="32"/>
          <w:shd w:val="clear" w:color="auto" w:fill="FFFFFF"/>
          <w:lang w:val="zh-CN"/>
        </w:rPr>
        <w:t>绩效分析。</w:t>
      </w:r>
      <w:r>
        <w:rPr>
          <w:rFonts w:ascii="仿宋_GB2312" w:eastAsia="仿宋_GB2312" w:cs="仿宋_GB2312" w:hint="eastAsia"/>
          <w:kern w:val="0"/>
          <w:sz w:val="32"/>
          <w:szCs w:val="32"/>
          <w:lang w:val="zh-CN"/>
        </w:rPr>
        <w:t>根据项目个性自行设定部分指标，反映该项指标执行完成情况。无</w:t>
      </w:r>
    </w:p>
    <w:p>
      <w:pPr>
        <w:pStyle w:val="17"/>
        <w:tabs>
          <w:tab w:val="left" w:pos="2160"/>
        </w:tabs>
        <w:spacing w:line="560" w:lineRule="exact"/>
        <w:ind w:firstLineChars="200" w:firstLine="640"/>
        <w:rPr>
          <w:rFonts w:ascii="黑体" w:eastAsia="黑体"/>
          <w:sz w:val="32"/>
          <w:szCs w:val="32"/>
        </w:rPr>
      </w:pPr>
      <w:r>
        <w:rPr>
          <w:rFonts w:ascii="黑体" w:eastAsia="黑体" w:hint="eastAsia"/>
          <w:sz w:val="32"/>
          <w:szCs w:val="32"/>
        </w:rPr>
        <w:t>四、评价结论</w:t>
      </w:r>
    </w:p>
    <w:p>
      <w:pPr>
        <w:pStyle w:val="17"/>
        <w:tabs>
          <w:tab w:val="left" w:pos="2160"/>
        </w:tabs>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kern w:val="0"/>
          <w:sz w:val="32"/>
          <w:szCs w:val="32"/>
        </w:rPr>
        <w:t>根据预算绩效管理相关制度的要求，结合项目绩效指标完成情况及对项目成本、项目效率、部门绩效目标实现的综合分析，项目综合评价为项目各项指标项均达到指标要求，项目实施达到预期效果。自评得分94分。</w:t>
      </w:r>
    </w:p>
    <w:p>
      <w:pPr>
        <w:pStyle w:val="17"/>
        <w:tabs>
          <w:tab w:val="left" w:pos="2160"/>
        </w:tabs>
        <w:spacing w:line="560" w:lineRule="exact"/>
        <w:ind w:firstLineChars="200" w:firstLine="640"/>
        <w:rPr>
          <w:rFonts w:ascii="黑体" w:eastAsia="黑体"/>
          <w:sz w:val="32"/>
          <w:szCs w:val="32"/>
        </w:rPr>
      </w:pPr>
      <w:r>
        <w:rPr>
          <w:rFonts w:ascii="黑体" w:eastAsia="黑体" w:hint="eastAsia"/>
          <w:sz w:val="32"/>
          <w:szCs w:val="32"/>
        </w:rPr>
        <w:t>五、存在主要问题</w:t>
      </w:r>
    </w:p>
    <w:p>
      <w:pPr>
        <w:pStyle w:val="17"/>
        <w:tabs>
          <w:tab w:val="left" w:pos="2160"/>
        </w:tabs>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kern w:val="0"/>
          <w:sz w:val="32"/>
          <w:szCs w:val="32"/>
        </w:rPr>
        <w:t>由于对支出绩效评价工作的重要性还认识不够，因此对绩效评价工作的重视度还不够，部分项目支出绩效指标无法用量化指标来进行考评。</w:t>
      </w:r>
    </w:p>
    <w:p>
      <w:pPr>
        <w:pStyle w:val="17"/>
        <w:tabs>
          <w:tab w:val="left" w:pos="2160"/>
        </w:tabs>
        <w:spacing w:line="560" w:lineRule="exact"/>
        <w:ind w:firstLineChars="200" w:firstLine="640"/>
        <w:rPr>
          <w:rFonts w:ascii="黑体" w:eastAsia="黑体"/>
          <w:kern w:val="0"/>
          <w:position w:val="3"/>
          <w:sz w:val="32"/>
          <w:szCs w:val="32"/>
          <w:lang w:val="zh-CN"/>
        </w:rPr>
      </w:pPr>
      <w:r>
        <w:rPr>
          <w:rFonts w:ascii="黑体" w:eastAsia="黑体" w:hint="eastAsia"/>
          <w:kern w:val="0"/>
          <w:position w:val="3"/>
          <w:sz w:val="32"/>
          <w:szCs w:val="32"/>
          <w:lang w:val="zh-CN"/>
        </w:rPr>
        <w:t>六、改进建议</w:t>
      </w:r>
    </w:p>
    <w:p>
      <w:pPr>
        <w:tabs>
          <w:tab w:val="left" w:pos="1911"/>
        </w:tabs>
        <w:spacing w:line="560" w:lineRule="exact"/>
        <w:jc w:val="left"/>
        <w:rPr>
          <w:rFonts w:ascii="仿宋_GB2312" w:eastAsia="仿宋_GB2312" w:cs="仿宋_GB2312"/>
          <w:kern w:val="0"/>
          <w:sz w:val="32"/>
          <w:szCs w:val="32"/>
        </w:rPr>
      </w:pPr>
      <w:r>
        <w:rPr>
          <w:rFonts w:ascii="仿宋_GB2312" w:eastAsia="仿宋_GB2312" w:cs="仿宋_GB2312" w:hint="eastAsia"/>
          <w:kern w:val="0"/>
          <w:sz w:val="32"/>
          <w:szCs w:val="32"/>
          <w:lang w:val="zh-CN"/>
        </w:rPr>
        <w:t xml:space="preserve"> </w:t>
      </w:r>
      <w:r>
        <w:rPr>
          <w:rFonts w:ascii="仿宋_GB2312" w:eastAsia="仿宋_GB2312" w:cs="仿宋_GB2312" w:hint="eastAsia"/>
          <w:kern w:val="0"/>
          <w:sz w:val="32"/>
          <w:szCs w:val="32"/>
        </w:rPr>
        <w:t xml:space="preserve">   针对存在的问题，我们将进一步科学设定绩效目标，加强预算执行管理。遵循先有预算、后有支出的原则，加强《新预算法》、《政府会计制度》等学习培训，规范部门预算收支核算，加强财务管理和内部控制监督制度。</w:t>
      </w:r>
    </w:p>
    <w:p>
      <w:pPr>
        <w:spacing w:line="560" w:lineRule="exact"/>
        <w:rPr>
          <w:rFonts w:ascii="黑体" w:eastAsia="黑体"/>
          <w:sz w:val="44"/>
          <w:szCs w:val="44"/>
        </w:rPr>
      </w:pPr>
      <w:r>
        <w:rPr>
          <w:rFonts w:ascii="黑体" w:eastAsia="黑体" w:hint="eastAsia"/>
          <w:sz w:val="44"/>
          <w:szCs w:val="44"/>
        </w:rPr>
        <w:br w:type="page"/>
      </w:r>
    </w:p>
    <w:p>
      <w:pPr>
        <w:widowControl/>
        <w:suppressAutoHyphens/>
        <w:spacing w:line="560" w:lineRule="exact"/>
        <w:jc w:val="center"/>
        <w:outlineLvl w:val="0"/>
        <w:rPr>
          <w:rFonts w:ascii="仿宋" w:eastAsia="仿宋"/>
        </w:rPr>
      </w:pPr>
      <w:bookmarkStart w:id="70" w:name="_Toc14832"/>
      <w:r>
        <w:rPr>
          <w:rFonts w:ascii="黑体" w:eastAsia="黑体" w:hint="eastAsia"/>
          <w:sz w:val="44"/>
          <w:szCs w:val="44"/>
        </w:rPr>
        <w:t>第</w:t>
      </w:r>
      <w:r>
        <w:rPr>
          <w:rStyle w:val="1Char"/>
          <w:rFonts w:ascii="黑体" w:eastAsia="黑体" w:hint="eastAsia"/>
          <w:b w:val="0"/>
        </w:rPr>
        <w:t>五部分 附表</w:t>
      </w:r>
      <w:bookmarkStart w:id="71" w:name="_Toc15396619"/>
      <w:bookmarkEnd w:id="64"/>
      <w:bookmarkEnd w:id="69"/>
      <w:bookmarkEnd w:id="70"/>
    </w:p>
    <w:p>
      <w:pPr>
        <w:pStyle w:val="2"/>
        <w:spacing w:line="560" w:lineRule="exact"/>
        <w:rPr>
          <w:rFonts w:ascii="仿宋" w:eastAsia="仿宋"/>
        </w:rPr>
      </w:pPr>
      <w:bookmarkStart w:id="72" w:name="_Toc15137"/>
      <w:r>
        <w:rPr>
          <w:rFonts w:ascii="仿宋" w:eastAsia="仿宋" w:hint="eastAsia"/>
          <w:b w:val="0"/>
        </w:rPr>
        <w:t>一、收</w:t>
      </w:r>
      <w:r>
        <w:rPr>
          <w:rStyle w:val="2Char"/>
          <w:rFonts w:ascii="仿宋" w:eastAsia="仿宋" w:hint="eastAsia"/>
        </w:rPr>
        <w:t>入支出决算总表</w:t>
      </w:r>
      <w:bookmarkEnd w:id="71"/>
      <w:bookmarkEnd w:id="72"/>
    </w:p>
    <w:p>
      <w:pPr>
        <w:pStyle w:val="2"/>
        <w:spacing w:line="560" w:lineRule="exact"/>
        <w:rPr>
          <w:rFonts w:ascii="仿宋" w:eastAsia="仿宋"/>
        </w:rPr>
      </w:pPr>
      <w:bookmarkStart w:id="73" w:name="_Toc9907"/>
      <w:bookmarkStart w:id="74" w:name="_Toc15396620"/>
      <w:r>
        <w:rPr>
          <w:rFonts w:ascii="仿宋" w:eastAsia="仿宋" w:hint="eastAsia"/>
          <w:b w:val="0"/>
        </w:rPr>
        <w:t>二、收</w:t>
      </w:r>
      <w:r>
        <w:rPr>
          <w:rStyle w:val="2Char"/>
          <w:rFonts w:ascii="仿宋" w:eastAsia="仿宋" w:hint="eastAsia"/>
        </w:rPr>
        <w:t>入决算表</w:t>
      </w:r>
      <w:bookmarkEnd w:id="73"/>
      <w:bookmarkEnd w:id="74"/>
    </w:p>
    <w:p>
      <w:pPr>
        <w:pStyle w:val="2"/>
        <w:spacing w:line="560" w:lineRule="exact"/>
        <w:rPr>
          <w:rFonts w:ascii="仿宋" w:eastAsia="仿宋"/>
        </w:rPr>
      </w:pPr>
      <w:bookmarkStart w:id="75" w:name="_Toc12602"/>
      <w:bookmarkStart w:id="76" w:name="_Toc15396621"/>
      <w:r>
        <w:rPr>
          <w:rStyle w:val="2Char"/>
          <w:rFonts w:ascii="仿宋" w:eastAsia="仿宋" w:hint="eastAsia"/>
        </w:rPr>
        <w:t>三、</w:t>
      </w:r>
      <w:r>
        <w:rPr>
          <w:rFonts w:ascii="仿宋" w:eastAsia="仿宋" w:hint="eastAsia"/>
          <w:b w:val="0"/>
        </w:rPr>
        <w:t>支</w:t>
      </w:r>
      <w:r>
        <w:rPr>
          <w:rStyle w:val="2Char"/>
          <w:rFonts w:ascii="仿宋" w:eastAsia="仿宋" w:hint="eastAsia"/>
        </w:rPr>
        <w:t>出决算表</w:t>
      </w:r>
      <w:bookmarkEnd w:id="75"/>
      <w:bookmarkEnd w:id="76"/>
    </w:p>
    <w:p>
      <w:pPr>
        <w:pStyle w:val="2"/>
        <w:spacing w:line="560" w:lineRule="exact"/>
        <w:rPr>
          <w:rFonts w:ascii="仿宋" w:eastAsia="仿宋"/>
          <w:b w:val="0"/>
        </w:rPr>
      </w:pPr>
      <w:bookmarkStart w:id="77" w:name="_Toc15396622"/>
      <w:bookmarkStart w:id="78" w:name="_Toc6626"/>
      <w:r>
        <w:rPr>
          <w:rStyle w:val="2Char"/>
          <w:rFonts w:ascii="仿宋" w:eastAsia="仿宋" w:hint="eastAsia"/>
        </w:rPr>
        <w:t>四、</w:t>
      </w:r>
      <w:r>
        <w:rPr>
          <w:rFonts w:ascii="仿宋" w:eastAsia="仿宋" w:hint="eastAsia"/>
          <w:b w:val="0"/>
        </w:rPr>
        <w:t>财</w:t>
      </w:r>
      <w:r>
        <w:rPr>
          <w:rStyle w:val="2Char"/>
          <w:rFonts w:ascii="仿宋" w:eastAsia="仿宋" w:hint="eastAsia"/>
        </w:rPr>
        <w:t>政拨款收入支出决算总表</w:t>
      </w:r>
      <w:bookmarkEnd w:id="77"/>
      <w:bookmarkEnd w:id="78"/>
    </w:p>
    <w:p>
      <w:pPr>
        <w:pStyle w:val="2"/>
        <w:spacing w:line="560" w:lineRule="exact"/>
        <w:rPr>
          <w:rStyle w:val="2Char"/>
          <w:rFonts w:ascii="仿宋" w:eastAsia="仿宋"/>
        </w:rPr>
      </w:pPr>
      <w:bookmarkStart w:id="79" w:name="_Toc14176"/>
      <w:bookmarkStart w:id="80" w:name="_Toc15396623"/>
      <w:r>
        <w:rPr>
          <w:rStyle w:val="2Char"/>
          <w:rFonts w:ascii="仿宋" w:eastAsia="仿宋" w:hint="eastAsia"/>
        </w:rPr>
        <w:t>五、</w:t>
      </w:r>
      <w:r>
        <w:rPr>
          <w:rFonts w:ascii="仿宋" w:eastAsia="仿宋" w:hint="eastAsia"/>
          <w:b w:val="0"/>
        </w:rPr>
        <w:t>财</w:t>
      </w:r>
      <w:r>
        <w:rPr>
          <w:rStyle w:val="2Char"/>
          <w:rFonts w:ascii="仿宋" w:eastAsia="仿宋" w:hint="eastAsia"/>
        </w:rPr>
        <w:t>政拨款支出决算明细表</w:t>
      </w:r>
      <w:bookmarkStart w:id="81" w:name="_Toc15396624"/>
      <w:bookmarkEnd w:id="79"/>
      <w:bookmarkEnd w:id="80"/>
    </w:p>
    <w:p>
      <w:pPr>
        <w:pStyle w:val="2"/>
        <w:spacing w:line="560" w:lineRule="exact"/>
        <w:rPr>
          <w:rFonts w:ascii="仿宋" w:eastAsia="仿宋"/>
        </w:rPr>
      </w:pPr>
      <w:bookmarkStart w:id="82" w:name="_Toc18423"/>
      <w:r>
        <w:rPr>
          <w:rStyle w:val="2Char"/>
          <w:rFonts w:ascii="仿宋" w:eastAsia="仿宋" w:hint="eastAsia"/>
        </w:rPr>
        <w:t>六、</w:t>
      </w:r>
      <w:r>
        <w:rPr>
          <w:rFonts w:ascii="仿宋" w:eastAsia="仿宋" w:hint="eastAsia"/>
          <w:b w:val="0"/>
        </w:rPr>
        <w:t>一</w:t>
      </w:r>
      <w:r>
        <w:rPr>
          <w:rStyle w:val="2Char"/>
          <w:rFonts w:ascii="仿宋" w:eastAsia="仿宋" w:hint="eastAsia"/>
        </w:rPr>
        <w:t>般公共预算财政拨款支出决算表</w:t>
      </w:r>
      <w:bookmarkEnd w:id="81"/>
      <w:bookmarkEnd w:id="82"/>
    </w:p>
    <w:p>
      <w:pPr>
        <w:pStyle w:val="2"/>
        <w:spacing w:line="560" w:lineRule="exact"/>
        <w:rPr>
          <w:rFonts w:ascii="仿宋" w:eastAsia="仿宋"/>
        </w:rPr>
      </w:pPr>
      <w:bookmarkStart w:id="83" w:name="_Toc15396625"/>
      <w:bookmarkStart w:id="84" w:name="_Toc19631"/>
      <w:r>
        <w:rPr>
          <w:rStyle w:val="2Char"/>
          <w:rFonts w:ascii="仿宋" w:eastAsia="仿宋" w:hint="eastAsia"/>
        </w:rPr>
        <w:t>七、</w:t>
      </w:r>
      <w:r>
        <w:rPr>
          <w:rFonts w:ascii="仿宋" w:eastAsia="仿宋" w:hint="eastAsia"/>
          <w:b w:val="0"/>
        </w:rPr>
        <w:t>一</w:t>
      </w:r>
      <w:r>
        <w:rPr>
          <w:rStyle w:val="2Char"/>
          <w:rFonts w:ascii="仿宋" w:eastAsia="仿宋" w:hint="eastAsia"/>
        </w:rPr>
        <w:t>般公共预算财政拨款支出决算明细表</w:t>
      </w:r>
      <w:bookmarkEnd w:id="83"/>
      <w:bookmarkEnd w:id="84"/>
    </w:p>
    <w:p>
      <w:pPr>
        <w:pStyle w:val="2"/>
        <w:spacing w:line="560" w:lineRule="exact"/>
        <w:rPr>
          <w:rFonts w:ascii="仿宋" w:eastAsia="仿宋"/>
        </w:rPr>
      </w:pPr>
      <w:bookmarkStart w:id="85" w:name="_Toc1532"/>
      <w:bookmarkStart w:id="86" w:name="_Toc15396626"/>
      <w:r>
        <w:rPr>
          <w:rStyle w:val="2Char"/>
          <w:rFonts w:ascii="仿宋" w:eastAsia="仿宋" w:hint="eastAsia"/>
        </w:rPr>
        <w:t>八、</w:t>
      </w:r>
      <w:r>
        <w:rPr>
          <w:rFonts w:ascii="仿宋" w:eastAsia="仿宋" w:hint="eastAsia"/>
          <w:b w:val="0"/>
        </w:rPr>
        <w:t>一</w:t>
      </w:r>
      <w:r>
        <w:rPr>
          <w:rStyle w:val="2Char"/>
          <w:rFonts w:ascii="仿宋" w:eastAsia="仿宋" w:hint="eastAsia"/>
        </w:rPr>
        <w:t>般公共预算财政拨款基本支出决算表</w:t>
      </w:r>
      <w:bookmarkEnd w:id="85"/>
      <w:bookmarkEnd w:id="86"/>
    </w:p>
    <w:p>
      <w:pPr>
        <w:pStyle w:val="2"/>
        <w:spacing w:line="560" w:lineRule="exact"/>
        <w:rPr>
          <w:rFonts w:ascii="仿宋" w:eastAsia="仿宋"/>
        </w:rPr>
      </w:pPr>
      <w:bookmarkStart w:id="87" w:name="_Toc15396627"/>
      <w:bookmarkStart w:id="88" w:name="_Toc740"/>
      <w:r>
        <w:rPr>
          <w:rStyle w:val="2Char"/>
          <w:rFonts w:ascii="仿宋" w:eastAsia="仿宋" w:hint="eastAsia"/>
        </w:rPr>
        <w:t>九、</w:t>
      </w:r>
      <w:r>
        <w:rPr>
          <w:rFonts w:ascii="仿宋" w:eastAsia="仿宋" w:hint="eastAsia"/>
          <w:b w:val="0"/>
        </w:rPr>
        <w:t>一</w:t>
      </w:r>
      <w:r>
        <w:rPr>
          <w:rStyle w:val="2Char"/>
          <w:rFonts w:ascii="仿宋" w:eastAsia="仿宋" w:hint="eastAsia"/>
        </w:rPr>
        <w:t>般公共预算财政拨款项目支出决算表</w:t>
      </w:r>
      <w:bookmarkEnd w:id="87"/>
      <w:bookmarkEnd w:id="88"/>
    </w:p>
    <w:p>
      <w:pPr>
        <w:pStyle w:val="2"/>
        <w:spacing w:line="560" w:lineRule="exact"/>
        <w:rPr>
          <w:rFonts w:ascii="仿宋" w:eastAsia="仿宋"/>
        </w:rPr>
      </w:pPr>
      <w:bookmarkStart w:id="89" w:name="_Toc15396628"/>
      <w:bookmarkStart w:id="90" w:name="_Toc21555"/>
      <w:r>
        <w:rPr>
          <w:rStyle w:val="2Char"/>
          <w:rFonts w:ascii="仿宋" w:eastAsia="仿宋" w:hint="eastAsia"/>
        </w:rPr>
        <w:t>十、</w:t>
      </w:r>
      <w:bookmarkEnd w:id="89"/>
      <w:r>
        <w:rPr>
          <w:rFonts w:ascii="仿宋" w:eastAsia="仿宋" w:hint="eastAsia"/>
          <w:b w:val="0"/>
        </w:rPr>
        <w:t>政</w:t>
      </w:r>
      <w:r>
        <w:rPr>
          <w:rStyle w:val="2Char"/>
          <w:rFonts w:ascii="仿宋" w:eastAsia="仿宋" w:hint="eastAsia"/>
        </w:rPr>
        <w:t>府性基金预算财政拨款收入支出决算表</w:t>
      </w:r>
      <w:bookmarkEnd w:id="90"/>
    </w:p>
    <w:p>
      <w:pPr>
        <w:pStyle w:val="2"/>
        <w:spacing w:line="560" w:lineRule="exact"/>
        <w:rPr>
          <w:rFonts w:ascii="仿宋" w:eastAsia="仿宋"/>
        </w:rPr>
      </w:pPr>
      <w:bookmarkStart w:id="91" w:name="_Toc15396629"/>
      <w:bookmarkStart w:id="92" w:name="_Toc225"/>
      <w:r>
        <w:rPr>
          <w:rStyle w:val="2Char"/>
          <w:rFonts w:ascii="仿宋" w:eastAsia="仿宋" w:hint="eastAsia"/>
        </w:rPr>
        <w:t>十一、</w:t>
      </w:r>
      <w:bookmarkEnd w:id="91"/>
      <w:r>
        <w:rPr>
          <w:rFonts w:ascii="仿宋" w:eastAsia="仿宋" w:hint="eastAsia"/>
          <w:b w:val="0"/>
        </w:rPr>
        <w:t>国</w:t>
      </w:r>
      <w:r>
        <w:rPr>
          <w:rStyle w:val="2Char"/>
          <w:rFonts w:ascii="仿宋" w:eastAsia="仿宋" w:hint="eastAsia"/>
        </w:rPr>
        <w:t>有资本经营预算财政拨款收入支出决算表</w:t>
      </w:r>
      <w:bookmarkEnd w:id="92"/>
    </w:p>
    <w:p>
      <w:pPr>
        <w:pStyle w:val="2"/>
        <w:spacing w:line="560" w:lineRule="exact"/>
        <w:rPr>
          <w:rFonts w:ascii="仿宋" w:eastAsia="仿宋"/>
        </w:rPr>
      </w:pPr>
      <w:bookmarkStart w:id="93" w:name="_Toc15396630"/>
      <w:bookmarkStart w:id="94" w:name="_Toc28402"/>
      <w:r>
        <w:rPr>
          <w:rStyle w:val="2Char"/>
          <w:rFonts w:ascii="仿宋" w:eastAsia="仿宋" w:hint="eastAsia"/>
        </w:rPr>
        <w:t>十二、</w:t>
      </w:r>
      <w:bookmarkEnd w:id="93"/>
      <w:r>
        <w:rPr>
          <w:rStyle w:val="2Char"/>
          <w:rFonts w:ascii="仿宋" w:eastAsia="仿宋" w:hint="eastAsia"/>
        </w:rPr>
        <w:t>国有资本经营预算财政拨款支出决算表</w:t>
      </w:r>
      <w:bookmarkEnd w:id="94"/>
    </w:p>
    <w:p>
      <w:pPr>
        <w:pStyle w:val="2"/>
        <w:spacing w:line="560" w:lineRule="exact"/>
        <w:rPr>
          <w:rStyle w:val="2Char"/>
          <w:rFonts w:ascii="仿宋" w:eastAsia="仿宋"/>
        </w:rPr>
      </w:pPr>
      <w:bookmarkStart w:id="95" w:name="_Toc15396631"/>
      <w:bookmarkStart w:id="96" w:name="_Toc1699"/>
      <w:r>
        <w:rPr>
          <w:rStyle w:val="2Char"/>
          <w:rFonts w:ascii="仿宋" w:eastAsia="仿宋" w:hint="eastAsia"/>
        </w:rPr>
        <w:t>十三、</w:t>
      </w:r>
      <w:bookmarkEnd w:id="95"/>
      <w:r>
        <w:rPr>
          <w:rStyle w:val="2Char"/>
          <w:rFonts w:ascii="仿宋" w:eastAsia="仿宋" w:hint="eastAsia"/>
        </w:rPr>
        <w:t>财政拨款“三公”经费支出决算表</w:t>
      </w:r>
      <w:bookmarkEnd w:id="96"/>
    </w:p>
    <w:p>
      <w:pPr>
        <w:spacing w:line="560" w:lineRule="exact"/>
      </w:pPr>
    </w:p>
    <w:sectPr>
      <w:pgSz w:w="11906" w:h="16838"/>
      <w:pgMar w:top="1440" w:right="1800" w:bottom="1440" w:left="1800" w:header="720" w:footer="720"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仿宋">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微软雅黑"/>
    <w:panose1 w:val="00000000000000000000"/>
    <w:charset w:val="86"/>
    <w:family w:val="auto"/>
    <w:pitch w:val="variable"/>
    <w:sig w:usb0="00000000" w:usb1="080E0000" w:usb2="00000000" w:usb3="00000000" w:csb0="00040000" w:csb1="00000000"/>
  </w:font>
  <w:font w:name="微软雅黑">
    <w:altName w:val="宋体"/>
    <w:panose1 w:val="020B0503020204020204"/>
    <w:charset w:val="86"/>
    <w:family w:val="swiss"/>
    <w:pitch w:val="variable"/>
    <w:sig w:usb0="80000287" w:usb1="280F3C52" w:usb2="00000016" w:usb3="00000000" w:csb0="0004001F" w:csb1="00000000"/>
  </w:font>
  <w:font w:name="Calibri">
    <w:altName w:val="Times New Roman"/>
    <w:panose1 w:val="020F0502020204030204"/>
    <w:charset w:val="00"/>
    <w:family w:val="swiss"/>
    <w:pitch w:val="variable"/>
    <w:sig w:usb0="E00002FF" w:usb1="4000ACFF" w:usb2="00000001" w:usb3="00000000" w:csb0="0000019F" w:csb1="00000000"/>
  </w:font>
  <w:font w:name="Cambria">
    <w:altName w:val="DejaVu Sans"/>
    <w:panose1 w:val="02040503050406030204"/>
    <w:charset w:val="00"/>
    <w:family w:val="roman"/>
    <w:pitch w:val="variable"/>
    <w:sig w:usb0="E00002FF" w:usb1="400004FF" w:usb2="00000000" w:usb3="00000000" w:csb0="0000019F" w:csb1="00000000"/>
  </w:font>
  <w:font w:name="Arial">
    <w:altName w:val="DejaVu Sans"/>
    <w:panose1 w:val="020B0604020202020204"/>
    <w:charset w:val="00"/>
    <w:family w:val="swiss"/>
    <w:pitch w:val="variable"/>
    <w:sig w:usb0="E0002AFF" w:usb1="C0007843" w:usb2="00000009" w:usb3="00000000" w:csb0="000001FF" w:csb1="00000000"/>
  </w:font>
  <w:font w:name="Liberation Sans">
    <w:altName w:val="宋体"/>
    <w:panose1 w:val="00000000000000000000"/>
    <w:charset w:val="00"/>
    <w:family w:val="swiss"/>
    <w:pitch w:val="variable"/>
    <w:sig w:usb0="00000000" w:usb1="00000000" w:usb2="00000000" w:usb3="00000000" w:csb0="00040001" w:csb1="00000000"/>
  </w:font>
  <w:font w:name="Noto Sans CJK SC Regular">
    <w:altName w:val="宋体"/>
    <w:panose1 w:val="00000000000000000000"/>
    <w:charset w:val="86"/>
    <w:family w:val="auto"/>
    <w:pitch w:val="variable"/>
    <w:sig w:usb0="00000000" w:usb1="00000000" w:usb2="00000016" w:usb3="00000000" w:csb0="602E0107" w:csb1="00000000"/>
  </w:font>
  <w:font w:name="??">
    <w:altName w:val="Times New Roman"/>
    <w:panose1 w:val="00000000000000000000"/>
    <w:charset w:val="00"/>
    <w:family w:val="roman"/>
    <w:pitch w:val="variable"/>
    <w:sig w:usb0="00000000" w:usb1="00000000" w:usb2="00000000" w:usb3="00000000" w:csb0="00040001"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1272550B"/>
    <w:multiLevelType w:val="multilevel"/>
    <w:tmpl w:val="1272550B"/>
    <w:lvl w:ilvl="0">
      <w:start w:val="1"/>
      <w:numFmt w:val="japaneseCounting"/>
      <w:lvlRestart w:val="0"/>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CF652CEC"/>
    <w:multiLevelType w:val="singleLevel"/>
    <w:tmpl w:val="CF652CEC"/>
    <w:lvl w:ilvl="0">
      <w:start w:val="9"/>
      <w:numFmt w:val="chineseCounting"/>
      <w:lvlRestart w:val="0"/>
      <w:suff w:val="nothing"/>
      <w:lvlText w:val="%1、"/>
      <w:lvlJc w:val="left"/>
      <w:pPr>
        <w:ind w:left="0" w:hanging="0"/>
      </w:pPr>
      <w:rPr>
        <w:rFonts w:hint="eastAsia"/>
      </w:rPr>
    </w:lvl>
  </w:abstractNum>
  <w:abstractNum w:abstractNumId="2">
    <w:nsid w:val="E2FA047D"/>
    <w:multiLevelType w:val="singleLevel"/>
    <w:tmpl w:val="E2FA047D"/>
    <w:lvl w:ilvl="0">
      <w:start w:val="3"/>
      <w:numFmt w:val="chineseCounting"/>
      <w:lvlRestart w:val="0"/>
      <w:suff w:val="space"/>
      <w:lvlText w:val="第%1部分"/>
      <w:lvlJc w:val="left"/>
      <w:pPr>
        <w:ind w:left="0" w:hanging="0"/>
      </w:pPr>
      <w:rPr>
        <w:rFonts w:hint="eastAsia"/>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
  <w:drawingGridVerticalSpacing w:val="1"/>
  <w:doNotUseMarginsForDrawingGridOrigin/>
  <w:drawingGridHorizontalOrigin w:val="0"/>
  <w:drawingGridVerticalOrigin w:val="0"/>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NGU0MzljMTY5Y2UzMjMxMjNiMmFlMDY2MDc4YTIzMDg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suppressAutoHyphens/>
      <w:jc w:val="both"/>
    </w:pPr>
    <w:rPr>
      <w:rFonts w:ascii="Calibri" w:eastAsia="宋体" w:cs="Times New Roman" w:hAnsi="Calibri"/>
      <w:kern w:val="2"/>
      <w:sz w:val="21"/>
      <w:szCs w:val="24"/>
      <w:lang w:val="en-US" w:eastAsia="zh-CN" w:bidi="ar-SA"/>
    </w:rPr>
  </w:style>
  <w:style w:type="paragraph" w:styleId="1">
    <w:name w:val="heading 1"/>
    <w:basedOn w:val="0"/>
    <w:next w:val="0"/>
    <w:link w:val="1Char"/>
    <w:pPr>
      <w:keepNext/>
      <w:keepLines/>
      <w:widowControl w:val="0"/>
      <w:suppressAutoHyphen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Times New Roman" w:hAnsi="Calibri"/>
      <w:b/>
      <w:bCs/>
      <w:kern w:val="44"/>
      <w:sz w:val="44"/>
      <w:szCs w:val="44"/>
      <w:lang w:val="en-US" w:eastAsia="zh-CN" w:bidi="ar-SA"/>
    </w:rPr>
  </w:style>
  <w:style w:type="paragraph" w:styleId="2">
    <w:name w:val="heading 2"/>
    <w:basedOn w:val="0"/>
    <w:next w:val="0"/>
    <w:link w:val="2Char"/>
    <w:pPr>
      <w:keepNext/>
      <w:keepLines/>
      <w:widowControl w:val="0"/>
      <w:suppressAutoHyphens/>
      <w:spacing w:before="260" w:after="260" w:line="415" w:lineRule="auto"/>
      <w:outlineLvl w:val="1"/>
    </w:pPr>
    <w:rPr>
      <w:rFonts w:ascii="Cambria"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uppressAutoHyphens/>
      <w:spacing w:before="260" w:after="260" w:line="415" w:lineRule="auto"/>
      <w:outlineLvl w:val="2"/>
    </w:pPr>
    <w:rPr>
      <w:b/>
      <w:bCs/>
      <w:sz w:val="32"/>
      <w:szCs w:val="32"/>
    </w:rPr>
  </w:style>
  <w:style w:type="character" w:default="1" w:styleId="10">
    <w:name w:val="Default Paragraph Font"/>
  </w:style>
  <w:style w:type="paragraph" w:customStyle="1" w:styleId="15">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paragraph" w:styleId="16">
    <w:name w:val="caption"/>
    <w:basedOn w:val="0"/>
    <w:next w:val="0"/>
    <w:pPr>
      <w:widowControl w:val="0"/>
      <w:suppressLineNumbers/>
      <w:suppressAutoHyphens/>
      <w:spacing w:before="120" w:after="120"/>
    </w:pPr>
    <w:rPr>
      <w:i/>
      <w:iCs/>
      <w:sz w:val="24"/>
    </w:rPr>
  </w:style>
  <w:style w:type="paragraph" w:styleId="17">
    <w:name w:val="Body Text"/>
    <w:basedOn w:val="0"/>
    <w:pPr>
      <w:spacing w:after="140" w:line="276" w:lineRule="auto"/>
    </w:pPr>
  </w:style>
  <w:style w:type="paragraph" w:styleId="18">
    <w:name w:val="Body Text Indent"/>
    <w:basedOn w:val="0"/>
    <w:next w:val="19"/>
    <w:pPr>
      <w:spacing w:after="120"/>
      <w:ind w:leftChars="200" w:left="200"/>
    </w:pPr>
    <w:rPr>
      <w:rFonts w:ascii="仿宋_GB2312" w:hAnsi="仿宋_GB2312"/>
      <w:szCs w:val="32"/>
    </w:rPr>
  </w:style>
  <w:style w:type="paragraph" w:styleId="19">
    <w:name w:val="Body Text First Indent 2"/>
    <w:basedOn w:val="18"/>
    <w:pPr>
      <w:ind w:firstLineChars="200" w:firstLine="200"/>
    </w:pPr>
  </w:style>
  <w:style w:type="paragraph" w:styleId="20">
    <w:name w:val="toc 1"/>
    <w:basedOn w:val="0"/>
    <w:next w:val="0"/>
    <w:pPr>
      <w:tabs>
        <w:tab w:val="right" w:leader="dot" w:pos="8296"/>
      </w:tabs>
      <w:spacing w:before="93"/>
      <w:jc w:val="center"/>
    </w:pPr>
    <w:rPr>
      <w:rFonts w:ascii="仿宋" w:eastAsia="仿宋"/>
      <w:sz w:val="28"/>
      <w:szCs w:val="28"/>
    </w:rPr>
  </w:style>
  <w:style w:type="paragraph" w:styleId="21">
    <w:name w:val="List"/>
    <w:basedOn w:val="17"/>
  </w:style>
  <w:style w:type="paragraph" w:styleId="22">
    <w:name w:val="footnote text"/>
    <w:basedOn w:val="0"/>
    <w:next w:val="19"/>
    <w:pPr>
      <w:snapToGrid w:val="0"/>
      <w:jc w:val="left"/>
    </w:pPr>
    <w:rPr>
      <w:sz w:val="18"/>
      <w:szCs w:val="18"/>
    </w:rPr>
  </w:style>
  <w:style w:type="paragraph" w:styleId="23">
    <w:name w:val="table of figures"/>
    <w:basedOn w:val="0"/>
    <w:next w:val="0"/>
    <w:pPr>
      <w:ind w:leftChars="200" w:left="400" w:hangingChars="200" w:hanging="200"/>
    </w:pPr>
    <w:rPr>
      <w:sz w:val="32"/>
      <w:szCs w:val="21"/>
    </w:rPr>
  </w:style>
  <w:style w:type="paragraph" w:styleId="24">
    <w:name w:val="toc 2"/>
    <w:basedOn w:val="0"/>
    <w:next w:val="0"/>
    <w:pPr>
      <w:tabs>
        <w:tab w:val="right" w:leader="dot" w:pos="8296"/>
      </w:tabs>
      <w:ind w:leftChars="200" w:left="200"/>
    </w:pPr>
  </w:style>
  <w:style w:type="paragraph" w:styleId="25">
    <w:name w:val="Normal (Web)"/>
    <w:basedOn w:val="0"/>
    <w:pPr>
      <w:spacing w:before="100" w:beforeAutospacing="1" w:after="100" w:afterAutospacing="1"/>
      <w:jc w:val="left"/>
    </w:pPr>
    <w:rPr>
      <w:kern w:val="0"/>
      <w:sz w:val="24"/>
    </w:rPr>
  </w:style>
  <w:style w:type="character" w:styleId="26">
    <w:name w:val="Strong"/>
    <w:basedOn w:val="10"/>
    <w:rPr>
      <w:b/>
    </w:rPr>
  </w:style>
  <w:style w:type="character" w:styleId="27">
    <w:name w:val="Hyperlink"/>
    <w:basedOn w:val="10"/>
    <w:rPr>
      <w:color w:val="0000FF"/>
      <w:u w:val="single"/>
    </w:rPr>
  </w:style>
  <w:style w:type="character" w:customStyle="1" w:styleId="28">
    <w:name w:val="默认段落字体1"/>
  </w:style>
  <w:style w:type="paragraph" w:customStyle="1" w:styleId="29">
    <w:name w:val="Heading"/>
    <w:basedOn w:val="0"/>
    <w:next w:val="17"/>
    <w:pPr>
      <w:keepNext/>
      <w:widowControl w:val="0"/>
      <w:suppressAutoHyphens/>
      <w:spacing w:before="240" w:after="120"/>
    </w:pPr>
    <w:rPr>
      <w:rFonts w:ascii="Liberation Sans" w:eastAsia="Noto Sans CJK SC Regular" w:cs="Noto Sans CJK SC Regular" w:hAnsi="Liberation Sans"/>
      <w:sz w:val="28"/>
      <w:szCs w:val="28"/>
    </w:rPr>
  </w:style>
  <w:style w:type="paragraph" w:customStyle="1" w:styleId="30">
    <w:name w:val="Index"/>
    <w:basedOn w:val="0"/>
    <w:pPr>
      <w:widowControl w:val="0"/>
      <w:suppressLineNumbers/>
      <w:suppressAutoHyphens/>
    </w:pPr>
  </w:style>
  <w:style w:type="paragraph" w:styleId="31">
    <w:name w:val="List Paragraph"/>
    <w:basedOn w:val="0"/>
    <w:pPr>
      <w:ind w:firstLineChars="200" w:firstLine="200"/>
    </w:p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3">
    <w:name w:val="四号正文"/>
    <w:basedOn w:val="0"/>
    <w:pPr>
      <w:spacing w:line="360" w:lineRule="auto"/>
    </w:pPr>
    <w:rPr>
      <w:rFonts w:ascii="??" w:hAnsi="??"/>
      <w:color w:val="000000"/>
      <w:kern w:val="0"/>
      <w:sz w:val="28"/>
      <w:szCs w:val="21"/>
      <w:lang w:val="zh-CN"/>
    </w:rPr>
  </w:style>
  <w:style w:type="paragraph" w:customStyle="1" w:styleId="34">
    <w:name w:val="WPSOffice手动目录 1"/>
    <w:rPr>
      <w:rFonts w:ascii="Times New Roman" w:eastAsia="宋体" w:cs="Times New Roman" w:hAnsi="Times New Roman"/>
      <w:sz w:val="20"/>
      <w:szCs w:val="20"/>
      <w:lang w:val="en-US" w:eastAsia="zh-CN" w:bidi="ar-SA"/>
    </w:rPr>
  </w:style>
  <w:style w:type="paragraph" w:customStyle="1" w:styleId="35">
    <w:name w:val="WPSOffice手动目录 2"/>
    <w:pPr>
      <w:ind w:leftChars="200" w:left="200"/>
    </w:pPr>
    <w:rPr>
      <w:rFonts w:ascii="Times New Roman" w:eastAsia="宋体" w:cs="Times New Roman" w:hAnsi="Times New Roman"/>
      <w:sz w:val="20"/>
      <w:szCs w:val="20"/>
      <w:lang w:val="en-US" w:eastAsia="zh-CN" w:bidi="ar-SA"/>
    </w:rPr>
  </w:style>
  <w:style w:type="paragraph" w:styleId="36">
    <w:name w:val="Balloon Text"/>
    <w:basedOn w:val="0"/>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emf"/><Relationship Id="rId3" Type="http://schemas.openxmlformats.org/officeDocument/2006/relationships/oleObject" Target="embeddings/oleObject1.bin"/><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chart" Target="charts/chart3.xml"/><Relationship Id="rId7" Type="http://schemas.openxmlformats.org/officeDocument/2006/relationships/chart" Target="charts/chart4.xml"/><Relationship Id="rId8" Type="http://schemas.openxmlformats.org/officeDocument/2006/relationships/chart" Target="charts/chart5.xml"/><Relationship Id="rId9" Type="http://schemas.openxmlformats.org/officeDocument/2006/relationships/chart" Target="charts/chart6.xml"/><Relationship Id="rId10" Type="http://schemas.openxmlformats.org/officeDocument/2006/relationships/chart" Target="charts/chart7.xml"/><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Lucida Sans"/>
              </a:defRPr>
            </a:pPr>
            <a:r>
              <a:rPr lang="zh-CN" sz="1400" b="1" i="0" u="none" strike="noStrike" baseline="0">
                <a:solidFill>
                  <a:srgbClr val="707070"/>
                </a:solidFill>
                <a:latin typeface="Times New Roman"/>
                <a:ea typeface="宋体"/>
                <a:cs typeface="Lucida Sans"/>
              </a:rPr>
              <a:t>收、支决算总计变动情况图</a:t>
            </a:r>
            <a:r>
              <a:rPr lang="zh-CN" sz="1400" b="1" i="0" u="none" strike="noStrike" baseline="0">
                <a:solidFill>
                  <a:srgbClr val="707070"/>
                </a:solidFill>
                <a:latin typeface="Times New Roman"/>
                <a:ea typeface="宋体"/>
                <a:cs typeface="Lucida Sans"/>
              </a:rPr>
              <a:t> </a:t>
            </a:r>
            <a:r>
              <a:rPr lang="zh-CN" sz="1200" b="0" i="0" u="none" strike="noStrike" baseline="0">
                <a:solidFill>
                  <a:srgbClr val="707070"/>
                </a:solidFill>
                <a:latin typeface="Times New Roman"/>
                <a:ea typeface="宋体"/>
                <a:cs typeface="Lucida Sans"/>
              </a:rPr>
              <a:t>（单位：万）</a:t>
            </a:r>
          </a:p>
        </c:rich>
      </c:tx>
      <c:layout/>
      <c:overlay val="0"/>
      <c:spPr>
        <a:noFill/>
        <a:ln>
          <a:noFill/>
        </a:ln>
      </c:spPr>
    </c:title>
    <c:autoTitleDeleted val="1"/>
    <c:plotArea>
      <c:layout/>
      <c:barChart>
        <c:barDir val="col"/>
        <c:grouping val="clustered"/>
        <c:varyColors val="0"/>
        <c:ser>
          <c:idx val="0"/>
          <c:order val="0"/>
          <c:spPr>
            <a:solidFill>
              <a:srgbClr val="4F81BD"/>
            </a:solidFill>
            <a:ln>
              <a:noFill/>
            </a:ln>
          </c:spPr>
          <c:invertIfNegative val="0"/>
          <c:dLbls>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numFmt formatCode="#,##0.00"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trendline>
            <c:spPr>
              <a:ln w="19050">
                <a:solidFill>
                  <a:srgbClr val="4F81BD"/>
                </a:solidFill>
                <a:prstDash val="sysDash"/>
              </a:ln>
            </c:spPr>
            <c:trendlineType val="linear"/>
            <c:dispRSqr val="0"/>
            <c:dispEq val="0"/>
          </c:trendline>
          <c:cat>
            <c:strLit>
              <c:ptCount val="2"/>
              <c:pt idx="0">
                <c:v>2022年</c:v>
              </c:pt>
              <c:pt idx="1">
                <c:v>2023年</c:v>
              </c:pt>
            </c:strLit>
          </c:cat>
          <c:val>
            <c:numRef>
              <c:f/>
              <c:numCache>
                <c:formatCode>#,##0.00</c:formatCode>
                <c:ptCount val="2"/>
                <c:pt idx="0">
                  <c:v>7148.92</c:v>
                </c:pt>
                <c:pt idx="1">
                  <c:v>7891.96</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F9F9F9"/>
            </a:solidFill>
            <a:prstDash val="solid"/>
          </a:ln>
        </c:spPr>
        <c:txPr>
          <a:bodyPr/>
          <a:lstStyle/>
          <a:p>
            <a:pPr>
              <a:defRPr sz="900" b="0" i="0" u="none" strike="noStrike" baseline="0">
                <a:solidFill>
                  <a:srgbClr val="939393"/>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CFCFCF"/>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939393"/>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Lucida Sans"/>
              </a:defRPr>
            </a:pPr>
            <a:r>
              <a:rPr lang="zh-CN" sz="1400" b="1" i="0" u="none" strike="noStrike" baseline="0">
                <a:solidFill>
                  <a:srgbClr val="707070"/>
                </a:solidFill>
                <a:latin typeface="Times New Roman"/>
                <a:ea typeface="宋体"/>
                <a:cs typeface="Lucida Sans"/>
              </a:rPr>
              <a:t>收入决算结构图</a:t>
            </a:r>
            <a:r>
              <a:rPr lang="zh-CN" sz="1400" b="1" i="0" u="none" strike="noStrike" baseline="0">
                <a:solidFill>
                  <a:srgbClr val="707070"/>
                </a:solidFill>
                <a:latin typeface="Times New Roman"/>
                <a:ea typeface="宋体"/>
                <a:cs typeface="Lucida Sans"/>
              </a:rPr>
              <a:t>  </a:t>
            </a:r>
            <a:r>
              <a:rPr lang="zh-CN" sz="1400" b="1" i="0" u="none" strike="noStrike" baseline="0">
                <a:solidFill>
                  <a:srgbClr val="707070"/>
                </a:solidFill>
                <a:latin typeface="Times New Roman"/>
                <a:ea typeface="宋体"/>
                <a:cs typeface="Lucida Sans"/>
              </a:rPr>
              <a:t>（单位：万）</a:t>
            </a:r>
          </a:p>
        </c:rich>
      </c:tx>
      <c:layout/>
      <c:overlay val="0"/>
      <c:spPr>
        <a:noFill/>
        <a:ln>
          <a:noFill/>
        </a:ln>
      </c:spPr>
    </c:title>
    <c:autoTitleDeleted val="1"/>
    <c:plotArea>
      <c:layout/>
      <c:pieChart>
        <c:varyColors val="1"/>
        <c:ser>
          <c:idx val="0"/>
          <c:order val="0"/>
          <c:spPr>
            <a:solidFill>
              <a:srgbClr val="4F81B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numFmt formatCode="0%" sourceLinked="0"/>
            <c:dLbl>
              <c:idx val="1"/>
              <c:layout>
                <c:manualLayout>
                  <c:x val="-6.420565E-7"/>
                  <c:y val="-0.11085698"/>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0"/>
              <c:showCatName val="0"/>
              <c:showSerName val="0"/>
              <c:showPercent val="1"/>
              <c:showBubbleSize val="0"/>
            </c:dLbl>
            <c:showLegendKey val="0"/>
            <c:showVal val="0"/>
            <c:showCatName val="0"/>
            <c:showSerName val="0"/>
            <c:showPercent val="1"/>
            <c:showBubbleSize val="0"/>
            <c:showLeaderLines val="1"/>
          </c:dLbls>
          <c:cat>
            <c:strLit>
              <c:ptCount val="2"/>
              <c:pt idx="0">
                <c:v>其他</c:v>
              </c:pt>
              <c:pt idx="1">
                <c:v>一般公共预算财政拨款收入</c:v>
              </c:pt>
            </c:strLit>
          </c:cat>
          <c:val>
            <c:numRef>
              <c:f/>
              <c:numCache>
                <c:formatCode>General</c:formatCode>
                <c:ptCount val="2"/>
                <c:pt idx="0">
                  <c:v>0.0</c:v>
                </c:pt>
                <c:pt idx="1">
                  <c:v>7891.96</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939393"/>
              </a:solidFill>
              <a:latin typeface="Times New Roman"/>
              <a:ea typeface="宋体"/>
              <a:cs typeface="Lucida Sans"/>
            </a:defRPr>
          </a:pPr>
          <a:endParaRPr lang="zh-CN"/>
        </a:p>
      </c:txPr>
      <c:legendEntry>
        <c:idx val="0"/>
        <c:delete val="1"/>
      </c:legendEntry>
    </c:legend>
    <c:plotVisOnly val="1"/>
    <c:dispBlanksAs val="zero"/>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Lucida Sans"/>
              </a:defRPr>
            </a:pPr>
            <a:r>
              <a:rPr lang="zh-CN" sz="1400" b="1" i="0" u="none" strike="noStrike" baseline="0">
                <a:solidFill>
                  <a:srgbClr val="707070"/>
                </a:solidFill>
                <a:latin typeface="Times New Roman"/>
                <a:ea typeface="宋体"/>
                <a:cs typeface="Lucida Sans"/>
              </a:rPr>
              <a:t>支出决算结构图</a:t>
            </a:r>
            <a:r>
              <a:rPr lang="zh-CN" sz="1400" b="1" i="0" u="none" strike="noStrike" baseline="0">
                <a:solidFill>
                  <a:srgbClr val="707070"/>
                </a:solidFill>
                <a:latin typeface="Times New Roman"/>
                <a:ea typeface="宋体"/>
                <a:cs typeface="Lucida Sans"/>
              </a:rPr>
              <a:t>   </a:t>
            </a:r>
            <a:r>
              <a:rPr lang="zh-CN" sz="1400" b="1" i="0" u="none" strike="noStrike" baseline="0">
                <a:solidFill>
                  <a:srgbClr val="707070"/>
                </a:solidFill>
                <a:latin typeface="Times New Roman"/>
                <a:ea typeface="宋体"/>
                <a:cs typeface="Lucida Sans"/>
              </a:rPr>
              <a:t>（单位：万）</a:t>
            </a:r>
          </a:p>
        </c:rich>
      </c:tx>
      <c:layout/>
      <c:overlay val="0"/>
      <c:spPr>
        <a:noFill/>
        <a:ln>
          <a:noFill/>
        </a:ln>
      </c:spPr>
    </c:title>
    <c:autoTitleDeleted val="1"/>
    <c:plotArea>
      <c:layout/>
      <c:pieChart>
        <c:varyColors val="1"/>
        <c:ser>
          <c:idx val="0"/>
          <c:order val="0"/>
          <c:spPr>
            <a:solidFill>
              <a:srgbClr val="4F81B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numFmt formatCode="0%" sourceLinked="0"/>
            <c:dLbl>
              <c:idx val="0"/>
              <c:layout>
                <c:manualLayout>
                  <c:x val="0.04900789"/>
                  <c:y val="0.024061693"/>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1"/>
              <c:showCatName val="0"/>
              <c:showSerName val="0"/>
              <c:showPercent val="1"/>
              <c:showBubbleSize val="0"/>
            </c:dLbl>
            <c:dLbl>
              <c:idx val="1"/>
              <c:layout>
                <c:manualLayout>
                  <c:x val="-0.043343216"/>
                  <c:y val="-0.07300578"/>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1"/>
              <c:showCatName val="0"/>
              <c:showSerName val="0"/>
              <c:showPercent val="1"/>
              <c:showBubbleSize val="0"/>
            </c:dLbl>
            <c:showLegendKey val="0"/>
            <c:showVal val="1"/>
            <c:showCatName val="0"/>
            <c:showSerName val="0"/>
            <c:showPercent val="1"/>
            <c:showBubbleSize val="0"/>
            <c:showLeaderLines val="1"/>
          </c:dLbls>
          <c:cat>
            <c:strLit>
              <c:ptCount val="2"/>
              <c:pt idx="0">
                <c:v>基本支出</c:v>
              </c:pt>
              <c:pt idx="1">
                <c:v>项目支出</c:v>
              </c:pt>
            </c:strLit>
          </c:cat>
          <c:val>
            <c:numRef>
              <c:f/>
              <c:numCache>
                <c:formatCode>General</c:formatCode>
                <c:ptCount val="2"/>
                <c:pt idx="0">
                  <c:v>6198.48</c:v>
                </c:pt>
                <c:pt idx="1">
                  <c:v>1693.48</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939393"/>
              </a:solidFill>
              <a:latin typeface="Times New Roman"/>
              <a:ea typeface="宋体"/>
              <a:cs typeface="Lucida Sans"/>
            </a:defRPr>
          </a:pPr>
          <a:endParaRPr lang="zh-CN"/>
        </a:p>
      </c:txPr>
    </c:legend>
    <c:plotVisOnly val="1"/>
    <c:dispBlanksAs val="zero"/>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Lucida Sans"/>
              </a:defRPr>
            </a:pPr>
            <a:r>
              <a:rPr lang="zh-CN" sz="1400" b="1" i="0" u="none" strike="noStrike" baseline="0">
                <a:solidFill>
                  <a:srgbClr val="707070"/>
                </a:solidFill>
                <a:latin typeface="Times New Roman"/>
                <a:ea typeface="宋体"/>
                <a:cs typeface="Lucida Sans"/>
              </a:rPr>
              <a:t>财政拨款收、支决算总计变动情况</a:t>
            </a:r>
            <a:r>
              <a:rPr lang="zh-CN" sz="1400" b="1" i="0" u="none" strike="noStrike" baseline="0">
                <a:solidFill>
                  <a:srgbClr val="707070"/>
                </a:solidFill>
                <a:latin typeface="Times New Roman"/>
                <a:ea typeface="宋体"/>
                <a:cs typeface="Lucida Sans"/>
              </a:rPr>
              <a:t>   </a:t>
            </a:r>
            <a:r>
              <a:rPr lang="zh-CN" sz="1400" b="1" i="0" u="none" strike="noStrike" baseline="0">
                <a:solidFill>
                  <a:srgbClr val="707070"/>
                </a:solidFill>
                <a:latin typeface="Times New Roman"/>
                <a:ea typeface="宋体"/>
                <a:cs typeface="Lucida Sans"/>
              </a:rPr>
              <a:t>单位（万）</a:t>
            </a:r>
          </a:p>
        </c:rich>
      </c:tx>
      <c:layout/>
      <c:overlay val="0"/>
      <c:spPr>
        <a:noFill/>
        <a:ln>
          <a:noFill/>
        </a:ln>
      </c:spPr>
    </c:title>
    <c:autoTitleDeleted val="1"/>
    <c:plotArea>
      <c:layout/>
      <c:barChart>
        <c:barDir val="col"/>
        <c:grouping val="clustered"/>
        <c:varyColors val="0"/>
        <c:ser>
          <c:idx val="0"/>
          <c:order val="0"/>
          <c:spPr>
            <a:solidFill>
              <a:srgbClr val="4F81BD"/>
            </a:solidFill>
            <a:ln>
              <a:noFill/>
            </a:ln>
          </c:spPr>
          <c:invertIfNegative val="0"/>
          <c:dLbls>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numFmt formatCode="#,##0.00"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trendline>
            <c:spPr>
              <a:ln w="19050">
                <a:solidFill>
                  <a:srgbClr val="4F81BD"/>
                </a:solidFill>
                <a:prstDash val="sysDash"/>
              </a:ln>
            </c:spPr>
            <c:trendlineType val="linear"/>
            <c:dispRSqr val="0"/>
            <c:dispEq val="0"/>
          </c:trendline>
          <c:cat>
            <c:strLit>
              <c:ptCount val="2"/>
              <c:pt idx="0">
                <c:v>2022年</c:v>
              </c:pt>
              <c:pt idx="1">
                <c:v>2023年</c:v>
              </c:pt>
            </c:strLit>
          </c:cat>
          <c:val>
            <c:numRef>
              <c:f/>
              <c:numCache>
                <c:formatCode>#,##0.00</c:formatCode>
                <c:ptCount val="2"/>
                <c:pt idx="0">
                  <c:v>7148.92</c:v>
                </c:pt>
                <c:pt idx="1">
                  <c:v>7891.96</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F9F9F9"/>
            </a:solidFill>
            <a:prstDash val="solid"/>
          </a:ln>
        </c:spPr>
        <c:txPr>
          <a:bodyPr/>
          <a:lstStyle/>
          <a:p>
            <a:pPr>
              <a:defRPr sz="900" b="0" i="0" u="none" strike="noStrike" baseline="0">
                <a:solidFill>
                  <a:srgbClr val="939393"/>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CFCFCF"/>
              </a:solidFill>
              <a:prstDash val="solid"/>
            </a:ln>
          </c:spPr>
        </c:majorGridlines>
        <c:numFmt formatCode="#,##0.00" sourceLinked="1"/>
        <c:majorTickMark val="none"/>
        <c:minorTickMark val="none"/>
        <c:tickLblPos val="nextTo"/>
        <c:spPr>
          <a:ln>
            <a:noFill/>
          </a:ln>
        </c:spPr>
        <c:txPr>
          <a:bodyPr/>
          <a:lstStyle/>
          <a:p>
            <a:pPr>
              <a:defRPr sz="900" b="0" i="0" u="none" strike="noStrike" baseline="0">
                <a:solidFill>
                  <a:srgbClr val="939393"/>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Lucida Sans"/>
              </a:defRPr>
            </a:pPr>
            <a:r>
              <a:rPr lang="zh-CN" sz="1200" b="1" i="0" u="none" strike="noStrike" baseline="0">
                <a:solidFill>
                  <a:srgbClr val="707070"/>
                </a:solidFill>
                <a:latin typeface="Times New Roman"/>
                <a:ea typeface="宋体"/>
                <a:cs typeface="Lucida Sans"/>
              </a:rPr>
              <a:t>一般公共预算财政拨款支出决算变动情况   </a:t>
            </a:r>
            <a:r>
              <a:rPr lang="zh-CN" sz="1200" b="1" i="0" u="none" strike="noStrike" baseline="0">
                <a:solidFill>
                  <a:srgbClr val="707070"/>
                </a:solidFill>
                <a:latin typeface="Times New Roman"/>
                <a:ea typeface="宋体"/>
                <a:cs typeface="Lucida Sans"/>
              </a:rPr>
              <a:t>单位（万）</a:t>
            </a:r>
          </a:p>
        </c:rich>
      </c:tx>
      <c:layout/>
      <c:overlay val="0"/>
      <c:spPr>
        <a:noFill/>
        <a:ln>
          <a:noFill/>
        </a:ln>
      </c:spPr>
    </c:title>
    <c:autoTitleDeleted val="1"/>
    <c:plotArea>
      <c:layout/>
      <c:barChart>
        <c:barDir val="col"/>
        <c:grouping val="clustered"/>
        <c:varyColors val="0"/>
        <c:ser>
          <c:idx val="0"/>
          <c:order val="0"/>
          <c:spPr>
            <a:solidFill>
              <a:srgbClr val="4F81BD"/>
            </a:solidFill>
            <a:ln>
              <a:noFill/>
            </a:ln>
          </c:spPr>
          <c:invertIfNegative val="0"/>
          <c:dLbls>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numFmt formatCode="#,##0.00" sourceLinked="0"/>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trendline>
            <c:spPr>
              <a:ln w="19050">
                <a:solidFill>
                  <a:srgbClr val="4F81BD"/>
                </a:solidFill>
                <a:prstDash val="sysDash"/>
              </a:ln>
            </c:spPr>
            <c:trendlineType val="linear"/>
            <c:dispRSqr val="0"/>
            <c:dispEq val="0"/>
          </c:trendline>
          <c:cat>
            <c:strLit>
              <c:ptCount val="2"/>
              <c:pt idx="0">
                <c:v>2022年</c:v>
              </c:pt>
              <c:pt idx="1">
                <c:v>2023年</c:v>
              </c:pt>
            </c:strLit>
          </c:cat>
          <c:val>
            <c:numRef>
              <c:f/>
              <c:numCache>
                <c:formatCode>#,##0.00</c:formatCode>
                <c:ptCount val="2"/>
                <c:pt idx="0">
                  <c:v>7148.92</c:v>
                </c:pt>
                <c:pt idx="1">
                  <c:v>7891.96</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F9F9F9"/>
            </a:solidFill>
            <a:prstDash val="solid"/>
          </a:ln>
        </c:spPr>
        <c:txPr>
          <a:bodyPr/>
          <a:lstStyle/>
          <a:p>
            <a:pPr>
              <a:defRPr sz="1000" b="0" i="0" u="none" strike="noStrike" baseline="0">
                <a:solidFill>
                  <a:srgbClr val="939393"/>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CFCFCF"/>
              </a:solidFill>
              <a:prstDash val="solid"/>
            </a:ln>
          </c:spPr>
        </c:majorGridlines>
        <c:numFmt formatCode="#,##0.00" sourceLinked="1"/>
        <c:majorTickMark val="none"/>
        <c:minorTickMark val="none"/>
        <c:tickLblPos val="nextTo"/>
        <c:spPr>
          <a:ln>
            <a:noFill/>
          </a:ln>
        </c:spPr>
        <c:txPr>
          <a:bodyPr/>
          <a:lstStyle/>
          <a:p>
            <a:pPr>
              <a:defRPr sz="1000" b="0" i="0" u="none" strike="noStrike" baseline="0">
                <a:solidFill>
                  <a:srgbClr val="939393"/>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Lucida Sans"/>
              </a:defRPr>
            </a:pPr>
            <a:r>
              <a:rPr lang="zh-CN" sz="1400" b="1" i="0" u="none" strike="noStrike" baseline="0">
                <a:solidFill>
                  <a:srgbClr val="707070"/>
                </a:solidFill>
                <a:latin typeface="Times New Roman"/>
                <a:ea typeface="宋体"/>
                <a:cs typeface="Lucida Sans"/>
              </a:rPr>
              <a:t>一般公共预算财政拨款支出决算结构</a:t>
            </a:r>
            <a:r>
              <a:rPr lang="zh-CN" sz="1400" b="1" i="0" u="none" strike="noStrike" baseline="0">
                <a:solidFill>
                  <a:srgbClr val="707070"/>
                </a:solidFill>
                <a:latin typeface="Times New Roman"/>
                <a:ea typeface="宋体"/>
                <a:cs typeface="Lucida Sans"/>
              </a:rPr>
              <a:t>  </a:t>
            </a:r>
            <a:r>
              <a:rPr lang="zh-CN" sz="1400" b="1" i="0" u="none" strike="noStrike" baseline="0">
                <a:solidFill>
                  <a:srgbClr val="707070"/>
                </a:solidFill>
                <a:latin typeface="Times New Roman"/>
                <a:ea typeface="宋体"/>
                <a:cs typeface="Lucida Sans"/>
              </a:rPr>
              <a:t>单位（万）</a:t>
            </a:r>
          </a:p>
        </c:rich>
      </c:tx>
      <c:layout/>
      <c:overlay val="0"/>
      <c:spPr>
        <a:noFill/>
        <a:ln>
          <a:noFill/>
        </a:ln>
      </c:spPr>
    </c:title>
    <c:autoTitleDeleted val="1"/>
    <c:plotArea>
      <c:layout/>
      <c:pieChart>
        <c:varyColors val="1"/>
        <c:ser>
          <c:idx val="0"/>
          <c:order val="0"/>
          <c:spPr>
            <a:solidFill>
              <a:srgbClr val="4F81B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numFmt formatCode="0%" sourceLinked="0"/>
            <c:dLbl>
              <c:idx val="0"/>
              <c:layout>
                <c:manualLayout>
                  <c:x val="0.07105263"/>
                  <c:y val="-0.055555556"/>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0"/>
              <c:showCatName val="0"/>
              <c:showSerName val="0"/>
              <c:showPercent val="1"/>
              <c:showBubbleSize val="0"/>
            </c:dLbl>
            <c:dLbl>
              <c:idx val="1"/>
              <c:layout>
                <c:manualLayout>
                  <c:x val="-0.030796483"/>
                  <c:y val="0.03681368"/>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0"/>
              <c:showCatName val="0"/>
              <c:showSerName val="0"/>
              <c:showPercent val="1"/>
              <c:showBubbleSize val="0"/>
            </c:dLbl>
            <c:dLbl>
              <c:idx val="2"/>
              <c:layout>
                <c:manualLayout>
                  <c:x val="-0.046412367"/>
                  <c:y val="-0.005957093"/>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0"/>
              <c:showCatName val="0"/>
              <c:showSerName val="0"/>
              <c:showPercent val="1"/>
              <c:showBubbleSize val="0"/>
            </c:dLbl>
            <c:dLbl>
              <c:idx val="3"/>
              <c:layout>
                <c:manualLayout>
                  <c:x val="0.009961406"/>
                  <c:y val="-0.022432134"/>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0"/>
              <c:showCatName val="0"/>
              <c:showSerName val="0"/>
              <c:showPercent val="1"/>
              <c:showBubbleSize val="0"/>
            </c:dLbl>
            <c:showLegendKey val="0"/>
            <c:showVal val="1"/>
            <c:showCatName val="0"/>
            <c:showSerName val="0"/>
            <c:showPercent val="1"/>
            <c:showBubbleSize val="0"/>
            <c:showLeaderLines val="1"/>
          </c:dLbls>
          <c:cat>
            <c:strLit>
              <c:ptCount val="4"/>
              <c:pt idx="0">
                <c:v>公共安全</c:v>
              </c:pt>
              <c:pt idx="1">
                <c:v>社会保障和就业支出</c:v>
              </c:pt>
              <c:pt idx="2">
                <c:v>卫生健康支出</c:v>
              </c:pt>
              <c:pt idx="3">
                <c:v>住房保障支出</c:v>
              </c:pt>
            </c:strLit>
          </c:cat>
          <c:val>
            <c:numRef>
              <c:f/>
              <c:numCache>
                <c:formatCode>General</c:formatCode>
                <c:ptCount val="4"/>
                <c:pt idx="0">
                  <c:v>6631.56</c:v>
                </c:pt>
                <c:pt idx="1">
                  <c:v>610.7</c:v>
                </c:pt>
                <c:pt idx="2">
                  <c:v>287.97999999999996</c:v>
                </c:pt>
                <c:pt idx="3">
                  <c:v>361.72999999999996</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939393"/>
              </a:solidFill>
              <a:latin typeface="Times New Roman"/>
              <a:ea typeface="宋体"/>
              <a:cs typeface="Lucida Sans"/>
            </a:defRPr>
          </a:pPr>
          <a:endParaRPr lang="zh-CN"/>
        </a:p>
      </c:txPr>
    </c:legend>
    <c:plotVisOnly val="1"/>
    <c:dispBlanksAs val="zero"/>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Lucida Sans"/>
              </a:defRPr>
            </a:pPr>
            <a:r>
              <a:rPr lang="zh-CN" sz="1400" b="1" i="0" u="none" strike="noStrike" baseline="0">
                <a:solidFill>
                  <a:srgbClr val="707070"/>
                </a:solidFill>
                <a:latin typeface="Times New Roman"/>
                <a:ea typeface="宋体"/>
                <a:cs typeface="Lucida Sans"/>
              </a:rPr>
              <a:t>“三公”经费财政拨款支出结构</a:t>
            </a:r>
            <a:r>
              <a:rPr lang="zh-CN" sz="1400" b="1" i="0" u="none" strike="noStrike" baseline="0">
                <a:solidFill>
                  <a:srgbClr val="707070"/>
                </a:solidFill>
                <a:latin typeface="Times New Roman"/>
                <a:ea typeface="宋体"/>
                <a:cs typeface="Lucida Sans"/>
              </a:rPr>
              <a:t>   </a:t>
            </a:r>
            <a:r>
              <a:rPr lang="zh-CN" sz="1400" b="1" i="0" u="none" strike="noStrike" baseline="0">
                <a:solidFill>
                  <a:srgbClr val="707070"/>
                </a:solidFill>
                <a:latin typeface="Times New Roman"/>
                <a:ea typeface="宋体"/>
                <a:cs typeface="Lucida Sans"/>
              </a:rPr>
              <a:t>单位（万）</a:t>
            </a:r>
          </a:p>
        </c:rich>
      </c:tx>
      <c:layout/>
      <c:overlay val="0"/>
      <c:spPr>
        <a:noFill/>
        <a:ln>
          <a:noFill/>
        </a:ln>
      </c:spPr>
    </c:title>
    <c:autoTitleDeleted val="1"/>
    <c:plotArea>
      <c:layout/>
      <c:pieChart>
        <c:varyColors val="1"/>
        <c:ser>
          <c:idx val="0"/>
          <c:order val="0"/>
          <c:spPr>
            <a:solidFill>
              <a:srgbClr val="4F81BD"/>
            </a:solidFill>
          </c:spPr>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numFmt formatCode="0%" sourceLinked="0"/>
            <c:dLbl>
              <c:idx val="0"/>
              <c:layout>
                <c:manualLayout>
                  <c:x val="-0.06"/>
                  <c:y val="0.0027777778"/>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0"/>
              <c:showCatName val="0"/>
              <c:showSerName val="0"/>
              <c:showPercent val="1"/>
              <c:showBubbleSize val="0"/>
            </c:dLbl>
            <c:dLbl>
              <c:idx val="1"/>
              <c:layout>
                <c:manualLayout>
                  <c:x val="0.18599206"/>
                  <c:y val="-0.1052829"/>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0"/>
              <c:showCatName val="0"/>
              <c:showSerName val="0"/>
              <c:showPercent val="1"/>
              <c:showBubbleSize val="0"/>
            </c:dLbl>
            <c:dLbl>
              <c:idx val="2"/>
              <c:layout>
                <c:manualLayout>
                  <c:x val="0.082404315"/>
                  <c:y val="-0.0029618014"/>
                </c:manualLayout>
              </c:layout>
              <c:numFmt formatCode="0%" sourceLinked="0"/>
              <c:spPr>
                <a:noFill/>
                <a:ln>
                  <a:noFill/>
                </a:ln>
              </c:spPr>
              <c:txPr>
                <a:bodyPr vert="horz"/>
                <a:lstStyle/>
                <a:p>
                  <a:pPr>
                    <a:defRPr sz="1000" b="0" i="0" u="none" strike="noStrike" baseline="0">
                      <a:solidFill>
                        <a:srgbClr val="707070"/>
                      </a:solidFill>
                      <a:latin typeface="Times New Roman"/>
                      <a:ea typeface="宋体"/>
                      <a:cs typeface="Lucida Sans"/>
                    </a:defRPr>
                  </a:pPr>
                  <a:endParaRPr lang="zh-CN"/>
                </a:p>
              </c:txPr>
              <c:showLegendKey val="0"/>
              <c:showVal val="0"/>
              <c:showCatName val="0"/>
              <c:showSerName val="0"/>
              <c:showPercent val="1"/>
              <c:showBubbleSize val="0"/>
            </c:dLbl>
            <c:showLegendKey val="0"/>
            <c:showVal val="0"/>
            <c:showCatName val="0"/>
            <c:showSerName val="0"/>
            <c:showPercent val="1"/>
            <c:showBubbleSize val="0"/>
            <c:showLeaderLines val="1"/>
          </c:dLbls>
          <c:cat>
            <c:strLit>
              <c:ptCount val="3"/>
              <c:pt idx="0">
                <c:v>因公出国</c:v>
              </c:pt>
              <c:pt idx="1">
                <c:v>公务用车购置及运行维护</c:v>
              </c:pt>
              <c:pt idx="2">
                <c:v>公务接待</c:v>
              </c:pt>
            </c:strLit>
          </c:cat>
          <c:val>
            <c:numRef>
              <c:f/>
              <c:numCache>
                <c:formatCode>General</c:formatCode>
                <c:ptCount val="3"/>
                <c:pt idx="0">
                  <c:v>0.0</c:v>
                </c:pt>
                <c:pt idx="1">
                  <c:v>320.74</c:v>
                </c:pt>
                <c:pt idx="2">
                  <c:v>4.5</c:v>
                </c:pt>
              </c:numCache>
            </c:numRef>
          </c:val>
        </c:ser>
        <c:firstSliceAng val="0"/>
      </c:pieChart>
      <c:spPr>
        <a:noFill/>
        <a:ln>
          <a:noFill/>
        </a:ln>
      </c:spPr>
    </c:plotArea>
    <c:legend>
      <c:legendPos val="t"/>
      <c:layout/>
      <c:overlay val="0"/>
      <c:spPr>
        <a:noFill/>
        <a:ln>
          <a:noFill/>
        </a:ln>
      </c:spPr>
      <c:txPr>
        <a:bodyPr/>
        <a:lstStyle/>
        <a:p>
          <a:pPr>
            <a:defRPr sz="900" b="0" i="0" u="none" strike="noStrike" baseline="0">
              <a:solidFill>
                <a:srgbClr val="939393"/>
              </a:solidFill>
              <a:latin typeface="Times New Roman"/>
              <a:ea typeface="宋体"/>
              <a:cs typeface="Lucida Sans"/>
            </a:defRPr>
          </a:pPr>
          <a:endParaRPr lang="zh-CN"/>
        </a:p>
      </c:txPr>
    </c:legend>
    <c:plotVisOnly val="1"/>
    <c:dispBlanksAs val="zero"/>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6</TotalTime>
  <Application>Yozo_Office27021597764231179</Application>
  <Pages>51</Pages>
  <Words>22481</Words>
  <Characters>23959</Characters>
  <Lines>1683</Lines>
  <Paragraphs>761</Paragraphs>
  <CharactersWithSpaces>24033</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user</cp:lastModifiedBy>
  <cp:revision>2</cp:revision>
  <dcterms:created xsi:type="dcterms:W3CDTF">2024-09-26T02:28:00Z</dcterms:created>
  <dcterms:modified xsi:type="dcterms:W3CDTF">2026-09-17T09:19:01Z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2052-11.1.0.9828</vt:lpwstr>
  </property>
  <property fmtid="{D5CDD505-2E9C-101B-9397-08002B2CF9AE}" pid="3" name="ICV">
    <vt:lpwstr>96DC34A0765E4D1DA33E09F0C6EAEDAE_13</vt:lpwstr>
  </property>
</Properties>
</file>